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D71C" w14:textId="77777777" w:rsidR="00A75E40" w:rsidRPr="009110F7" w:rsidRDefault="00BF4329" w:rsidP="006C3495">
      <w:pPr>
        <w:jc w:val="center"/>
        <w:rPr>
          <w:lang w:eastAsia="ar-SA"/>
        </w:rPr>
        <w:sectPr w:rsidR="00A75E40" w:rsidRPr="009110F7"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511DD5DE" wp14:editId="00A28F14">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B642DE6"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7757952E" wp14:editId="7602F846">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8CD8" w14:textId="77777777" w:rsidR="00CD7E9E" w:rsidRDefault="00CD7E9E" w:rsidP="004924DC">
                            <w:r>
                              <w:t>Z</w:t>
                            </w:r>
                            <w:r w:rsidRPr="006C5577">
                              <w:t xml:space="preserve">pracoval: </w:t>
                            </w:r>
                            <w:r>
                              <w:t>o</w:t>
                            </w:r>
                            <w:r w:rsidRPr="006C5577">
                              <w:t>dbor</w:t>
                            </w:r>
                            <w:r>
                              <w:t xml:space="preserve"> Kancelář předsedy</w:t>
                            </w:r>
                          </w:p>
                          <w:p w14:paraId="6CC24131" w14:textId="77777777" w:rsidR="00CD7E9E" w:rsidRPr="006C5577" w:rsidRDefault="00CD7E9E" w:rsidP="004924DC">
                            <w:r w:rsidRPr="006C5577">
                              <w:t xml:space="preserve">Ředitel odboru: </w:t>
                            </w:r>
                            <w:r>
                              <w:t>Egor Sidorov, Ph.D.</w:t>
                            </w:r>
                          </w:p>
                          <w:p w14:paraId="734BD5FB" w14:textId="77777777" w:rsidR="00CD7E9E" w:rsidRPr="006C5577" w:rsidRDefault="00CD7E9E" w:rsidP="004924DC">
                            <w:r w:rsidRPr="006C5577">
                              <w:t xml:space="preserve">Kontaktní osoba: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7952E"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" filled="f" stroked="f">
                <v:textbox inset="0,0,0,0">
                  <w:txbxContent>
                    <w:p w14:paraId="71628CD8" w14:textId="77777777" w:rsidR="00CD7E9E" w:rsidRDefault="00CD7E9E" w:rsidP="004924DC">
                      <w:r>
                        <w:t>Z</w:t>
                      </w:r>
                      <w:r w:rsidRPr="006C5577">
                        <w:t xml:space="preserve">pracoval: </w:t>
                      </w:r>
                      <w:r>
                        <w:t>o</w:t>
                      </w:r>
                      <w:r w:rsidRPr="006C5577">
                        <w:t>dbor</w:t>
                      </w:r>
                      <w:r>
                        <w:t xml:space="preserve"> Kancelář předsedy</w:t>
                      </w:r>
                    </w:p>
                    <w:p w14:paraId="6CC24131" w14:textId="77777777" w:rsidR="00CD7E9E" w:rsidRPr="006C5577" w:rsidRDefault="00CD7E9E" w:rsidP="004924DC">
                      <w:r w:rsidRPr="006C5577">
                        <w:t xml:space="preserve">Ředitel odboru: </w:t>
                      </w:r>
                      <w:r>
                        <w:t>Egor Sidorov, Ph.D.</w:t>
                      </w:r>
                    </w:p>
                    <w:p w14:paraId="734BD5FB" w14:textId="77777777" w:rsidR="00CD7E9E" w:rsidRPr="006C5577" w:rsidRDefault="00CD7E9E" w:rsidP="004924DC">
                      <w:r w:rsidRPr="006C5577">
                        <w:t xml:space="preserve">Kontaktní osoba: </w:t>
                      </w:r>
                      <w:r>
                        <w:t>Karolína Zábojníková</w:t>
                      </w:r>
                      <w:r w:rsidRPr="006C5577">
                        <w:t>,</w:t>
                      </w:r>
                      <w:r>
                        <w:t xml:space="preserve">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AFB96D4" wp14:editId="50D63787">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C48DE" w14:textId="77777777" w:rsidR="00CD7E9E" w:rsidRPr="004924DC" w:rsidRDefault="00CD7E9E" w:rsidP="004924DC">
                            <w:pPr>
                              <w:pStyle w:val="TLIdentifikace-sted"/>
                            </w:pPr>
                            <w:r>
                              <w:t>souhrnná data o České republice</w:t>
                            </w:r>
                          </w:p>
                          <w:p w14:paraId="02C46271" w14:textId="1AAFEEFB" w:rsidR="00CD7E9E" w:rsidRPr="004924DC" w:rsidRDefault="00CD7E9E" w:rsidP="004924DC">
                            <w:pPr>
                              <w:pStyle w:val="TLIdentifikace-sted"/>
                            </w:pPr>
                            <w:r>
                              <w:t>Praha, 22. 3. 2022</w:t>
                            </w:r>
                          </w:p>
                          <w:p w14:paraId="43012AD8" w14:textId="77777777" w:rsidR="00CD7E9E" w:rsidRPr="00B23E6E" w:rsidRDefault="00CD7E9E" w:rsidP="004924DC">
                            <w:pPr>
                              <w:pStyle w:val="TLIdentifikace-sted"/>
                            </w:pPr>
                            <w:r w:rsidRPr="00B23E6E">
                              <w:t>Kód publikace: 320193-2</w:t>
                            </w:r>
                            <w:r>
                              <w:t>1</w:t>
                            </w:r>
                          </w:p>
                          <w:p w14:paraId="1ED5773E" w14:textId="7CA6D065" w:rsidR="00CD7E9E" w:rsidRPr="00474646" w:rsidRDefault="00CD7E9E" w:rsidP="004924DC">
                            <w:pPr>
                              <w:pStyle w:val="TLIdentifikace-sted"/>
                              <w:rPr>
                                <w:rFonts w:cs="Arial"/>
                              </w:rPr>
                            </w:pPr>
                            <w:r w:rsidRPr="00474646">
                              <w:rPr>
                                <w:rFonts w:cs="Arial"/>
                              </w:rPr>
                              <w:t>Č</w:t>
                            </w:r>
                            <w:r w:rsidRPr="00730A8B">
                              <w:rPr>
                                <w:rFonts w:cs="Arial"/>
                              </w:rPr>
                              <w:t xml:space="preserve">. j.: </w:t>
                            </w:r>
                            <w:r w:rsidRPr="00042A4A">
                              <w:rPr>
                                <w:rFonts w:eastAsia="Calibri" w:cs="Arial"/>
                                <w:lang w:eastAsia="en-US"/>
                              </w:rPr>
                              <w:t>CSU-003482/2022-01</w:t>
                            </w:r>
                          </w:p>
                          <w:p w14:paraId="7E4C36AC" w14:textId="6A878EEB" w:rsidR="00CD7E9E" w:rsidRPr="004924DC" w:rsidRDefault="00CD7E9E" w:rsidP="004924DC">
                            <w:pPr>
                              <w:pStyle w:val="TLIdentifikace-sted"/>
                            </w:pPr>
                            <w:r w:rsidRPr="004924DC">
                              <w:t>Pořadové číslo v</w:t>
                            </w:r>
                            <w:r>
                              <w:t> </w:t>
                            </w:r>
                            <w:r w:rsidRPr="004924DC">
                              <w:t xml:space="preserve">roce: </w:t>
                            </w:r>
                            <w:r>
                              <w:t>4</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FB96D4"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" filled="f" stroked="f">
                <v:textbox style="mso-fit-shape-to-text:t" inset="0,0,0,0">
                  <w:txbxContent>
                    <w:p w14:paraId="6B3C48DE" w14:textId="77777777" w:rsidR="00CD7E9E" w:rsidRPr="004924DC" w:rsidRDefault="00CD7E9E" w:rsidP="004924DC">
                      <w:pPr>
                        <w:pStyle w:val="TLIdentifikace-sted"/>
                      </w:pPr>
                      <w:r>
                        <w:t>souhrnná data o České republice</w:t>
                      </w:r>
                    </w:p>
                    <w:p w14:paraId="02C46271" w14:textId="1AAFEEFB" w:rsidR="00CD7E9E" w:rsidRPr="004924DC" w:rsidRDefault="00CD7E9E" w:rsidP="004924DC">
                      <w:pPr>
                        <w:pStyle w:val="TLIdentifikace-sted"/>
                      </w:pPr>
                      <w:r>
                        <w:t>Praha, 22. 3. 2022</w:t>
                      </w:r>
                    </w:p>
                    <w:p w14:paraId="43012AD8" w14:textId="77777777" w:rsidR="00CD7E9E" w:rsidRPr="00B23E6E" w:rsidRDefault="00CD7E9E" w:rsidP="004924DC">
                      <w:pPr>
                        <w:pStyle w:val="TLIdentifikace-sted"/>
                      </w:pPr>
                      <w:r w:rsidRPr="00B23E6E">
                        <w:t>Kód publikace: 320193-2</w:t>
                      </w:r>
                      <w:r>
                        <w:t>1</w:t>
                      </w:r>
                    </w:p>
                    <w:p w14:paraId="1ED5773E" w14:textId="7CA6D065" w:rsidR="00CD7E9E" w:rsidRPr="00474646" w:rsidRDefault="00CD7E9E" w:rsidP="004924DC">
                      <w:pPr>
                        <w:pStyle w:val="TLIdentifikace-sted"/>
                        <w:rPr>
                          <w:rFonts w:cs="Arial"/>
                        </w:rPr>
                      </w:pPr>
                      <w:r w:rsidRPr="00474646">
                        <w:rPr>
                          <w:rFonts w:cs="Arial"/>
                        </w:rPr>
                        <w:t>Č</w:t>
                      </w:r>
                      <w:r w:rsidRPr="00730A8B">
                        <w:rPr>
                          <w:rFonts w:cs="Arial"/>
                        </w:rPr>
                        <w:t xml:space="preserve">. j.: </w:t>
                      </w:r>
                      <w:r w:rsidRPr="00042A4A">
                        <w:rPr>
                          <w:rFonts w:eastAsia="Calibri" w:cs="Arial"/>
                          <w:lang w:eastAsia="en-US"/>
                        </w:rPr>
                        <w:t>CSU-003482/2022-01</w:t>
                      </w:r>
                    </w:p>
                    <w:p w14:paraId="7E4C36AC" w14:textId="6A878EEB" w:rsidR="00CD7E9E" w:rsidRPr="004924DC" w:rsidRDefault="00CD7E9E" w:rsidP="004924DC">
                      <w:pPr>
                        <w:pStyle w:val="TLIdentifikace-sted"/>
                      </w:pPr>
                      <w:r w:rsidRPr="004924DC">
                        <w:t>Pořadové číslo v</w:t>
                      </w:r>
                      <w:r>
                        <w:t> </w:t>
                      </w:r>
                      <w:r w:rsidRPr="004924DC">
                        <w:t xml:space="preserve">roce: </w:t>
                      </w:r>
                      <w:r>
                        <w:t>4</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451D2144" wp14:editId="099204C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7B56" w14:textId="77777777" w:rsidR="00CD7E9E" w:rsidRPr="000E6FBD" w:rsidRDefault="00CD7E9E" w:rsidP="000E6FBD">
                            <w:pPr>
                              <w:pStyle w:val="Nzev"/>
                            </w:pPr>
                            <w:r>
                              <w:t>Vývoj ekonomiky české republiky</w:t>
                            </w:r>
                          </w:p>
                          <w:p w14:paraId="6EF7822F" w14:textId="77777777" w:rsidR="00CD7E9E" w:rsidRPr="0012192F" w:rsidRDefault="00CD7E9E" w:rsidP="0012192F">
                            <w:pPr>
                              <w:pStyle w:val="Podnadpis"/>
                            </w:pPr>
                          </w:p>
                          <w:p w14:paraId="284A2D4D" w14:textId="0CAF4ACD" w:rsidR="00CD7E9E" w:rsidRPr="0012192F" w:rsidRDefault="00CD7E9E" w:rsidP="00720310">
                            <w:pPr>
                              <w:pStyle w:val="Podnadpis"/>
                            </w:pPr>
                            <w:r>
                              <w:t>rok 2021</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1D2144"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" filled="f" stroked="f">
                <v:textbox style="mso-fit-shape-to-text:t" inset="0,0,0,0">
                  <w:txbxContent>
                    <w:p w14:paraId="723B7B56" w14:textId="77777777" w:rsidR="00CD7E9E" w:rsidRPr="000E6FBD" w:rsidRDefault="00CD7E9E" w:rsidP="000E6FBD">
                      <w:pPr>
                        <w:pStyle w:val="Nzev"/>
                      </w:pPr>
                      <w:r>
                        <w:t>Vývoj ekonomiky české republiky</w:t>
                      </w:r>
                    </w:p>
                    <w:p w14:paraId="6EF7822F" w14:textId="77777777" w:rsidR="00CD7E9E" w:rsidRPr="0012192F" w:rsidRDefault="00CD7E9E" w:rsidP="0012192F">
                      <w:pPr>
                        <w:pStyle w:val="Podnadpis"/>
                      </w:pPr>
                    </w:p>
                    <w:p w14:paraId="284A2D4D" w14:textId="0CAF4ACD" w:rsidR="00CD7E9E" w:rsidRPr="0012192F" w:rsidRDefault="00CD7E9E" w:rsidP="00720310">
                      <w:pPr>
                        <w:pStyle w:val="Podnadpis"/>
                      </w:pPr>
                      <w:r>
                        <w:t>rok 2021</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41CDD5F4" wp14:editId="1095CA0F">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DF7B" w14:textId="0A473B89" w:rsidR="00CD7E9E" w:rsidRPr="004924DC" w:rsidRDefault="00CD7E9E" w:rsidP="004924DC">
                            <w:r w:rsidRPr="004924DC">
                              <w:t xml:space="preserve">© Český statistický úřad, </w:t>
                            </w:r>
                            <w:r>
                              <w:t>Praha</w:t>
                            </w:r>
                            <w:r w:rsidRPr="004924DC">
                              <w:t xml:space="preserve">, </w:t>
                            </w:r>
                            <w:r>
                              <w:t>2022</w:t>
                            </w:r>
                          </w:p>
                          <w:p w14:paraId="622736FE" w14:textId="77777777" w:rsidR="00CD7E9E" w:rsidRPr="005251DD" w:rsidRDefault="00CD7E9E" w:rsidP="00665BA4"/>
                          <w:p w14:paraId="157588CA" w14:textId="77777777" w:rsidR="00CD7E9E" w:rsidRPr="005251DD" w:rsidRDefault="00CD7E9E" w:rsidP="00FC684B"/>
                          <w:p w14:paraId="590D710B" w14:textId="77777777" w:rsidR="00CD7E9E" w:rsidRDefault="00CD7E9E"/>
                          <w:p w14:paraId="73B68DA8" w14:textId="77777777" w:rsidR="00CD7E9E" w:rsidRPr="00097407" w:rsidRDefault="00CD7E9E"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3D655DFE" w14:textId="77777777" w:rsidR="00CD7E9E" w:rsidRPr="005251DD" w:rsidRDefault="00CD7E9E" w:rsidP="00665BA4"/>
                          <w:p w14:paraId="74D3ABC4" w14:textId="77777777" w:rsidR="00CD7E9E" w:rsidRPr="005251DD" w:rsidRDefault="00CD7E9E"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DD5F4"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MkugIAALY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" filled="f" stroked="f">
                <v:textbox inset="0,0,0,0">
                  <w:txbxContent>
                    <w:p w14:paraId="0841DF7B" w14:textId="0A473B89" w:rsidR="00CD7E9E" w:rsidRPr="004924DC" w:rsidRDefault="00CD7E9E" w:rsidP="004924DC">
                      <w:r w:rsidRPr="004924DC">
                        <w:t xml:space="preserve">© Český statistický úřad, </w:t>
                      </w:r>
                      <w:r>
                        <w:t>Praha</w:t>
                      </w:r>
                      <w:r w:rsidRPr="004924DC">
                        <w:t xml:space="preserve">, </w:t>
                      </w:r>
                      <w:r>
                        <w:t>2022</w:t>
                      </w:r>
                    </w:p>
                    <w:p w14:paraId="622736FE" w14:textId="77777777" w:rsidR="00CD7E9E" w:rsidRPr="005251DD" w:rsidRDefault="00CD7E9E" w:rsidP="00665BA4"/>
                    <w:p w14:paraId="157588CA" w14:textId="77777777" w:rsidR="00CD7E9E" w:rsidRPr="005251DD" w:rsidRDefault="00CD7E9E" w:rsidP="00FC684B"/>
                    <w:p w14:paraId="590D710B" w14:textId="77777777" w:rsidR="00CD7E9E" w:rsidRDefault="00CD7E9E"/>
                    <w:p w14:paraId="73B68DA8" w14:textId="77777777" w:rsidR="00CD7E9E" w:rsidRPr="00097407" w:rsidRDefault="00CD7E9E"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3D655DFE" w14:textId="77777777" w:rsidR="00CD7E9E" w:rsidRPr="005251DD" w:rsidRDefault="00CD7E9E" w:rsidP="00665BA4"/>
                    <w:p w14:paraId="74D3ABC4" w14:textId="77777777" w:rsidR="00CD7E9E" w:rsidRPr="005251DD" w:rsidRDefault="00CD7E9E"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D7561D0" wp14:editId="7B364386">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E67B4E9"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6BC95926" wp14:editId="266DEF2F">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70E5B" w14:textId="77777777" w:rsidR="00CD7E9E" w:rsidRPr="006F5416" w:rsidRDefault="00CD7E9E" w:rsidP="006F5416">
                            <w:pPr>
                              <w:pStyle w:val="TLKontaktyerven"/>
                            </w:pPr>
                            <w:r w:rsidRPr="006F5416">
                              <w:t>KONTAKTY V ÚSTŘEDÍ</w:t>
                            </w:r>
                          </w:p>
                          <w:p w14:paraId="3BEEAF5F" w14:textId="77777777" w:rsidR="00CD7E9E" w:rsidRPr="007D40DF" w:rsidRDefault="00CD7E9E"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4ECAA215" w14:textId="77777777" w:rsidR="00CD7E9E" w:rsidRPr="00D235B7" w:rsidRDefault="00CD7E9E"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77777777" w:rsidR="00CD7E9E" w:rsidRPr="00D235B7" w:rsidRDefault="00CD7E9E"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572D725" w14:textId="77777777" w:rsidR="00CD7E9E" w:rsidRPr="00D235B7" w:rsidRDefault="00CD7E9E"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7777777" w:rsidR="00CD7E9E" w:rsidRPr="00D235B7" w:rsidRDefault="00CD7E9E"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433A2C62" w14:textId="77777777" w:rsidR="00CD7E9E" w:rsidRPr="004A61C5" w:rsidRDefault="00CD7E9E" w:rsidP="00825C4D">
                            <w:pPr>
                              <w:pStyle w:val="TLKontakty"/>
                              <w:spacing w:after="80" w:line="240" w:lineRule="auto"/>
                              <w:contextualSpacing w:val="0"/>
                              <w:rPr>
                                <w:color w:val="auto"/>
                              </w:rPr>
                            </w:pPr>
                          </w:p>
                          <w:p w14:paraId="29C57B67" w14:textId="77777777" w:rsidR="00CD7E9E" w:rsidRPr="00D66223" w:rsidRDefault="00CD7E9E" w:rsidP="00D66223">
                            <w:pPr>
                              <w:pStyle w:val="TLKontaktyerven"/>
                            </w:pPr>
                            <w:r w:rsidRPr="00D66223">
                              <w:t>INFORMAČNÍ SLUŽBY V REGIONECH</w:t>
                            </w:r>
                          </w:p>
                          <w:p w14:paraId="181BE30E" w14:textId="77777777" w:rsidR="00CD7E9E" w:rsidRPr="00992CF3" w:rsidRDefault="00CD7E9E"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CD7E9E" w:rsidRPr="00992CF3" w:rsidRDefault="00CD7E9E"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CD7E9E" w:rsidRPr="004A61C5" w:rsidRDefault="00CD7E9E" w:rsidP="00825C4D">
                            <w:pPr>
                              <w:pStyle w:val="TLKontakty"/>
                              <w:spacing w:after="80" w:line="240" w:lineRule="auto"/>
                              <w:rPr>
                                <w:color w:val="auto"/>
                              </w:rPr>
                            </w:pPr>
                          </w:p>
                          <w:p w14:paraId="39B5FB82" w14:textId="77777777" w:rsidR="00CD7E9E" w:rsidRPr="00992CF3" w:rsidRDefault="00CD7E9E"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CD7E9E" w:rsidRPr="00992CF3" w:rsidRDefault="00CD7E9E"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CD7E9E" w:rsidRPr="004A61C5" w:rsidRDefault="00CD7E9E" w:rsidP="00825C4D">
                            <w:pPr>
                              <w:pStyle w:val="TLKontakty"/>
                              <w:spacing w:after="80" w:line="240" w:lineRule="auto"/>
                              <w:rPr>
                                <w:color w:val="auto"/>
                              </w:rPr>
                            </w:pPr>
                          </w:p>
                          <w:p w14:paraId="5AF27889" w14:textId="77777777" w:rsidR="00CD7E9E" w:rsidRPr="00992CF3" w:rsidRDefault="00CD7E9E"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CD7E9E" w:rsidRPr="00992CF3" w:rsidRDefault="00CD7E9E"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CD7E9E" w:rsidRPr="004A61C5" w:rsidRDefault="00CD7E9E" w:rsidP="00825C4D">
                            <w:pPr>
                              <w:pStyle w:val="TLKontakty"/>
                              <w:spacing w:after="80" w:line="240" w:lineRule="auto"/>
                              <w:rPr>
                                <w:color w:val="auto"/>
                              </w:rPr>
                            </w:pPr>
                          </w:p>
                          <w:p w14:paraId="0065AFA0" w14:textId="77777777" w:rsidR="00CD7E9E" w:rsidRPr="00BC731E" w:rsidRDefault="00CD7E9E"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CD7E9E" w:rsidRPr="004A61C5" w:rsidRDefault="00CD7E9E"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CD7E9E" w:rsidRPr="004A61C5" w:rsidRDefault="00CD7E9E" w:rsidP="00825C4D">
                            <w:pPr>
                              <w:pStyle w:val="TLKontakty"/>
                              <w:spacing w:after="80" w:line="240" w:lineRule="auto"/>
                              <w:rPr>
                                <w:color w:val="auto"/>
                              </w:rPr>
                            </w:pPr>
                          </w:p>
                          <w:p w14:paraId="345F7961" w14:textId="77777777" w:rsidR="00CD7E9E" w:rsidRPr="004A61C5" w:rsidRDefault="00CD7E9E"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CD7E9E" w:rsidRPr="004A61C5" w:rsidRDefault="00CD7E9E"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CD7E9E" w:rsidRPr="004A61C5" w:rsidRDefault="00CD7E9E" w:rsidP="00825C4D">
                            <w:pPr>
                              <w:pStyle w:val="TLKontakty"/>
                              <w:spacing w:after="80" w:line="240" w:lineRule="auto"/>
                              <w:rPr>
                                <w:color w:val="auto"/>
                              </w:rPr>
                            </w:pPr>
                          </w:p>
                          <w:p w14:paraId="766F2288" w14:textId="77777777" w:rsidR="00CD7E9E" w:rsidRPr="004A61C5" w:rsidRDefault="00CD7E9E"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CD7E9E" w:rsidRPr="004A61C5" w:rsidRDefault="00CD7E9E"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CD7E9E" w:rsidRPr="004A61C5" w:rsidRDefault="00CD7E9E" w:rsidP="00825C4D">
                            <w:pPr>
                              <w:pStyle w:val="TLKontakty"/>
                              <w:spacing w:after="80" w:line="240" w:lineRule="auto"/>
                              <w:rPr>
                                <w:color w:val="auto"/>
                              </w:rPr>
                            </w:pPr>
                          </w:p>
                          <w:p w14:paraId="0D4652E6" w14:textId="77777777" w:rsidR="00CD7E9E" w:rsidRPr="004A61C5" w:rsidRDefault="00CD7E9E"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CD7E9E" w:rsidRPr="004A61C5" w:rsidRDefault="00CD7E9E"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CD7E9E" w:rsidRPr="004A61C5" w:rsidRDefault="00CD7E9E" w:rsidP="00825C4D">
                            <w:pPr>
                              <w:pStyle w:val="TLKontakty"/>
                              <w:spacing w:after="80" w:line="240" w:lineRule="auto"/>
                              <w:rPr>
                                <w:b w:val="0"/>
                                <w:color w:val="auto"/>
                              </w:rPr>
                            </w:pPr>
                          </w:p>
                          <w:p w14:paraId="231AC323" w14:textId="77777777" w:rsidR="00CD7E9E" w:rsidRPr="004A61C5" w:rsidRDefault="00CD7E9E"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CD7E9E" w:rsidRPr="004A61C5" w:rsidRDefault="00CD7E9E"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CD7E9E" w:rsidRPr="004A61C5" w:rsidRDefault="00CD7E9E" w:rsidP="00825C4D">
                            <w:pPr>
                              <w:pStyle w:val="TLKontakty"/>
                              <w:spacing w:after="80" w:line="240" w:lineRule="auto"/>
                              <w:rPr>
                                <w:color w:val="auto"/>
                              </w:rPr>
                            </w:pPr>
                          </w:p>
                          <w:p w14:paraId="64319B27" w14:textId="77777777" w:rsidR="00CD7E9E" w:rsidRPr="004A61C5" w:rsidRDefault="00CD7E9E"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CD7E9E" w:rsidRPr="004A61C5" w:rsidRDefault="00CD7E9E"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CD7E9E" w:rsidRPr="004A61C5" w:rsidRDefault="00CD7E9E" w:rsidP="00825C4D">
                            <w:pPr>
                              <w:pStyle w:val="TLKontakty"/>
                              <w:spacing w:after="80" w:line="240" w:lineRule="auto"/>
                              <w:rPr>
                                <w:b w:val="0"/>
                                <w:color w:val="auto"/>
                              </w:rPr>
                            </w:pPr>
                          </w:p>
                          <w:p w14:paraId="4068B566" w14:textId="77777777" w:rsidR="00CD7E9E" w:rsidRPr="004A61C5" w:rsidRDefault="00CD7E9E"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CD7E9E" w:rsidRPr="004A61C5" w:rsidRDefault="00CD7E9E"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CD7E9E" w:rsidRDefault="00CD7E9E" w:rsidP="00825C4D">
                            <w:pPr>
                              <w:pStyle w:val="TLKontakty"/>
                              <w:spacing w:after="80" w:line="240" w:lineRule="auto"/>
                            </w:pPr>
                          </w:p>
                          <w:p w14:paraId="63ACC352" w14:textId="77777777" w:rsidR="00CD7E9E" w:rsidRPr="00BC731E" w:rsidRDefault="00CD7E9E"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CD7E9E" w:rsidRPr="004A61C5" w:rsidRDefault="00CD7E9E"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CD7E9E" w:rsidRPr="004A61C5" w:rsidRDefault="00CD7E9E" w:rsidP="00825C4D">
                            <w:pPr>
                              <w:pStyle w:val="TLKontakty"/>
                              <w:spacing w:after="80" w:line="240" w:lineRule="auto"/>
                              <w:rPr>
                                <w:b w:val="0"/>
                                <w:color w:val="auto"/>
                              </w:rPr>
                            </w:pPr>
                          </w:p>
                          <w:p w14:paraId="71AC5E72" w14:textId="77777777" w:rsidR="00CD7E9E" w:rsidRPr="005E7C78" w:rsidRDefault="00CD7E9E"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CD7E9E" w:rsidRPr="005E7C78" w:rsidRDefault="00CD7E9E"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CD7E9E" w:rsidRPr="005E7C78" w:rsidRDefault="00CD7E9E" w:rsidP="00825C4D">
                            <w:pPr>
                              <w:pStyle w:val="TLKontakty"/>
                              <w:spacing w:after="80" w:line="240" w:lineRule="auto"/>
                              <w:rPr>
                                <w:b w:val="0"/>
                                <w:color w:val="auto"/>
                              </w:rPr>
                            </w:pPr>
                          </w:p>
                          <w:p w14:paraId="00E77B80" w14:textId="77777777" w:rsidR="00CD7E9E" w:rsidRPr="005E7C78" w:rsidRDefault="00CD7E9E"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CD7E9E" w:rsidRDefault="00CD7E9E"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CD7E9E" w:rsidRPr="005E7C78" w:rsidRDefault="00CD7E9E" w:rsidP="00095135">
                            <w:pPr>
                              <w:pStyle w:val="TLKontakty"/>
                              <w:spacing w:after="80" w:line="240" w:lineRule="auto"/>
                              <w:rPr>
                                <w:b w:val="0"/>
                                <w:color w:val="auto"/>
                              </w:rPr>
                            </w:pPr>
                          </w:p>
                          <w:p w14:paraId="0275618D" w14:textId="77777777" w:rsidR="00CD7E9E" w:rsidRPr="005E7C78" w:rsidRDefault="00CD7E9E"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CD7E9E" w:rsidRPr="00095135" w:rsidRDefault="00CD7E9E"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C9592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" filled="f" stroked="f">
                <v:textbox style="mso-fit-shape-to-text:t" inset="0,0,0,0">
                  <w:txbxContent>
                    <w:p w14:paraId="57F70E5B" w14:textId="77777777" w:rsidR="00CD7E9E" w:rsidRPr="006F5416" w:rsidRDefault="00CD7E9E" w:rsidP="006F5416">
                      <w:pPr>
                        <w:pStyle w:val="TLKontaktyerven"/>
                      </w:pPr>
                      <w:r w:rsidRPr="006F5416">
                        <w:t>KONTAKTY V ÚSTŘEDÍ</w:t>
                      </w:r>
                    </w:p>
                    <w:p w14:paraId="3BEEAF5F" w14:textId="77777777" w:rsidR="00CD7E9E" w:rsidRPr="007D40DF" w:rsidRDefault="00CD7E9E"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4ECAA215" w14:textId="77777777" w:rsidR="00CD7E9E" w:rsidRPr="00D235B7" w:rsidRDefault="00CD7E9E"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77777777" w:rsidR="00CD7E9E" w:rsidRPr="00D235B7" w:rsidRDefault="00CD7E9E"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572D725" w14:textId="77777777" w:rsidR="00CD7E9E" w:rsidRPr="00D235B7" w:rsidRDefault="00CD7E9E"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7777777" w:rsidR="00CD7E9E" w:rsidRPr="00D235B7" w:rsidRDefault="00CD7E9E"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433A2C62" w14:textId="77777777" w:rsidR="00CD7E9E" w:rsidRPr="004A61C5" w:rsidRDefault="00CD7E9E" w:rsidP="00825C4D">
                      <w:pPr>
                        <w:pStyle w:val="TLKontakty"/>
                        <w:spacing w:after="80" w:line="240" w:lineRule="auto"/>
                        <w:contextualSpacing w:val="0"/>
                        <w:rPr>
                          <w:color w:val="auto"/>
                        </w:rPr>
                      </w:pPr>
                    </w:p>
                    <w:p w14:paraId="29C57B67" w14:textId="77777777" w:rsidR="00CD7E9E" w:rsidRPr="00D66223" w:rsidRDefault="00CD7E9E" w:rsidP="00D66223">
                      <w:pPr>
                        <w:pStyle w:val="TLKontaktyerven"/>
                      </w:pPr>
                      <w:r w:rsidRPr="00D66223">
                        <w:t>INFORMAČNÍ SLUŽBY V REGIONECH</w:t>
                      </w:r>
                    </w:p>
                    <w:p w14:paraId="181BE30E" w14:textId="77777777" w:rsidR="00CD7E9E" w:rsidRPr="00992CF3" w:rsidRDefault="00CD7E9E"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CD7E9E" w:rsidRPr="00992CF3" w:rsidRDefault="00CD7E9E"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CD7E9E" w:rsidRPr="004A61C5" w:rsidRDefault="00CD7E9E" w:rsidP="00825C4D">
                      <w:pPr>
                        <w:pStyle w:val="TLKontakty"/>
                        <w:spacing w:after="80" w:line="240" w:lineRule="auto"/>
                        <w:rPr>
                          <w:color w:val="auto"/>
                        </w:rPr>
                      </w:pPr>
                    </w:p>
                    <w:p w14:paraId="39B5FB82" w14:textId="77777777" w:rsidR="00CD7E9E" w:rsidRPr="00992CF3" w:rsidRDefault="00CD7E9E"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CD7E9E" w:rsidRPr="00992CF3" w:rsidRDefault="00CD7E9E"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CD7E9E" w:rsidRPr="004A61C5" w:rsidRDefault="00CD7E9E" w:rsidP="00825C4D">
                      <w:pPr>
                        <w:pStyle w:val="TLKontakty"/>
                        <w:spacing w:after="80" w:line="240" w:lineRule="auto"/>
                        <w:rPr>
                          <w:color w:val="auto"/>
                        </w:rPr>
                      </w:pPr>
                    </w:p>
                    <w:p w14:paraId="5AF27889" w14:textId="77777777" w:rsidR="00CD7E9E" w:rsidRPr="00992CF3" w:rsidRDefault="00CD7E9E"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CD7E9E" w:rsidRPr="00992CF3" w:rsidRDefault="00CD7E9E"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CD7E9E" w:rsidRPr="004A61C5" w:rsidRDefault="00CD7E9E" w:rsidP="00825C4D">
                      <w:pPr>
                        <w:pStyle w:val="TLKontakty"/>
                        <w:spacing w:after="80" w:line="240" w:lineRule="auto"/>
                        <w:rPr>
                          <w:color w:val="auto"/>
                        </w:rPr>
                      </w:pPr>
                    </w:p>
                    <w:p w14:paraId="0065AFA0" w14:textId="77777777" w:rsidR="00CD7E9E" w:rsidRPr="00BC731E" w:rsidRDefault="00CD7E9E"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CD7E9E" w:rsidRPr="004A61C5" w:rsidRDefault="00CD7E9E"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CD7E9E" w:rsidRPr="004A61C5" w:rsidRDefault="00CD7E9E" w:rsidP="00825C4D">
                      <w:pPr>
                        <w:pStyle w:val="TLKontakty"/>
                        <w:spacing w:after="80" w:line="240" w:lineRule="auto"/>
                        <w:rPr>
                          <w:color w:val="auto"/>
                        </w:rPr>
                      </w:pPr>
                    </w:p>
                    <w:p w14:paraId="345F7961" w14:textId="77777777" w:rsidR="00CD7E9E" w:rsidRPr="004A61C5" w:rsidRDefault="00CD7E9E"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CD7E9E" w:rsidRPr="004A61C5" w:rsidRDefault="00CD7E9E"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CD7E9E" w:rsidRPr="004A61C5" w:rsidRDefault="00CD7E9E" w:rsidP="00825C4D">
                      <w:pPr>
                        <w:pStyle w:val="TLKontakty"/>
                        <w:spacing w:after="80" w:line="240" w:lineRule="auto"/>
                        <w:rPr>
                          <w:color w:val="auto"/>
                        </w:rPr>
                      </w:pPr>
                    </w:p>
                    <w:p w14:paraId="766F2288" w14:textId="77777777" w:rsidR="00CD7E9E" w:rsidRPr="004A61C5" w:rsidRDefault="00CD7E9E"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CD7E9E" w:rsidRPr="004A61C5" w:rsidRDefault="00CD7E9E"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CD7E9E" w:rsidRPr="004A61C5" w:rsidRDefault="00CD7E9E" w:rsidP="00825C4D">
                      <w:pPr>
                        <w:pStyle w:val="TLKontakty"/>
                        <w:spacing w:after="80" w:line="240" w:lineRule="auto"/>
                        <w:rPr>
                          <w:color w:val="auto"/>
                        </w:rPr>
                      </w:pPr>
                    </w:p>
                    <w:p w14:paraId="0D4652E6" w14:textId="77777777" w:rsidR="00CD7E9E" w:rsidRPr="004A61C5" w:rsidRDefault="00CD7E9E"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CD7E9E" w:rsidRPr="004A61C5" w:rsidRDefault="00CD7E9E"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CD7E9E" w:rsidRPr="004A61C5" w:rsidRDefault="00CD7E9E" w:rsidP="00825C4D">
                      <w:pPr>
                        <w:pStyle w:val="TLKontakty"/>
                        <w:spacing w:after="80" w:line="240" w:lineRule="auto"/>
                        <w:rPr>
                          <w:b w:val="0"/>
                          <w:color w:val="auto"/>
                        </w:rPr>
                      </w:pPr>
                    </w:p>
                    <w:p w14:paraId="231AC323" w14:textId="77777777" w:rsidR="00CD7E9E" w:rsidRPr="004A61C5" w:rsidRDefault="00CD7E9E"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CD7E9E" w:rsidRPr="004A61C5" w:rsidRDefault="00CD7E9E"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CD7E9E" w:rsidRPr="004A61C5" w:rsidRDefault="00CD7E9E" w:rsidP="00825C4D">
                      <w:pPr>
                        <w:pStyle w:val="TLKontakty"/>
                        <w:spacing w:after="80" w:line="240" w:lineRule="auto"/>
                        <w:rPr>
                          <w:color w:val="auto"/>
                        </w:rPr>
                      </w:pPr>
                    </w:p>
                    <w:p w14:paraId="64319B27" w14:textId="77777777" w:rsidR="00CD7E9E" w:rsidRPr="004A61C5" w:rsidRDefault="00CD7E9E"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CD7E9E" w:rsidRPr="004A61C5" w:rsidRDefault="00CD7E9E"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CD7E9E" w:rsidRPr="004A61C5" w:rsidRDefault="00CD7E9E" w:rsidP="00825C4D">
                      <w:pPr>
                        <w:pStyle w:val="TLKontakty"/>
                        <w:spacing w:after="80" w:line="240" w:lineRule="auto"/>
                        <w:rPr>
                          <w:b w:val="0"/>
                          <w:color w:val="auto"/>
                        </w:rPr>
                      </w:pPr>
                    </w:p>
                    <w:p w14:paraId="4068B566" w14:textId="77777777" w:rsidR="00CD7E9E" w:rsidRPr="004A61C5" w:rsidRDefault="00CD7E9E"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CD7E9E" w:rsidRPr="004A61C5" w:rsidRDefault="00CD7E9E"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CD7E9E" w:rsidRDefault="00CD7E9E" w:rsidP="00825C4D">
                      <w:pPr>
                        <w:pStyle w:val="TLKontakty"/>
                        <w:spacing w:after="80" w:line="240" w:lineRule="auto"/>
                      </w:pPr>
                    </w:p>
                    <w:p w14:paraId="63ACC352" w14:textId="77777777" w:rsidR="00CD7E9E" w:rsidRPr="00BC731E" w:rsidRDefault="00CD7E9E"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CD7E9E" w:rsidRPr="004A61C5" w:rsidRDefault="00CD7E9E"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CD7E9E" w:rsidRPr="004A61C5" w:rsidRDefault="00CD7E9E" w:rsidP="00825C4D">
                      <w:pPr>
                        <w:pStyle w:val="TLKontakty"/>
                        <w:spacing w:after="80" w:line="240" w:lineRule="auto"/>
                        <w:rPr>
                          <w:b w:val="0"/>
                          <w:color w:val="auto"/>
                        </w:rPr>
                      </w:pPr>
                    </w:p>
                    <w:p w14:paraId="71AC5E72" w14:textId="77777777" w:rsidR="00CD7E9E" w:rsidRPr="005E7C78" w:rsidRDefault="00CD7E9E"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CD7E9E" w:rsidRPr="005E7C78" w:rsidRDefault="00CD7E9E"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CD7E9E" w:rsidRPr="005E7C78" w:rsidRDefault="00CD7E9E" w:rsidP="00825C4D">
                      <w:pPr>
                        <w:pStyle w:val="TLKontakty"/>
                        <w:spacing w:after="80" w:line="240" w:lineRule="auto"/>
                        <w:rPr>
                          <w:b w:val="0"/>
                          <w:color w:val="auto"/>
                        </w:rPr>
                      </w:pPr>
                    </w:p>
                    <w:p w14:paraId="00E77B80" w14:textId="77777777" w:rsidR="00CD7E9E" w:rsidRPr="005E7C78" w:rsidRDefault="00CD7E9E"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CD7E9E" w:rsidRDefault="00CD7E9E"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CD7E9E" w:rsidRPr="005E7C78" w:rsidRDefault="00CD7E9E" w:rsidP="00095135">
                      <w:pPr>
                        <w:pStyle w:val="TLKontakty"/>
                        <w:spacing w:after="80" w:line="240" w:lineRule="auto"/>
                        <w:rPr>
                          <w:b w:val="0"/>
                          <w:color w:val="auto"/>
                        </w:rPr>
                      </w:pPr>
                    </w:p>
                    <w:p w14:paraId="0275618D" w14:textId="77777777" w:rsidR="00CD7E9E" w:rsidRPr="005E7C78" w:rsidRDefault="00CD7E9E"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CD7E9E" w:rsidRPr="00095135" w:rsidRDefault="00CD7E9E"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627D9299" wp14:editId="066DDE16">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D07B0" w14:textId="0CA49055" w:rsidR="00CD7E9E" w:rsidRPr="00321924" w:rsidRDefault="00CD7E9E" w:rsidP="00A16E1D">
                            <w:pPr>
                              <w:jc w:val="left"/>
                            </w:pPr>
                            <w:r w:rsidRPr="00321924">
                              <w:br/>
                              <w:t xml:space="preserve">© Český statistický úřad, </w:t>
                            </w:r>
                            <w:r>
                              <w:t>Praha, 2022</w:t>
                            </w:r>
                          </w:p>
                          <w:p w14:paraId="314CB98A" w14:textId="77777777" w:rsidR="00CD7E9E" w:rsidRDefault="00CD7E9E"/>
                          <w:p w14:paraId="6776AB5D" w14:textId="77777777" w:rsidR="00CD7E9E" w:rsidRPr="00841D9F" w:rsidRDefault="00CD7E9E"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CD7E9E" w:rsidRPr="00AF2852" w:rsidRDefault="00CD7E9E"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D9299"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NbuQ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" filled="f" stroked="f">
                <v:textbox inset="0,0,0,0">
                  <w:txbxContent>
                    <w:p w14:paraId="45ED07B0" w14:textId="0CA49055" w:rsidR="00CD7E9E" w:rsidRPr="00321924" w:rsidRDefault="00CD7E9E" w:rsidP="00A16E1D">
                      <w:pPr>
                        <w:jc w:val="left"/>
                      </w:pPr>
                      <w:r w:rsidRPr="00321924">
                        <w:br/>
                        <w:t xml:space="preserve">© Český statistický úřad, </w:t>
                      </w:r>
                      <w:r>
                        <w:t>Praha, 2022</w:t>
                      </w:r>
                    </w:p>
                    <w:p w14:paraId="314CB98A" w14:textId="77777777" w:rsidR="00CD7E9E" w:rsidRDefault="00CD7E9E"/>
                    <w:p w14:paraId="6776AB5D" w14:textId="77777777" w:rsidR="00CD7E9E" w:rsidRPr="00841D9F" w:rsidRDefault="00CD7E9E"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CD7E9E" w:rsidRPr="00AF2852" w:rsidRDefault="00CD7E9E"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3FEDB80D" wp14:editId="1DBA9E32">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D4D1" w14:textId="77777777" w:rsidR="00CD7E9E" w:rsidRPr="009A1902" w:rsidRDefault="00CD7E9E"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EDB80D"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" filled="f" stroked="f">
                <v:textbox style="mso-fit-shape-to-text:t" inset="0,0,0,0">
                  <w:txbxContent>
                    <w:p w14:paraId="054ED4D1" w14:textId="77777777" w:rsidR="00CD7E9E" w:rsidRPr="009A1902" w:rsidRDefault="00CD7E9E"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mc:Fallback>
        </mc:AlternateContent>
      </w:r>
    </w:p>
    <w:sdt>
      <w:sdtPr>
        <w:rPr>
          <w:b w:val="0"/>
          <w:color w:val="auto"/>
          <w:sz w:val="20"/>
        </w:rPr>
        <w:id w:val="5357999"/>
        <w:docPartObj>
          <w:docPartGallery w:val="Table of Contents"/>
          <w:docPartUnique/>
        </w:docPartObj>
      </w:sdtPr>
      <w:sdtEndPr/>
      <w:sdtContent>
        <w:p w14:paraId="597230E6" w14:textId="77777777" w:rsidR="00867DAB" w:rsidRPr="009110F7" w:rsidRDefault="00867DAB" w:rsidP="00867DAB">
          <w:pPr>
            <w:pStyle w:val="Obsah"/>
          </w:pPr>
          <w:r w:rsidRPr="009110F7">
            <w:t>Obsah</w:t>
          </w:r>
        </w:p>
        <w:p w14:paraId="44E855FB" w14:textId="1E99E97F" w:rsidR="003F3E76" w:rsidRDefault="007D42E5">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98756077" w:history="1">
            <w:r w:rsidR="003F3E76" w:rsidRPr="000D077D">
              <w:rPr>
                <w:rStyle w:val="Hypertextovodkaz"/>
                <w:noProof/>
              </w:rPr>
              <w:t>1. Shrnutí</w:t>
            </w:r>
            <w:r w:rsidR="003F3E76">
              <w:rPr>
                <w:noProof/>
                <w:webHidden/>
              </w:rPr>
              <w:tab/>
            </w:r>
            <w:r w:rsidR="003F3E76">
              <w:rPr>
                <w:noProof/>
                <w:webHidden/>
              </w:rPr>
              <w:fldChar w:fldCharType="begin"/>
            </w:r>
            <w:r w:rsidR="003F3E76">
              <w:rPr>
                <w:noProof/>
                <w:webHidden/>
              </w:rPr>
              <w:instrText xml:space="preserve"> PAGEREF _Toc98756077 \h </w:instrText>
            </w:r>
            <w:r w:rsidR="003F3E76">
              <w:rPr>
                <w:noProof/>
                <w:webHidden/>
              </w:rPr>
            </w:r>
            <w:r w:rsidR="003F3E76">
              <w:rPr>
                <w:noProof/>
                <w:webHidden/>
              </w:rPr>
              <w:fldChar w:fldCharType="separate"/>
            </w:r>
            <w:r w:rsidR="003F3E76">
              <w:rPr>
                <w:noProof/>
                <w:webHidden/>
              </w:rPr>
              <w:t>4</w:t>
            </w:r>
            <w:r w:rsidR="003F3E76">
              <w:rPr>
                <w:noProof/>
                <w:webHidden/>
              </w:rPr>
              <w:fldChar w:fldCharType="end"/>
            </w:r>
          </w:hyperlink>
        </w:p>
        <w:p w14:paraId="20375075" w14:textId="27A2C4E0" w:rsidR="003F3E76" w:rsidRDefault="003F3E76">
          <w:pPr>
            <w:pStyle w:val="Obsah1"/>
            <w:rPr>
              <w:rFonts w:asciiTheme="minorHAnsi" w:eastAsiaTheme="minorEastAsia" w:hAnsiTheme="minorHAnsi" w:cstheme="minorBidi"/>
              <w:noProof/>
              <w:sz w:val="22"/>
              <w:szCs w:val="22"/>
            </w:rPr>
          </w:pPr>
          <w:hyperlink w:anchor="_Toc98756078" w:history="1">
            <w:r w:rsidRPr="000D077D">
              <w:rPr>
                <w:rStyle w:val="Hypertextovodkaz"/>
                <w:noProof/>
              </w:rPr>
              <w:t>2. Souhrnná výkonnost</w:t>
            </w:r>
            <w:r>
              <w:rPr>
                <w:noProof/>
                <w:webHidden/>
              </w:rPr>
              <w:tab/>
            </w:r>
            <w:r>
              <w:rPr>
                <w:noProof/>
                <w:webHidden/>
              </w:rPr>
              <w:fldChar w:fldCharType="begin"/>
            </w:r>
            <w:r>
              <w:rPr>
                <w:noProof/>
                <w:webHidden/>
              </w:rPr>
              <w:instrText xml:space="preserve"> PAGEREF _Toc98756078 \h </w:instrText>
            </w:r>
            <w:r>
              <w:rPr>
                <w:noProof/>
                <w:webHidden/>
              </w:rPr>
            </w:r>
            <w:r>
              <w:rPr>
                <w:noProof/>
                <w:webHidden/>
              </w:rPr>
              <w:fldChar w:fldCharType="separate"/>
            </w:r>
            <w:r>
              <w:rPr>
                <w:noProof/>
                <w:webHidden/>
              </w:rPr>
              <w:t>5</w:t>
            </w:r>
            <w:r>
              <w:rPr>
                <w:noProof/>
                <w:webHidden/>
              </w:rPr>
              <w:fldChar w:fldCharType="end"/>
            </w:r>
          </w:hyperlink>
        </w:p>
        <w:p w14:paraId="05165CEB" w14:textId="4A3D92C0" w:rsidR="003F3E76" w:rsidRDefault="003F3E76">
          <w:pPr>
            <w:pStyle w:val="Obsah1"/>
            <w:rPr>
              <w:rFonts w:asciiTheme="minorHAnsi" w:eastAsiaTheme="minorEastAsia" w:hAnsiTheme="minorHAnsi" w:cstheme="minorBidi"/>
              <w:noProof/>
              <w:sz w:val="22"/>
              <w:szCs w:val="22"/>
            </w:rPr>
          </w:pPr>
          <w:hyperlink w:anchor="_Toc98756079" w:history="1">
            <w:r w:rsidRPr="000D077D">
              <w:rPr>
                <w:rStyle w:val="Hypertextovodkaz"/>
                <w:noProof/>
              </w:rPr>
              <w:t>3. Výkonnost odvětví</w:t>
            </w:r>
            <w:r>
              <w:rPr>
                <w:noProof/>
                <w:webHidden/>
              </w:rPr>
              <w:tab/>
            </w:r>
            <w:r>
              <w:rPr>
                <w:noProof/>
                <w:webHidden/>
              </w:rPr>
              <w:fldChar w:fldCharType="begin"/>
            </w:r>
            <w:r>
              <w:rPr>
                <w:noProof/>
                <w:webHidden/>
              </w:rPr>
              <w:instrText xml:space="preserve"> PAGEREF _Toc98756079 \h </w:instrText>
            </w:r>
            <w:r>
              <w:rPr>
                <w:noProof/>
                <w:webHidden/>
              </w:rPr>
            </w:r>
            <w:r>
              <w:rPr>
                <w:noProof/>
                <w:webHidden/>
              </w:rPr>
              <w:fldChar w:fldCharType="separate"/>
            </w:r>
            <w:r>
              <w:rPr>
                <w:noProof/>
                <w:webHidden/>
              </w:rPr>
              <w:t>10</w:t>
            </w:r>
            <w:r>
              <w:rPr>
                <w:noProof/>
                <w:webHidden/>
              </w:rPr>
              <w:fldChar w:fldCharType="end"/>
            </w:r>
          </w:hyperlink>
        </w:p>
        <w:p w14:paraId="45F750A1" w14:textId="5275025A" w:rsidR="003F3E76" w:rsidRDefault="003F3E76">
          <w:pPr>
            <w:pStyle w:val="Obsah1"/>
            <w:rPr>
              <w:rFonts w:asciiTheme="minorHAnsi" w:eastAsiaTheme="minorEastAsia" w:hAnsiTheme="minorHAnsi" w:cstheme="minorBidi"/>
              <w:noProof/>
              <w:sz w:val="22"/>
              <w:szCs w:val="22"/>
            </w:rPr>
          </w:pPr>
          <w:hyperlink w:anchor="_Toc98756080" w:history="1">
            <w:r w:rsidRPr="000D077D">
              <w:rPr>
                <w:rStyle w:val="Hypertextovodkaz"/>
                <w:noProof/>
              </w:rPr>
              <w:t>4. Vnější vztahy</w:t>
            </w:r>
            <w:r>
              <w:rPr>
                <w:noProof/>
                <w:webHidden/>
              </w:rPr>
              <w:tab/>
            </w:r>
            <w:r>
              <w:rPr>
                <w:noProof/>
                <w:webHidden/>
              </w:rPr>
              <w:fldChar w:fldCharType="begin"/>
            </w:r>
            <w:r>
              <w:rPr>
                <w:noProof/>
                <w:webHidden/>
              </w:rPr>
              <w:instrText xml:space="preserve"> PAGEREF _Toc98756080 \h </w:instrText>
            </w:r>
            <w:r>
              <w:rPr>
                <w:noProof/>
                <w:webHidden/>
              </w:rPr>
            </w:r>
            <w:r>
              <w:rPr>
                <w:noProof/>
                <w:webHidden/>
              </w:rPr>
              <w:fldChar w:fldCharType="separate"/>
            </w:r>
            <w:r>
              <w:rPr>
                <w:noProof/>
                <w:webHidden/>
              </w:rPr>
              <w:t>18</w:t>
            </w:r>
            <w:r>
              <w:rPr>
                <w:noProof/>
                <w:webHidden/>
              </w:rPr>
              <w:fldChar w:fldCharType="end"/>
            </w:r>
          </w:hyperlink>
        </w:p>
        <w:p w14:paraId="3BDCFF3D" w14:textId="5D4267DE" w:rsidR="003F3E76" w:rsidRDefault="003F3E76">
          <w:pPr>
            <w:pStyle w:val="Obsah1"/>
            <w:rPr>
              <w:rFonts w:asciiTheme="minorHAnsi" w:eastAsiaTheme="minorEastAsia" w:hAnsiTheme="minorHAnsi" w:cstheme="minorBidi"/>
              <w:noProof/>
              <w:sz w:val="22"/>
              <w:szCs w:val="22"/>
            </w:rPr>
          </w:pPr>
          <w:hyperlink w:anchor="_Toc98756081" w:history="1">
            <w:r w:rsidRPr="000D077D">
              <w:rPr>
                <w:rStyle w:val="Hypertextovodkaz"/>
                <w:noProof/>
              </w:rPr>
              <w:t>5. Ceny</w:t>
            </w:r>
            <w:r>
              <w:rPr>
                <w:noProof/>
                <w:webHidden/>
              </w:rPr>
              <w:tab/>
            </w:r>
            <w:r>
              <w:rPr>
                <w:noProof/>
                <w:webHidden/>
              </w:rPr>
              <w:fldChar w:fldCharType="begin"/>
            </w:r>
            <w:r>
              <w:rPr>
                <w:noProof/>
                <w:webHidden/>
              </w:rPr>
              <w:instrText xml:space="preserve"> PAGEREF _Toc98756081 \h </w:instrText>
            </w:r>
            <w:r>
              <w:rPr>
                <w:noProof/>
                <w:webHidden/>
              </w:rPr>
            </w:r>
            <w:r>
              <w:rPr>
                <w:noProof/>
                <w:webHidden/>
              </w:rPr>
              <w:fldChar w:fldCharType="separate"/>
            </w:r>
            <w:r>
              <w:rPr>
                <w:noProof/>
                <w:webHidden/>
              </w:rPr>
              <w:t>22</w:t>
            </w:r>
            <w:r>
              <w:rPr>
                <w:noProof/>
                <w:webHidden/>
              </w:rPr>
              <w:fldChar w:fldCharType="end"/>
            </w:r>
          </w:hyperlink>
        </w:p>
        <w:p w14:paraId="28389D54" w14:textId="20F04446" w:rsidR="003F3E76" w:rsidRDefault="003F3E76">
          <w:pPr>
            <w:pStyle w:val="Obsah1"/>
            <w:rPr>
              <w:rFonts w:asciiTheme="minorHAnsi" w:eastAsiaTheme="minorEastAsia" w:hAnsiTheme="minorHAnsi" w:cstheme="minorBidi"/>
              <w:noProof/>
              <w:sz w:val="22"/>
              <w:szCs w:val="22"/>
            </w:rPr>
          </w:pPr>
          <w:hyperlink w:anchor="_Toc98756082" w:history="1">
            <w:r w:rsidRPr="000D077D">
              <w:rPr>
                <w:rStyle w:val="Hypertextovodkaz"/>
                <w:noProof/>
              </w:rPr>
              <w:t>6. Trh práce</w:t>
            </w:r>
            <w:r>
              <w:rPr>
                <w:noProof/>
                <w:webHidden/>
              </w:rPr>
              <w:tab/>
            </w:r>
            <w:r>
              <w:rPr>
                <w:noProof/>
                <w:webHidden/>
              </w:rPr>
              <w:fldChar w:fldCharType="begin"/>
            </w:r>
            <w:r>
              <w:rPr>
                <w:noProof/>
                <w:webHidden/>
              </w:rPr>
              <w:instrText xml:space="preserve"> PAGEREF _Toc98756082 \h </w:instrText>
            </w:r>
            <w:r>
              <w:rPr>
                <w:noProof/>
                <w:webHidden/>
              </w:rPr>
            </w:r>
            <w:r>
              <w:rPr>
                <w:noProof/>
                <w:webHidden/>
              </w:rPr>
              <w:fldChar w:fldCharType="separate"/>
            </w:r>
            <w:r>
              <w:rPr>
                <w:noProof/>
                <w:webHidden/>
              </w:rPr>
              <w:t>28</w:t>
            </w:r>
            <w:r>
              <w:rPr>
                <w:noProof/>
                <w:webHidden/>
              </w:rPr>
              <w:fldChar w:fldCharType="end"/>
            </w:r>
          </w:hyperlink>
        </w:p>
        <w:p w14:paraId="1EF87503" w14:textId="4027D5DF" w:rsidR="003F3E76" w:rsidRDefault="003F3E76">
          <w:pPr>
            <w:pStyle w:val="Obsah1"/>
            <w:rPr>
              <w:rFonts w:asciiTheme="minorHAnsi" w:eastAsiaTheme="minorEastAsia" w:hAnsiTheme="minorHAnsi" w:cstheme="minorBidi"/>
              <w:noProof/>
              <w:sz w:val="22"/>
              <w:szCs w:val="22"/>
            </w:rPr>
          </w:pPr>
          <w:hyperlink w:anchor="_Toc98756083" w:history="1">
            <w:r w:rsidRPr="000D077D">
              <w:rPr>
                <w:rStyle w:val="Hypertextovodkaz"/>
                <w:noProof/>
              </w:rPr>
              <w:t>7. Měnové podmínky</w:t>
            </w:r>
            <w:r>
              <w:rPr>
                <w:noProof/>
                <w:webHidden/>
              </w:rPr>
              <w:tab/>
            </w:r>
            <w:r>
              <w:rPr>
                <w:noProof/>
                <w:webHidden/>
              </w:rPr>
              <w:fldChar w:fldCharType="begin"/>
            </w:r>
            <w:r>
              <w:rPr>
                <w:noProof/>
                <w:webHidden/>
              </w:rPr>
              <w:instrText xml:space="preserve"> PAGEREF _Toc98756083 \h </w:instrText>
            </w:r>
            <w:r>
              <w:rPr>
                <w:noProof/>
                <w:webHidden/>
              </w:rPr>
            </w:r>
            <w:r>
              <w:rPr>
                <w:noProof/>
                <w:webHidden/>
              </w:rPr>
              <w:fldChar w:fldCharType="separate"/>
            </w:r>
            <w:r>
              <w:rPr>
                <w:noProof/>
                <w:webHidden/>
              </w:rPr>
              <w:t>33</w:t>
            </w:r>
            <w:r>
              <w:rPr>
                <w:noProof/>
                <w:webHidden/>
              </w:rPr>
              <w:fldChar w:fldCharType="end"/>
            </w:r>
          </w:hyperlink>
        </w:p>
        <w:p w14:paraId="3CADB13B" w14:textId="185211F2" w:rsidR="003F3E76" w:rsidRDefault="003F3E76">
          <w:pPr>
            <w:pStyle w:val="Obsah1"/>
            <w:rPr>
              <w:rFonts w:asciiTheme="minorHAnsi" w:eastAsiaTheme="minorEastAsia" w:hAnsiTheme="minorHAnsi" w:cstheme="minorBidi"/>
              <w:noProof/>
              <w:sz w:val="22"/>
              <w:szCs w:val="22"/>
            </w:rPr>
          </w:pPr>
          <w:hyperlink w:anchor="_Toc98756084" w:history="1">
            <w:r w:rsidRPr="000D077D">
              <w:rPr>
                <w:rStyle w:val="Hypertextovodkaz"/>
                <w:noProof/>
              </w:rPr>
              <w:t>8. Státní rozpočet</w:t>
            </w:r>
            <w:r>
              <w:rPr>
                <w:noProof/>
                <w:webHidden/>
              </w:rPr>
              <w:tab/>
            </w:r>
            <w:r>
              <w:rPr>
                <w:noProof/>
                <w:webHidden/>
              </w:rPr>
              <w:fldChar w:fldCharType="begin"/>
            </w:r>
            <w:r>
              <w:rPr>
                <w:noProof/>
                <w:webHidden/>
              </w:rPr>
              <w:instrText xml:space="preserve"> PAGEREF _Toc98756084 \h </w:instrText>
            </w:r>
            <w:r>
              <w:rPr>
                <w:noProof/>
                <w:webHidden/>
              </w:rPr>
            </w:r>
            <w:r>
              <w:rPr>
                <w:noProof/>
                <w:webHidden/>
              </w:rPr>
              <w:fldChar w:fldCharType="separate"/>
            </w:r>
            <w:r>
              <w:rPr>
                <w:noProof/>
                <w:webHidden/>
              </w:rPr>
              <w:t>35</w:t>
            </w:r>
            <w:r>
              <w:rPr>
                <w:noProof/>
                <w:webHidden/>
              </w:rPr>
              <w:fldChar w:fldCharType="end"/>
            </w:r>
          </w:hyperlink>
        </w:p>
        <w:p w14:paraId="39BB97E5" w14:textId="46E4AEB9" w:rsidR="00867DAB" w:rsidRPr="009110F7" w:rsidRDefault="007D42E5">
          <w:r w:rsidRPr="009110F7">
            <w:fldChar w:fldCharType="end"/>
          </w:r>
        </w:p>
      </w:sdtContent>
    </w:sdt>
    <w:p w14:paraId="6CBF0906" w14:textId="77777777" w:rsidR="00003F5C" w:rsidRPr="009110F7" w:rsidRDefault="00003F5C" w:rsidP="00003F5C">
      <w:pPr>
        <w:pStyle w:val="Textpoznpodarou"/>
        <w:jc w:val="both"/>
        <w:rPr>
          <w:rFonts w:cs="Arial"/>
          <w:color w:val="000000"/>
        </w:rPr>
      </w:pPr>
    </w:p>
    <w:p w14:paraId="77CA2D67" w14:textId="77777777" w:rsidR="00003F5C" w:rsidRPr="009110F7" w:rsidRDefault="00003F5C" w:rsidP="00003F5C">
      <w:pPr>
        <w:pStyle w:val="Textpoznpodarou"/>
        <w:jc w:val="both"/>
        <w:rPr>
          <w:rFonts w:cs="Arial"/>
          <w:color w:val="000000"/>
        </w:rPr>
      </w:pPr>
    </w:p>
    <w:p w14:paraId="223CBCEF" w14:textId="77777777" w:rsidR="00003F5C" w:rsidRPr="009110F7" w:rsidRDefault="00003F5C" w:rsidP="00003F5C">
      <w:pPr>
        <w:pStyle w:val="Textpoznpodarou"/>
        <w:jc w:val="both"/>
        <w:rPr>
          <w:rFonts w:cs="Arial"/>
          <w:color w:val="000000"/>
        </w:rPr>
      </w:pPr>
    </w:p>
    <w:p w14:paraId="0F28E1B0" w14:textId="77777777" w:rsidR="00003F5C" w:rsidRPr="009110F7" w:rsidRDefault="00003F5C" w:rsidP="00003F5C">
      <w:pPr>
        <w:pStyle w:val="Textpoznpodarou"/>
        <w:jc w:val="both"/>
        <w:rPr>
          <w:rFonts w:cs="Arial"/>
          <w:color w:val="000000"/>
        </w:rPr>
      </w:pPr>
    </w:p>
    <w:p w14:paraId="2E66CDA4" w14:textId="77777777" w:rsidR="00003F5C" w:rsidRPr="009110F7" w:rsidRDefault="00003F5C" w:rsidP="00003F5C">
      <w:pPr>
        <w:pStyle w:val="Textpoznpodarou"/>
        <w:jc w:val="both"/>
        <w:rPr>
          <w:rFonts w:cs="Arial"/>
          <w:color w:val="000000"/>
        </w:rPr>
      </w:pPr>
    </w:p>
    <w:p w14:paraId="38EBE8F7" w14:textId="77777777" w:rsidR="00003F5C" w:rsidRPr="009110F7" w:rsidRDefault="00003F5C" w:rsidP="00003F5C">
      <w:pPr>
        <w:pStyle w:val="Textpoznpodarou"/>
        <w:jc w:val="both"/>
        <w:rPr>
          <w:rFonts w:cs="Arial"/>
          <w:color w:val="000000"/>
        </w:rPr>
      </w:pPr>
    </w:p>
    <w:p w14:paraId="4D552425" w14:textId="77777777" w:rsidR="00003F5C" w:rsidRPr="009110F7" w:rsidRDefault="00003F5C" w:rsidP="00003F5C">
      <w:pPr>
        <w:pStyle w:val="Textpoznpodarou"/>
        <w:jc w:val="both"/>
        <w:rPr>
          <w:rFonts w:cs="Arial"/>
          <w:color w:val="000000"/>
        </w:rPr>
      </w:pPr>
      <w:r w:rsidRPr="009110F7">
        <w:rPr>
          <w:rFonts w:cs="Arial"/>
          <w:color w:val="000000"/>
        </w:rPr>
        <w:t>Zdroje dat v celé analýze: ČSÚ, MF</w:t>
      </w:r>
      <w:r w:rsidR="00A45489" w:rsidRPr="009110F7">
        <w:rPr>
          <w:rFonts w:cs="Arial"/>
          <w:color w:val="000000"/>
        </w:rPr>
        <w:t> </w:t>
      </w:r>
      <w:r w:rsidRPr="009110F7">
        <w:rPr>
          <w:rFonts w:cs="Arial"/>
          <w:color w:val="000000"/>
        </w:rPr>
        <w:t>ČR, ČNB, MPSV, ČSSZ, Eurostat, propočty ČSÚ.</w:t>
      </w:r>
    </w:p>
    <w:p w14:paraId="5658862B" w14:textId="41CF6902" w:rsidR="00003F5C" w:rsidRDefault="00003F5C" w:rsidP="00003F5C">
      <w:pPr>
        <w:pStyle w:val="Textpoznpodarou"/>
        <w:jc w:val="both"/>
        <w:rPr>
          <w:rFonts w:cs="Arial"/>
          <w:color w:val="000000"/>
        </w:rPr>
      </w:pPr>
      <w:r w:rsidRPr="009110F7">
        <w:rPr>
          <w:rFonts w:cs="Arial"/>
          <w:color w:val="000000"/>
        </w:rPr>
        <w:t xml:space="preserve">Poslední informace uváděné v této publikaci </w:t>
      </w:r>
      <w:r w:rsidR="00F57A76" w:rsidRPr="009110F7">
        <w:rPr>
          <w:rFonts w:cs="Arial"/>
          <w:color w:val="000000"/>
        </w:rPr>
        <w:t>pocházejí z</w:t>
      </w:r>
      <w:r w:rsidR="00D23A99">
        <w:rPr>
          <w:rFonts w:cs="Arial"/>
          <w:color w:val="000000"/>
        </w:rPr>
        <w:t>e 14. března 2022</w:t>
      </w:r>
      <w:r w:rsidRPr="009110F7">
        <w:rPr>
          <w:rFonts w:cs="Arial"/>
          <w:color w:val="000000"/>
        </w:rPr>
        <w:t>.</w:t>
      </w:r>
    </w:p>
    <w:p w14:paraId="1D1FFA96" w14:textId="77777777" w:rsidR="002F1D56" w:rsidRDefault="002F1D56" w:rsidP="00003F5C">
      <w:pPr>
        <w:pStyle w:val="Textpoznpodarou"/>
        <w:jc w:val="both"/>
        <w:rPr>
          <w:rFonts w:cs="Arial"/>
          <w:color w:val="000000"/>
        </w:rPr>
      </w:pPr>
    </w:p>
    <w:p w14:paraId="6EDD1399" w14:textId="77777777" w:rsidR="002F1D56" w:rsidRPr="002F1D56" w:rsidRDefault="002F1D56" w:rsidP="00003F5C">
      <w:pPr>
        <w:pStyle w:val="Textpoznpodarou"/>
        <w:jc w:val="both"/>
        <w:rPr>
          <w:rFonts w:cs="Arial"/>
        </w:rPr>
      </w:pPr>
    </w:p>
    <w:p w14:paraId="7CD2B948" w14:textId="77777777" w:rsidR="001777BA" w:rsidRPr="00AF7277" w:rsidRDefault="00087F2B" w:rsidP="001777BA">
      <w:pPr>
        <w:pStyle w:val="Nadpis1"/>
      </w:pPr>
      <w:r w:rsidRPr="002F1D56">
        <w:rPr>
          <w:color w:val="auto"/>
        </w:rPr>
        <w:br w:type="page"/>
      </w:r>
      <w:bookmarkStart w:id="0" w:name="_Toc97736114"/>
      <w:bookmarkStart w:id="1" w:name="_Toc444112494"/>
      <w:bookmarkStart w:id="2" w:name="_Toc511215208"/>
      <w:bookmarkStart w:id="3" w:name="_Toc26865017"/>
      <w:bookmarkStart w:id="4" w:name="_Toc74643854"/>
      <w:bookmarkStart w:id="5" w:name="_Toc66719928"/>
      <w:bookmarkStart w:id="6" w:name="_Toc19090676"/>
      <w:bookmarkStart w:id="7" w:name="_Toc58605372"/>
      <w:bookmarkStart w:id="8" w:name="_GoBack"/>
      <w:bookmarkEnd w:id="8"/>
    </w:p>
    <w:p w14:paraId="187361FF" w14:textId="77777777" w:rsidR="001777BA" w:rsidRPr="00AF7277" w:rsidRDefault="001777BA" w:rsidP="001777BA">
      <w:pPr>
        <w:pStyle w:val="Nadpis1"/>
      </w:pPr>
      <w:bookmarkStart w:id="9" w:name="_Toc98756077"/>
      <w:r w:rsidRPr="00AF7277">
        <w:lastRenderedPageBreak/>
        <w:t>1. Shrnutí</w:t>
      </w:r>
      <w:bookmarkEnd w:id="0"/>
      <w:bookmarkEnd w:id="9"/>
    </w:p>
    <w:p w14:paraId="1D834250" w14:textId="77777777" w:rsidR="001777BA" w:rsidRDefault="001777BA" w:rsidP="001777BA">
      <w:pPr>
        <w:pStyle w:val="Normalodrka"/>
        <w:spacing w:after="120"/>
        <w:rPr>
          <w:spacing w:val="-4"/>
        </w:rPr>
      </w:pPr>
      <w:r w:rsidRPr="00C90357">
        <w:rPr>
          <w:spacing w:val="-4"/>
        </w:rPr>
        <w:t>V</w:t>
      </w:r>
      <w:r>
        <w:rPr>
          <w:spacing w:val="-4"/>
        </w:rPr>
        <w:t> roce 2021 vzrostl hrubý domácí produkt (HDP) o 3,3 %</w:t>
      </w:r>
      <w:r w:rsidRPr="00E97D5B">
        <w:rPr>
          <w:rStyle w:val="Znakapoznpodarou"/>
          <w:spacing w:val="-4"/>
          <w:szCs w:val="20"/>
        </w:rPr>
        <w:footnoteReference w:id="1"/>
      </w:r>
      <w:r>
        <w:rPr>
          <w:spacing w:val="-4"/>
        </w:rPr>
        <w:t>. Nejvíce k tomu přispěla domácí poptávka, zejména kapitálové výdaje a spotřeba domácností. Naopak zahraniční poptávka růst HDP brzdila, což souviselo s narušením globálních dodavatelských řetězců a následným zpomalením domácí exportně orientované průmyslové produkce. Domácí ekonomika navzdory růstu reálně zaostávala za úrovní roku 2019. V samotném 4. čtvrtletí 2021 meziročně vzrostl HDP o 3,6 %. Podílela se na tom opět výhradně domácí poptávka. Ve srovnání se 3. čtvrtletím 2021 se HDP zvýšil o 0,9 %. Spotřeba i kapitálové výdaje se ale vyvíjely negativně a k růstu přispíval jen vývoj zahraniční poptávky. V rámci zemí EU patřilo ve 4. čtvrtletí Česko mezi ty s podprůměrným meziročním růstem HDP. V EU vzrostl HDP meziročně o 4,8 %. Mezičtvrtletně se HDP v EU zvýšil o 0,4 %.</w:t>
      </w:r>
    </w:p>
    <w:p w14:paraId="4F93C643" w14:textId="77777777" w:rsidR="001777BA" w:rsidRDefault="001777BA" w:rsidP="001777BA">
      <w:pPr>
        <w:pStyle w:val="Normalodrka"/>
        <w:spacing w:after="120"/>
        <w:rPr>
          <w:spacing w:val="-4"/>
        </w:rPr>
      </w:pPr>
      <w:r>
        <w:rPr>
          <w:spacing w:val="-4"/>
        </w:rPr>
        <w:t>Hrubá přidaná hodnota (HPH) se v roce 2021 zvýšila o 3,0 %. Z většiny k tomu přispívaly služby, zejména veřejná správa a obrana, vzdělávání, zdravotní a sociální péče, dále peněžnictví a pojišťovnictví a postupně se zotavující obchod, doprava, ubytování a pohostinství. Výrazně se na růstu HPH podílel i zpracovatelský průmysl. Velká část odvětví služeb i průmyslu ale stále reálně zaostávala za úrovní roku 2019. V samotném 4. čtvrtletí 2021 se HPH meziročně zvýšila o 2,9 %. Zatímco HPH služeb v závěru roku rostla – nejvíce v uskupení obchod, doprava, ubytování a pohostinství a také v ostatních činnostech –, zpracovatelský průmysl kvůli přetrvávajícím problémům s dodávkami komponent celkový růst HPH brzdil. Mezičtvrtletně HPH ve 4. čtvrtletí vzrostla o 0,7 %.</w:t>
      </w:r>
    </w:p>
    <w:p w14:paraId="7329D1F4" w14:textId="77777777" w:rsidR="001777BA" w:rsidRDefault="001777BA" w:rsidP="001777BA">
      <w:pPr>
        <w:pStyle w:val="Normalodrka"/>
        <w:spacing w:after="120"/>
        <w:rPr>
          <w:spacing w:val="-4"/>
        </w:rPr>
      </w:pPr>
      <w:r>
        <w:rPr>
          <w:spacing w:val="-4"/>
        </w:rPr>
        <w:t>Vývoz zboží a služeb v roce 2021 reálně vzrostl o 5,0 %</w:t>
      </w:r>
      <w:r w:rsidRPr="004C25F9">
        <w:rPr>
          <w:rStyle w:val="Znakapoznpodarou"/>
        </w:rPr>
        <w:footnoteReference w:id="2"/>
      </w:r>
      <w:r>
        <w:rPr>
          <w:spacing w:val="-4"/>
        </w:rPr>
        <w:t xml:space="preserve"> a dovoz o 11,4 %. Výsledná bilance dosáhla přebytku 185,2 mld. korun, což představovalo zhoršení o 204,1 mld. V samotném 4. čtvrtletí se vývoz meziročně propadl o 5,7 %, zatímco dovoz byl vyšší o 4,0 %. Výsledné saldo dosáhlo přebytku 22,5 mld. korun, což byl meziročně o 122,6 mld. horší výsledek. Ke zhoršení bilance obchodu se zbožím ve 4. čtvrtletí nejvíce přispíval obchod s ropou a zemním plynem, základními kovy a motorovými vozidly. Naopak příznivě působil obchod s elektřinou.</w:t>
      </w:r>
    </w:p>
    <w:p w14:paraId="266860C6" w14:textId="77777777" w:rsidR="001777BA" w:rsidRDefault="001777BA" w:rsidP="001777BA">
      <w:pPr>
        <w:pStyle w:val="Normalodrka"/>
        <w:spacing w:after="120"/>
        <w:rPr>
          <w:spacing w:val="-4"/>
        </w:rPr>
      </w:pPr>
      <w:r>
        <w:rPr>
          <w:spacing w:val="-4"/>
        </w:rPr>
        <w:t>Cenová hladina se (podle deflátoru HDP) v roce 2021 celkově zvýšila o 4,1 %. V samotném 4. čtvrtletí se cenová hladina zvýšila meziročně o 3,3 % a mezičtvrtletně klesla o 0,6 %. V průběhu celého roku zrychloval meziroční růst spotřebitelských cen. Ty se loni celkově zvýšily o 3,8 %, nejvíce od roku 2008. Vliv na prudký růst měly zejména ceny dopravy a bydlení a energií. Ve 4. čtvrtletí se spotřebitelské ceny zvýšily meziročně o 6,1 % a kromě cen dopravy a bydlení a energií k tomu přispěl i sílící růst cen potravin. Také domácí a evropští průmysloví výrobci loni silně pociťovali navýšení cen ropy a rovněž elektřiny. Ceny průmyslových výrobců v ČR se loni zvýšily o 7,1 %, nejvíce od roku 1995. Ve 4. čtvrtletí se meziročně navýšily o 12,8 %.</w:t>
      </w:r>
    </w:p>
    <w:p w14:paraId="0D554B66" w14:textId="77777777" w:rsidR="001777BA" w:rsidRDefault="001777BA" w:rsidP="001777BA">
      <w:pPr>
        <w:pStyle w:val="Normalodrka"/>
        <w:spacing w:after="120"/>
        <w:rPr>
          <w:spacing w:val="-4"/>
        </w:rPr>
      </w:pPr>
      <w:r>
        <w:rPr>
          <w:spacing w:val="-4"/>
        </w:rPr>
        <w:t>Ve 4. čtvrtletí došlo k několika navýšením měnověpolitických sazeb, což se výrazně projevilo na výši úrokových sazeb úvěrů pro domácnosti i podniky. Navyšovaly se také úrokové sazby termínovaných vkladů. Vyšší byly rovněž úroky na vládních dluhopisech.</w:t>
      </w:r>
    </w:p>
    <w:p w14:paraId="1C3A35C3" w14:textId="0F461511" w:rsidR="001777BA" w:rsidRDefault="001777BA" w:rsidP="001777BA">
      <w:pPr>
        <w:pStyle w:val="Normalodrka"/>
        <w:spacing w:after="120"/>
        <w:rPr>
          <w:spacing w:val="-4"/>
        </w:rPr>
      </w:pPr>
      <w:r>
        <w:rPr>
          <w:spacing w:val="-4"/>
        </w:rPr>
        <w:t xml:space="preserve">Trh práce v ČR se loni postupně vracel do stavu před pandemií. Po </w:t>
      </w:r>
      <w:r w:rsidR="00CD7E9E">
        <w:rPr>
          <w:spacing w:val="-4"/>
        </w:rPr>
        <w:t>většinu</w:t>
      </w:r>
      <w:r>
        <w:rPr>
          <w:spacing w:val="-4"/>
        </w:rPr>
        <w:t xml:space="preserve"> rok</w:t>
      </w:r>
      <w:r w:rsidR="00CD7E9E">
        <w:rPr>
          <w:spacing w:val="-4"/>
        </w:rPr>
        <w:t>u</w:t>
      </w:r>
      <w:r>
        <w:rPr>
          <w:spacing w:val="-4"/>
        </w:rPr>
        <w:t xml:space="preserve"> se zvyšovala celková zaměstnanost, která ve 4. čtvrtletí dosáhla 5,37 mil. osob</w:t>
      </w:r>
      <w:r w:rsidRPr="00522A1B">
        <w:rPr>
          <w:rStyle w:val="Znakapoznpodarou"/>
          <w:spacing w:val="-4"/>
        </w:rPr>
        <w:footnoteReference w:id="3"/>
      </w:r>
      <w:r>
        <w:rPr>
          <w:spacing w:val="-4"/>
        </w:rPr>
        <w:t xml:space="preserve">. Rostl zejména počet zaměstnanců, naopak pokles počtu podnikatelů se </w:t>
      </w:r>
      <w:r w:rsidR="00CD7E9E">
        <w:rPr>
          <w:spacing w:val="-4"/>
        </w:rPr>
        <w:t xml:space="preserve">spíše </w:t>
      </w:r>
      <w:r>
        <w:rPr>
          <w:spacing w:val="-4"/>
        </w:rPr>
        <w:t>prohluboval. Obecná míra nezaměstnanosti dosáhla maxima 3,4 % v březnu 2021, ale následně klesala až na prosincová 2,2 %. Tento vývoj také utlumil obavy domácností z růstu nezaměstnanosti. Průměrná hrubá měsíční mzda se v roce 2021 celkově zvýšila o 6,1 % na 37 839 korun. Reálně vzrostla o 2,2 %. Ve 4. čtvrtletí dosáhla průměrná mzda 40 135 korun a meziročně byla vyšší o 4,0 %. Vzhledem k silnému cenovému růstu ale průměrná mzda v tomto období reálně meziročně klesla o 2,0 %.</w:t>
      </w:r>
    </w:p>
    <w:p w14:paraId="002D4C0A" w14:textId="448997FC" w:rsidR="001777BA" w:rsidRPr="001F4933" w:rsidRDefault="001777BA" w:rsidP="001777BA">
      <w:pPr>
        <w:pStyle w:val="Normalodrka"/>
        <w:spacing w:after="100"/>
      </w:pPr>
      <w:r w:rsidRPr="001F4933">
        <w:rPr>
          <w:spacing w:val="-4"/>
        </w:rPr>
        <w:t>Hospodaření státního rozpočtu v</w:t>
      </w:r>
      <w:r>
        <w:rPr>
          <w:spacing w:val="-4"/>
        </w:rPr>
        <w:t xml:space="preserve"> roce 2021 </w:t>
      </w:r>
      <w:r w:rsidRPr="001F4933">
        <w:rPr>
          <w:spacing w:val="-4"/>
        </w:rPr>
        <w:t xml:space="preserve">skončilo v deficitu </w:t>
      </w:r>
      <w:r>
        <w:rPr>
          <w:spacing w:val="-4"/>
        </w:rPr>
        <w:t>419,7</w:t>
      </w:r>
      <w:r w:rsidRPr="001F4933">
        <w:rPr>
          <w:spacing w:val="-4"/>
        </w:rPr>
        <w:t> mld. korun, což je o </w:t>
      </w:r>
      <w:r>
        <w:rPr>
          <w:spacing w:val="-4"/>
        </w:rPr>
        <w:t>52,2</w:t>
      </w:r>
      <w:r w:rsidRPr="001F4933">
        <w:rPr>
          <w:spacing w:val="-4"/>
        </w:rPr>
        <w:t> mld. horší výsledek ve srovnání s</w:t>
      </w:r>
      <w:r>
        <w:rPr>
          <w:spacing w:val="-4"/>
        </w:rPr>
        <w:t> rokem 2020</w:t>
      </w:r>
      <w:r w:rsidRPr="001F4933">
        <w:rPr>
          <w:spacing w:val="-4"/>
        </w:rPr>
        <w:t xml:space="preserve">. </w:t>
      </w:r>
      <w:r>
        <w:rPr>
          <w:spacing w:val="-4"/>
        </w:rPr>
        <w:t xml:space="preserve">K prohloubení deficitu přispěl zejména růst běžných výdajů, především plateb za státní pojištěnce, a také neinvestiční transfery podnikatelským subjektům. Hlavně ve druhé polovině roku zčásti uvolněný tlak na výdajové straně a postupné zotavení ekonomiky napomohly k vyššímu daňovému inkasu. </w:t>
      </w:r>
      <w:r w:rsidRPr="001F4933">
        <w:rPr>
          <w:spacing w:val="-2"/>
        </w:rPr>
        <w:t>V</w:t>
      </w:r>
      <w:r>
        <w:rPr>
          <w:spacing w:val="-2"/>
        </w:rPr>
        <w:t xml:space="preserve"> rozpočtových </w:t>
      </w:r>
      <w:r w:rsidRPr="001F4933">
        <w:rPr>
          <w:spacing w:val="-2"/>
        </w:rPr>
        <w:t>příjmech se</w:t>
      </w:r>
      <w:r>
        <w:rPr>
          <w:spacing w:val="-2"/>
        </w:rPr>
        <w:t xml:space="preserve"> ale</w:t>
      </w:r>
      <w:r w:rsidRPr="001F4933">
        <w:rPr>
          <w:spacing w:val="-2"/>
        </w:rPr>
        <w:t xml:space="preserve"> negativně projevilo snížení daňového zatížení práce, kapitálu i majetku a také změna rozpočtového určení daní ve prospěch územních rozpočtů.</w:t>
      </w:r>
    </w:p>
    <w:p w14:paraId="32E230D2" w14:textId="77777777" w:rsidR="00010A2C" w:rsidRPr="009110F7" w:rsidRDefault="00010A2C" w:rsidP="00010A2C">
      <w:pPr>
        <w:pStyle w:val="Nadpis1"/>
      </w:pPr>
      <w:bookmarkStart w:id="10" w:name="_Toc90395910"/>
      <w:bookmarkStart w:id="11" w:name="_Toc58605374"/>
      <w:bookmarkStart w:id="12" w:name="_Toc66719930"/>
      <w:bookmarkStart w:id="13" w:name="_Toc532558287"/>
      <w:bookmarkStart w:id="14" w:name="_Toc58605375"/>
      <w:bookmarkStart w:id="15" w:name="_Toc98756078"/>
      <w:bookmarkEnd w:id="1"/>
      <w:bookmarkEnd w:id="2"/>
      <w:bookmarkEnd w:id="3"/>
      <w:bookmarkEnd w:id="4"/>
      <w:bookmarkEnd w:id="5"/>
      <w:bookmarkEnd w:id="6"/>
      <w:bookmarkEnd w:id="7"/>
      <w:r w:rsidRPr="0077605B">
        <w:lastRenderedPageBreak/>
        <w:t>2</w:t>
      </w:r>
      <w:r>
        <w:t>. </w:t>
      </w:r>
      <w:r w:rsidRPr="0077605B">
        <w:t>Souhrnná výkonnost</w:t>
      </w:r>
      <w:bookmarkEnd w:id="10"/>
      <w:bookmarkEnd w:id="15"/>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010A2C" w:rsidRPr="009110F7" w14:paraId="1A74DB39" w14:textId="77777777" w:rsidTr="00913237">
        <w:trPr>
          <w:trHeight w:val="145"/>
        </w:trPr>
        <w:tc>
          <w:tcPr>
            <w:tcW w:w="1806" w:type="dxa"/>
            <w:shd w:val="clear" w:color="auto" w:fill="auto"/>
            <w:tcMar>
              <w:left w:w="0" w:type="dxa"/>
            </w:tcMar>
          </w:tcPr>
          <w:p w14:paraId="2A77C6ED" w14:textId="77777777" w:rsidR="00010A2C" w:rsidRDefault="00010A2C" w:rsidP="00913237">
            <w:pPr>
              <w:pStyle w:val="Marginlie"/>
            </w:pPr>
            <w:r>
              <w:t>Hrubý domácí produkt loni vzrostl, ale za úrovní roku 2019 stále reálně zaostával.</w:t>
            </w:r>
          </w:p>
        </w:tc>
        <w:tc>
          <w:tcPr>
            <w:tcW w:w="223" w:type="dxa"/>
            <w:shd w:val="clear" w:color="auto" w:fill="auto"/>
            <w:tcMar>
              <w:left w:w="0" w:type="dxa"/>
            </w:tcMar>
          </w:tcPr>
          <w:p w14:paraId="50173562" w14:textId="77777777" w:rsidR="00010A2C" w:rsidRDefault="00010A2C" w:rsidP="00913237">
            <w:pPr>
              <w:pStyle w:val="Textpoznpodarou"/>
              <w:jc w:val="both"/>
              <w:rPr>
                <w:spacing w:val="-4"/>
              </w:rPr>
            </w:pPr>
          </w:p>
        </w:tc>
        <w:tc>
          <w:tcPr>
            <w:tcW w:w="7610" w:type="dxa"/>
            <w:shd w:val="clear" w:color="auto" w:fill="auto"/>
            <w:tcMar>
              <w:left w:w="0" w:type="dxa"/>
            </w:tcMar>
          </w:tcPr>
          <w:p w14:paraId="2567CECA" w14:textId="77777777" w:rsidR="00010A2C" w:rsidRPr="00014ED0" w:rsidRDefault="00010A2C" w:rsidP="00913237">
            <w:pPr>
              <w:rPr>
                <w:spacing w:val="-2"/>
              </w:rPr>
            </w:pPr>
            <w:r>
              <w:rPr>
                <w:spacing w:val="-2"/>
              </w:rPr>
              <w:t>Hrubý domácí produkt (HDP) v roce 2021 reálně vzrostl o 3,3 %</w:t>
            </w:r>
            <w:r w:rsidRPr="00014ED0">
              <w:rPr>
                <w:rStyle w:val="Znakapoznpodarou"/>
                <w:rFonts w:cs="Arial"/>
                <w:spacing w:val="-2"/>
              </w:rPr>
              <w:footnoteReference w:id="4"/>
            </w:r>
            <w:r>
              <w:rPr>
                <w:spacing w:val="-2"/>
              </w:rPr>
              <w:t>. Po hlubokém propadu z roku 2020 se tak domácí ekonomika postupně zotavovala. Celkově ale zatím HDP vyjádřený ve stálých cenách zaostával za úrovní roku 2019. Loňský růst HDP nejvíce podpořila tvorba hrubého kapitálu, především nárůst zásob. Silně se zvyšovala také spotřeba domácností. Naopak zahraniční poptávka růst HDP výrazně brzdila, dokonce více než v roce 2020, kdy se na nějakou dobu zastavila výroba v některých podnicích zaměřených na export.</w:t>
            </w:r>
          </w:p>
        </w:tc>
      </w:tr>
      <w:tr w:rsidR="00010A2C" w:rsidRPr="009110F7" w14:paraId="68168430" w14:textId="77777777" w:rsidTr="00913237">
        <w:trPr>
          <w:trHeight w:val="145"/>
        </w:trPr>
        <w:tc>
          <w:tcPr>
            <w:tcW w:w="1806" w:type="dxa"/>
            <w:shd w:val="clear" w:color="auto" w:fill="auto"/>
            <w:tcMar>
              <w:left w:w="0" w:type="dxa"/>
            </w:tcMar>
          </w:tcPr>
          <w:p w14:paraId="100AEA42" w14:textId="77777777" w:rsidR="00010A2C" w:rsidRDefault="00010A2C" w:rsidP="00913237">
            <w:pPr>
              <w:pStyle w:val="Marginlie"/>
            </w:pPr>
            <w:r>
              <w:t>Ve 4. čtvrtletí HDP meziročně i mezičtvrtletně rostl.</w:t>
            </w:r>
          </w:p>
        </w:tc>
        <w:tc>
          <w:tcPr>
            <w:tcW w:w="223" w:type="dxa"/>
            <w:shd w:val="clear" w:color="auto" w:fill="auto"/>
            <w:tcMar>
              <w:left w:w="0" w:type="dxa"/>
            </w:tcMar>
          </w:tcPr>
          <w:p w14:paraId="0DC9A392" w14:textId="77777777" w:rsidR="00010A2C" w:rsidRDefault="00010A2C" w:rsidP="00913237">
            <w:pPr>
              <w:pStyle w:val="Textpoznpodarou"/>
              <w:jc w:val="both"/>
              <w:rPr>
                <w:spacing w:val="-4"/>
              </w:rPr>
            </w:pPr>
          </w:p>
        </w:tc>
        <w:tc>
          <w:tcPr>
            <w:tcW w:w="7610" w:type="dxa"/>
            <w:shd w:val="clear" w:color="auto" w:fill="auto"/>
            <w:tcMar>
              <w:left w:w="0" w:type="dxa"/>
            </w:tcMar>
          </w:tcPr>
          <w:p w14:paraId="0B94D75B" w14:textId="77777777" w:rsidR="00010A2C" w:rsidRDefault="00010A2C" w:rsidP="00913237">
            <w:pPr>
              <w:rPr>
                <w:spacing w:val="-2"/>
              </w:rPr>
            </w:pPr>
            <w:r>
              <w:rPr>
                <w:spacing w:val="-2"/>
              </w:rPr>
              <w:t>Meziroční dynamika HDP byla v průběhu loňského roku výrazně ovlivněna nízkou srovnávací základnou roku 2020 – nejvíce to bylo patrné ve 2. čtvrtletí. Ve 4. čtvrtletí 2021 neplatila tak přísná restriktivní opatření jako ve stejném období roku 2020</w:t>
            </w:r>
            <w:r>
              <w:rPr>
                <w:rStyle w:val="Znakapoznpodarou"/>
                <w:spacing w:val="-2"/>
              </w:rPr>
              <w:footnoteReference w:id="5"/>
            </w:r>
            <w:r>
              <w:rPr>
                <w:spacing w:val="-2"/>
              </w:rPr>
              <w:t>, oproti 3. kvartálu 2021 se ale zpřísnila. Meziroční přírůstek HDP ve 4. čtvrtletí tak dosáhl 3,6 %. Jeho růst silně podporovala domácí poptávka – spotřeba i kapitálové výdaje. Bilance zahraničního obchodu naopak působila negativně, na čemž mělo podíl i srovnání s velmi silným závěrem roku 2020, kdy významně rostl export a bilance zahraničního obchodu dosahovala rekordní úrovně. Mezičtvrtletní přírůstek HDP ve 4. čtvrtletí 2021 činil 0,9 % a zpomalil ve srovnání s dynamikou 2. i 3. kvartálu. Došlo přitom k poklesu domácí spotřeby i výdajů na tvorbu hrubého kapitálu. K růstu HDP tak přispívala pouze zahraniční poptávka. Hrubý domácí produkt vyjádřený v cenách roku 2015 ve 4. čtvrtletí 2021 nedosáhl úrovně stejného období roku 2019.</w:t>
            </w:r>
          </w:p>
        </w:tc>
      </w:tr>
      <w:tr w:rsidR="00010A2C" w:rsidRPr="009110F7" w14:paraId="6266996C" w14:textId="77777777" w:rsidTr="00913237">
        <w:trPr>
          <w:trHeight w:val="170"/>
        </w:trPr>
        <w:tc>
          <w:tcPr>
            <w:tcW w:w="1806" w:type="dxa"/>
            <w:vMerge w:val="restart"/>
            <w:shd w:val="clear" w:color="auto" w:fill="auto"/>
            <w:tcMar>
              <w:left w:w="0" w:type="dxa"/>
            </w:tcMar>
          </w:tcPr>
          <w:p w14:paraId="42DA263D" w14:textId="77777777" w:rsidR="00010A2C" w:rsidRDefault="00010A2C" w:rsidP="00913237">
            <w:pPr>
              <w:pStyle w:val="Marginlie"/>
            </w:pPr>
          </w:p>
        </w:tc>
        <w:tc>
          <w:tcPr>
            <w:tcW w:w="223" w:type="dxa"/>
            <w:vMerge w:val="restart"/>
            <w:shd w:val="clear" w:color="auto" w:fill="auto"/>
            <w:tcMar>
              <w:left w:w="0" w:type="dxa"/>
            </w:tcMar>
          </w:tcPr>
          <w:p w14:paraId="45F9D537" w14:textId="77777777" w:rsidR="00010A2C" w:rsidRDefault="00010A2C" w:rsidP="00913237">
            <w:pPr>
              <w:pStyle w:val="Textpoznpodarou"/>
              <w:jc w:val="both"/>
              <w:rPr>
                <w:spacing w:val="-4"/>
              </w:rPr>
            </w:pPr>
          </w:p>
        </w:tc>
        <w:tc>
          <w:tcPr>
            <w:tcW w:w="7610" w:type="dxa"/>
            <w:shd w:val="clear" w:color="auto" w:fill="auto"/>
            <w:tcMar>
              <w:left w:w="0" w:type="dxa"/>
            </w:tcMar>
          </w:tcPr>
          <w:p w14:paraId="1C757DC4" w14:textId="77777777" w:rsidR="00010A2C" w:rsidRPr="00D721B4" w:rsidRDefault="00010A2C" w:rsidP="00913237">
            <w:pPr>
              <w:spacing w:after="0"/>
              <w:rPr>
                <w:b/>
                <w:szCs w:val="20"/>
              </w:rPr>
            </w:pPr>
            <w:r w:rsidRPr="00D721B4">
              <w:rPr>
                <w:rFonts w:cs="Arial"/>
                <w:b/>
                <w:bCs/>
                <w:color w:val="000000"/>
                <w:szCs w:val="20"/>
              </w:rPr>
              <w:t>Graf č. 1</w:t>
            </w:r>
            <w:r>
              <w:rPr>
                <w:rFonts w:cs="Arial"/>
                <w:b/>
                <w:bCs/>
                <w:color w:val="000000"/>
                <w:szCs w:val="20"/>
              </w:rPr>
              <w:t xml:space="preserve"> </w:t>
            </w:r>
            <w:r w:rsidRPr="00D721B4">
              <w:rPr>
                <w:rFonts w:cs="Arial"/>
                <w:b/>
                <w:bCs/>
                <w:color w:val="000000"/>
                <w:szCs w:val="20"/>
              </w:rPr>
              <w:t xml:space="preserve"> </w:t>
            </w:r>
            <w:r w:rsidRPr="00D721B4">
              <w:rPr>
                <w:rFonts w:cs="Arial"/>
                <w:b/>
                <w:szCs w:val="20"/>
                <w:lang w:eastAsia="en-US"/>
              </w:rPr>
              <w:t xml:space="preserve">HDP </w:t>
            </w:r>
            <w:r w:rsidRPr="00D721B4">
              <w:rPr>
                <w:rFonts w:cs="Arial"/>
                <w:bCs/>
                <w:szCs w:val="20"/>
                <w:lang w:eastAsia="en-US"/>
              </w:rPr>
              <w:t>(objemové indexy, očištěno o sezónní a kalendářní vlivy, v %)</w:t>
            </w:r>
          </w:p>
        </w:tc>
      </w:tr>
      <w:tr w:rsidR="00010A2C" w:rsidRPr="009110F7" w14:paraId="15F04752" w14:textId="77777777" w:rsidTr="00913237">
        <w:tblPrEx>
          <w:tblCellMar>
            <w:left w:w="70" w:type="dxa"/>
            <w:right w:w="70" w:type="dxa"/>
          </w:tblCellMar>
        </w:tblPrEx>
        <w:trPr>
          <w:trHeight w:val="170"/>
        </w:trPr>
        <w:tc>
          <w:tcPr>
            <w:tcW w:w="1806" w:type="dxa"/>
            <w:vMerge/>
            <w:shd w:val="clear" w:color="auto" w:fill="auto"/>
          </w:tcPr>
          <w:p w14:paraId="1518C08B" w14:textId="77777777" w:rsidR="00010A2C" w:rsidRPr="009110F7" w:rsidRDefault="00010A2C" w:rsidP="00913237">
            <w:pPr>
              <w:pStyle w:val="Marginlie"/>
            </w:pPr>
          </w:p>
        </w:tc>
        <w:tc>
          <w:tcPr>
            <w:tcW w:w="223" w:type="dxa"/>
            <w:vMerge/>
            <w:shd w:val="clear" w:color="auto" w:fill="auto"/>
          </w:tcPr>
          <w:p w14:paraId="719F5515" w14:textId="77777777" w:rsidR="00010A2C" w:rsidRPr="009110F7" w:rsidRDefault="00010A2C" w:rsidP="00913237">
            <w:pPr>
              <w:pStyle w:val="Textpoznpodarou"/>
              <w:jc w:val="both"/>
              <w:rPr>
                <w:spacing w:val="-4"/>
              </w:rPr>
            </w:pPr>
          </w:p>
        </w:tc>
        <w:tc>
          <w:tcPr>
            <w:tcW w:w="7610" w:type="dxa"/>
            <w:shd w:val="clear" w:color="auto" w:fill="auto"/>
          </w:tcPr>
          <w:p w14:paraId="088FF680" w14:textId="77777777" w:rsidR="00010A2C" w:rsidRPr="009110F7" w:rsidRDefault="00010A2C" w:rsidP="00913237">
            <w:pPr>
              <w:spacing w:after="0"/>
            </w:pPr>
            <w:r>
              <w:rPr>
                <w:noProof/>
              </w:rPr>
              <w:drawing>
                <wp:inline distT="0" distB="0" distL="0" distR="0" wp14:anchorId="422FAF5A" wp14:editId="3A66D561">
                  <wp:extent cx="4737600" cy="3553200"/>
                  <wp:effectExtent l="0" t="0" r="6350" b="0"/>
                  <wp:docPr id="34" name="Graf 3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010A2C" w:rsidRPr="009110F7" w14:paraId="290891F6" w14:textId="77777777" w:rsidTr="00913237">
        <w:trPr>
          <w:trHeight w:val="170"/>
        </w:trPr>
        <w:tc>
          <w:tcPr>
            <w:tcW w:w="1806" w:type="dxa"/>
            <w:vMerge/>
            <w:shd w:val="clear" w:color="auto" w:fill="auto"/>
            <w:tcMar>
              <w:left w:w="0" w:type="dxa"/>
            </w:tcMar>
          </w:tcPr>
          <w:p w14:paraId="3DECDED2" w14:textId="77777777" w:rsidR="00010A2C" w:rsidRPr="009110F7" w:rsidRDefault="00010A2C" w:rsidP="00913237">
            <w:pPr>
              <w:pStyle w:val="Marginlie"/>
            </w:pPr>
          </w:p>
        </w:tc>
        <w:tc>
          <w:tcPr>
            <w:tcW w:w="223" w:type="dxa"/>
            <w:vMerge/>
            <w:shd w:val="clear" w:color="auto" w:fill="auto"/>
            <w:tcMar>
              <w:left w:w="0" w:type="dxa"/>
            </w:tcMar>
          </w:tcPr>
          <w:p w14:paraId="432CE373" w14:textId="77777777" w:rsidR="00010A2C" w:rsidRPr="009110F7" w:rsidRDefault="00010A2C" w:rsidP="00913237">
            <w:pPr>
              <w:pStyle w:val="Textpoznpodarou"/>
              <w:jc w:val="both"/>
              <w:rPr>
                <w:spacing w:val="-4"/>
              </w:rPr>
            </w:pPr>
          </w:p>
        </w:tc>
        <w:tc>
          <w:tcPr>
            <w:tcW w:w="7610" w:type="dxa"/>
            <w:shd w:val="clear" w:color="auto" w:fill="auto"/>
            <w:tcMar>
              <w:left w:w="0" w:type="dxa"/>
            </w:tcMar>
          </w:tcPr>
          <w:p w14:paraId="2C1E7F5B" w14:textId="77777777" w:rsidR="00010A2C" w:rsidRPr="009110F7" w:rsidRDefault="00010A2C" w:rsidP="00913237">
            <w:pPr>
              <w:spacing w:after="220"/>
              <w:rPr>
                <w:sz w:val="14"/>
                <w:szCs w:val="14"/>
              </w:rPr>
            </w:pPr>
            <w:r>
              <w:rPr>
                <w:sz w:val="14"/>
                <w:szCs w:val="14"/>
              </w:rPr>
              <w:t>Zdroj: ČSÚ, Eurostat</w:t>
            </w:r>
          </w:p>
        </w:tc>
      </w:tr>
      <w:tr w:rsidR="00010A2C" w:rsidRPr="009110F7" w14:paraId="4797E8D7" w14:textId="77777777" w:rsidTr="00913237">
        <w:trPr>
          <w:trHeight w:val="145"/>
        </w:trPr>
        <w:tc>
          <w:tcPr>
            <w:tcW w:w="1806" w:type="dxa"/>
            <w:shd w:val="clear" w:color="auto" w:fill="auto"/>
            <w:tcMar>
              <w:left w:w="0" w:type="dxa"/>
            </w:tcMar>
          </w:tcPr>
          <w:p w14:paraId="48D46448" w14:textId="77777777" w:rsidR="00010A2C" w:rsidRDefault="00010A2C" w:rsidP="00913237">
            <w:pPr>
              <w:pStyle w:val="Marginlie"/>
            </w:pPr>
            <w:r>
              <w:t xml:space="preserve">Evropským ekonomikám se dařilo zotavovat </w:t>
            </w:r>
            <w:r>
              <w:lastRenderedPageBreak/>
              <w:t>a mnohé již překonaly předkrizovou úroveň.</w:t>
            </w:r>
          </w:p>
        </w:tc>
        <w:tc>
          <w:tcPr>
            <w:tcW w:w="223" w:type="dxa"/>
            <w:shd w:val="clear" w:color="auto" w:fill="auto"/>
            <w:tcMar>
              <w:left w:w="0" w:type="dxa"/>
            </w:tcMar>
          </w:tcPr>
          <w:p w14:paraId="1717F6CD" w14:textId="77777777" w:rsidR="00010A2C" w:rsidRDefault="00010A2C" w:rsidP="00913237">
            <w:pPr>
              <w:pStyle w:val="Textpoznpodarou"/>
              <w:jc w:val="both"/>
              <w:rPr>
                <w:spacing w:val="-4"/>
              </w:rPr>
            </w:pPr>
          </w:p>
        </w:tc>
        <w:tc>
          <w:tcPr>
            <w:tcW w:w="7610" w:type="dxa"/>
            <w:shd w:val="clear" w:color="auto" w:fill="auto"/>
            <w:tcMar>
              <w:left w:w="0" w:type="dxa"/>
            </w:tcMar>
          </w:tcPr>
          <w:p w14:paraId="0D63C562" w14:textId="77777777" w:rsidR="00010A2C" w:rsidRDefault="00010A2C" w:rsidP="00913237">
            <w:r>
              <w:t>Celkový meziroční růst HDP v Evropské unii ve 4. čtvrtletí mírně zrychlil na 4,8 %</w:t>
            </w:r>
            <w:r>
              <w:rPr>
                <w:rStyle w:val="Znakapoznpodarou"/>
              </w:rPr>
              <w:footnoteReference w:id="6"/>
            </w:r>
            <w:r>
              <w:t xml:space="preserve">. Pokračovalo tak postupné zotavování evropských ekonomik a většina z nich také </w:t>
            </w:r>
            <w:r>
              <w:lastRenderedPageBreak/>
              <w:t>přesáhla úroveň stejného období roku 2019</w:t>
            </w:r>
            <w:r>
              <w:rPr>
                <w:rStyle w:val="Znakapoznpodarou"/>
              </w:rPr>
              <w:footnoteReference w:id="7"/>
            </w:r>
            <w:r>
              <w:t>. Meziročně rostl HDP ve všech ekonomikách EU a největší přírůstek podle dostupných dat vykázaly Slovinsko (10,5 %), Chorvatsko (9,9 %) a Estonsko (8,8 %). Jen mírně rostl HDP na Slovensku (1,1 %), v Německu (1,8 %) a v Rumunsku (2,7 %). Oproti 3. čtvrtletí 2021 se HDP v EU zvýšil o 0,4 %. Poměrně nízký celkový přírůstek byl ovlivněn hlavně problematickým vývojem německé ekonomiky, která mezičtvrtletně klesla o 0,3 %. Nižší byl i HDP v Rakousku (–2,2 %), Rumunsku (–0,5 %), v Lotyšsku (–0,1 %) a v Chorvatsku (–0,1 %). Naopak velmi silného mezičtvrtletního přírůstku HDP dosáhly Slovinsko (5,4 %), Španělsko (2,0 %) a Maďarsko (2,0 %).</w:t>
            </w:r>
          </w:p>
        </w:tc>
      </w:tr>
      <w:tr w:rsidR="00010A2C" w:rsidRPr="009110F7" w14:paraId="40D86DAD" w14:textId="77777777" w:rsidTr="00913237">
        <w:trPr>
          <w:trHeight w:val="145"/>
        </w:trPr>
        <w:tc>
          <w:tcPr>
            <w:tcW w:w="1806" w:type="dxa"/>
            <w:shd w:val="clear" w:color="auto" w:fill="auto"/>
            <w:tcMar>
              <w:left w:w="0" w:type="dxa"/>
            </w:tcMar>
          </w:tcPr>
          <w:p w14:paraId="29CC4857" w14:textId="77777777" w:rsidR="00010A2C" w:rsidRDefault="00010A2C" w:rsidP="00913237">
            <w:pPr>
              <w:pStyle w:val="Marginlie"/>
            </w:pPr>
            <w:r>
              <w:lastRenderedPageBreak/>
              <w:t>Mzdy a platy v loňském roce narážely na silný cenový růst, který tlumil jejich reálný růst.</w:t>
            </w:r>
          </w:p>
        </w:tc>
        <w:tc>
          <w:tcPr>
            <w:tcW w:w="223" w:type="dxa"/>
            <w:shd w:val="clear" w:color="auto" w:fill="auto"/>
            <w:tcMar>
              <w:left w:w="0" w:type="dxa"/>
            </w:tcMar>
          </w:tcPr>
          <w:p w14:paraId="1CFFE8FB" w14:textId="77777777" w:rsidR="00010A2C" w:rsidRDefault="00010A2C" w:rsidP="00913237">
            <w:pPr>
              <w:pStyle w:val="Textpoznpodarou"/>
              <w:jc w:val="both"/>
              <w:rPr>
                <w:spacing w:val="-4"/>
              </w:rPr>
            </w:pPr>
          </w:p>
        </w:tc>
        <w:tc>
          <w:tcPr>
            <w:tcW w:w="7610" w:type="dxa"/>
            <w:shd w:val="clear" w:color="auto" w:fill="auto"/>
            <w:tcMar>
              <w:left w:w="0" w:type="dxa"/>
            </w:tcMar>
          </w:tcPr>
          <w:p w14:paraId="2099A194" w14:textId="25FD4682" w:rsidR="00010A2C" w:rsidRPr="00014ED0" w:rsidRDefault="00010A2C" w:rsidP="00AC5256">
            <w:pPr>
              <w:rPr>
                <w:spacing w:val="-2"/>
              </w:rPr>
            </w:pPr>
            <w:r>
              <w:rPr>
                <w:spacing w:val="-2"/>
              </w:rPr>
              <w:t>V roce 2021 se celkový objem vyplacených mezd a platů zvýšil o 6,8 % při současném navýšení celkové zaměstnanosti o 0,1 %</w:t>
            </w:r>
            <w:r w:rsidRPr="00014ED0">
              <w:rPr>
                <w:rStyle w:val="Znakapoznpodarou"/>
                <w:spacing w:val="-2"/>
              </w:rPr>
              <w:footnoteReference w:id="8"/>
            </w:r>
            <w:r>
              <w:rPr>
                <w:spacing w:val="-2"/>
              </w:rPr>
              <w:t xml:space="preserve">. Posílení cenového růstu ale způsobilo, že reálný nárůst </w:t>
            </w:r>
            <w:r w:rsidR="00AC5256">
              <w:rPr>
                <w:spacing w:val="-2"/>
              </w:rPr>
              <w:t>objemu mezd</w:t>
            </w:r>
            <w:r>
              <w:rPr>
                <w:spacing w:val="-2"/>
              </w:rPr>
              <w:t xml:space="preserve"> loni dosáhl 3,7 %</w:t>
            </w:r>
            <w:r>
              <w:rPr>
                <w:rStyle w:val="Znakapoznpodarou"/>
                <w:spacing w:val="-2"/>
              </w:rPr>
              <w:footnoteReference w:id="9"/>
            </w:r>
            <w:r>
              <w:rPr>
                <w:spacing w:val="-2"/>
              </w:rPr>
              <w:t>. Nejvíce se zvyšoval objem mezd vyplacených v činnostech v oblasti nemovitostí (14,1 % při stagnaci zaměstnanosti) a dále v odvětvích s převahou vládního sektoru</w:t>
            </w:r>
            <w:r>
              <w:rPr>
                <w:rStyle w:val="Znakapoznpodarou"/>
                <w:spacing w:val="-2"/>
              </w:rPr>
              <w:footnoteReference w:id="10"/>
            </w:r>
            <w:r>
              <w:rPr>
                <w:spacing w:val="-2"/>
              </w:rPr>
              <w:t xml:space="preserve"> (8,9 %, růst zaměstnanosti o 2,8 %), kde se projevovalo vyplácení odměn zdravotníkům a dalším složkám podílejícím se na řešení pandemie. Nadprůměrně rostl také objem výdělků v profesních, vědeckých, technických a administrativních činnostech (7,7 %) a pokračující silný růst zaměstnanosti</w:t>
            </w:r>
            <w:r>
              <w:rPr>
                <w:rStyle w:val="Znakapoznpodarou"/>
                <w:spacing w:val="-2"/>
              </w:rPr>
              <w:footnoteReference w:id="11"/>
            </w:r>
            <w:r>
              <w:rPr>
                <w:spacing w:val="-2"/>
              </w:rPr>
              <w:t xml:space="preserve"> (3,4 %) podpořil růst mezd a platů v informačních a komunikačních činnostech (6,9 %). Mzdy a platy ve zpracovatelském průmyslu byly vyšší o 6,3 %, zatímco zaměstnanost klesla o 0,5 %. Podprůměrný byl také přírůstek v uskupení obchod, doprava, ubytování a pohostinství (5,7 % při poklesu zaměstnanosti o 1,7 %), ve stavebnictví (5,5 %), ostatních činnostech (5,4 %), zemědělství, lesnictví a rybářství (4,9 %) a peněžnictví a pojišťovnictví (2,2 %).</w:t>
            </w:r>
          </w:p>
        </w:tc>
      </w:tr>
      <w:tr w:rsidR="00010A2C" w:rsidRPr="009110F7" w14:paraId="2B117F54" w14:textId="77777777" w:rsidTr="00913237">
        <w:trPr>
          <w:trHeight w:val="145"/>
        </w:trPr>
        <w:tc>
          <w:tcPr>
            <w:tcW w:w="1806" w:type="dxa"/>
            <w:shd w:val="clear" w:color="auto" w:fill="auto"/>
            <w:tcMar>
              <w:left w:w="0" w:type="dxa"/>
            </w:tcMar>
          </w:tcPr>
          <w:p w14:paraId="49F4678E" w14:textId="77777777" w:rsidR="00010A2C" w:rsidRDefault="00010A2C" w:rsidP="00913237">
            <w:pPr>
              <w:pStyle w:val="Marginlie"/>
            </w:pPr>
            <w:r>
              <w:t>Ve 4. čtvrtletí meziročně rostly mzdy i zaměstnanost.</w:t>
            </w:r>
          </w:p>
        </w:tc>
        <w:tc>
          <w:tcPr>
            <w:tcW w:w="223" w:type="dxa"/>
            <w:shd w:val="clear" w:color="auto" w:fill="auto"/>
            <w:tcMar>
              <w:left w:w="0" w:type="dxa"/>
            </w:tcMar>
          </w:tcPr>
          <w:p w14:paraId="40358708" w14:textId="77777777" w:rsidR="00010A2C" w:rsidRDefault="00010A2C" w:rsidP="00913237">
            <w:pPr>
              <w:pStyle w:val="Textpoznpodarou"/>
              <w:jc w:val="both"/>
              <w:rPr>
                <w:spacing w:val="-4"/>
              </w:rPr>
            </w:pPr>
          </w:p>
        </w:tc>
        <w:tc>
          <w:tcPr>
            <w:tcW w:w="7610" w:type="dxa"/>
            <w:shd w:val="clear" w:color="auto" w:fill="auto"/>
            <w:tcMar>
              <w:left w:w="0" w:type="dxa"/>
            </w:tcMar>
          </w:tcPr>
          <w:p w14:paraId="608A0C94" w14:textId="57F76807" w:rsidR="00010A2C" w:rsidRDefault="00010A2C" w:rsidP="00AC5256">
            <w:pPr>
              <w:rPr>
                <w:spacing w:val="-2"/>
              </w:rPr>
            </w:pPr>
            <w:r>
              <w:rPr>
                <w:spacing w:val="-2"/>
              </w:rPr>
              <w:t>Ve 4. čtvrtletí vzrostl objem vyplacených mezd a platů meziročně o 7,6 % a celková zaměstnanost byla vyšší o 1,3 %. Reálný růst</w:t>
            </w:r>
            <w:r w:rsidR="00AC5256">
              <w:rPr>
                <w:spacing w:val="-2"/>
              </w:rPr>
              <w:t xml:space="preserve"> objemu mezd</w:t>
            </w:r>
            <w:r>
              <w:rPr>
                <w:spacing w:val="-2"/>
              </w:rPr>
              <w:t xml:space="preserve"> činil 2,8 %, což je s výjimkou období roku 2020 a loňského 1. čtvrtletí, zasažených pandemií, nejméně od 3. čtvrtletí 2014. Mezičtvrtletně se objem mezd a platů zvýšil o 1,5 % a zaměstnanost o 0,1 %. Nejsilnějšího meziročního přírůstku dosáhly mzdy a platy v činnostech v oblasti nemovitostí (21,8 %). Navýšení v ostatních činnostech (20,5 %) a v obchodě, dopravě, ubytování a pohostinství (18,2 %) ovlivnila z velké části nízká srovnávací základna 4. čtvrtletí 2020. Nadprůměrně se zvýšil i objem mezd a platů v profesních, vědeckých, technických a administrativních činnostech (9,7 %). Ve zbytku ekonomiky platové prostředky narůstaly pomaleji. V informačních a komunikačních činnostech o 6,4 %, v zemědělství, lesnictví a rybářství o 6,1 %, ve stavebnictví o 5,5 %, v peněžnictví a pojišťovnictví o 5,4 %. Ve zpracovatelském průmyslu jejich meziroční růst výrazně zpomalil na 4,6 % a pod vlivem vysoké srovnávací základny zmírnil také v odvětvích s dominancí vládního sektoru na 2,1 %</w:t>
            </w:r>
            <w:r>
              <w:rPr>
                <w:rStyle w:val="Znakapoznpodarou"/>
                <w:spacing w:val="-2"/>
              </w:rPr>
              <w:footnoteReference w:id="12"/>
            </w:r>
            <w:r>
              <w:rPr>
                <w:spacing w:val="-2"/>
              </w:rPr>
              <w:t>.</w:t>
            </w:r>
          </w:p>
        </w:tc>
      </w:tr>
      <w:tr w:rsidR="00010A2C" w:rsidRPr="009110F7" w14:paraId="25F143C5" w14:textId="77777777" w:rsidTr="00913237">
        <w:trPr>
          <w:trHeight w:val="145"/>
        </w:trPr>
        <w:tc>
          <w:tcPr>
            <w:tcW w:w="1806" w:type="dxa"/>
            <w:shd w:val="clear" w:color="auto" w:fill="auto"/>
            <w:tcMar>
              <w:left w:w="0" w:type="dxa"/>
            </w:tcMar>
          </w:tcPr>
          <w:p w14:paraId="594E9321" w14:textId="77777777" w:rsidR="00010A2C" w:rsidRDefault="00010A2C" w:rsidP="00913237">
            <w:pPr>
              <w:pStyle w:val="Marginlie"/>
            </w:pPr>
            <w:r>
              <w:t>Spotřeba loni výrazně přispívala k růstu HDP.</w:t>
            </w:r>
          </w:p>
        </w:tc>
        <w:tc>
          <w:tcPr>
            <w:tcW w:w="223" w:type="dxa"/>
            <w:shd w:val="clear" w:color="auto" w:fill="auto"/>
            <w:tcMar>
              <w:left w:w="0" w:type="dxa"/>
            </w:tcMar>
          </w:tcPr>
          <w:p w14:paraId="366F3C1F" w14:textId="77777777" w:rsidR="00010A2C" w:rsidRDefault="00010A2C" w:rsidP="00913237">
            <w:pPr>
              <w:pStyle w:val="Textpoznpodarou"/>
              <w:jc w:val="both"/>
              <w:rPr>
                <w:spacing w:val="-4"/>
              </w:rPr>
            </w:pPr>
          </w:p>
        </w:tc>
        <w:tc>
          <w:tcPr>
            <w:tcW w:w="7610" w:type="dxa"/>
            <w:shd w:val="clear" w:color="auto" w:fill="auto"/>
            <w:tcMar>
              <w:left w:w="0" w:type="dxa"/>
            </w:tcMar>
          </w:tcPr>
          <w:p w14:paraId="646230A6" w14:textId="77777777" w:rsidR="00010A2C" w:rsidRDefault="00010A2C" w:rsidP="00913237">
            <w:pPr>
              <w:rPr>
                <w:spacing w:val="-2"/>
              </w:rPr>
            </w:pPr>
            <w:r>
              <w:rPr>
                <w:spacing w:val="-2"/>
              </w:rPr>
              <w:t>Domácí spotřeba v roce 2021 vzrostla o 3,5 %. K růstu HDP přispěla 1,4 p. b.</w:t>
            </w:r>
            <w:r w:rsidRPr="00014ED0">
              <w:rPr>
                <w:rStyle w:val="Znakapoznpodarou"/>
                <w:spacing w:val="-2"/>
              </w:rPr>
              <w:footnoteReference w:id="13"/>
            </w:r>
            <w:r>
              <w:rPr>
                <w:spacing w:val="-2"/>
              </w:rPr>
              <w:t xml:space="preserve"> Zvyšovala se především spotřeba domácností (4,3 %), v případě vládních institucí byl přírůstek mírnější (1,6 %). Struktura spotřeby podle trvanlivosti</w:t>
            </w:r>
            <w:r>
              <w:rPr>
                <w:rStyle w:val="Znakapoznpodarou"/>
              </w:rPr>
              <w:footnoteReference w:id="14"/>
            </w:r>
            <w:r>
              <w:rPr>
                <w:spacing w:val="-2"/>
              </w:rPr>
              <w:t xml:space="preserve"> zčásti odrážela srovnání s rokem 2020, kdy byl po určitou dobu omezen prodej části maloobchodního sortimentu</w:t>
            </w:r>
            <w:r>
              <w:rPr>
                <w:rStyle w:val="Znakapoznpodarou"/>
                <w:spacing w:val="-2"/>
              </w:rPr>
              <w:footnoteReference w:id="15"/>
            </w:r>
            <w:r>
              <w:rPr>
                <w:spacing w:val="-2"/>
              </w:rPr>
              <w:t xml:space="preserve"> a provoz služeb. Loni se tak spotřeba statků dlouhodobé spotřeby zvýšila o 5,0 %, </w:t>
            </w:r>
            <w:r>
              <w:rPr>
                <w:spacing w:val="-2"/>
              </w:rPr>
              <w:lastRenderedPageBreak/>
              <w:t>střednědobé spotřeby o 4,8 % a služeb o 4,0 %. Spotřeba netrvanlivého zboží byla vyšší o 3,0 %.</w:t>
            </w:r>
          </w:p>
        </w:tc>
      </w:tr>
      <w:tr w:rsidR="00010A2C" w:rsidRPr="009110F7" w14:paraId="4C2C521A" w14:textId="77777777" w:rsidTr="00913237">
        <w:trPr>
          <w:trHeight w:val="145"/>
        </w:trPr>
        <w:tc>
          <w:tcPr>
            <w:tcW w:w="1806" w:type="dxa"/>
            <w:shd w:val="clear" w:color="auto" w:fill="auto"/>
            <w:tcMar>
              <w:left w:w="0" w:type="dxa"/>
            </w:tcMar>
          </w:tcPr>
          <w:p w14:paraId="33C1B2E3" w14:textId="77777777" w:rsidR="00010A2C" w:rsidRDefault="00010A2C" w:rsidP="00913237">
            <w:pPr>
              <w:pStyle w:val="Marginlie"/>
            </w:pPr>
            <w:r>
              <w:lastRenderedPageBreak/>
              <w:t>Oproti 3. čtvrtletí se spotřeba domácností snížila.</w:t>
            </w:r>
          </w:p>
        </w:tc>
        <w:tc>
          <w:tcPr>
            <w:tcW w:w="223" w:type="dxa"/>
            <w:shd w:val="clear" w:color="auto" w:fill="auto"/>
            <w:tcMar>
              <w:left w:w="0" w:type="dxa"/>
            </w:tcMar>
          </w:tcPr>
          <w:p w14:paraId="28F86B88" w14:textId="77777777" w:rsidR="00010A2C" w:rsidRDefault="00010A2C" w:rsidP="00913237">
            <w:pPr>
              <w:pStyle w:val="Textpoznpodarou"/>
              <w:jc w:val="both"/>
              <w:rPr>
                <w:spacing w:val="-4"/>
              </w:rPr>
            </w:pPr>
          </w:p>
        </w:tc>
        <w:tc>
          <w:tcPr>
            <w:tcW w:w="7610" w:type="dxa"/>
            <w:shd w:val="clear" w:color="auto" w:fill="auto"/>
            <w:tcMar>
              <w:left w:w="0" w:type="dxa"/>
            </w:tcMar>
          </w:tcPr>
          <w:p w14:paraId="5D421BAB" w14:textId="77777777" w:rsidR="00010A2C" w:rsidRDefault="00010A2C" w:rsidP="00913237">
            <w:pPr>
              <w:rPr>
                <w:spacing w:val="-2"/>
              </w:rPr>
            </w:pPr>
            <w:r>
              <w:rPr>
                <w:spacing w:val="-2"/>
              </w:rPr>
              <w:t>Ve 4. čtvrtletí 2021 spotřeba celkově meziročně vzrostla o 6,2 % a k růstu HDP přispěla 3,8 p. b. Zatímco vládní spotřeba stagnovala (0,1 %), spotřeba domácností byla meziročně vyšší o 9,3 %, což je rekordní přírůstek, na kterém se ale projevil vliv srovnání se závěrem roku 2020, kdy byl maloobchod i služby omezeny. Velmi silně tak v loňském 4. čtvrtletí meziročně vzrostla spotřeba statků střednědobé spotřeby (30,0 %). Silné přírůstky ale měla i dlouhodobá spotřeba (9,4 %) a služby (13,5 %). Spotřeba netrvanlivého zboží byla vyšší o 2,8 %. Oproti 3. čtvrtletí se spotřeba celkově propadla o 1,1 %. Snížila se spotřeba domácností (–1,8 %), ta vládní byla mírně vyšší (0,2 %). To odráželo i nejistotu a rostoucí pesimismus, který domácnosti v závěru roku vyjadřovaly v konjunkturních průzkumech, především v souvislosti s růstem cen.</w:t>
            </w:r>
          </w:p>
        </w:tc>
      </w:tr>
      <w:tr w:rsidR="00010A2C" w:rsidRPr="009110F7" w14:paraId="743D7C8C" w14:textId="77777777" w:rsidTr="00913237">
        <w:trPr>
          <w:trHeight w:val="170"/>
        </w:trPr>
        <w:tc>
          <w:tcPr>
            <w:tcW w:w="1806" w:type="dxa"/>
            <w:vMerge w:val="restart"/>
            <w:shd w:val="clear" w:color="auto" w:fill="auto"/>
            <w:tcMar>
              <w:left w:w="0" w:type="dxa"/>
            </w:tcMar>
          </w:tcPr>
          <w:p w14:paraId="5B568743" w14:textId="77777777" w:rsidR="00010A2C" w:rsidRDefault="00010A2C" w:rsidP="00913237">
            <w:pPr>
              <w:pStyle w:val="Marginlie"/>
            </w:pPr>
          </w:p>
        </w:tc>
        <w:tc>
          <w:tcPr>
            <w:tcW w:w="223" w:type="dxa"/>
            <w:vMerge w:val="restart"/>
            <w:shd w:val="clear" w:color="auto" w:fill="auto"/>
            <w:tcMar>
              <w:left w:w="0" w:type="dxa"/>
            </w:tcMar>
          </w:tcPr>
          <w:p w14:paraId="218FEAAF" w14:textId="77777777" w:rsidR="00010A2C" w:rsidRDefault="00010A2C" w:rsidP="00913237">
            <w:pPr>
              <w:pStyle w:val="Textpoznpodarou"/>
              <w:jc w:val="both"/>
              <w:rPr>
                <w:spacing w:val="-4"/>
              </w:rPr>
            </w:pPr>
          </w:p>
        </w:tc>
        <w:tc>
          <w:tcPr>
            <w:tcW w:w="7610" w:type="dxa"/>
            <w:shd w:val="clear" w:color="auto" w:fill="auto"/>
            <w:tcMar>
              <w:left w:w="0" w:type="dxa"/>
            </w:tcMar>
          </w:tcPr>
          <w:p w14:paraId="292B1125" w14:textId="77777777" w:rsidR="00010A2C" w:rsidRPr="00D721B4" w:rsidRDefault="00010A2C" w:rsidP="00913237">
            <w:pPr>
              <w:spacing w:after="0"/>
              <w:rPr>
                <w:szCs w:val="20"/>
              </w:rPr>
            </w:pPr>
            <w:r w:rsidRPr="00D721B4">
              <w:rPr>
                <w:b/>
                <w:szCs w:val="20"/>
              </w:rPr>
              <w:t>Graf č. 2</w:t>
            </w:r>
            <w:r>
              <w:rPr>
                <w:b/>
                <w:szCs w:val="20"/>
              </w:rPr>
              <w:t xml:space="preserve"> </w:t>
            </w:r>
            <w:r w:rsidRPr="00D721B4">
              <w:rPr>
                <w:b/>
                <w:szCs w:val="20"/>
              </w:rPr>
              <w:t xml:space="preserve"> </w:t>
            </w:r>
            <w:r w:rsidRPr="00D721B4">
              <w:rPr>
                <w:rFonts w:cs="Arial"/>
                <w:b/>
                <w:szCs w:val="20"/>
                <w:lang w:eastAsia="en-US"/>
              </w:rPr>
              <w:t xml:space="preserve">Příspěvky výdajových složek k reálné změně HDP* </w:t>
            </w:r>
            <w:r w:rsidRPr="00D721B4">
              <w:rPr>
                <w:rFonts w:cs="Arial"/>
                <w:bCs/>
                <w:szCs w:val="20"/>
                <w:lang w:eastAsia="en-US"/>
              </w:rPr>
              <w:t>(objemové indexy, meziroční růst, příspěvky v p. b., HDP v %)</w:t>
            </w:r>
          </w:p>
        </w:tc>
      </w:tr>
      <w:tr w:rsidR="00010A2C" w:rsidRPr="009110F7" w14:paraId="77429A57" w14:textId="77777777" w:rsidTr="00913237">
        <w:tblPrEx>
          <w:tblCellMar>
            <w:left w:w="70" w:type="dxa"/>
            <w:right w:w="70" w:type="dxa"/>
          </w:tblCellMar>
        </w:tblPrEx>
        <w:trPr>
          <w:trHeight w:val="170"/>
        </w:trPr>
        <w:tc>
          <w:tcPr>
            <w:tcW w:w="1806" w:type="dxa"/>
            <w:vMerge/>
            <w:shd w:val="clear" w:color="auto" w:fill="auto"/>
          </w:tcPr>
          <w:p w14:paraId="75E00B54" w14:textId="77777777" w:rsidR="00010A2C" w:rsidRDefault="00010A2C" w:rsidP="00913237">
            <w:pPr>
              <w:pStyle w:val="Marginlie"/>
            </w:pPr>
          </w:p>
        </w:tc>
        <w:tc>
          <w:tcPr>
            <w:tcW w:w="223" w:type="dxa"/>
            <w:vMerge/>
            <w:shd w:val="clear" w:color="auto" w:fill="auto"/>
          </w:tcPr>
          <w:p w14:paraId="2F1F9B1D" w14:textId="77777777" w:rsidR="00010A2C" w:rsidRDefault="00010A2C" w:rsidP="00913237">
            <w:pPr>
              <w:pStyle w:val="Textpoznpodarou"/>
              <w:jc w:val="both"/>
              <w:rPr>
                <w:spacing w:val="-4"/>
              </w:rPr>
            </w:pPr>
          </w:p>
        </w:tc>
        <w:tc>
          <w:tcPr>
            <w:tcW w:w="7610" w:type="dxa"/>
            <w:shd w:val="clear" w:color="auto" w:fill="auto"/>
          </w:tcPr>
          <w:p w14:paraId="6A8E7C47" w14:textId="77777777" w:rsidR="00010A2C" w:rsidRDefault="00010A2C" w:rsidP="00913237">
            <w:pPr>
              <w:spacing w:after="0"/>
            </w:pPr>
            <w:r>
              <w:rPr>
                <w:noProof/>
              </w:rPr>
              <w:drawing>
                <wp:inline distT="0" distB="0" distL="0" distR="0" wp14:anchorId="1614C13C" wp14:editId="3545C9DA">
                  <wp:extent cx="4737600" cy="3553200"/>
                  <wp:effectExtent l="0" t="0" r="6350" b="0"/>
                  <wp:docPr id="36" name="Graf 3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010A2C" w:rsidRPr="009110F7" w14:paraId="65850752" w14:textId="77777777" w:rsidTr="00913237">
        <w:trPr>
          <w:trHeight w:val="170"/>
        </w:trPr>
        <w:tc>
          <w:tcPr>
            <w:tcW w:w="1806" w:type="dxa"/>
            <w:vMerge/>
            <w:shd w:val="clear" w:color="auto" w:fill="auto"/>
            <w:tcMar>
              <w:left w:w="0" w:type="dxa"/>
            </w:tcMar>
          </w:tcPr>
          <w:p w14:paraId="5127E0AF" w14:textId="77777777" w:rsidR="00010A2C" w:rsidRDefault="00010A2C" w:rsidP="00913237">
            <w:pPr>
              <w:pStyle w:val="Marginlie"/>
            </w:pPr>
          </w:p>
        </w:tc>
        <w:tc>
          <w:tcPr>
            <w:tcW w:w="223" w:type="dxa"/>
            <w:vMerge/>
            <w:shd w:val="clear" w:color="auto" w:fill="auto"/>
            <w:tcMar>
              <w:left w:w="0" w:type="dxa"/>
            </w:tcMar>
          </w:tcPr>
          <w:p w14:paraId="01E374C4" w14:textId="77777777" w:rsidR="00010A2C" w:rsidRDefault="00010A2C" w:rsidP="00913237">
            <w:pPr>
              <w:pStyle w:val="Textpoznpodarou"/>
              <w:jc w:val="both"/>
              <w:rPr>
                <w:spacing w:val="-4"/>
              </w:rPr>
            </w:pPr>
          </w:p>
        </w:tc>
        <w:tc>
          <w:tcPr>
            <w:tcW w:w="7610" w:type="dxa"/>
            <w:shd w:val="clear" w:color="auto" w:fill="auto"/>
            <w:tcMar>
              <w:left w:w="0" w:type="dxa"/>
            </w:tcMar>
          </w:tcPr>
          <w:p w14:paraId="0E0338DB" w14:textId="77777777" w:rsidR="00010A2C" w:rsidRDefault="00010A2C" w:rsidP="00913237">
            <w:pPr>
              <w:spacing w:after="0"/>
              <w:rPr>
                <w:sz w:val="14"/>
                <w:szCs w:val="14"/>
              </w:rPr>
            </w:pPr>
            <w:r>
              <w:rPr>
                <w:sz w:val="14"/>
                <w:szCs w:val="14"/>
              </w:rPr>
              <w:t>Zdroj: ČSÚ</w:t>
            </w:r>
          </w:p>
          <w:p w14:paraId="2CA8DF23" w14:textId="77777777" w:rsidR="00010A2C" w:rsidRDefault="00010A2C" w:rsidP="00913237">
            <w:r>
              <w:rPr>
                <w:sz w:val="14"/>
                <w:szCs w:val="14"/>
              </w:rPr>
              <w:t>* po vyloučení dovozu pro konečné užití</w:t>
            </w:r>
          </w:p>
        </w:tc>
      </w:tr>
      <w:tr w:rsidR="00010A2C" w:rsidRPr="009110F7" w14:paraId="1B32CA00" w14:textId="77777777" w:rsidTr="00913237">
        <w:trPr>
          <w:trHeight w:val="145"/>
        </w:trPr>
        <w:tc>
          <w:tcPr>
            <w:tcW w:w="1806" w:type="dxa"/>
            <w:shd w:val="clear" w:color="auto" w:fill="auto"/>
            <w:tcMar>
              <w:left w:w="0" w:type="dxa"/>
            </w:tcMar>
          </w:tcPr>
          <w:p w14:paraId="3B76CB2D" w14:textId="77777777" w:rsidR="00010A2C" w:rsidRDefault="00010A2C" w:rsidP="00913237">
            <w:pPr>
              <w:pStyle w:val="Marginlie"/>
            </w:pPr>
            <w:r>
              <w:t>Loni se silně zvyšovaly zásoby.</w:t>
            </w:r>
          </w:p>
        </w:tc>
        <w:tc>
          <w:tcPr>
            <w:tcW w:w="223" w:type="dxa"/>
            <w:shd w:val="clear" w:color="auto" w:fill="auto"/>
            <w:tcMar>
              <w:left w:w="0" w:type="dxa"/>
            </w:tcMar>
          </w:tcPr>
          <w:p w14:paraId="575D56E3" w14:textId="77777777" w:rsidR="00010A2C" w:rsidRDefault="00010A2C" w:rsidP="00913237">
            <w:pPr>
              <w:pStyle w:val="Textpoznpodarou"/>
              <w:jc w:val="both"/>
              <w:rPr>
                <w:spacing w:val="-4"/>
              </w:rPr>
            </w:pPr>
          </w:p>
        </w:tc>
        <w:tc>
          <w:tcPr>
            <w:tcW w:w="7610" w:type="dxa"/>
            <w:shd w:val="clear" w:color="auto" w:fill="auto"/>
            <w:tcMar>
              <w:left w:w="0" w:type="dxa"/>
            </w:tcMar>
          </w:tcPr>
          <w:p w14:paraId="32DB1EA1" w14:textId="77777777" w:rsidR="00010A2C" w:rsidRDefault="00010A2C" w:rsidP="00913237">
            <w:r>
              <w:t>Výdaje na tvorbu hrubého kapitálu se v roce 2021 zvýšily o 18,2 %. Z toho výdaje na fixní kapitál byly vyšší o 0,9 %. Po hlubokém propadu v roce 2020 se tak zejména podniky v nejisté situaci dál vyhýbaly posílení investiční aktivity. Naopak narůstaly zásoby</w:t>
            </w:r>
            <w:r>
              <w:rPr>
                <w:rStyle w:val="Znakapoznpodarou"/>
              </w:rPr>
              <w:footnoteReference w:id="16"/>
            </w:r>
            <w:r>
              <w:t xml:space="preserve">, především nedokončené produkce. Reálně investice loni zaostávaly za úrovní let 2018 i 2019. Vývoj výdajů na tvorbu hrubého fixního kapitálu podle věcného členění nepřímo ukazuje na pokračující útlum investiční aktivity nefinančních podniků. Po hlubokém propadu v roce 2020 loni totiž dál klesaly investice do ICT a ostatních strojů a zařízení (–0,5 %). Nižší byly také výdaje na ostatní budovy a stavby (–2,0 %). Investice do dopravních prostředků a zařízení sice vzrostly o 5,7 %, v předchozím roce se ale snížily téměř o čtvrtinu, takže loňské výdaje hluboce reálně zaostávaly za úrovní let 2016–2019. Investice do produktů duševního vlastnictví se loni zvýšily o 1,5 % a rovněž reálně zaostávaly za úrovní roku 2019. Jedinou oblastí, kde investiční aktivita </w:t>
            </w:r>
            <w:r>
              <w:lastRenderedPageBreak/>
              <w:t>již osmým rokem v řadě rostla, byly výdaje na obydlí, které se loni zvýšily o 4,1 %. Výdaje na obydlí jsou doménou sektoru domácností.</w:t>
            </w:r>
          </w:p>
        </w:tc>
      </w:tr>
      <w:tr w:rsidR="00010A2C" w:rsidRPr="009110F7" w14:paraId="2A648B51" w14:textId="77777777" w:rsidTr="00913237">
        <w:trPr>
          <w:trHeight w:val="145"/>
        </w:trPr>
        <w:tc>
          <w:tcPr>
            <w:tcW w:w="1806" w:type="dxa"/>
            <w:shd w:val="clear" w:color="auto" w:fill="auto"/>
            <w:tcMar>
              <w:left w:w="0" w:type="dxa"/>
            </w:tcMar>
          </w:tcPr>
          <w:p w14:paraId="067C2EBB" w14:textId="77777777" w:rsidR="00010A2C" w:rsidRDefault="00010A2C" w:rsidP="00913237">
            <w:pPr>
              <w:pStyle w:val="Marginlie"/>
            </w:pPr>
            <w:r>
              <w:lastRenderedPageBreak/>
              <w:t>Investice ve 4. čtvrtletí rostly.</w:t>
            </w:r>
          </w:p>
        </w:tc>
        <w:tc>
          <w:tcPr>
            <w:tcW w:w="223" w:type="dxa"/>
            <w:shd w:val="clear" w:color="auto" w:fill="auto"/>
            <w:tcMar>
              <w:left w:w="0" w:type="dxa"/>
            </w:tcMar>
          </w:tcPr>
          <w:p w14:paraId="65196F68" w14:textId="77777777" w:rsidR="00010A2C" w:rsidRDefault="00010A2C" w:rsidP="00913237">
            <w:pPr>
              <w:pStyle w:val="Textpoznpodarou"/>
              <w:jc w:val="both"/>
              <w:rPr>
                <w:spacing w:val="-4"/>
              </w:rPr>
            </w:pPr>
          </w:p>
        </w:tc>
        <w:tc>
          <w:tcPr>
            <w:tcW w:w="7610" w:type="dxa"/>
            <w:shd w:val="clear" w:color="auto" w:fill="auto"/>
            <w:tcMar>
              <w:left w:w="0" w:type="dxa"/>
            </w:tcMar>
          </w:tcPr>
          <w:p w14:paraId="1BD3E0D2" w14:textId="77777777" w:rsidR="00010A2C" w:rsidRDefault="00010A2C" w:rsidP="00913237">
            <w:r>
              <w:t>Ve 4. čtvrtletí se výdaje na tvorbu hrubého kapitálu meziročně zvýšily o 26,9 %. Z toho se ale samotné investice zvýšily o 3,5 % a zbytek lze přičíst navýšení zásob. Oproti 3. kvartálu se kapitálové výdaje snížily o 0,2 %. Samotné investice ale rostly o 0,5 %. Podle údajů o věcném členění tvorby hrubého fixního kapitálu ve 4. čtvrtletí nejvíce meziročně rostly výdaje na dopravní prostředky a zařízení (20,1 %) a obydlí (7,5 %). Jen mírně vyšší byly investice do ostatních budov a staveb (1,3 %), ICT a ostatních strojů a zařízení (0,9 %) a produktů duševního vlastnictví (0,2 %). Oproti 3. čtvrtletí 2021 se výrazně zvýšily investice do produktů duševního vlastnictví (5,6 %) a ostatních budov a staveb (3,4 %). Mírně rostly výdaje na obydlí (0,2 %) a stagnovaly investice do dopravních prostředků a zařízení. Mezičtvrtletně výrazně nižší byly výdaje na ICT a ostatní stroje a zařízení (–4,9 %).</w:t>
            </w:r>
          </w:p>
        </w:tc>
      </w:tr>
      <w:tr w:rsidR="00010A2C" w:rsidRPr="009110F7" w14:paraId="4364195F" w14:textId="77777777" w:rsidTr="00913237">
        <w:trPr>
          <w:trHeight w:val="145"/>
        </w:trPr>
        <w:tc>
          <w:tcPr>
            <w:tcW w:w="1806" w:type="dxa"/>
            <w:shd w:val="clear" w:color="auto" w:fill="auto"/>
            <w:tcMar>
              <w:left w:w="0" w:type="dxa"/>
            </w:tcMar>
          </w:tcPr>
          <w:p w14:paraId="6E4170A6" w14:textId="77777777" w:rsidR="00010A2C" w:rsidRDefault="00010A2C" w:rsidP="00913237">
            <w:pPr>
              <w:pStyle w:val="Marginlie"/>
            </w:pPr>
            <w:r>
              <w:t>Bilance zahraničního obchodu se loni rekordně zhoršila.</w:t>
            </w:r>
          </w:p>
        </w:tc>
        <w:tc>
          <w:tcPr>
            <w:tcW w:w="223" w:type="dxa"/>
            <w:shd w:val="clear" w:color="auto" w:fill="auto"/>
            <w:tcMar>
              <w:left w:w="0" w:type="dxa"/>
            </w:tcMar>
          </w:tcPr>
          <w:p w14:paraId="5F8B826B" w14:textId="77777777" w:rsidR="00010A2C" w:rsidRDefault="00010A2C" w:rsidP="00913237">
            <w:pPr>
              <w:pStyle w:val="Textpoznpodarou"/>
              <w:jc w:val="both"/>
              <w:rPr>
                <w:spacing w:val="-4"/>
              </w:rPr>
            </w:pPr>
          </w:p>
        </w:tc>
        <w:tc>
          <w:tcPr>
            <w:tcW w:w="7610" w:type="dxa"/>
            <w:shd w:val="clear" w:color="auto" w:fill="auto"/>
            <w:tcMar>
              <w:left w:w="0" w:type="dxa"/>
            </w:tcMar>
          </w:tcPr>
          <w:p w14:paraId="0617354A" w14:textId="22B171A4" w:rsidR="00010A2C" w:rsidRDefault="00010A2C" w:rsidP="00FF72DC">
            <w:r>
              <w:t>V roce 2021 reálně vzrostl vývoz zboží a služeb o 5,0 %</w:t>
            </w:r>
            <w:r w:rsidRPr="009110F7">
              <w:rPr>
                <w:rStyle w:val="Znakapoznpodarou"/>
              </w:rPr>
              <w:footnoteReference w:id="17"/>
            </w:r>
            <w:r>
              <w:t>. Z toho vývoz zboží byl vyšší o 5,1 % a služeb o 4,6 %. Za úrovní roku 2019 vývoz zboží loni reálně zaostal o 0,2 % a služeb o 13,2 %. Část domácích vývozců se ale potýkala s problémy s dodávkami některých komponent. Dovoz zboží a služeb tak loni rostl silnějším tempem než vývoz a celkově se zvýšil o 11,4 %. Import zboží se zvýšil více (12,5 %) než dovoz služeb (4,6 %). Bilance zahraničního obchodu loni celkově dosáhla přebytku 185,2 mld. korun. To je o 204,1 mld.</w:t>
            </w:r>
            <w:r>
              <w:rPr>
                <w:rStyle w:val="Znakapoznpodarou"/>
              </w:rPr>
              <w:footnoteReference w:id="18"/>
            </w:r>
            <w:r>
              <w:t xml:space="preserve"> horší výsledek než v roce 2020. I proto bilance zahraničního obchodu silně působila ve směru poklesu HDP (–</w:t>
            </w:r>
            <w:r w:rsidR="00FF72DC">
              <w:t>2,0</w:t>
            </w:r>
            <w:r>
              <w:t> p. b.). Zhoršovalo se výhradně kladné saldo obchodu se zbožím (–211,6 mld. korun). Naopak přebytek obchodu se službami se loni zlepšil o 7,5 mld. korun.</w:t>
            </w:r>
          </w:p>
        </w:tc>
      </w:tr>
      <w:tr w:rsidR="00010A2C" w:rsidRPr="009110F7" w14:paraId="7690EAE2" w14:textId="77777777" w:rsidTr="00913237">
        <w:trPr>
          <w:trHeight w:val="145"/>
        </w:trPr>
        <w:tc>
          <w:tcPr>
            <w:tcW w:w="1806" w:type="dxa"/>
            <w:shd w:val="clear" w:color="auto" w:fill="auto"/>
            <w:tcMar>
              <w:left w:w="0" w:type="dxa"/>
            </w:tcMar>
          </w:tcPr>
          <w:p w14:paraId="722E21E8" w14:textId="77777777" w:rsidR="00010A2C" w:rsidRDefault="00010A2C" w:rsidP="00913237">
            <w:pPr>
              <w:pStyle w:val="Marginlie"/>
            </w:pPr>
            <w:r>
              <w:t>Ve 4. čtvrtletí byla bilance zahraničního obchodu deficitní.</w:t>
            </w:r>
          </w:p>
        </w:tc>
        <w:tc>
          <w:tcPr>
            <w:tcW w:w="223" w:type="dxa"/>
            <w:shd w:val="clear" w:color="auto" w:fill="auto"/>
            <w:tcMar>
              <w:left w:w="0" w:type="dxa"/>
            </w:tcMar>
          </w:tcPr>
          <w:p w14:paraId="6ED7BDA9" w14:textId="77777777" w:rsidR="00010A2C" w:rsidRDefault="00010A2C" w:rsidP="00913237">
            <w:pPr>
              <w:pStyle w:val="Textpoznpodarou"/>
              <w:jc w:val="both"/>
              <w:rPr>
                <w:spacing w:val="-4"/>
              </w:rPr>
            </w:pPr>
          </w:p>
        </w:tc>
        <w:tc>
          <w:tcPr>
            <w:tcW w:w="7610" w:type="dxa"/>
            <w:shd w:val="clear" w:color="auto" w:fill="auto"/>
            <w:tcMar>
              <w:left w:w="0" w:type="dxa"/>
            </w:tcMar>
          </w:tcPr>
          <w:p w14:paraId="6593EA50" w14:textId="77777777" w:rsidR="00010A2C" w:rsidRDefault="00010A2C" w:rsidP="00913237">
            <w:r>
              <w:t>Ve 4. čtvrtletí se vývoz zboží a služeb reálně meziročně propadl o 5,7 %, přičemž vývoz zboží se snižoval (–8,9 %), zatímco u služeb silně rostl (15,3 %). Dovoz se naopak zvyšoval (4,0 %). Import zboží byl meziročně vyšší o 3,5 % a služeb o 7,6 %. Oproti 3. čtvrtletí se export reálně zvýšil o 2,2 %, rostl přitom vývoz zboží (1,2 %) i služeb (7,7 %). Na druhé straně se dovoz mezičtvrtletně snížil o 0,4 %. Bilance zahraničního obchodu ve 4. čtvrtletí dosáhla celkově přebytku 22,5 mld. korun, což je meziročně o 122,6 mld. horší výsledek. Meziroční srovnání ovlivnila kromě situace v průmyslu i vysoká srovnávací základna 4. kvartálu 2020. Saldo obchodu se zbožím meziročně spadlo o 137,1 mld. korun do deficitu –12,2 mld., zatímco přebytek obchodu se službami se zlepšil o 14,5 mld. Mezičtvrtletně se ale celkový přebytek zlepšil.</w:t>
            </w:r>
          </w:p>
        </w:tc>
      </w:tr>
      <w:tr w:rsidR="00010A2C" w:rsidRPr="009110F7" w14:paraId="7F9110A0" w14:textId="77777777" w:rsidTr="00913237">
        <w:trPr>
          <w:trHeight w:val="145"/>
        </w:trPr>
        <w:tc>
          <w:tcPr>
            <w:tcW w:w="1806" w:type="dxa"/>
            <w:shd w:val="clear" w:color="auto" w:fill="auto"/>
            <w:tcMar>
              <w:left w:w="0" w:type="dxa"/>
            </w:tcMar>
          </w:tcPr>
          <w:p w14:paraId="308FC88E" w14:textId="77777777" w:rsidR="00010A2C" w:rsidRDefault="00010A2C" w:rsidP="00913237">
            <w:pPr>
              <w:pStyle w:val="Marginlie"/>
            </w:pPr>
            <w:r>
              <w:t>V loňském roce hrubá přidaná hodnota rostla, ale reálně nepřekonala úroveň roku 2019.</w:t>
            </w:r>
          </w:p>
        </w:tc>
        <w:tc>
          <w:tcPr>
            <w:tcW w:w="223" w:type="dxa"/>
            <w:shd w:val="clear" w:color="auto" w:fill="auto"/>
            <w:tcMar>
              <w:left w:w="0" w:type="dxa"/>
            </w:tcMar>
          </w:tcPr>
          <w:p w14:paraId="170DAB28" w14:textId="77777777" w:rsidR="00010A2C" w:rsidRDefault="00010A2C" w:rsidP="00913237">
            <w:pPr>
              <w:pStyle w:val="Textpoznpodarou"/>
              <w:jc w:val="both"/>
              <w:rPr>
                <w:spacing w:val="-4"/>
              </w:rPr>
            </w:pPr>
          </w:p>
        </w:tc>
        <w:tc>
          <w:tcPr>
            <w:tcW w:w="7610" w:type="dxa"/>
            <w:shd w:val="clear" w:color="auto" w:fill="auto"/>
            <w:tcMar>
              <w:left w:w="0" w:type="dxa"/>
            </w:tcMar>
          </w:tcPr>
          <w:p w14:paraId="026BE085" w14:textId="77777777" w:rsidR="00010A2C" w:rsidRPr="00F93F2C" w:rsidRDefault="00010A2C" w:rsidP="00913237">
            <w:r>
              <w:t xml:space="preserve">Hrubá přidaná hodnota (HPH) se v roce 2021 zvýšila o 3,0 %. Ještě v 1. čtvrtletí byly některé obory výrazně zasaženy protipandemickými restrikcemi, podzimní zhoršení epidemické situace už ale nevedlo k tak přísným opatřením jako v roce 2020. Přírůstek ovšem nestačil na kompenzaci propadu z roku 2020 a reálně HPH celkově zaostávala za úrovní roku 2019. Z jednotlivých odvětví se nad úroveň roku 2019 dostaly jen zemědělství, lesnictví a rybářství, informační a komunikační činnosti, peněžnictví a pojišťovnictví a odvětví s převahou vládního sektoru. Oproti roku 2020 byla HPH nižší jen v ostatních činnostech (–1,4 %). Ty byly silně zasaženy vládními restrikcemi, protože jsou v nich zahrnuty například služby osobní péče. V ostatních odvětvích se HPH zvýšila, nejvíce v peněžnictví a pojišťovnictví (9,4 %), zpracovatelském průmyslu (4,5 %), informačních a komunikačních činnostech (4,3 %). Podprůměrným tempem se zvyšovala HPH v odvětvích s převahou vládního sektoru (2,9 %), v zemědělství, lesnictví a rybářství (2,8 %), v uskupení obchod, doprava, ubytování a pohostinství </w:t>
            </w:r>
            <w:r>
              <w:lastRenderedPageBreak/>
              <w:t>(2,5 %), v profesních, vědeckých, technických a administrativních činnostech (2,3 %), ve stavebnictví (0,9 %) a v činnostech v oblasti nemovitostí (0,5 %).</w:t>
            </w:r>
          </w:p>
        </w:tc>
      </w:tr>
      <w:tr w:rsidR="00010A2C" w:rsidRPr="009110F7" w14:paraId="11704BB0" w14:textId="77777777" w:rsidTr="00913237">
        <w:trPr>
          <w:trHeight w:val="145"/>
        </w:trPr>
        <w:tc>
          <w:tcPr>
            <w:tcW w:w="1806" w:type="dxa"/>
            <w:shd w:val="clear" w:color="auto" w:fill="auto"/>
            <w:tcMar>
              <w:left w:w="0" w:type="dxa"/>
            </w:tcMar>
          </w:tcPr>
          <w:p w14:paraId="7B37C0CF" w14:textId="77777777" w:rsidR="00010A2C" w:rsidRDefault="00010A2C" w:rsidP="00913237">
            <w:pPr>
              <w:pStyle w:val="Marginlie"/>
            </w:pPr>
            <w:r>
              <w:lastRenderedPageBreak/>
              <w:t>Ve 4. čtvrtletí meziročně i mezičtvrtletně klesla HPH ve zpracovatelském průmyslu.</w:t>
            </w:r>
          </w:p>
        </w:tc>
        <w:tc>
          <w:tcPr>
            <w:tcW w:w="223" w:type="dxa"/>
            <w:shd w:val="clear" w:color="auto" w:fill="auto"/>
            <w:tcMar>
              <w:left w:w="0" w:type="dxa"/>
            </w:tcMar>
          </w:tcPr>
          <w:p w14:paraId="24ECD1B1" w14:textId="77777777" w:rsidR="00010A2C" w:rsidRDefault="00010A2C" w:rsidP="00913237">
            <w:pPr>
              <w:pStyle w:val="Textpoznpodarou"/>
              <w:jc w:val="both"/>
              <w:rPr>
                <w:spacing w:val="-4"/>
              </w:rPr>
            </w:pPr>
          </w:p>
        </w:tc>
        <w:tc>
          <w:tcPr>
            <w:tcW w:w="7610" w:type="dxa"/>
            <w:shd w:val="clear" w:color="auto" w:fill="auto"/>
            <w:tcMar>
              <w:left w:w="0" w:type="dxa"/>
            </w:tcMar>
          </w:tcPr>
          <w:p w14:paraId="2C353CF5" w14:textId="77777777" w:rsidR="00010A2C" w:rsidRDefault="00010A2C" w:rsidP="00913237">
            <w:r>
              <w:t>Hrubá přidaná hodnota ve 4. čtvrtletí meziročně vzrostla o 2,9 %. To je poměrně mírný přírůstek, kterému napomohla nízká srovnávací základna 4. čtvrtletí roku 2020 (HPH tehdy klesla o 5,0 %). Za stejným obdobím roku 2019 tak v loňském 4. čtvrtletí HPH zaostávala. Trvající problémy s dodávkami vedly k meziročnímu poklesu HPH ve zpracovatelském průmyslu (–3,3 %). Stagnovala HPH v zemědělství, lesnictví a rybářství, ale ve zbytku ekonomiky HPH rostla. Největší meziroční přírůstek měla ve 4. čtvrtletí HPH v obchodě, dopravě, ubytování a pohostinství (10,7 %), v peněžnictví a pojišťovnictví (8,6 %), ostatních činnostech (6,5 %), stavebnictví (4,7 %), profesních, vědeckých, technických a administrativních činnostech (4,6 %) a informačních a komunikačních činnostech (3,2 %). Mírný růst měla HPH v odvětvích s převahou vládního sektoru (2,6 %) a v činnostech v oblasti nemovitostí (1,0 %). Ve srovnání se 3. čtvrtletím 2021 se HPH celkově zvýšila o 0,7 %. Ačkoli se ve 4. čtvrtletí nezaváděla „tvrdá“ restriktivní opatření, klesala mezičtvrtletně HPH v dříve zasažených ostatních činnostech (–8,0 %) a výrazně zpomalil růst v případě obchodu, dopravy, ubytování a pohostinství (0,5 %). Hrubá přidaná hodnota mezičtvrtletně klesala také ve zpracovatelském průmyslu (–1,6 %) a stavebnictví (–0,3 %). Výrazný mezičtvrtletní přírůstek měla HPH v zemědělství, lesnictví a rybářství (3,4 %), činnostech v oblasti nemovitostí (2,7 %), peněžnictví a pojišťovnictví (2,2 %) a v odvětvích s převahou vládního sektoru (1,9 %). Jen mírně rostla HPH v informačních a komunikačních činnostech (0,7 %) a profesních, vědeckých, technických a administrativních činnostech (0,5 %).</w:t>
            </w:r>
          </w:p>
        </w:tc>
      </w:tr>
      <w:tr w:rsidR="00010A2C" w:rsidRPr="009110F7" w14:paraId="6B8A5B8A" w14:textId="77777777" w:rsidTr="00913237">
        <w:trPr>
          <w:trHeight w:val="170"/>
        </w:trPr>
        <w:tc>
          <w:tcPr>
            <w:tcW w:w="1806" w:type="dxa"/>
            <w:vMerge w:val="restart"/>
            <w:shd w:val="clear" w:color="auto" w:fill="auto"/>
            <w:tcMar>
              <w:left w:w="0" w:type="dxa"/>
            </w:tcMar>
          </w:tcPr>
          <w:p w14:paraId="1C1459C2" w14:textId="77777777" w:rsidR="00010A2C" w:rsidRDefault="00010A2C" w:rsidP="00913237">
            <w:pPr>
              <w:pStyle w:val="Marginlie"/>
            </w:pPr>
          </w:p>
        </w:tc>
        <w:tc>
          <w:tcPr>
            <w:tcW w:w="223" w:type="dxa"/>
            <w:vMerge w:val="restart"/>
            <w:shd w:val="clear" w:color="auto" w:fill="auto"/>
            <w:tcMar>
              <w:left w:w="0" w:type="dxa"/>
            </w:tcMar>
          </w:tcPr>
          <w:p w14:paraId="53C43181" w14:textId="77777777" w:rsidR="00010A2C" w:rsidRDefault="00010A2C" w:rsidP="00913237">
            <w:pPr>
              <w:pStyle w:val="Textpoznpodarou"/>
              <w:jc w:val="both"/>
              <w:rPr>
                <w:spacing w:val="-4"/>
              </w:rPr>
            </w:pPr>
          </w:p>
        </w:tc>
        <w:tc>
          <w:tcPr>
            <w:tcW w:w="7610" w:type="dxa"/>
            <w:shd w:val="clear" w:color="auto" w:fill="auto"/>
            <w:tcMar>
              <w:left w:w="0" w:type="dxa"/>
            </w:tcMar>
          </w:tcPr>
          <w:p w14:paraId="28AC0D63" w14:textId="77777777" w:rsidR="00010A2C" w:rsidRPr="00D721B4" w:rsidRDefault="00010A2C" w:rsidP="00913237">
            <w:pPr>
              <w:spacing w:after="0"/>
              <w:rPr>
                <w:szCs w:val="20"/>
              </w:rPr>
            </w:pPr>
            <w:r w:rsidRPr="00D721B4">
              <w:rPr>
                <w:b/>
                <w:szCs w:val="20"/>
              </w:rPr>
              <w:t>Graf č. 3</w:t>
            </w:r>
            <w:r>
              <w:rPr>
                <w:b/>
                <w:szCs w:val="20"/>
              </w:rPr>
              <w:t xml:space="preserve"> </w:t>
            </w:r>
            <w:r w:rsidRPr="00D721B4">
              <w:rPr>
                <w:b/>
                <w:szCs w:val="20"/>
              </w:rPr>
              <w:t xml:space="preserve"> </w:t>
            </w:r>
            <w:r w:rsidRPr="00D721B4">
              <w:rPr>
                <w:rFonts w:cs="Arial"/>
                <w:b/>
                <w:szCs w:val="20"/>
                <w:lang w:eastAsia="en-US"/>
              </w:rPr>
              <w:t xml:space="preserve">Příspěvky odvětví k reálné změně HPH </w:t>
            </w:r>
            <w:r w:rsidRPr="00D721B4">
              <w:rPr>
                <w:rFonts w:cs="Arial"/>
                <w:bCs/>
                <w:szCs w:val="20"/>
                <w:lang w:eastAsia="en-US"/>
              </w:rPr>
              <w:t>(objemové indexy, meziroční příspěvky v p. b., HPH v %)</w:t>
            </w:r>
          </w:p>
        </w:tc>
      </w:tr>
      <w:tr w:rsidR="00010A2C" w:rsidRPr="009110F7" w14:paraId="46504275" w14:textId="77777777" w:rsidTr="00913237">
        <w:tblPrEx>
          <w:tblCellMar>
            <w:left w:w="70" w:type="dxa"/>
            <w:right w:w="70" w:type="dxa"/>
          </w:tblCellMar>
        </w:tblPrEx>
        <w:trPr>
          <w:trHeight w:val="170"/>
        </w:trPr>
        <w:tc>
          <w:tcPr>
            <w:tcW w:w="1806" w:type="dxa"/>
            <w:vMerge/>
            <w:shd w:val="clear" w:color="auto" w:fill="auto"/>
          </w:tcPr>
          <w:p w14:paraId="35E6AF66" w14:textId="77777777" w:rsidR="00010A2C" w:rsidRPr="009110F7" w:rsidRDefault="00010A2C" w:rsidP="00913237">
            <w:pPr>
              <w:pStyle w:val="Marginlie"/>
            </w:pPr>
          </w:p>
        </w:tc>
        <w:tc>
          <w:tcPr>
            <w:tcW w:w="223" w:type="dxa"/>
            <w:vMerge/>
            <w:shd w:val="clear" w:color="auto" w:fill="auto"/>
          </w:tcPr>
          <w:p w14:paraId="6DE3B60B" w14:textId="77777777" w:rsidR="00010A2C" w:rsidRPr="009110F7" w:rsidRDefault="00010A2C" w:rsidP="00913237">
            <w:pPr>
              <w:pStyle w:val="Textpoznpodarou"/>
              <w:jc w:val="both"/>
              <w:rPr>
                <w:spacing w:val="-4"/>
              </w:rPr>
            </w:pPr>
          </w:p>
        </w:tc>
        <w:tc>
          <w:tcPr>
            <w:tcW w:w="7610" w:type="dxa"/>
            <w:shd w:val="clear" w:color="auto" w:fill="auto"/>
          </w:tcPr>
          <w:p w14:paraId="53CBA39B" w14:textId="77777777" w:rsidR="00010A2C" w:rsidRPr="009110F7" w:rsidRDefault="00010A2C" w:rsidP="00913237">
            <w:pPr>
              <w:spacing w:after="0"/>
            </w:pPr>
            <w:r>
              <w:rPr>
                <w:noProof/>
              </w:rPr>
              <w:drawing>
                <wp:inline distT="0" distB="0" distL="0" distR="0" wp14:anchorId="515D8CBB" wp14:editId="0CECC84A">
                  <wp:extent cx="4737600" cy="3486525"/>
                  <wp:effectExtent l="0" t="0" r="6350" b="0"/>
                  <wp:docPr id="37" name="Graf 3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010A2C" w:rsidRPr="009110F7" w14:paraId="5CFC5BEB" w14:textId="77777777" w:rsidTr="00913237">
        <w:trPr>
          <w:trHeight w:val="170"/>
        </w:trPr>
        <w:tc>
          <w:tcPr>
            <w:tcW w:w="1806" w:type="dxa"/>
            <w:vMerge/>
            <w:shd w:val="clear" w:color="auto" w:fill="auto"/>
            <w:tcMar>
              <w:left w:w="0" w:type="dxa"/>
            </w:tcMar>
          </w:tcPr>
          <w:p w14:paraId="1012517B" w14:textId="77777777" w:rsidR="00010A2C" w:rsidRPr="009110F7" w:rsidRDefault="00010A2C" w:rsidP="00913237">
            <w:pPr>
              <w:pStyle w:val="Marginlie"/>
            </w:pPr>
          </w:p>
        </w:tc>
        <w:tc>
          <w:tcPr>
            <w:tcW w:w="223" w:type="dxa"/>
            <w:vMerge/>
            <w:shd w:val="clear" w:color="auto" w:fill="auto"/>
            <w:tcMar>
              <w:left w:w="0" w:type="dxa"/>
            </w:tcMar>
          </w:tcPr>
          <w:p w14:paraId="29CCA065" w14:textId="77777777" w:rsidR="00010A2C" w:rsidRPr="009110F7" w:rsidRDefault="00010A2C" w:rsidP="00913237">
            <w:pPr>
              <w:pStyle w:val="Textpoznpodarou"/>
              <w:jc w:val="both"/>
              <w:rPr>
                <w:spacing w:val="-4"/>
              </w:rPr>
            </w:pPr>
          </w:p>
        </w:tc>
        <w:tc>
          <w:tcPr>
            <w:tcW w:w="7610" w:type="dxa"/>
            <w:shd w:val="clear" w:color="auto" w:fill="auto"/>
            <w:tcMar>
              <w:left w:w="0" w:type="dxa"/>
            </w:tcMar>
          </w:tcPr>
          <w:p w14:paraId="2A320BD3" w14:textId="77777777" w:rsidR="00010A2C" w:rsidRPr="009110F7" w:rsidRDefault="00010A2C" w:rsidP="00913237">
            <w:pPr>
              <w:rPr>
                <w:sz w:val="14"/>
                <w:szCs w:val="14"/>
              </w:rPr>
            </w:pPr>
            <w:r w:rsidRPr="00A85DE1">
              <w:rPr>
                <w:sz w:val="14"/>
                <w:szCs w:val="14"/>
              </w:rPr>
              <w:t>Zdroj: ČSÚ</w:t>
            </w:r>
          </w:p>
        </w:tc>
      </w:tr>
    </w:tbl>
    <w:p w14:paraId="585F1E09" w14:textId="77777777" w:rsidR="00010A2C" w:rsidRPr="00C41D54" w:rsidRDefault="00010A2C" w:rsidP="00010A2C">
      <w:pPr>
        <w:pStyle w:val="Nadpis11"/>
        <w:rPr>
          <w:b w:val="0"/>
          <w:sz w:val="2"/>
          <w:szCs w:val="2"/>
          <w:highlight w:val="yellow"/>
        </w:rPr>
      </w:pPr>
    </w:p>
    <w:p w14:paraId="54102D0A" w14:textId="77777777" w:rsidR="00010A2C" w:rsidRPr="00DA3ADF" w:rsidRDefault="00010A2C" w:rsidP="00010A2C">
      <w:pPr>
        <w:spacing w:after="0" w:line="240" w:lineRule="auto"/>
        <w:jc w:val="left"/>
        <w:rPr>
          <w:rFonts w:eastAsia="MS Gothic"/>
          <w:bCs/>
          <w:color w:val="71818C"/>
          <w:sz w:val="2"/>
          <w:szCs w:val="2"/>
          <w:highlight w:val="yellow"/>
        </w:rPr>
      </w:pPr>
    </w:p>
    <w:p w14:paraId="0B9CB672" w14:textId="77777777" w:rsidR="00010A2C" w:rsidRDefault="00010A2C" w:rsidP="00010A2C">
      <w:pPr>
        <w:spacing w:after="0" w:line="240" w:lineRule="auto"/>
        <w:jc w:val="left"/>
        <w:rPr>
          <w:b/>
          <w:sz w:val="2"/>
          <w:szCs w:val="2"/>
          <w:highlight w:val="yellow"/>
        </w:rPr>
      </w:pPr>
    </w:p>
    <w:p w14:paraId="160FF6C7" w14:textId="77777777" w:rsidR="00010A2C" w:rsidRPr="00E42054" w:rsidRDefault="00010A2C" w:rsidP="00010A2C">
      <w:pPr>
        <w:pStyle w:val="Nadpis11"/>
        <w:spacing w:after="0"/>
        <w:rPr>
          <w:b w:val="0"/>
          <w:sz w:val="2"/>
          <w:szCs w:val="2"/>
        </w:rPr>
      </w:pPr>
    </w:p>
    <w:p w14:paraId="7D7AEF14" w14:textId="77777777" w:rsidR="00010A2C" w:rsidRDefault="00010A2C" w:rsidP="00010A2C">
      <w:pPr>
        <w:spacing w:after="0" w:line="240" w:lineRule="auto"/>
        <w:jc w:val="left"/>
        <w:rPr>
          <w:b/>
          <w:sz w:val="2"/>
          <w:szCs w:val="2"/>
          <w:highlight w:val="yellow"/>
        </w:rPr>
      </w:pPr>
    </w:p>
    <w:p w14:paraId="34EAC503" w14:textId="067E7B23" w:rsidR="00010A2C" w:rsidRPr="000F45E7" w:rsidRDefault="00010A2C" w:rsidP="00010A2C">
      <w:pPr>
        <w:pStyle w:val="Nadpis11"/>
        <w:spacing w:after="0"/>
        <w:rPr>
          <w:b w:val="0"/>
          <w:sz w:val="2"/>
          <w:szCs w:val="2"/>
        </w:rPr>
      </w:pPr>
    </w:p>
    <w:p w14:paraId="2D94D803" w14:textId="77777777" w:rsidR="00010A2C" w:rsidRPr="000F45E7" w:rsidRDefault="00010A2C" w:rsidP="00010A2C">
      <w:pPr>
        <w:pStyle w:val="Nadpis11"/>
        <w:spacing w:after="0"/>
        <w:rPr>
          <w:b w:val="0"/>
          <w:sz w:val="2"/>
          <w:szCs w:val="2"/>
        </w:rPr>
      </w:pPr>
    </w:p>
    <w:p w14:paraId="040113C5" w14:textId="77777777" w:rsidR="00700E8A" w:rsidRDefault="00700E8A" w:rsidP="00700E8A">
      <w:pPr>
        <w:spacing w:after="0" w:line="240" w:lineRule="auto"/>
        <w:jc w:val="left"/>
        <w:rPr>
          <w:b/>
          <w:sz w:val="2"/>
          <w:szCs w:val="2"/>
          <w:highlight w:val="yellow"/>
        </w:rPr>
      </w:pPr>
    </w:p>
    <w:p w14:paraId="45EF3830" w14:textId="77777777" w:rsidR="0073261D" w:rsidRDefault="0073261D" w:rsidP="0073261D">
      <w:pPr>
        <w:pStyle w:val="Nadpis11"/>
      </w:pPr>
      <w:bookmarkStart w:id="16" w:name="_Toc82508186"/>
      <w:bookmarkStart w:id="17" w:name="_Toc98756079"/>
      <w:r>
        <w:lastRenderedPageBreak/>
        <w:t>3</w:t>
      </w:r>
      <w:r w:rsidRPr="00B43216">
        <w:t>. </w:t>
      </w:r>
      <w:r>
        <w:t>Výkonnost odvětví</w:t>
      </w:r>
      <w:bookmarkEnd w:id="16"/>
      <w:bookmarkEnd w:id="17"/>
    </w:p>
    <w:tbl>
      <w:tblPr>
        <w:tblW w:w="9664" w:type="dxa"/>
        <w:tblInd w:w="-30" w:type="dxa"/>
        <w:tblCellMar>
          <w:left w:w="0" w:type="dxa"/>
          <w:right w:w="0" w:type="dxa"/>
        </w:tblCellMar>
        <w:tblLook w:val="00A0" w:firstRow="1" w:lastRow="0" w:firstColumn="1" w:lastColumn="0" w:noHBand="0" w:noVBand="0"/>
      </w:tblPr>
      <w:tblGrid>
        <w:gridCol w:w="1728"/>
        <w:gridCol w:w="206"/>
        <w:gridCol w:w="7730"/>
      </w:tblGrid>
      <w:tr w:rsidR="00F77A50" w:rsidRPr="006237E6" w14:paraId="58F15F29" w14:textId="77777777" w:rsidTr="00B66208">
        <w:trPr>
          <w:trHeight w:val="155"/>
        </w:trPr>
        <w:tc>
          <w:tcPr>
            <w:tcW w:w="1728" w:type="dxa"/>
            <w:shd w:val="clear" w:color="auto" w:fill="auto"/>
            <w:tcMar>
              <w:left w:w="0" w:type="dxa"/>
            </w:tcMar>
          </w:tcPr>
          <w:p w14:paraId="7C3DC5B1" w14:textId="77777777" w:rsidR="00F77A50" w:rsidRDefault="00F77A50" w:rsidP="00B66208">
            <w:pPr>
              <w:pStyle w:val="Marginlie"/>
            </w:pPr>
            <w:r>
              <w:t>Po většinu loňského roku pokračovalo pokrizové zotavování služeb. To nebylo významně narušeno při zhoršení epidemické situace ve 4. čtvrtletí.</w:t>
            </w:r>
          </w:p>
        </w:tc>
        <w:tc>
          <w:tcPr>
            <w:tcW w:w="206" w:type="dxa"/>
            <w:shd w:val="clear" w:color="auto" w:fill="auto"/>
            <w:tcMar>
              <w:left w:w="0" w:type="dxa"/>
            </w:tcMar>
          </w:tcPr>
          <w:p w14:paraId="68D621B1"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79D77005" w14:textId="77777777" w:rsidR="00F77A50" w:rsidRDefault="00F77A50" w:rsidP="00B66208">
            <w:pPr>
              <w:spacing w:after="200"/>
              <w:rPr>
                <w:spacing w:val="-4"/>
              </w:rPr>
            </w:pPr>
            <w:r>
              <w:rPr>
                <w:spacing w:val="-4"/>
              </w:rPr>
              <w:t>Tuzemská ekonomika ve druhé půli loňského roku pokračovala v zotavování, jež bylo nastartováno již během jarního období, kdy se podstatně zlepšila epidemická situace, a restriktivní opatření svírající část ekonomiky tak byla postupně zrušena. Mezikvartální růst hrubé přidané hodnoty</w:t>
            </w:r>
            <w:r w:rsidRPr="001F719B">
              <w:rPr>
                <w:spacing w:val="-4"/>
              </w:rPr>
              <w:t xml:space="preserve"> (HPH)</w:t>
            </w:r>
            <w:r w:rsidRPr="001F719B">
              <w:rPr>
                <w:rStyle w:val="Znakapoznpodarou"/>
                <w:spacing w:val="-4"/>
              </w:rPr>
              <w:footnoteReference w:id="19"/>
            </w:r>
            <w:r>
              <w:rPr>
                <w:spacing w:val="-4"/>
              </w:rPr>
              <w:t xml:space="preserve"> dosáhl ve 2. čtvrtletí 1,0 % a v následujícím období zrychlil na 1,5 %. Pomohly tomu zejména obchod, doprava a další aktivity s vazbou na cestovní ruch, stimulačně působily i veřejné služby</w:t>
            </w:r>
            <w:r>
              <w:rPr>
                <w:rStyle w:val="Znakapoznpodarou"/>
                <w:spacing w:val="-4"/>
              </w:rPr>
              <w:footnoteReference w:id="20"/>
            </w:r>
            <w:r>
              <w:rPr>
                <w:spacing w:val="-4"/>
              </w:rPr>
              <w:t>. Ve 4. čtvrtletí souhrnný růst výkonu všech odvětví zvolnil na 0,7 %. Prohlubující se dodavatelské problémy tlumily výkon zpracovatelského průmyslu (–1,6 %), zastavil se i růst ve stavebnictví. Nečekané citelné zhoršení epidemické situace již ale nevedlo k uzavírání provozoven a všechna klíčová odvětví služeb pokračovala v růstu – dařilo se zejména finančnímu sektoru a oblasti nemovitostí. HPH v celé ekonomice sice za svým předkrizovým maximem stále zaostávala (o</w:t>
            </w:r>
            <w:r w:rsidRPr="001F719B">
              <w:rPr>
                <w:spacing w:val="-4"/>
              </w:rPr>
              <w:t> </w:t>
            </w:r>
            <w:r>
              <w:rPr>
                <w:spacing w:val="-4"/>
              </w:rPr>
              <w:t>2,2 %)</w:t>
            </w:r>
            <w:r>
              <w:rPr>
                <w:rStyle w:val="Znakapoznpodarou"/>
                <w:spacing w:val="-4"/>
              </w:rPr>
              <w:footnoteReference w:id="21"/>
            </w:r>
            <w:r>
              <w:rPr>
                <w:spacing w:val="-4"/>
              </w:rPr>
              <w:t>, řada odvětví služeb ale svůj rekordní výkon z roku 2019 již překonala</w:t>
            </w:r>
            <w:r>
              <w:rPr>
                <w:rStyle w:val="Znakapoznpodarou"/>
                <w:spacing w:val="-4"/>
              </w:rPr>
              <w:footnoteReference w:id="22"/>
            </w:r>
            <w:r>
              <w:rPr>
                <w:spacing w:val="-4"/>
              </w:rPr>
              <w:t>.</w:t>
            </w:r>
          </w:p>
        </w:tc>
      </w:tr>
      <w:tr w:rsidR="00F77A50" w:rsidRPr="006237E6" w14:paraId="0FDE1C2A" w14:textId="77777777" w:rsidTr="00B66208">
        <w:trPr>
          <w:trHeight w:val="155"/>
        </w:trPr>
        <w:tc>
          <w:tcPr>
            <w:tcW w:w="1728" w:type="dxa"/>
            <w:shd w:val="clear" w:color="auto" w:fill="auto"/>
            <w:tcMar>
              <w:left w:w="0" w:type="dxa"/>
            </w:tcMar>
          </w:tcPr>
          <w:p w14:paraId="3EDC7EBD" w14:textId="77777777" w:rsidR="00F77A50" w:rsidRDefault="00F77A50" w:rsidP="00B66208">
            <w:pPr>
              <w:pStyle w:val="Marginlie"/>
            </w:pPr>
            <w:r>
              <w:t>V celoročním pohledu přispíval k růstu HPH stále nejvíce zpracovatelský průmysl. Dobrých výsledků nadále dosahovalo zemědělství, dařilo se i většině služeb, zejména těm veřejným.</w:t>
            </w:r>
          </w:p>
        </w:tc>
        <w:tc>
          <w:tcPr>
            <w:tcW w:w="206" w:type="dxa"/>
            <w:shd w:val="clear" w:color="auto" w:fill="auto"/>
            <w:tcMar>
              <w:left w:w="0" w:type="dxa"/>
            </w:tcMar>
          </w:tcPr>
          <w:p w14:paraId="2BF6E025"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3901A9DC" w14:textId="77777777" w:rsidR="00F77A50" w:rsidRPr="00236892" w:rsidRDefault="00F77A50" w:rsidP="00B66208">
            <w:pPr>
              <w:spacing w:after="200"/>
              <w:rPr>
                <w:spacing w:val="-5"/>
              </w:rPr>
            </w:pPr>
            <w:r w:rsidRPr="00236892">
              <w:rPr>
                <w:spacing w:val="-7"/>
              </w:rPr>
              <w:t>V roce 2021 se HPH v celé ekonomice zvýšila meziročně o 3,0 %. I přes narůstající logistické potíže přispěl k růstu nejvíce zpracovatelský průmysl (+1,1 p. b.). Dařilo se odvětví zemědělství,</w:t>
            </w:r>
            <w:r w:rsidRPr="00236892">
              <w:rPr>
                <w:spacing w:val="-5"/>
              </w:rPr>
              <w:t xml:space="preserve"> </w:t>
            </w:r>
            <w:r w:rsidRPr="00236892">
              <w:rPr>
                <w:spacing w:val="-6"/>
              </w:rPr>
              <w:t>lesnictví a rybářství, kde se zvyšovala produktivita práce a přidaná hodnota rostla čtvrtý rok v řadě. Loňská sklizeň zemědělských plodin byla ve srovnání s dobrou sklizní z roku 2020 srovnatelná</w:t>
            </w:r>
            <w:r w:rsidRPr="00236892">
              <w:rPr>
                <w:rStyle w:val="Znakapoznpodarou"/>
                <w:spacing w:val="-6"/>
              </w:rPr>
              <w:footnoteReference w:id="23"/>
            </w:r>
            <w:r w:rsidRPr="00236892">
              <w:rPr>
                <w:spacing w:val="-6"/>
              </w:rPr>
              <w:t>, v kontextu celé poslední dekády pak zřetelně nadprůměrná</w:t>
            </w:r>
            <w:r w:rsidRPr="00236892">
              <w:rPr>
                <w:rStyle w:val="Znakapoznpodarou"/>
                <w:spacing w:val="-6"/>
              </w:rPr>
              <w:footnoteReference w:id="24"/>
            </w:r>
            <w:r w:rsidRPr="00236892">
              <w:rPr>
                <w:spacing w:val="-6"/>
              </w:rPr>
              <w:t>. V živočišné výrobě pokračoval čtvrtým rokem v řadě mírný růst výroby masa (+2,6 %), přímý nákup mléka od tuzemských producentů se ale ve srovnání s rekordní výší z roku 2020 o 2,0 % snížil. Vedle toho měla na výkon celého primárního sektoru patrně vliv i oslabující kůrovcová kalamita (rekordní živelní těžba dřeva z roku 2020 se loni již neopakovala). Ze služeb rostla loni HPH nejvíce ve finančnictví a k růstu celé ekonomiky přispěla 0,4 p. b. Podobný vliv mělo i zotavující se odvětví obchod, doprava, ubytování a pohostinství a rovněž veřejné služby, u nichž k rekordnímu růstu HPH (o 2,9 %) významně přispěl vyšší počet odpracovaných hodin.</w:t>
            </w:r>
          </w:p>
        </w:tc>
      </w:tr>
      <w:tr w:rsidR="00F77A50" w:rsidRPr="006237E6" w14:paraId="4D9CD0E7" w14:textId="77777777" w:rsidTr="00B66208">
        <w:trPr>
          <w:trHeight w:val="155"/>
        </w:trPr>
        <w:tc>
          <w:tcPr>
            <w:tcW w:w="1728" w:type="dxa"/>
            <w:shd w:val="clear" w:color="auto" w:fill="auto"/>
            <w:tcMar>
              <w:left w:w="0" w:type="dxa"/>
            </w:tcMar>
          </w:tcPr>
          <w:p w14:paraId="56EB366C" w14:textId="77777777" w:rsidR="00F77A50" w:rsidRDefault="00F77A50" w:rsidP="00B66208">
            <w:pPr>
              <w:pStyle w:val="Marginlie"/>
              <w:rPr>
                <w:spacing w:val="-4"/>
              </w:rPr>
            </w:pPr>
            <w:r>
              <w:rPr>
                <w:spacing w:val="-4"/>
              </w:rPr>
              <w:t>Pokrizové zotavování průmyslu probíhalo loni značně nerovnoměrně.</w:t>
            </w:r>
          </w:p>
        </w:tc>
        <w:tc>
          <w:tcPr>
            <w:tcW w:w="206" w:type="dxa"/>
            <w:shd w:val="clear" w:color="auto" w:fill="auto"/>
            <w:tcMar>
              <w:left w:w="0" w:type="dxa"/>
            </w:tcMar>
          </w:tcPr>
          <w:p w14:paraId="1893ABCC"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74326D6C" w14:textId="77777777" w:rsidR="00F77A50" w:rsidRDefault="00F77A50" w:rsidP="00B66208">
            <w:pPr>
              <w:spacing w:after="200"/>
              <w:rPr>
                <w:color w:val="0D0D0D" w:themeColor="text1" w:themeTint="F2"/>
                <w:spacing w:val="-4"/>
              </w:rPr>
            </w:pPr>
            <w:r>
              <w:rPr>
                <w:color w:val="0D0D0D" w:themeColor="text1" w:themeTint="F2"/>
                <w:spacing w:val="-4"/>
              </w:rPr>
              <w:t xml:space="preserve">Pokračující zotavování průmyslu v roce 2021 </w:t>
            </w:r>
            <w:r w:rsidRPr="00BF07B5">
              <w:rPr>
                <w:color w:val="0D0D0D" w:themeColor="text1" w:themeTint="F2"/>
                <w:spacing w:val="-4"/>
              </w:rPr>
              <w:t>dokládají</w:t>
            </w:r>
            <w:r>
              <w:rPr>
                <w:color w:val="0D0D0D" w:themeColor="text1" w:themeTint="F2"/>
                <w:spacing w:val="-4"/>
              </w:rPr>
              <w:t xml:space="preserve"> vedle údajů o přidané hodnotě i podrobnější data</w:t>
            </w:r>
            <w:r w:rsidRPr="00BF07B5">
              <w:rPr>
                <w:color w:val="0D0D0D" w:themeColor="text1" w:themeTint="F2"/>
                <w:spacing w:val="-4"/>
              </w:rPr>
              <w:t xml:space="preserve"> z podnikových statistik.</w:t>
            </w:r>
            <w:r>
              <w:rPr>
                <w:color w:val="0D0D0D" w:themeColor="text1" w:themeTint="F2"/>
                <w:spacing w:val="-4"/>
              </w:rPr>
              <w:t xml:space="preserve"> Toto oživení probíhalo ovšem nerovnoměrně, a</w:t>
            </w:r>
            <w:r w:rsidRPr="00BF07B5">
              <w:rPr>
                <w:color w:val="0D0D0D" w:themeColor="text1" w:themeTint="F2"/>
                <w:spacing w:val="-4"/>
              </w:rPr>
              <w:t> </w:t>
            </w:r>
            <w:r>
              <w:rPr>
                <w:color w:val="0D0D0D" w:themeColor="text1" w:themeTint="F2"/>
                <w:spacing w:val="-4"/>
              </w:rPr>
              <w:t>to jak z pohledu jednotlivých částí roku, tak i z hlediska odvětví. Automobilový průmysl se po celý rok potýkal s dodavatelskými problémy, jež pramenily z rychlého oživení nejvyspělejších světových ekonomik doprovázeného výrobními i logistickými problémy v asijských regionech. Vedle toho se některé obory silně zasažené během pandemie (např. oděvnictví, výroba nápojů) stále potýkaly s nedostatečnou poptávkou.</w:t>
            </w:r>
          </w:p>
        </w:tc>
      </w:tr>
      <w:tr w:rsidR="00F77A50" w:rsidRPr="006237E6" w14:paraId="44F812E8" w14:textId="77777777" w:rsidTr="00B66208">
        <w:trPr>
          <w:trHeight w:val="155"/>
        </w:trPr>
        <w:tc>
          <w:tcPr>
            <w:tcW w:w="1728" w:type="dxa"/>
            <w:shd w:val="clear" w:color="auto" w:fill="auto"/>
            <w:tcMar>
              <w:left w:w="0" w:type="dxa"/>
            </w:tcMar>
          </w:tcPr>
          <w:p w14:paraId="140713C0" w14:textId="77777777" w:rsidR="00F77A50" w:rsidRDefault="00F77A50" w:rsidP="00B66208">
            <w:pPr>
              <w:pStyle w:val="Marginlie"/>
              <w:rPr>
                <w:spacing w:val="-4"/>
              </w:rPr>
            </w:pPr>
            <w:r>
              <w:rPr>
                <w:spacing w:val="-4"/>
              </w:rPr>
              <w:t>Ve 2. čtvrtletí byl výkon průmyslu na svém loňském vrcholu, když těžil z celkového oživení ekonomiky v eurozóně.</w:t>
            </w:r>
          </w:p>
        </w:tc>
        <w:tc>
          <w:tcPr>
            <w:tcW w:w="206" w:type="dxa"/>
            <w:shd w:val="clear" w:color="auto" w:fill="auto"/>
            <w:tcMar>
              <w:left w:w="0" w:type="dxa"/>
            </w:tcMar>
          </w:tcPr>
          <w:p w14:paraId="6E8D5A74"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3FD40CB3" w14:textId="77777777" w:rsidR="00F77A50" w:rsidRPr="00BF07B5" w:rsidRDefault="00F77A50" w:rsidP="00B66208">
            <w:pPr>
              <w:spacing w:after="200"/>
              <w:rPr>
                <w:color w:val="0D0D0D" w:themeColor="text1" w:themeTint="F2"/>
                <w:spacing w:val="-4"/>
              </w:rPr>
            </w:pPr>
            <w:r>
              <w:rPr>
                <w:color w:val="0D0D0D" w:themeColor="text1" w:themeTint="F2"/>
                <w:spacing w:val="-4"/>
              </w:rPr>
              <w:t>Po rychlém restartu</w:t>
            </w:r>
            <w:r w:rsidRPr="00BF07B5">
              <w:rPr>
                <w:color w:val="0D0D0D" w:themeColor="text1" w:themeTint="F2"/>
                <w:spacing w:val="-4"/>
              </w:rPr>
              <w:t xml:space="preserve"> průmyslu v druhé polovině roku</w:t>
            </w:r>
            <w:r>
              <w:rPr>
                <w:color w:val="0D0D0D" w:themeColor="text1" w:themeTint="F2"/>
                <w:spacing w:val="-4"/>
              </w:rPr>
              <w:t xml:space="preserve"> 2020, na kterém se kromě</w:t>
            </w:r>
            <w:r w:rsidRPr="00BF07B5">
              <w:rPr>
                <w:color w:val="0D0D0D" w:themeColor="text1" w:themeTint="F2"/>
                <w:spacing w:val="-4"/>
              </w:rPr>
              <w:t xml:space="preserve"> klíčových e</w:t>
            </w:r>
            <w:r>
              <w:rPr>
                <w:color w:val="0D0D0D" w:themeColor="text1" w:themeTint="F2"/>
                <w:spacing w:val="-4"/>
              </w:rPr>
              <w:t>xportních oborů podílelo široké</w:t>
            </w:r>
            <w:r w:rsidRPr="00BF07B5">
              <w:rPr>
                <w:color w:val="0D0D0D" w:themeColor="text1" w:themeTint="F2"/>
                <w:spacing w:val="-4"/>
              </w:rPr>
              <w:t xml:space="preserve"> spektrum dílčích odvětví, výkon celého průmyslu na počátku roku 2021 dočasně poklesl. V 1.</w:t>
            </w:r>
            <w:r>
              <w:rPr>
                <w:color w:val="0D0D0D" w:themeColor="text1" w:themeTint="F2"/>
                <w:spacing w:val="-4"/>
              </w:rPr>
              <w:t> čtvrtlet</w:t>
            </w:r>
            <w:r w:rsidRPr="00BF07B5">
              <w:rPr>
                <w:color w:val="0D0D0D" w:themeColor="text1" w:themeTint="F2"/>
                <w:spacing w:val="-4"/>
              </w:rPr>
              <w:t>í se průmyslová produkce</w:t>
            </w:r>
            <w:r w:rsidRPr="00BF07B5">
              <w:rPr>
                <w:color w:val="0D0D0D" w:themeColor="text1" w:themeTint="F2"/>
                <w:spacing w:val="-4"/>
                <w:vertAlign w:val="superscript"/>
              </w:rPr>
              <w:footnoteReference w:id="25"/>
            </w:r>
            <w:r>
              <w:rPr>
                <w:color w:val="0D0D0D" w:themeColor="text1" w:themeTint="F2"/>
                <w:spacing w:val="-4"/>
              </w:rPr>
              <w:t xml:space="preserve"> mezikvartálně snížila o 1,1 %</w:t>
            </w:r>
            <w:r w:rsidRPr="00BF07B5">
              <w:rPr>
                <w:color w:val="0D0D0D" w:themeColor="text1" w:themeTint="F2"/>
                <w:spacing w:val="-4"/>
              </w:rPr>
              <w:t xml:space="preserve">, neboť </w:t>
            </w:r>
            <w:r>
              <w:rPr>
                <w:color w:val="0D0D0D" w:themeColor="text1" w:themeTint="F2"/>
                <w:spacing w:val="-4"/>
              </w:rPr>
              <w:t xml:space="preserve">svižné </w:t>
            </w:r>
            <w:r w:rsidRPr="00BF07B5">
              <w:rPr>
                <w:color w:val="0D0D0D" w:themeColor="text1" w:themeTint="F2"/>
                <w:spacing w:val="-4"/>
              </w:rPr>
              <w:t>pokrizové zotavování u</w:t>
            </w:r>
            <w:r>
              <w:rPr>
                <w:color w:val="0D0D0D" w:themeColor="text1" w:themeTint="F2"/>
                <w:spacing w:val="-4"/>
              </w:rPr>
              <w:t> </w:t>
            </w:r>
            <w:r w:rsidRPr="00BF07B5">
              <w:rPr>
                <w:color w:val="0D0D0D" w:themeColor="text1" w:themeTint="F2"/>
                <w:spacing w:val="-4"/>
              </w:rPr>
              <w:t>výrobců automobilů (v</w:t>
            </w:r>
            <w:r>
              <w:rPr>
                <w:color w:val="0D0D0D" w:themeColor="text1" w:themeTint="F2"/>
                <w:spacing w:val="-4"/>
              </w:rPr>
              <w:t xml:space="preserve">četně </w:t>
            </w:r>
            <w:r w:rsidRPr="00BF07B5">
              <w:rPr>
                <w:color w:val="0D0D0D" w:themeColor="text1" w:themeTint="F2"/>
                <w:spacing w:val="-4"/>
              </w:rPr>
              <w:t xml:space="preserve">jejich </w:t>
            </w:r>
            <w:r w:rsidRPr="00BF07B5">
              <w:rPr>
                <w:color w:val="0D0D0D" w:themeColor="text1" w:themeTint="F2"/>
                <w:spacing w:val="-4"/>
              </w:rPr>
              <w:lastRenderedPageBreak/>
              <w:t>nejbližších tuzemských subdodavatelů)</w:t>
            </w:r>
            <w:r>
              <w:rPr>
                <w:color w:val="0D0D0D" w:themeColor="text1" w:themeTint="F2"/>
                <w:spacing w:val="-4"/>
              </w:rPr>
              <w:t xml:space="preserve"> a </w:t>
            </w:r>
            <w:r w:rsidRPr="00BF07B5">
              <w:rPr>
                <w:color w:val="0D0D0D" w:themeColor="text1" w:themeTint="F2"/>
                <w:spacing w:val="-4"/>
              </w:rPr>
              <w:t>v</w:t>
            </w:r>
            <w:r>
              <w:rPr>
                <w:color w:val="0D0D0D" w:themeColor="text1" w:themeTint="F2"/>
                <w:spacing w:val="-4"/>
              </w:rPr>
              <w:t> chemickém průmyslu se zastavilo</w:t>
            </w:r>
            <w:r w:rsidRPr="00BF07B5">
              <w:rPr>
                <w:color w:val="0D0D0D" w:themeColor="text1" w:themeTint="F2"/>
                <w:spacing w:val="-4"/>
              </w:rPr>
              <w:t xml:space="preserve">. V následujícím čtvrtletí se </w:t>
            </w:r>
            <w:r>
              <w:rPr>
                <w:color w:val="0D0D0D" w:themeColor="text1" w:themeTint="F2"/>
                <w:spacing w:val="-4"/>
              </w:rPr>
              <w:t xml:space="preserve">mírný </w:t>
            </w:r>
            <w:r w:rsidRPr="00BF07B5">
              <w:rPr>
                <w:color w:val="0D0D0D" w:themeColor="text1" w:themeTint="F2"/>
                <w:spacing w:val="-4"/>
              </w:rPr>
              <w:t xml:space="preserve">růst </w:t>
            </w:r>
            <w:r>
              <w:rPr>
                <w:color w:val="0D0D0D" w:themeColor="text1" w:themeTint="F2"/>
                <w:spacing w:val="-4"/>
              </w:rPr>
              <w:t>průmyslové produkce obnovil (0,9 %</w:t>
            </w:r>
            <w:r w:rsidRPr="00BF07B5">
              <w:rPr>
                <w:color w:val="0D0D0D" w:themeColor="text1" w:themeTint="F2"/>
                <w:spacing w:val="-4"/>
              </w:rPr>
              <w:t>). „Znovuotevření“ ekonomiky po ústupu pandemické vlny navrátilo v Česku i</w:t>
            </w:r>
            <w:r>
              <w:rPr>
                <w:color w:val="0D0D0D" w:themeColor="text1" w:themeTint="F2"/>
                <w:spacing w:val="-4"/>
              </w:rPr>
              <w:t> v </w:t>
            </w:r>
            <w:r w:rsidRPr="00BF07B5">
              <w:rPr>
                <w:color w:val="0D0D0D" w:themeColor="text1" w:themeTint="F2"/>
                <w:spacing w:val="-4"/>
              </w:rPr>
              <w:t xml:space="preserve">EU část ztracené důvěry spotřebitelů a podnikatelů, což </w:t>
            </w:r>
            <w:r>
              <w:rPr>
                <w:color w:val="0D0D0D" w:themeColor="text1" w:themeTint="F2"/>
                <w:spacing w:val="-4"/>
              </w:rPr>
              <w:t>vedlo k</w:t>
            </w:r>
            <w:r w:rsidRPr="00BF07B5">
              <w:rPr>
                <w:color w:val="0D0D0D" w:themeColor="text1" w:themeTint="F2"/>
                <w:spacing w:val="-4"/>
              </w:rPr>
              <w:t> oživení spotřeby a</w:t>
            </w:r>
            <w:r>
              <w:rPr>
                <w:color w:val="0D0D0D" w:themeColor="text1" w:themeTint="F2"/>
                <w:spacing w:val="-4"/>
              </w:rPr>
              <w:t> </w:t>
            </w:r>
            <w:r w:rsidRPr="00BF07B5">
              <w:rPr>
                <w:color w:val="0D0D0D" w:themeColor="text1" w:themeTint="F2"/>
                <w:spacing w:val="-4"/>
              </w:rPr>
              <w:t xml:space="preserve">investiční aktivity. </w:t>
            </w:r>
            <w:r>
              <w:rPr>
                <w:color w:val="0D0D0D" w:themeColor="text1" w:themeTint="F2"/>
                <w:spacing w:val="-4"/>
              </w:rPr>
              <w:t>Výrazně vývozně</w:t>
            </w:r>
            <w:r w:rsidRPr="00BF07B5">
              <w:rPr>
                <w:color w:val="0D0D0D" w:themeColor="text1" w:themeTint="F2"/>
                <w:spacing w:val="-4"/>
              </w:rPr>
              <w:t xml:space="preserve"> orientovaný tuzemský průmysl těžil na jaře zejména</w:t>
            </w:r>
            <w:r>
              <w:rPr>
                <w:color w:val="0D0D0D" w:themeColor="text1" w:themeTint="F2"/>
                <w:spacing w:val="-4"/>
              </w:rPr>
              <w:t xml:space="preserve"> </w:t>
            </w:r>
            <w:r w:rsidRPr="00BF07B5">
              <w:rPr>
                <w:color w:val="0D0D0D" w:themeColor="text1" w:themeTint="F2"/>
                <w:spacing w:val="-4"/>
              </w:rPr>
              <w:t>z</w:t>
            </w:r>
            <w:r>
              <w:rPr>
                <w:color w:val="0D0D0D" w:themeColor="text1" w:themeTint="F2"/>
                <w:spacing w:val="-4"/>
              </w:rPr>
              <w:t> </w:t>
            </w:r>
            <w:r w:rsidRPr="00BF07B5">
              <w:rPr>
                <w:color w:val="0D0D0D" w:themeColor="text1" w:themeTint="F2"/>
                <w:spacing w:val="-4"/>
              </w:rPr>
              <w:t>příznivého hospodářského vývoje klíčových exportních teritorií – Německa, resp. celé</w:t>
            </w:r>
            <w:r>
              <w:rPr>
                <w:color w:val="0D0D0D" w:themeColor="text1" w:themeTint="F2"/>
                <w:spacing w:val="-4"/>
              </w:rPr>
              <w:t> </w:t>
            </w:r>
            <w:r w:rsidRPr="00BF07B5">
              <w:rPr>
                <w:color w:val="0D0D0D" w:themeColor="text1" w:themeTint="F2"/>
                <w:spacing w:val="-4"/>
              </w:rPr>
              <w:t>EU</w:t>
            </w:r>
            <w:r w:rsidRPr="00BF07B5">
              <w:rPr>
                <w:rStyle w:val="Znakapoznpodarou"/>
                <w:color w:val="0D0D0D" w:themeColor="text1" w:themeTint="F2"/>
                <w:spacing w:val="-4"/>
              </w:rPr>
              <w:footnoteReference w:id="26"/>
            </w:r>
            <w:r w:rsidRPr="00BF07B5">
              <w:rPr>
                <w:color w:val="0D0D0D" w:themeColor="text1" w:themeTint="F2"/>
                <w:spacing w:val="-4"/>
              </w:rPr>
              <w:t>.</w:t>
            </w:r>
          </w:p>
        </w:tc>
      </w:tr>
      <w:tr w:rsidR="00F77A50" w:rsidRPr="006237E6" w14:paraId="0D587942" w14:textId="77777777" w:rsidTr="00B66208">
        <w:trPr>
          <w:trHeight w:val="155"/>
        </w:trPr>
        <w:tc>
          <w:tcPr>
            <w:tcW w:w="1728" w:type="dxa"/>
            <w:shd w:val="clear" w:color="auto" w:fill="auto"/>
            <w:tcMar>
              <w:left w:w="0" w:type="dxa"/>
            </w:tcMar>
          </w:tcPr>
          <w:p w14:paraId="7BFA2CFD" w14:textId="77777777" w:rsidR="00F77A50" w:rsidRDefault="00F77A50" w:rsidP="00B66208">
            <w:pPr>
              <w:pStyle w:val="Marginlie"/>
              <w:rPr>
                <w:spacing w:val="-4"/>
              </w:rPr>
            </w:pPr>
            <w:r>
              <w:rPr>
                <w:spacing w:val="-4"/>
              </w:rPr>
              <w:lastRenderedPageBreak/>
              <w:t>Ve 2. pololetí byl průmysl tlumen sílícími problémy s dostupností komponent pro výrobu automobilů a v samém konci roku i silným růstem cen energií a materiálových vstupů v celém průmyslu.</w:t>
            </w:r>
          </w:p>
        </w:tc>
        <w:tc>
          <w:tcPr>
            <w:tcW w:w="206" w:type="dxa"/>
            <w:shd w:val="clear" w:color="auto" w:fill="auto"/>
            <w:tcMar>
              <w:left w:w="0" w:type="dxa"/>
            </w:tcMar>
          </w:tcPr>
          <w:p w14:paraId="479CD687"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66DED32E" w14:textId="77777777" w:rsidR="00F77A50" w:rsidRDefault="00F77A50" w:rsidP="00B66208">
            <w:pPr>
              <w:spacing w:after="200"/>
              <w:rPr>
                <w:color w:val="0D0D0D" w:themeColor="text1" w:themeTint="F2"/>
                <w:spacing w:val="-4"/>
              </w:rPr>
            </w:pPr>
            <w:r>
              <w:rPr>
                <w:color w:val="0D0D0D" w:themeColor="text1" w:themeTint="F2"/>
                <w:spacing w:val="-4"/>
              </w:rPr>
              <w:t xml:space="preserve">Tento slibný vývoj byl ale ve druhé polovině roku zastíněn prohlubujícími se problémy v globálních dodavatelských řetězcích, které citelně narušily plynulost výroby především v dominantním odvětví automobilového průmyslu. </w:t>
            </w:r>
            <w:r w:rsidRPr="00BF07B5">
              <w:rPr>
                <w:color w:val="0D0D0D" w:themeColor="text1" w:themeTint="F2"/>
                <w:spacing w:val="-4"/>
              </w:rPr>
              <w:t>Produkce v</w:t>
            </w:r>
            <w:r>
              <w:rPr>
                <w:color w:val="0D0D0D" w:themeColor="text1" w:themeTint="F2"/>
                <w:spacing w:val="-4"/>
              </w:rPr>
              <w:t xml:space="preserve"> celém </w:t>
            </w:r>
            <w:r w:rsidRPr="00BF07B5">
              <w:rPr>
                <w:color w:val="0D0D0D" w:themeColor="text1" w:themeTint="F2"/>
                <w:spacing w:val="-4"/>
              </w:rPr>
              <w:t xml:space="preserve">průmyslu </w:t>
            </w:r>
            <w:r>
              <w:rPr>
                <w:color w:val="0D0D0D" w:themeColor="text1" w:themeTint="F2"/>
                <w:spacing w:val="-4"/>
              </w:rPr>
              <w:t>tak ve 3. </w:t>
            </w:r>
            <w:r w:rsidRPr="00BF07B5">
              <w:rPr>
                <w:color w:val="0D0D0D" w:themeColor="text1" w:themeTint="F2"/>
                <w:spacing w:val="-4"/>
              </w:rPr>
              <w:t>čtvrtle</w:t>
            </w:r>
            <w:r>
              <w:rPr>
                <w:color w:val="0D0D0D" w:themeColor="text1" w:themeTint="F2"/>
                <w:spacing w:val="-4"/>
              </w:rPr>
              <w:t>tí mezikvartálně klesla o 2,2 %. Problémy s nedostatkovými výrobními komponenty sice na konci loňského roku lehce polevily, většina průmyslových podniků ovšem musela čelit silnému cenovému růstu materiálových vstupů umocněnému neočekávanou eskalací cen energií. Oproti 3. čtvrtletí tak objem průmyslové výroby na sklonku roku stagnoval, a ve většině významných odvětví se dokonce mírně snížil (vyjma energetiky a chemického průmyslu). Ve srovnání s předpandemickým maximem z května 2019 průmyslová produkce v posledním loňském měsíci stále významně zaostávala (o 6,1 %).</w:t>
            </w:r>
          </w:p>
        </w:tc>
      </w:tr>
      <w:tr w:rsidR="00F77A50" w:rsidRPr="006237E6" w14:paraId="15B833DC" w14:textId="77777777" w:rsidTr="00B66208">
        <w:trPr>
          <w:trHeight w:val="155"/>
        </w:trPr>
        <w:tc>
          <w:tcPr>
            <w:tcW w:w="1728" w:type="dxa"/>
            <w:shd w:val="clear" w:color="auto" w:fill="auto"/>
            <w:tcMar>
              <w:left w:w="0" w:type="dxa"/>
            </w:tcMar>
          </w:tcPr>
          <w:p w14:paraId="1630A1E2" w14:textId="77777777" w:rsidR="00F77A50" w:rsidRPr="00DF54C0" w:rsidRDefault="00F77A50" w:rsidP="00B66208">
            <w:pPr>
              <w:pStyle w:val="Marginlie"/>
              <w:rPr>
                <w:spacing w:val="-4"/>
              </w:rPr>
            </w:pPr>
            <w:r>
              <w:rPr>
                <w:spacing w:val="-4"/>
              </w:rPr>
              <w:t xml:space="preserve">Bez zahrnutí výroby motorových vozidel </w:t>
            </w:r>
            <w:r>
              <w:rPr>
                <w:spacing w:val="-4"/>
              </w:rPr>
              <w:br/>
              <w:t xml:space="preserve">by meziroční růst průmyslové produkce pokračoval i ve </w:t>
            </w:r>
            <w:r>
              <w:rPr>
                <w:spacing w:val="-4"/>
              </w:rPr>
              <w:br/>
              <w:t>2. pololetí 2021.</w:t>
            </w:r>
          </w:p>
        </w:tc>
        <w:tc>
          <w:tcPr>
            <w:tcW w:w="206" w:type="dxa"/>
            <w:shd w:val="clear" w:color="auto" w:fill="auto"/>
            <w:tcMar>
              <w:left w:w="0" w:type="dxa"/>
            </w:tcMar>
          </w:tcPr>
          <w:p w14:paraId="62BF2AD3"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5ADAC4AE" w14:textId="77777777" w:rsidR="00F77A50" w:rsidRPr="00612727" w:rsidRDefault="00F77A50" w:rsidP="00B66208">
            <w:pPr>
              <w:spacing w:after="200"/>
              <w:rPr>
                <w:spacing w:val="-4"/>
              </w:rPr>
            </w:pPr>
            <w:r>
              <w:rPr>
                <w:color w:val="0D0D0D" w:themeColor="text1" w:themeTint="F2"/>
                <w:spacing w:val="-4"/>
              </w:rPr>
              <w:t xml:space="preserve">Za celý loňský rok </w:t>
            </w:r>
            <w:r>
              <w:rPr>
                <w:spacing w:val="-4"/>
              </w:rPr>
              <w:t>průmyslová produkce meziročně vzrostla o 6,6 % (za rok 2020 zejména vlivem jarních odstávek propadla o 7,2 %). Ve 3. i 4. čtvrtletí 2021 však výkon průmyslu mírně klesal (o 0,1 %, resp. 1,9 %). Stalo se tak z velké části vlivem automobilového průmyslu, jehož dynamika byla kromě výše uvedených faktorů ovlivněna i</w:t>
            </w:r>
            <w:r w:rsidRPr="00BF07B5">
              <w:rPr>
                <w:color w:val="0D0D0D" w:themeColor="text1" w:themeTint="F2"/>
                <w:spacing w:val="-4"/>
              </w:rPr>
              <w:t> </w:t>
            </w:r>
            <w:r>
              <w:rPr>
                <w:spacing w:val="-4"/>
              </w:rPr>
              <w:t>vysokou loňskou srovnávací základnou. Bez zahrnutí tohoto odvětví by tak ve druhé půli loňského roku růst průmyslu pokračoval (+4,1 %, resp. +1,8 %)</w:t>
            </w:r>
            <w:r>
              <w:rPr>
                <w:rStyle w:val="Znakapoznpodarou"/>
                <w:spacing w:val="-4"/>
              </w:rPr>
              <w:footnoteReference w:id="27"/>
            </w:r>
            <w:r>
              <w:rPr>
                <w:spacing w:val="-4"/>
              </w:rPr>
              <w:t>.</w:t>
            </w:r>
          </w:p>
        </w:tc>
      </w:tr>
      <w:tr w:rsidR="00F77A50" w:rsidRPr="006237E6" w14:paraId="5F76AB5A" w14:textId="77777777" w:rsidTr="00B66208">
        <w:trPr>
          <w:trHeight w:val="155"/>
        </w:trPr>
        <w:tc>
          <w:tcPr>
            <w:tcW w:w="1728" w:type="dxa"/>
            <w:shd w:val="clear" w:color="auto" w:fill="auto"/>
            <w:tcMar>
              <w:left w:w="0" w:type="dxa"/>
            </w:tcMar>
          </w:tcPr>
          <w:p w14:paraId="56AA40EF" w14:textId="77777777" w:rsidR="00F77A50" w:rsidRDefault="00F77A50" w:rsidP="00B66208">
            <w:pPr>
              <w:pStyle w:val="Marginlie"/>
              <w:rPr>
                <w:spacing w:val="-4"/>
              </w:rPr>
            </w:pPr>
            <w:r>
              <w:rPr>
                <w:spacing w:val="-4"/>
              </w:rPr>
              <w:t>K loňskému růstu průmyslové produkce přispěl nejvíce kovodělný průmysl. Dařilo se i hutnictví, chemickému průmyslu, strojírenství či elektrotechnice.</w:t>
            </w:r>
          </w:p>
          <w:p w14:paraId="5C89EBA3" w14:textId="77777777" w:rsidR="00F77A50" w:rsidRDefault="00F77A50" w:rsidP="00B66208">
            <w:pPr>
              <w:pStyle w:val="Marginlie"/>
              <w:rPr>
                <w:spacing w:val="-4"/>
              </w:rPr>
            </w:pPr>
          </w:p>
          <w:p w14:paraId="3221ABC0" w14:textId="77777777" w:rsidR="00F77A50" w:rsidRDefault="00F77A50" w:rsidP="00B66208">
            <w:pPr>
              <w:pStyle w:val="Marginlie"/>
              <w:rPr>
                <w:spacing w:val="-4"/>
              </w:rPr>
            </w:pPr>
          </w:p>
          <w:p w14:paraId="50C6AEEE" w14:textId="77777777" w:rsidR="00F77A50" w:rsidRDefault="00F77A50" w:rsidP="00B66208">
            <w:pPr>
              <w:pStyle w:val="Marginlie"/>
              <w:rPr>
                <w:spacing w:val="-4"/>
              </w:rPr>
            </w:pPr>
          </w:p>
          <w:p w14:paraId="7131B38E" w14:textId="77777777" w:rsidR="00F77A50" w:rsidRDefault="00F77A50" w:rsidP="00B66208">
            <w:pPr>
              <w:pStyle w:val="Marginlie"/>
              <w:rPr>
                <w:spacing w:val="-4"/>
              </w:rPr>
            </w:pPr>
          </w:p>
          <w:p w14:paraId="1AC23949" w14:textId="77777777" w:rsidR="00F77A50" w:rsidRDefault="00F77A50" w:rsidP="00B66208">
            <w:pPr>
              <w:pStyle w:val="Marginlie"/>
              <w:rPr>
                <w:spacing w:val="-4"/>
              </w:rPr>
            </w:pPr>
            <w:r>
              <w:rPr>
                <w:spacing w:val="-4"/>
              </w:rPr>
              <w:t>Zotavování automobilového průmyslu bylo po celý rok tlumeno problémy s dostupností výrobních komponent.</w:t>
            </w:r>
          </w:p>
        </w:tc>
        <w:tc>
          <w:tcPr>
            <w:tcW w:w="206" w:type="dxa"/>
            <w:shd w:val="clear" w:color="auto" w:fill="auto"/>
            <w:tcMar>
              <w:left w:w="0" w:type="dxa"/>
            </w:tcMar>
          </w:tcPr>
          <w:p w14:paraId="281C722C"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6654D4DA" w14:textId="77777777" w:rsidR="00F77A50" w:rsidRPr="00236892" w:rsidRDefault="00F77A50" w:rsidP="00B66208">
            <w:pPr>
              <w:spacing w:after="200"/>
              <w:rPr>
                <w:color w:val="0D0D0D" w:themeColor="text1" w:themeTint="F2"/>
                <w:spacing w:val="-5"/>
              </w:rPr>
            </w:pPr>
            <w:r>
              <w:rPr>
                <w:spacing w:val="-5"/>
              </w:rPr>
              <w:t>Za celý</w:t>
            </w:r>
            <w:r w:rsidRPr="00236892">
              <w:rPr>
                <w:spacing w:val="-5"/>
              </w:rPr>
              <w:t xml:space="preserve"> rok 2021 byl růst průmyslu tažen nejvíce výrobou kovových konstrukcí a</w:t>
            </w:r>
            <w:r w:rsidRPr="00236892">
              <w:rPr>
                <w:color w:val="0D0D0D" w:themeColor="text1" w:themeTint="F2"/>
                <w:spacing w:val="-5"/>
              </w:rPr>
              <w:t> </w:t>
            </w:r>
            <w:r w:rsidRPr="00236892">
              <w:rPr>
                <w:spacing w:val="-5"/>
              </w:rPr>
              <w:t>kovodělných výrobků (příspěvek +0,9 p. b., růst odvětví +9,1 %). Souviselo to i s oživením domácí i zahraniční poptávky v dlouhodobě útlumovém odvětví hutnictví, jehož výkon loni vzrostl nejvíce po roce 2010 (+11,4 %). Zhruba o desetinu loni posílilo také strojírenství, ale i obory částečně navázané na výrobu dopravních prostředků – gumárenství a plastikářství či elektrotechnický průmysl</w:t>
            </w:r>
            <w:r w:rsidRPr="00236892">
              <w:rPr>
                <w:rStyle w:val="Znakapoznpodarou"/>
                <w:spacing w:val="-5"/>
              </w:rPr>
              <w:footnoteReference w:id="28"/>
            </w:r>
            <w:r w:rsidRPr="00236892">
              <w:rPr>
                <w:spacing w:val="-5"/>
              </w:rPr>
              <w:t xml:space="preserve">. </w:t>
            </w:r>
            <w:r>
              <w:rPr>
                <w:spacing w:val="-5"/>
              </w:rPr>
              <w:t xml:space="preserve">Z ostatních </w:t>
            </w:r>
            <w:r w:rsidRPr="00236892">
              <w:rPr>
                <w:spacing w:val="-5"/>
              </w:rPr>
              <w:t>významnějších oborů se dařilo chemickému průmyslu (+8,3 %), jenž profitoval z rozšiřování výrobních kapacit. Více než 10% růst</w:t>
            </w:r>
            <w:r>
              <w:rPr>
                <w:spacing w:val="-5"/>
              </w:rPr>
              <w:t>u</w:t>
            </w:r>
            <w:r w:rsidRPr="00236892">
              <w:rPr>
                <w:spacing w:val="-5"/>
              </w:rPr>
              <w:t xml:space="preserve"> </w:t>
            </w:r>
            <w:r>
              <w:rPr>
                <w:spacing w:val="-5"/>
              </w:rPr>
              <w:t>docíli</w:t>
            </w:r>
            <w:r w:rsidRPr="00236892">
              <w:rPr>
                <w:spacing w:val="-5"/>
              </w:rPr>
              <w:t>la vý</w:t>
            </w:r>
            <w:r>
              <w:rPr>
                <w:spacing w:val="-5"/>
              </w:rPr>
              <w:t>roba stavebních materiálů, jež</w:t>
            </w:r>
            <w:r w:rsidRPr="00236892">
              <w:rPr>
                <w:spacing w:val="-5"/>
              </w:rPr>
              <w:t xml:space="preserve"> se snažila reagovat na vzedmutou poptávku zejména na domácím trhu. Mírněji rostl výkon potravinářství (+4,7 %) i </w:t>
            </w:r>
            <w:r>
              <w:rPr>
                <w:spacing w:val="-5"/>
              </w:rPr>
              <w:t>výroby</w:t>
            </w:r>
            <w:r w:rsidRPr="00236892">
              <w:rPr>
                <w:spacing w:val="-5"/>
              </w:rPr>
              <w:t xml:space="preserve"> počítačů, elektronických a optických přístrojů (+1,8 %). Zatímco potravinářství se mohlo opřít o relativně stabilní tuzemskou poptávku, jež nebyla výrazněji ovlivněna ani pandemií, druhé zmíněné odvětví se muselo vypořádat s dlouhodobějšími výkyvy zahraniční poptávky, jež výrazněji neožila ani ve druhém „pandemickém“ roce. Tradiční tahoun průmyslu – výroba motorových vozidel</w:t>
            </w:r>
            <w:r w:rsidRPr="00236892">
              <w:rPr>
                <w:rStyle w:val="Znakapoznpodarou"/>
                <w:spacing w:val="-5"/>
              </w:rPr>
              <w:footnoteReference w:id="29"/>
            </w:r>
            <w:r w:rsidRPr="00236892">
              <w:rPr>
                <w:spacing w:val="-5"/>
              </w:rPr>
              <w:t xml:space="preserve"> – vykázal loni vlivem rozkolísané výroby</w:t>
            </w:r>
            <w:r w:rsidRPr="00236892">
              <w:rPr>
                <w:rStyle w:val="Znakapoznpodarou"/>
                <w:spacing w:val="-5"/>
              </w:rPr>
              <w:footnoteReference w:id="30"/>
            </w:r>
            <w:r w:rsidRPr="00236892">
              <w:rPr>
                <w:spacing w:val="-5"/>
              </w:rPr>
              <w:t xml:space="preserve"> jen 3,9% růst produkce (po 12% propadu v roce 2020) a </w:t>
            </w:r>
            <w:r>
              <w:rPr>
                <w:spacing w:val="-5"/>
              </w:rPr>
              <w:t>za</w:t>
            </w:r>
            <w:r w:rsidRPr="00236892">
              <w:rPr>
                <w:spacing w:val="-5"/>
              </w:rPr>
              <w:t xml:space="preserve"> předpandemickým vrcholem z</w:t>
            </w:r>
            <w:r w:rsidRPr="00236892">
              <w:rPr>
                <w:color w:val="0D0D0D" w:themeColor="text1" w:themeTint="F2"/>
                <w:spacing w:val="-5"/>
              </w:rPr>
              <w:t> </w:t>
            </w:r>
            <w:r>
              <w:rPr>
                <w:spacing w:val="-5"/>
              </w:rPr>
              <w:t>května 2019 zaostával na</w:t>
            </w:r>
            <w:r w:rsidRPr="00236892">
              <w:rPr>
                <w:spacing w:val="-5"/>
              </w:rPr>
              <w:t xml:space="preserve"> konci loňského roku skoro o pětinu.</w:t>
            </w:r>
          </w:p>
        </w:tc>
      </w:tr>
      <w:tr w:rsidR="00F77A50" w:rsidRPr="006237E6" w14:paraId="1A9E1D0D" w14:textId="77777777" w:rsidTr="00B66208">
        <w:trPr>
          <w:trHeight w:val="155"/>
        </w:trPr>
        <w:tc>
          <w:tcPr>
            <w:tcW w:w="1728" w:type="dxa"/>
            <w:shd w:val="clear" w:color="auto" w:fill="auto"/>
            <w:tcMar>
              <w:left w:w="0" w:type="dxa"/>
            </w:tcMar>
          </w:tcPr>
          <w:p w14:paraId="669874B5" w14:textId="77777777" w:rsidR="00F77A50" w:rsidRDefault="00F77A50" w:rsidP="00B66208">
            <w:pPr>
              <w:pStyle w:val="Marginlie"/>
              <w:rPr>
                <w:spacing w:val="-4"/>
              </w:rPr>
            </w:pPr>
            <w:r>
              <w:rPr>
                <w:spacing w:val="-4"/>
              </w:rPr>
              <w:t>Papírenství, farmacii, nábytkářství či výrobě kolejových vozidel se nadále dařilo a jejich produkce převýšila úroveň z roku 2019.</w:t>
            </w:r>
          </w:p>
        </w:tc>
        <w:tc>
          <w:tcPr>
            <w:tcW w:w="206" w:type="dxa"/>
            <w:shd w:val="clear" w:color="auto" w:fill="auto"/>
            <w:tcMar>
              <w:left w:w="0" w:type="dxa"/>
            </w:tcMar>
          </w:tcPr>
          <w:p w14:paraId="01C23BDE"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137F6DA5" w14:textId="77777777" w:rsidR="00F77A50" w:rsidRPr="00BF07B5" w:rsidRDefault="00F77A50" w:rsidP="00B66208">
            <w:pPr>
              <w:spacing w:after="200"/>
              <w:rPr>
                <w:color w:val="0D0D0D" w:themeColor="text1" w:themeTint="F2"/>
                <w:spacing w:val="-4"/>
              </w:rPr>
            </w:pPr>
            <w:r>
              <w:rPr>
                <w:color w:val="0D0D0D" w:themeColor="text1" w:themeTint="F2"/>
                <w:spacing w:val="-4"/>
              </w:rPr>
              <w:t>Některým menším zpracovatelským oborům se loni dařilo a svou produkcí již překročily úroveň z roku 2019. Příkladem je výroba ostatních (zejména kolejových) dopravních prostředků (+21,4 % meziročně, nejvíce po roce 2011), v níž se projevil vysoký objem tuzemských zakázek nasmlouvaných v roce 2020. Domácí i zahraniční poptávka pomohla výrobcům nábytku, jejichž produkce se loni navýšila o více než desetinu a navázala tak na svižný růst v období předpandemické konjunktury. K dlouhodobě růstovým oborům, v</w:t>
            </w:r>
            <w:r>
              <w:rPr>
                <w:color w:val="000000" w:themeColor="text1"/>
                <w:spacing w:val="-4"/>
              </w:rPr>
              <w:t> </w:t>
            </w:r>
            <w:r>
              <w:rPr>
                <w:color w:val="0D0D0D" w:themeColor="text1" w:themeTint="F2"/>
                <w:spacing w:val="-4"/>
              </w:rPr>
              <w:t xml:space="preserve">nichž </w:t>
            </w:r>
            <w:r>
              <w:rPr>
                <w:color w:val="0D0D0D" w:themeColor="text1" w:themeTint="F2"/>
                <w:spacing w:val="-4"/>
              </w:rPr>
              <w:lastRenderedPageBreak/>
              <w:t>se poptávka zvyšovala i za pandemie, patří farmacie, papírenství i </w:t>
            </w:r>
            <w:r>
              <w:rPr>
                <w:spacing w:val="-4"/>
              </w:rPr>
              <w:t xml:space="preserve">ostatní zpracovatelský průmysl (zahrnující </w:t>
            </w:r>
            <w:r>
              <w:rPr>
                <w:color w:val="000000" w:themeColor="text1"/>
                <w:spacing w:val="-4"/>
              </w:rPr>
              <w:t xml:space="preserve">například </w:t>
            </w:r>
            <w:r w:rsidRPr="004173F3">
              <w:rPr>
                <w:color w:val="000000" w:themeColor="text1"/>
                <w:spacing w:val="-4"/>
              </w:rPr>
              <w:t>výrobu lékařsk</w:t>
            </w:r>
            <w:r>
              <w:rPr>
                <w:color w:val="000000" w:themeColor="text1"/>
                <w:spacing w:val="-4"/>
              </w:rPr>
              <w:t>ých nástrojů, sportovních potřeb, her a</w:t>
            </w:r>
            <w:r>
              <w:rPr>
                <w:spacing w:val="-4"/>
              </w:rPr>
              <w:t> </w:t>
            </w:r>
            <w:r w:rsidRPr="004173F3">
              <w:rPr>
                <w:color w:val="000000" w:themeColor="text1"/>
                <w:spacing w:val="-4"/>
              </w:rPr>
              <w:t>hraček</w:t>
            </w:r>
            <w:r>
              <w:rPr>
                <w:color w:val="000000" w:themeColor="text1"/>
                <w:spacing w:val="-4"/>
              </w:rPr>
              <w:t>). S problémy se naopak stále potýkalo oděvnictví, které bylo limitováno přetrvávající slabší zahraniční poptávkou. Produkce se loni snížila také v dřevozpracujícím průmyslu (o 5,5 %), což souviselo s ústupem kůrovcové kalamity.</w:t>
            </w:r>
          </w:p>
        </w:tc>
      </w:tr>
      <w:tr w:rsidR="00F77A50" w:rsidRPr="006237E6" w14:paraId="410ED8BD" w14:textId="77777777" w:rsidTr="00B66208">
        <w:trPr>
          <w:trHeight w:val="155"/>
        </w:trPr>
        <w:tc>
          <w:tcPr>
            <w:tcW w:w="1728" w:type="dxa"/>
            <w:shd w:val="clear" w:color="auto" w:fill="auto"/>
            <w:tcMar>
              <w:left w:w="0" w:type="dxa"/>
            </w:tcMar>
          </w:tcPr>
          <w:p w14:paraId="3ECD387D" w14:textId="77777777" w:rsidR="00F77A50" w:rsidRPr="00DF11EC" w:rsidRDefault="00F77A50" w:rsidP="00B66208">
            <w:pPr>
              <w:pStyle w:val="Marginlie"/>
              <w:rPr>
                <w:spacing w:val="-4"/>
              </w:rPr>
            </w:pPr>
            <w:r>
              <w:rPr>
                <w:spacing w:val="-4"/>
              </w:rPr>
              <w:lastRenderedPageBreak/>
              <w:t>V těžebním průmyslu i energetice produkce loni mírně vzrostla, propad z roku 2020 však dosud zdaleka nekompenzovala.</w:t>
            </w:r>
          </w:p>
        </w:tc>
        <w:tc>
          <w:tcPr>
            <w:tcW w:w="206" w:type="dxa"/>
            <w:shd w:val="clear" w:color="auto" w:fill="auto"/>
            <w:tcMar>
              <w:left w:w="0" w:type="dxa"/>
            </w:tcMar>
          </w:tcPr>
          <w:p w14:paraId="61FCF929"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40EF8D5C" w14:textId="77777777" w:rsidR="00F77A50" w:rsidRPr="006E759E" w:rsidRDefault="00F77A50" w:rsidP="00B66208">
            <w:pPr>
              <w:spacing w:after="200"/>
              <w:rPr>
                <w:spacing w:val="-5"/>
              </w:rPr>
            </w:pPr>
            <w:r w:rsidRPr="006E759E">
              <w:rPr>
                <w:spacing w:val="-5"/>
              </w:rPr>
              <w:t>V těžbě a dobývání se po předloňském rekordním propadu</w:t>
            </w:r>
            <w:r w:rsidRPr="006E759E">
              <w:rPr>
                <w:rStyle w:val="Znakapoznpodarou"/>
                <w:spacing w:val="-5"/>
                <w:szCs w:val="20"/>
              </w:rPr>
              <w:footnoteReference w:id="31"/>
            </w:r>
            <w:r w:rsidRPr="006E759E">
              <w:rPr>
                <w:spacing w:val="-5"/>
              </w:rPr>
              <w:t xml:space="preserve"> v roce 2021 produkce meziročně zvýšila o rovná 4 %. Zatímco stále dominantní obor těžby uhlí pokračoval v útlumu desátým rokem v řadě (v úhrnu za toto období se produkce snížila o 53 %), výkon v těžbě stavebních materiálů loni vzrostl o 11,1 % a mírně překonal propad z roku 2020. To se naopak nepovedlo energetice, přestože se její produkce za loňský rok o rovná 4 % navýšila</w:t>
            </w:r>
            <w:r w:rsidRPr="006E759E">
              <w:rPr>
                <w:rStyle w:val="Znakapoznpodarou"/>
                <w:spacing w:val="-5"/>
              </w:rPr>
              <w:footnoteReference w:id="32"/>
            </w:r>
            <w:r w:rsidRPr="006E759E">
              <w:rPr>
                <w:spacing w:val="-5"/>
              </w:rPr>
              <w:t>. Návratu na předpandemickou úroveň bránilo i omezení provozoven v obchodu a službách na počátku roku 2021 i kolísavý celoroční vývoj výroby v automobilovém průmyslu.</w:t>
            </w:r>
          </w:p>
        </w:tc>
      </w:tr>
      <w:tr w:rsidR="00F77A50" w:rsidRPr="006237E6" w14:paraId="72734BCB" w14:textId="77777777" w:rsidTr="00B66208">
        <w:trPr>
          <w:trHeight w:val="155"/>
        </w:trPr>
        <w:tc>
          <w:tcPr>
            <w:tcW w:w="1728" w:type="dxa"/>
            <w:shd w:val="clear" w:color="auto" w:fill="auto"/>
            <w:tcMar>
              <w:left w:w="0" w:type="dxa"/>
            </w:tcMar>
          </w:tcPr>
          <w:p w14:paraId="719DAE16" w14:textId="77777777" w:rsidR="00F77A50" w:rsidRPr="00BE54BF" w:rsidRDefault="00F77A50" w:rsidP="00B66208">
            <w:pPr>
              <w:pStyle w:val="Marginlie"/>
            </w:pPr>
          </w:p>
        </w:tc>
        <w:tc>
          <w:tcPr>
            <w:tcW w:w="206" w:type="dxa"/>
            <w:shd w:val="clear" w:color="auto" w:fill="auto"/>
            <w:tcMar>
              <w:left w:w="0" w:type="dxa"/>
            </w:tcMar>
          </w:tcPr>
          <w:p w14:paraId="492C839E"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4BC22787" w14:textId="77777777" w:rsidR="00F77A50" w:rsidRPr="00965AD0" w:rsidRDefault="00F77A50" w:rsidP="00B66208">
            <w:pPr>
              <w:spacing w:after="0"/>
              <w:rPr>
                <w:spacing w:val="-4"/>
              </w:rPr>
            </w:pPr>
            <w:r w:rsidRPr="00883202">
              <w:rPr>
                <w:rFonts w:cs="Arial"/>
                <w:b/>
                <w:bCs/>
                <w:color w:val="000000"/>
                <w:szCs w:val="20"/>
              </w:rPr>
              <w:t>Graf č. 4</w:t>
            </w:r>
            <w:r>
              <w:rPr>
                <w:rFonts w:cs="Arial"/>
                <w:b/>
                <w:bCs/>
                <w:color w:val="000000"/>
                <w:szCs w:val="20"/>
              </w:rPr>
              <w:t xml:space="preserve"> </w:t>
            </w:r>
            <w:r w:rsidRPr="00883202">
              <w:rPr>
                <w:rFonts w:cs="Arial"/>
                <w:b/>
                <w:bCs/>
                <w:color w:val="000000"/>
                <w:szCs w:val="20"/>
              </w:rPr>
              <w:t xml:space="preserve"> </w:t>
            </w:r>
            <w:r w:rsidRPr="00883202">
              <w:rPr>
                <w:b/>
              </w:rPr>
              <w:t>Příspěvky dílčích odvětví k meziroční změně průmyslové produkce</w:t>
            </w:r>
            <w:r w:rsidRPr="00883202">
              <w:rPr>
                <w:b/>
              </w:rPr>
              <w:br/>
            </w:r>
            <w:r>
              <w:t>(reálně, v p. b.</w:t>
            </w:r>
            <w:r w:rsidRPr="00883202">
              <w:t>)</w:t>
            </w:r>
            <w:r>
              <w:t xml:space="preserve"> </w:t>
            </w:r>
            <w:r w:rsidRPr="004D5DA1">
              <w:rPr>
                <w:b/>
              </w:rPr>
              <w:t>a</w:t>
            </w:r>
            <w:r>
              <w:rPr>
                <w:b/>
              </w:rPr>
              <w:t> </w:t>
            </w:r>
            <w:r w:rsidRPr="004D5DA1">
              <w:rPr>
                <w:b/>
              </w:rPr>
              <w:t>tržby v</w:t>
            </w:r>
            <w:r>
              <w:rPr>
                <w:b/>
              </w:rPr>
              <w:t xml:space="preserve"> celém </w:t>
            </w:r>
            <w:r w:rsidRPr="004D5DA1">
              <w:rPr>
                <w:b/>
              </w:rPr>
              <w:t xml:space="preserve">průmyslu </w:t>
            </w:r>
            <w:r>
              <w:t>(nominálně, meziročně, v %)</w:t>
            </w:r>
          </w:p>
        </w:tc>
      </w:tr>
      <w:tr w:rsidR="00F77A50" w:rsidRPr="00B43216" w14:paraId="188B91C5" w14:textId="77777777" w:rsidTr="00B66208">
        <w:tblPrEx>
          <w:tblCellMar>
            <w:left w:w="70" w:type="dxa"/>
            <w:right w:w="70" w:type="dxa"/>
          </w:tblCellMar>
        </w:tblPrEx>
        <w:trPr>
          <w:trHeight w:val="145"/>
        </w:trPr>
        <w:tc>
          <w:tcPr>
            <w:tcW w:w="1728" w:type="dxa"/>
            <w:shd w:val="clear" w:color="auto" w:fill="auto"/>
          </w:tcPr>
          <w:p w14:paraId="4C2F9E36" w14:textId="77777777" w:rsidR="00F77A50" w:rsidRDefault="00F77A50" w:rsidP="00B66208">
            <w:pPr>
              <w:pStyle w:val="Marginlie"/>
              <w:rPr>
                <w:spacing w:val="-4"/>
              </w:rPr>
            </w:pPr>
          </w:p>
        </w:tc>
        <w:tc>
          <w:tcPr>
            <w:tcW w:w="206" w:type="dxa"/>
            <w:shd w:val="clear" w:color="auto" w:fill="auto"/>
          </w:tcPr>
          <w:p w14:paraId="59D55402" w14:textId="77777777" w:rsidR="00F77A50" w:rsidRPr="00B43216" w:rsidRDefault="00F77A50" w:rsidP="00B66208">
            <w:pPr>
              <w:pStyle w:val="Textpoznpodarou"/>
              <w:jc w:val="both"/>
              <w:rPr>
                <w:spacing w:val="-4"/>
              </w:rPr>
            </w:pPr>
          </w:p>
        </w:tc>
        <w:tc>
          <w:tcPr>
            <w:tcW w:w="7730" w:type="dxa"/>
            <w:shd w:val="clear" w:color="auto" w:fill="auto"/>
          </w:tcPr>
          <w:p w14:paraId="6804BB1F" w14:textId="77777777" w:rsidR="00F77A50" w:rsidRPr="00241E62" w:rsidRDefault="00F77A50" w:rsidP="00B66208">
            <w:pPr>
              <w:spacing w:after="0"/>
              <w:rPr>
                <w:rFonts w:cs="Arial"/>
                <w:bCs/>
                <w:color w:val="000000"/>
                <w:szCs w:val="20"/>
              </w:rPr>
            </w:pPr>
            <w:r>
              <w:rPr>
                <w:noProof/>
              </w:rPr>
              <w:drawing>
                <wp:inline distT="0" distB="0" distL="0" distR="0" wp14:anchorId="334C211D" wp14:editId="0A9F3346">
                  <wp:extent cx="4817994" cy="3626054"/>
                  <wp:effectExtent l="0" t="0" r="1905"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F77A50" w:rsidRPr="00B43216" w14:paraId="56C61B91" w14:textId="77777777" w:rsidTr="00B66208">
        <w:trPr>
          <w:trHeight w:val="145"/>
        </w:trPr>
        <w:tc>
          <w:tcPr>
            <w:tcW w:w="1728" w:type="dxa"/>
            <w:shd w:val="clear" w:color="auto" w:fill="auto"/>
            <w:tcMar>
              <w:left w:w="0" w:type="dxa"/>
            </w:tcMar>
          </w:tcPr>
          <w:p w14:paraId="3D63EF8F" w14:textId="77777777" w:rsidR="00F77A50" w:rsidRDefault="00F77A50" w:rsidP="00B66208">
            <w:pPr>
              <w:pStyle w:val="Marginlie"/>
              <w:rPr>
                <w:spacing w:val="-4"/>
              </w:rPr>
            </w:pPr>
          </w:p>
        </w:tc>
        <w:tc>
          <w:tcPr>
            <w:tcW w:w="206" w:type="dxa"/>
            <w:shd w:val="clear" w:color="auto" w:fill="auto"/>
            <w:tcMar>
              <w:left w:w="0" w:type="dxa"/>
            </w:tcMar>
          </w:tcPr>
          <w:p w14:paraId="3DEA153E"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583DD2A0" w14:textId="77777777" w:rsidR="00F77A50" w:rsidRPr="007A0D91" w:rsidRDefault="00F77A50" w:rsidP="00B66208">
            <w:pPr>
              <w:tabs>
                <w:tab w:val="right" w:pos="7711"/>
              </w:tabs>
              <w:spacing w:after="160"/>
              <w:jc w:val="left"/>
              <w:rPr>
                <w:rFonts w:cs="Arial"/>
                <w:sz w:val="14"/>
                <w:szCs w:val="14"/>
              </w:rPr>
            </w:pPr>
            <w:r>
              <w:rPr>
                <w:rFonts w:cs="Arial"/>
                <w:sz w:val="14"/>
                <w:szCs w:val="14"/>
              </w:rPr>
              <w:t>Poznámka: Průmyslová produkce i tržby jsou očištěny o kalendářní vlivy.</w:t>
            </w:r>
            <w:r>
              <w:rPr>
                <w:rFonts w:cs="Arial"/>
                <w:sz w:val="14"/>
                <w:szCs w:val="14"/>
              </w:rPr>
              <w:tab/>
            </w:r>
            <w:r w:rsidRPr="00883202">
              <w:rPr>
                <w:rFonts w:cs="Arial"/>
                <w:sz w:val="14"/>
                <w:szCs w:val="14"/>
              </w:rPr>
              <w:t>Zdroj: ČSÚ</w:t>
            </w:r>
          </w:p>
        </w:tc>
      </w:tr>
      <w:tr w:rsidR="00F77A50" w:rsidRPr="00B43216" w14:paraId="3C663A8B" w14:textId="77777777" w:rsidTr="00B66208">
        <w:trPr>
          <w:trHeight w:val="145"/>
        </w:trPr>
        <w:tc>
          <w:tcPr>
            <w:tcW w:w="1728" w:type="dxa"/>
            <w:shd w:val="clear" w:color="auto" w:fill="auto"/>
            <w:tcMar>
              <w:left w:w="0" w:type="dxa"/>
            </w:tcMar>
          </w:tcPr>
          <w:p w14:paraId="091C628B" w14:textId="77777777" w:rsidR="00F77A50" w:rsidRDefault="00F77A50" w:rsidP="00B66208">
            <w:pPr>
              <w:pStyle w:val="Marginlie"/>
              <w:rPr>
                <w:spacing w:val="0"/>
              </w:rPr>
            </w:pPr>
            <w:r>
              <w:t>Silný růst tržeb v těžbě uhlí, hutnictví, dřevozpracujícím či kovodělném průmyslu byl ve 4. čtvrtletí výhradně výsledkem cenového růstu.</w:t>
            </w:r>
          </w:p>
        </w:tc>
        <w:tc>
          <w:tcPr>
            <w:tcW w:w="206" w:type="dxa"/>
            <w:shd w:val="clear" w:color="auto" w:fill="auto"/>
            <w:tcMar>
              <w:left w:w="0" w:type="dxa"/>
            </w:tcMar>
          </w:tcPr>
          <w:p w14:paraId="20FD324F"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2C7FC2F0" w14:textId="77777777" w:rsidR="00F77A50" w:rsidRDefault="00F77A50" w:rsidP="00B66208">
            <w:pPr>
              <w:spacing w:after="200"/>
              <w:rPr>
                <w:color w:val="0D0D0D" w:themeColor="text1" w:themeTint="F2"/>
                <w:spacing w:val="-4"/>
              </w:rPr>
            </w:pPr>
            <w:r w:rsidRPr="006A57DC">
              <w:rPr>
                <w:rFonts w:cs="Arial"/>
                <w:bCs/>
                <w:color w:val="0D0D0D" w:themeColor="text1" w:themeTint="F2"/>
                <w:spacing w:val="-4"/>
                <w:szCs w:val="20"/>
              </w:rPr>
              <w:t>Nominální tržby průmyslových podniků</w:t>
            </w:r>
            <w:r w:rsidRPr="003B6DBE">
              <w:rPr>
                <w:rStyle w:val="Znakapoznpodarou"/>
                <w:bCs/>
                <w:color w:val="0D0D0D" w:themeColor="text1" w:themeTint="F2"/>
                <w:spacing w:val="-4"/>
                <w:szCs w:val="20"/>
              </w:rPr>
              <w:footnoteReference w:id="33"/>
            </w:r>
            <w:r>
              <w:rPr>
                <w:rFonts w:cs="Arial"/>
                <w:bCs/>
                <w:color w:val="0D0D0D" w:themeColor="text1" w:themeTint="F2"/>
                <w:spacing w:val="-4"/>
                <w:szCs w:val="20"/>
              </w:rPr>
              <w:t xml:space="preserve"> se v roce 2021 meziročně zvýšily o 10,8 %. V samotném 4. čtvrtletí již však rostly pouze o 3,1 %, tedy podstatně méně než výrobní náklady vyjádřené prostřednictvím cen průmyslových výrobců. Tržby z přímého vývozu se dokonce nacházely mírně pod úrovní z konce roku 2020, zčásti i proto, že se v nich více projevovalo oslabení výrobců automobilů. Souhrnné tržby vzrostly ve 4. čtvrtletí nejvíce v hutnictví (o 41,0 %), ale obdobně jako v těžbě uhlí (+26,3 %), dřevozpracujícím (+21,8 %) i kovodělném průmyslu (+13,1 %) se tak stalo výhradně vlivem prudkého cenového růstu. Ten významně promlouval také do vysokých temp tržeb v chemickém a papírenském </w:t>
            </w:r>
            <w:r>
              <w:rPr>
                <w:rFonts w:cs="Arial"/>
                <w:bCs/>
                <w:color w:val="0D0D0D" w:themeColor="text1" w:themeTint="F2"/>
                <w:spacing w:val="-4"/>
                <w:szCs w:val="20"/>
              </w:rPr>
              <w:lastRenderedPageBreak/>
              <w:t>průmyslu. Naproti tomu u kolejových dopravních prostředků i v nápojovém průmyslu bezmála 20% růst tržeb věrně odrážel růst objemu výroby na konci loňského roku. To platilo rovněž v případě propadu tržeb výrobců automobilů, jenž dosáhl bezmála pětiny.</w:t>
            </w:r>
          </w:p>
        </w:tc>
      </w:tr>
      <w:tr w:rsidR="00F77A50" w:rsidRPr="00B43216" w14:paraId="722E4B3B" w14:textId="77777777" w:rsidTr="00B66208">
        <w:trPr>
          <w:trHeight w:val="145"/>
        </w:trPr>
        <w:tc>
          <w:tcPr>
            <w:tcW w:w="1728" w:type="dxa"/>
            <w:shd w:val="clear" w:color="auto" w:fill="auto"/>
            <w:tcMar>
              <w:left w:w="0" w:type="dxa"/>
            </w:tcMar>
          </w:tcPr>
          <w:p w14:paraId="38E0B9AB" w14:textId="77777777" w:rsidR="00F77A50" w:rsidRDefault="00F77A50" w:rsidP="00B66208">
            <w:pPr>
              <w:pStyle w:val="Marginlie"/>
              <w:rPr>
                <w:spacing w:val="0"/>
              </w:rPr>
            </w:pPr>
            <w:r>
              <w:rPr>
                <w:spacing w:val="0"/>
              </w:rPr>
              <w:lastRenderedPageBreak/>
              <w:t>Pozitivním signálem indikujícím možný růst objemu výroby byl ve 4. čtvrtletí růst nových zakázek ve strojírenství.</w:t>
            </w:r>
          </w:p>
        </w:tc>
        <w:tc>
          <w:tcPr>
            <w:tcW w:w="206" w:type="dxa"/>
            <w:shd w:val="clear" w:color="auto" w:fill="auto"/>
            <w:tcMar>
              <w:left w:w="0" w:type="dxa"/>
            </w:tcMar>
          </w:tcPr>
          <w:p w14:paraId="203FA06D"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43FA3E21" w14:textId="77777777" w:rsidR="00F77A50" w:rsidRDefault="00F77A50" w:rsidP="00B66208">
            <w:pPr>
              <w:spacing w:after="200"/>
              <w:rPr>
                <w:color w:val="0D0D0D" w:themeColor="text1" w:themeTint="F2"/>
                <w:spacing w:val="-4"/>
              </w:rPr>
            </w:pPr>
            <w:r>
              <w:rPr>
                <w:color w:val="0D0D0D" w:themeColor="text1" w:themeTint="F2"/>
                <w:spacing w:val="-4"/>
              </w:rPr>
              <w:t>H</w:t>
            </w:r>
            <w:r w:rsidRPr="00C8413E">
              <w:rPr>
                <w:color w:val="0D0D0D" w:themeColor="text1" w:themeTint="F2"/>
                <w:spacing w:val="-4"/>
              </w:rPr>
              <w:t xml:space="preserve">odnota </w:t>
            </w:r>
            <w:r>
              <w:rPr>
                <w:color w:val="0D0D0D" w:themeColor="text1" w:themeTint="F2"/>
                <w:spacing w:val="-4"/>
              </w:rPr>
              <w:t xml:space="preserve">nových </w:t>
            </w:r>
            <w:r w:rsidRPr="00C8413E">
              <w:rPr>
                <w:color w:val="0D0D0D" w:themeColor="text1" w:themeTint="F2"/>
                <w:spacing w:val="-4"/>
              </w:rPr>
              <w:t>průmyslových zakázek</w:t>
            </w:r>
            <w:r w:rsidRPr="00C8413E">
              <w:rPr>
                <w:rStyle w:val="Znakapoznpodarou"/>
                <w:spacing w:val="-4"/>
              </w:rPr>
              <w:footnoteReference w:id="34"/>
            </w:r>
            <w:r>
              <w:rPr>
                <w:color w:val="0D0D0D" w:themeColor="text1" w:themeTint="F2"/>
                <w:spacing w:val="-4"/>
              </w:rPr>
              <w:t xml:space="preserve"> ve 4. čtvrtletí 2021 meziročně vzrostla o 3,6 %, domácí poptávka se zvyšovala mírně vyšším tempem než zahraniční. Svižný růst zakázek v hutnictví (36,5 %), chemickém (46,0 %) i papírenském průmyslu (18,0 %) jde ovšem z velké části na vrub rostoucích výrobních nákladů podniků. Větším příslibem s ohledem na budoucí růst objemu výroby je proto skromnější 13,2% růst zakázek ve strojírenství, na kterém se navíc významně podílejí i podniky z tuzemska. Horší krátkodobé výhledy jsou naopak spojeny s výrobou motorových vozidel, ve které nižší objem nasmlouvaných objednávek (o 9,8 %, resp. o 2,1 % oproti 4. čtvrtletí 2019) odráží přetrvávající nejistoty ohledně navýšení výrobních kapacit na běžnou úroveň. </w:t>
            </w:r>
            <w:r w:rsidRPr="00C8413E">
              <w:rPr>
                <w:color w:val="0D0D0D" w:themeColor="text1" w:themeTint="F2"/>
                <w:spacing w:val="-4"/>
              </w:rPr>
              <w:t>Využití výrobních kapacit</w:t>
            </w:r>
            <w:r>
              <w:rPr>
                <w:color w:val="0D0D0D" w:themeColor="text1" w:themeTint="F2"/>
                <w:spacing w:val="-4"/>
              </w:rPr>
              <w:t xml:space="preserve"> tak zůstalo v tomto odvětví i v lednu 2022 pod 80 % (za celý rok 2019 přitom dosahovalo 93 %)</w:t>
            </w:r>
            <w:r>
              <w:rPr>
                <w:rStyle w:val="Znakapoznpodarou"/>
                <w:color w:val="0D0D0D" w:themeColor="text1" w:themeTint="F2"/>
                <w:spacing w:val="-4"/>
              </w:rPr>
              <w:footnoteReference w:id="35"/>
            </w:r>
            <w:r>
              <w:rPr>
                <w:color w:val="0D0D0D" w:themeColor="text1" w:themeTint="F2"/>
                <w:spacing w:val="-4"/>
              </w:rPr>
              <w:t>.</w:t>
            </w:r>
          </w:p>
        </w:tc>
      </w:tr>
      <w:tr w:rsidR="00F77A50" w:rsidRPr="00B43216" w14:paraId="14D71409" w14:textId="77777777" w:rsidTr="00B66208">
        <w:trPr>
          <w:trHeight w:val="155"/>
        </w:trPr>
        <w:tc>
          <w:tcPr>
            <w:tcW w:w="1728" w:type="dxa"/>
            <w:vMerge w:val="restart"/>
            <w:shd w:val="clear" w:color="auto" w:fill="auto"/>
            <w:tcMar>
              <w:left w:w="0" w:type="dxa"/>
            </w:tcMar>
          </w:tcPr>
          <w:p w14:paraId="75090F11" w14:textId="77777777" w:rsidR="00F77A50" w:rsidRPr="00B43216" w:rsidRDefault="00F77A50" w:rsidP="00B66208">
            <w:pPr>
              <w:pStyle w:val="Marginlie"/>
              <w:rPr>
                <w:spacing w:val="-4"/>
              </w:rPr>
            </w:pPr>
          </w:p>
        </w:tc>
        <w:tc>
          <w:tcPr>
            <w:tcW w:w="206" w:type="dxa"/>
            <w:vMerge w:val="restart"/>
            <w:shd w:val="clear" w:color="auto" w:fill="auto"/>
            <w:tcMar>
              <w:left w:w="0" w:type="dxa"/>
            </w:tcMar>
          </w:tcPr>
          <w:p w14:paraId="7793EA18"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0088A2B8" w14:textId="77777777" w:rsidR="00F77A50" w:rsidRPr="00760356" w:rsidRDefault="00F77A50" w:rsidP="00B66208">
            <w:pPr>
              <w:pStyle w:val="Textpoznpodarou"/>
              <w:spacing w:line="276" w:lineRule="auto"/>
              <w:jc w:val="both"/>
              <w:rPr>
                <w:b/>
                <w:spacing w:val="-2"/>
              </w:rPr>
            </w:pPr>
            <w:r w:rsidRPr="00760356">
              <w:rPr>
                <w:b/>
                <w:spacing w:val="-2"/>
              </w:rPr>
              <w:t>Graf č. 5</w:t>
            </w:r>
            <w:r>
              <w:rPr>
                <w:b/>
                <w:spacing w:val="-2"/>
              </w:rPr>
              <w:t xml:space="preserve">  Nové zakázky v </w:t>
            </w:r>
            <w:r w:rsidRPr="00760356">
              <w:rPr>
                <w:b/>
                <w:spacing w:val="-2"/>
              </w:rPr>
              <w:t xml:space="preserve">průmyslu </w:t>
            </w:r>
            <w:r w:rsidRPr="00760356">
              <w:rPr>
                <w:bCs/>
                <w:spacing w:val="-2"/>
              </w:rPr>
              <w:t>(</w:t>
            </w:r>
            <w:r>
              <w:rPr>
                <w:bCs/>
                <w:spacing w:val="-2"/>
              </w:rPr>
              <w:t>nominálně</w:t>
            </w:r>
            <w:r w:rsidRPr="00760356">
              <w:rPr>
                <w:bCs/>
                <w:spacing w:val="-2"/>
              </w:rPr>
              <w:t xml:space="preserve">, </w:t>
            </w:r>
            <w:r w:rsidRPr="00760356">
              <w:rPr>
                <w:spacing w:val="-2"/>
              </w:rPr>
              <w:t>meziročně</w:t>
            </w:r>
            <w:r>
              <w:rPr>
                <w:spacing w:val="-2"/>
              </w:rPr>
              <w:t>,</w:t>
            </w:r>
            <w:r w:rsidRPr="00760356">
              <w:rPr>
                <w:bCs/>
                <w:spacing w:val="-2"/>
              </w:rPr>
              <w:t xml:space="preserve"> v %)</w:t>
            </w:r>
            <w:r>
              <w:rPr>
                <w:b/>
                <w:spacing w:val="-2"/>
              </w:rPr>
              <w:t xml:space="preserve">, </w:t>
            </w:r>
            <w:r w:rsidRPr="00760356">
              <w:rPr>
                <w:b/>
                <w:spacing w:val="-2"/>
              </w:rPr>
              <w:t>využi</w:t>
            </w:r>
            <w:r>
              <w:rPr>
                <w:b/>
                <w:spacing w:val="-2"/>
              </w:rPr>
              <w:t xml:space="preserve">tí výrobních kapacit v průmyslu, </w:t>
            </w:r>
            <w:r w:rsidRPr="00760356">
              <w:rPr>
                <w:b/>
                <w:spacing w:val="-2"/>
              </w:rPr>
              <w:t>vybrané bariéry růst</w:t>
            </w:r>
            <w:r w:rsidRPr="006E759E">
              <w:rPr>
                <w:b/>
                <w:spacing w:val="-2"/>
              </w:rPr>
              <w:t>u</w:t>
            </w:r>
            <w:r w:rsidRPr="006E759E">
              <w:rPr>
                <w:spacing w:val="-2"/>
              </w:rPr>
              <w:t xml:space="preserve">* (v %, pravá osa) </w:t>
            </w:r>
            <w:r w:rsidRPr="006E759E">
              <w:rPr>
                <w:b/>
                <w:spacing w:val="-2"/>
              </w:rPr>
              <w:t>a </w:t>
            </w:r>
            <w:r>
              <w:rPr>
                <w:b/>
              </w:rPr>
              <w:t>saldo</w:t>
            </w:r>
            <w:r w:rsidRPr="006E759E">
              <w:rPr>
                <w:b/>
              </w:rPr>
              <w:t xml:space="preserve"> důvěry</w:t>
            </w:r>
            <w:r w:rsidRPr="00883202">
              <w:rPr>
                <w:b/>
              </w:rPr>
              <w:t xml:space="preserve"> </w:t>
            </w:r>
            <w:r>
              <w:rPr>
                <w:b/>
              </w:rPr>
              <w:t xml:space="preserve">podnikatelů </w:t>
            </w:r>
            <w:r w:rsidRPr="00883202">
              <w:rPr>
                <w:b/>
              </w:rPr>
              <w:t xml:space="preserve">v průmyslu* </w:t>
            </w:r>
            <w:r>
              <w:t xml:space="preserve">(v p. b., pravá </w:t>
            </w:r>
            <w:r w:rsidRPr="00883202">
              <w:t>osa)</w:t>
            </w:r>
          </w:p>
        </w:tc>
      </w:tr>
      <w:tr w:rsidR="00F77A50" w:rsidRPr="00B43216" w14:paraId="75653557" w14:textId="77777777" w:rsidTr="00B66208">
        <w:tblPrEx>
          <w:tblCellMar>
            <w:left w:w="70" w:type="dxa"/>
            <w:right w:w="70" w:type="dxa"/>
          </w:tblCellMar>
        </w:tblPrEx>
        <w:trPr>
          <w:trHeight w:val="155"/>
        </w:trPr>
        <w:tc>
          <w:tcPr>
            <w:tcW w:w="1728" w:type="dxa"/>
            <w:vMerge/>
            <w:shd w:val="clear" w:color="auto" w:fill="auto"/>
          </w:tcPr>
          <w:p w14:paraId="1A2850AD" w14:textId="77777777" w:rsidR="00F77A50" w:rsidRPr="00B43216" w:rsidRDefault="00F77A50" w:rsidP="00B66208">
            <w:pPr>
              <w:pStyle w:val="Marginlie"/>
              <w:rPr>
                <w:spacing w:val="-4"/>
              </w:rPr>
            </w:pPr>
          </w:p>
        </w:tc>
        <w:tc>
          <w:tcPr>
            <w:tcW w:w="206" w:type="dxa"/>
            <w:vMerge/>
            <w:shd w:val="clear" w:color="auto" w:fill="auto"/>
          </w:tcPr>
          <w:p w14:paraId="17ABACB1" w14:textId="77777777" w:rsidR="00F77A50" w:rsidRPr="00B43216" w:rsidRDefault="00F77A50" w:rsidP="00B66208">
            <w:pPr>
              <w:pStyle w:val="Textpoznpodarou"/>
              <w:jc w:val="both"/>
              <w:rPr>
                <w:spacing w:val="-4"/>
              </w:rPr>
            </w:pPr>
          </w:p>
        </w:tc>
        <w:tc>
          <w:tcPr>
            <w:tcW w:w="7730" w:type="dxa"/>
            <w:shd w:val="clear" w:color="auto" w:fill="auto"/>
          </w:tcPr>
          <w:p w14:paraId="300CC819" w14:textId="77777777" w:rsidR="00F77A50" w:rsidRPr="00B43216" w:rsidRDefault="00F77A50" w:rsidP="00B66208">
            <w:pPr>
              <w:spacing w:after="0"/>
              <w:rPr>
                <w:spacing w:val="-4"/>
              </w:rPr>
            </w:pPr>
            <w:r>
              <w:rPr>
                <w:noProof/>
              </w:rPr>
              <w:drawing>
                <wp:inline distT="0" distB="0" distL="0" distR="0" wp14:anchorId="187EC0D3" wp14:editId="51B82190">
                  <wp:extent cx="4817745" cy="3562350"/>
                  <wp:effectExtent l="0" t="0" r="1905"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F77A50" w:rsidRPr="00B43216" w14:paraId="041D268D" w14:textId="77777777" w:rsidTr="00B66208">
        <w:trPr>
          <w:trHeight w:val="152"/>
        </w:trPr>
        <w:tc>
          <w:tcPr>
            <w:tcW w:w="1728" w:type="dxa"/>
            <w:vMerge/>
            <w:shd w:val="clear" w:color="auto" w:fill="auto"/>
            <w:tcMar>
              <w:left w:w="0" w:type="dxa"/>
            </w:tcMar>
          </w:tcPr>
          <w:p w14:paraId="46BC5363" w14:textId="77777777" w:rsidR="00F77A50" w:rsidRPr="00B43216" w:rsidRDefault="00F77A50" w:rsidP="00B66208">
            <w:pPr>
              <w:pStyle w:val="Marginlie"/>
              <w:rPr>
                <w:spacing w:val="-4"/>
              </w:rPr>
            </w:pPr>
          </w:p>
        </w:tc>
        <w:tc>
          <w:tcPr>
            <w:tcW w:w="206" w:type="dxa"/>
            <w:vMerge/>
            <w:shd w:val="clear" w:color="auto" w:fill="auto"/>
            <w:tcMar>
              <w:left w:w="0" w:type="dxa"/>
            </w:tcMar>
          </w:tcPr>
          <w:p w14:paraId="41D7DA1A"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10D6E8D2" w14:textId="77777777" w:rsidR="00F77A50" w:rsidRDefault="00F77A50" w:rsidP="00B66208">
            <w:pPr>
              <w:tabs>
                <w:tab w:val="right" w:pos="7711"/>
              </w:tabs>
              <w:spacing w:after="0"/>
              <w:rPr>
                <w:rFonts w:cs="Arial"/>
                <w:sz w:val="14"/>
                <w:szCs w:val="14"/>
              </w:rPr>
            </w:pPr>
            <w:r w:rsidRPr="00883202">
              <w:rPr>
                <w:rFonts w:cs="Arial"/>
                <w:sz w:val="14"/>
                <w:szCs w:val="14"/>
              </w:rPr>
              <w:t>*Využití průmys</w:t>
            </w:r>
            <w:r>
              <w:rPr>
                <w:rFonts w:cs="Arial"/>
                <w:sz w:val="14"/>
                <w:szCs w:val="14"/>
              </w:rPr>
              <w:t xml:space="preserve">lových kapacit i bariéry růstu vyjadřují stav v prvním měsíci daného čtvrtletí, </w:t>
            </w:r>
            <w:r w:rsidRPr="006E759E">
              <w:rPr>
                <w:rFonts w:cs="Arial"/>
                <w:sz w:val="14"/>
                <w:szCs w:val="14"/>
              </w:rPr>
              <w:t>saldo důvěry</w:t>
            </w:r>
            <w:r>
              <w:rPr>
                <w:rFonts w:cs="Arial"/>
                <w:sz w:val="14"/>
                <w:szCs w:val="14"/>
              </w:rPr>
              <w:t xml:space="preserve"> podnikatelů je vztaženo k</w:t>
            </w:r>
            <w:r w:rsidRPr="00883202">
              <w:rPr>
                <w:rFonts w:cs="Arial"/>
                <w:sz w:val="14"/>
                <w:szCs w:val="14"/>
              </w:rPr>
              <w:t xml:space="preserve">e </w:t>
            </w:r>
            <w:r>
              <w:rPr>
                <w:rFonts w:cs="Arial"/>
                <w:sz w:val="14"/>
                <w:szCs w:val="14"/>
              </w:rPr>
              <w:t xml:space="preserve">druhému měsíci čtvrtletí. Zakázky jsou očištěny o kalendářní vlivy, ostatní ukazatele jsou </w:t>
            </w:r>
            <w:r w:rsidRPr="00883202">
              <w:rPr>
                <w:rFonts w:cs="Arial"/>
                <w:spacing w:val="-2"/>
                <w:sz w:val="14"/>
                <w:szCs w:val="14"/>
              </w:rPr>
              <w:t>sezónně očištěny</w:t>
            </w:r>
            <w:r>
              <w:rPr>
                <w:rFonts w:cs="Arial"/>
                <w:spacing w:val="-2"/>
                <w:sz w:val="14"/>
                <w:szCs w:val="14"/>
              </w:rPr>
              <w:t>.</w:t>
            </w:r>
            <w:r w:rsidRPr="00883202">
              <w:rPr>
                <w:rFonts w:cs="Arial"/>
                <w:spacing w:val="-2"/>
                <w:sz w:val="14"/>
                <w:szCs w:val="14"/>
              </w:rPr>
              <w:t xml:space="preserve"> </w:t>
            </w:r>
            <w:r>
              <w:rPr>
                <w:rFonts w:cs="Arial"/>
                <w:sz w:val="14"/>
                <w:szCs w:val="14"/>
              </w:rPr>
              <w:t>Podniky mohly uvést více hlavních růstových bariér současně.</w:t>
            </w:r>
            <w:r>
              <w:rPr>
                <w:rFonts w:cs="Arial"/>
                <w:sz w:val="14"/>
                <w:szCs w:val="14"/>
              </w:rPr>
              <w:tab/>
            </w:r>
            <w:r w:rsidRPr="00883202">
              <w:rPr>
                <w:rFonts w:cs="Arial"/>
                <w:sz w:val="14"/>
                <w:szCs w:val="14"/>
              </w:rPr>
              <w:t>Zdroj: ČSÚ</w:t>
            </w:r>
            <w:r>
              <w:rPr>
                <w:rFonts w:cs="Arial"/>
                <w:sz w:val="14"/>
                <w:szCs w:val="14"/>
              </w:rPr>
              <w:t>, Eurostat</w:t>
            </w:r>
          </w:p>
          <w:p w14:paraId="1FAE7DCF" w14:textId="77777777" w:rsidR="00F77A50" w:rsidRPr="008C5037" w:rsidRDefault="00F77A50" w:rsidP="00B66208">
            <w:pPr>
              <w:spacing w:after="0"/>
              <w:rPr>
                <w:rFonts w:cs="Arial"/>
                <w:sz w:val="14"/>
                <w:szCs w:val="14"/>
              </w:rPr>
            </w:pPr>
          </w:p>
        </w:tc>
      </w:tr>
      <w:tr w:rsidR="00F77A50" w:rsidRPr="00191C35" w14:paraId="5574EA56" w14:textId="77777777" w:rsidTr="00B66208">
        <w:trPr>
          <w:trHeight w:val="145"/>
        </w:trPr>
        <w:tc>
          <w:tcPr>
            <w:tcW w:w="1728" w:type="dxa"/>
            <w:shd w:val="clear" w:color="auto" w:fill="auto"/>
            <w:tcMar>
              <w:left w:w="0" w:type="dxa"/>
            </w:tcMar>
          </w:tcPr>
          <w:p w14:paraId="6D5C931C" w14:textId="77777777" w:rsidR="00F77A50" w:rsidRDefault="00F77A50" w:rsidP="00B66208">
            <w:pPr>
              <w:pStyle w:val="Marginlie"/>
              <w:rPr>
                <w:spacing w:val="0"/>
              </w:rPr>
            </w:pPr>
            <w:r>
              <w:rPr>
                <w:spacing w:val="0"/>
              </w:rPr>
              <w:t>Důvěra podnikatelů v průmyslu během 2. a 3. čtvrtletí oslabovala, na konci roku ale došlo k pozitivnímu obratu.</w:t>
            </w:r>
          </w:p>
          <w:p w14:paraId="1384999A" w14:textId="77777777" w:rsidR="00F77A50" w:rsidRDefault="00F77A50" w:rsidP="00B66208">
            <w:pPr>
              <w:pStyle w:val="Marginlie"/>
              <w:rPr>
                <w:spacing w:val="0"/>
              </w:rPr>
            </w:pPr>
          </w:p>
          <w:p w14:paraId="6105694F" w14:textId="77777777" w:rsidR="00F77A50" w:rsidRDefault="00F77A50" w:rsidP="00B66208">
            <w:pPr>
              <w:pStyle w:val="Marginlie"/>
              <w:rPr>
                <w:spacing w:val="0"/>
              </w:rPr>
            </w:pPr>
          </w:p>
          <w:p w14:paraId="27A5D6AA" w14:textId="77777777" w:rsidR="00F77A50" w:rsidRDefault="00F77A50" w:rsidP="00B66208">
            <w:pPr>
              <w:pStyle w:val="Marginlie"/>
            </w:pPr>
            <w:r>
              <w:rPr>
                <w:spacing w:val="0"/>
              </w:rPr>
              <w:lastRenderedPageBreak/>
              <w:t>Nedostatek materiálu a zařízení sužoval v lednu 2022 již 40 % podniků.</w:t>
            </w:r>
          </w:p>
        </w:tc>
        <w:tc>
          <w:tcPr>
            <w:tcW w:w="206" w:type="dxa"/>
            <w:shd w:val="clear" w:color="auto" w:fill="auto"/>
            <w:tcMar>
              <w:left w:w="0" w:type="dxa"/>
            </w:tcMar>
          </w:tcPr>
          <w:p w14:paraId="2028FEDE"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5FC64C95" w14:textId="77777777" w:rsidR="00F77A50" w:rsidRDefault="00F77A50" w:rsidP="00B66208">
            <w:pPr>
              <w:spacing w:after="160"/>
              <w:rPr>
                <w:spacing w:val="-4"/>
              </w:rPr>
            </w:pPr>
            <w:r w:rsidRPr="004D3151">
              <w:rPr>
                <w:color w:val="0D0D0D" w:themeColor="text1" w:themeTint="F2"/>
                <w:spacing w:val="-4"/>
              </w:rPr>
              <w:t>Důvěra podnikatelů v</w:t>
            </w:r>
            <w:r>
              <w:rPr>
                <w:color w:val="0D0D0D" w:themeColor="text1" w:themeTint="F2"/>
                <w:spacing w:val="-4"/>
              </w:rPr>
              <w:t> </w:t>
            </w:r>
            <w:r w:rsidRPr="004D3151">
              <w:rPr>
                <w:color w:val="0D0D0D" w:themeColor="text1" w:themeTint="F2"/>
                <w:spacing w:val="-4"/>
              </w:rPr>
              <w:t>průmyslu</w:t>
            </w:r>
            <w:r>
              <w:rPr>
                <w:color w:val="0D0D0D" w:themeColor="text1" w:themeTint="F2"/>
                <w:spacing w:val="-4"/>
              </w:rPr>
              <w:t xml:space="preserve"> se během roku 2021 výrazně proměňovala. Po červnovém maximu (s nejvyšší hodnotou za posledních deset let) plynule oslabovala až do října, kdy byl pesimismus nejhlubší od loňského jara. Následně došlo vlivem částečného obnovení výroby v automobilovém průmyslu k oživení a celková důvěra v průmyslu se vrátila na průměrnou úroveň za rok 2021 (a nepatrně vyšší než před propuknutím pandemie).</w:t>
            </w:r>
            <w:r w:rsidRPr="00134635">
              <w:rPr>
                <w:spacing w:val="-5"/>
              </w:rPr>
              <w:t xml:space="preserve"> Očekávání výrobní činnosti v příštích měsících se zlepšilo.</w:t>
            </w:r>
            <w:r>
              <w:rPr>
                <w:spacing w:val="-5"/>
              </w:rPr>
              <w:t xml:space="preserve"> V lednu její růst předpokládalo</w:t>
            </w:r>
            <w:r w:rsidRPr="00864981">
              <w:rPr>
                <w:spacing w:val="-5"/>
              </w:rPr>
              <w:t xml:space="preserve"> </w:t>
            </w:r>
            <w:r>
              <w:rPr>
                <w:spacing w:val="-5"/>
              </w:rPr>
              <w:t>27 %</w:t>
            </w:r>
            <w:r w:rsidRPr="00864981">
              <w:rPr>
                <w:spacing w:val="-5"/>
              </w:rPr>
              <w:t xml:space="preserve"> podniků v</w:t>
            </w:r>
            <w:r>
              <w:rPr>
                <w:spacing w:val="-5"/>
              </w:rPr>
              <w:t xml:space="preserve"> celém průmyslu, pokles pak 15 %. Výhled celkové ekonomické situace podniků v průmyslu na </w:t>
            </w:r>
            <w:r>
              <w:rPr>
                <w:spacing w:val="-5"/>
              </w:rPr>
              <w:lastRenderedPageBreak/>
              <w:t xml:space="preserve">příštích šest měsíců zůstal podobně jako očekávání v oblasti zaměstnanosti mírně pozitivní. Evidenční počet zaměstnanců v průmyslu se sice za celý loňský rok o 1,2 % snížil, v samotném 4. čtvrtletí se ale jeho meziroční pokles zastavil. </w:t>
            </w:r>
            <w:r w:rsidRPr="00B12B9E">
              <w:rPr>
                <w:color w:val="0D0D0D" w:themeColor="text1" w:themeTint="F2"/>
                <w:spacing w:val="-4"/>
              </w:rPr>
              <w:t>Hlavní růstovou bariérou</w:t>
            </w:r>
            <w:r w:rsidRPr="00B12B9E">
              <w:rPr>
                <w:rStyle w:val="Znakapoznpodarou"/>
                <w:color w:val="0D0D0D" w:themeColor="text1" w:themeTint="F2"/>
                <w:spacing w:val="-4"/>
              </w:rPr>
              <w:footnoteReference w:id="36"/>
            </w:r>
            <w:r>
              <w:rPr>
                <w:color w:val="0D0D0D" w:themeColor="text1" w:themeTint="F2"/>
                <w:spacing w:val="-4"/>
              </w:rPr>
              <w:t xml:space="preserve"> zůstává od půle loňského roku nedostatek materiálu a zařízení, který v lednu 2022 limitoval 40 % průmyslových podniků v tuzemsku (v EU 51 %). Nedostatečná poptávka, podobně jako nedostatek pracovníků sužovaly zhruba čtvrtinu podniků</w:t>
            </w:r>
            <w:r>
              <w:t>.</w:t>
            </w:r>
          </w:p>
        </w:tc>
      </w:tr>
      <w:tr w:rsidR="00F77A50" w:rsidRPr="00191C35" w14:paraId="0C5B750A" w14:textId="77777777" w:rsidTr="00B66208">
        <w:trPr>
          <w:trHeight w:val="145"/>
        </w:trPr>
        <w:tc>
          <w:tcPr>
            <w:tcW w:w="1728" w:type="dxa"/>
            <w:shd w:val="clear" w:color="auto" w:fill="auto"/>
            <w:tcMar>
              <w:left w:w="0" w:type="dxa"/>
            </w:tcMar>
          </w:tcPr>
          <w:p w14:paraId="014EC8E7" w14:textId="77777777" w:rsidR="00F77A50" w:rsidRDefault="00F77A50" w:rsidP="00B66208">
            <w:pPr>
              <w:pStyle w:val="Marginlie"/>
            </w:pPr>
            <w:r>
              <w:lastRenderedPageBreak/>
              <w:t xml:space="preserve">Mezikvartální růst stavební produkce se </w:t>
            </w:r>
            <w:r>
              <w:br/>
              <w:t xml:space="preserve">ve 3. čtvrtletí zastavil, </w:t>
            </w:r>
            <w:r>
              <w:br/>
              <w:t>ke konci roku ale došlo i díky pozemnímu stavitelství k obratu.</w:t>
            </w:r>
          </w:p>
        </w:tc>
        <w:tc>
          <w:tcPr>
            <w:tcW w:w="206" w:type="dxa"/>
            <w:shd w:val="clear" w:color="auto" w:fill="auto"/>
            <w:tcMar>
              <w:left w:w="0" w:type="dxa"/>
            </w:tcMar>
          </w:tcPr>
          <w:p w14:paraId="467DE95C"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676E450A" w14:textId="77777777" w:rsidR="00F77A50" w:rsidRPr="00DB2141" w:rsidRDefault="00F77A50" w:rsidP="00B66208">
            <w:pPr>
              <w:spacing w:after="160"/>
              <w:rPr>
                <w:rFonts w:cs="Arial"/>
                <w:color w:val="0D0D0D" w:themeColor="text1" w:themeTint="F2"/>
                <w:spacing w:val="-4"/>
              </w:rPr>
            </w:pPr>
            <w:r>
              <w:rPr>
                <w:spacing w:val="-4"/>
              </w:rPr>
              <w:t>Stavebnictví se loni navzdory některým růstovým předpokladům (např. plánované veřejné investice do dopravní infrastruktury</w:t>
            </w:r>
            <w:r>
              <w:rPr>
                <w:rStyle w:val="Znakapoznpodarou"/>
                <w:spacing w:val="-4"/>
              </w:rPr>
              <w:footnoteReference w:id="37"/>
            </w:r>
            <w:r>
              <w:rPr>
                <w:spacing w:val="-4"/>
              </w:rPr>
              <w:t xml:space="preserve">) zotavovalo </w:t>
            </w:r>
            <w:r w:rsidRPr="005232F9">
              <w:rPr>
                <w:color w:val="0D0D0D" w:themeColor="text1" w:themeTint="F2"/>
                <w:spacing w:val="-4"/>
              </w:rPr>
              <w:t xml:space="preserve">pomalu. </w:t>
            </w:r>
            <w:r>
              <w:rPr>
                <w:color w:val="0D0D0D" w:themeColor="text1" w:themeTint="F2"/>
                <w:spacing w:val="-4"/>
              </w:rPr>
              <w:t xml:space="preserve">Mezikvartální tempo </w:t>
            </w:r>
            <w:r>
              <w:rPr>
                <w:rFonts w:cs="Arial"/>
                <w:color w:val="0D0D0D" w:themeColor="text1" w:themeTint="F2"/>
                <w:spacing w:val="-4"/>
              </w:rPr>
              <w:t>s</w:t>
            </w:r>
            <w:r w:rsidRPr="005232F9">
              <w:rPr>
                <w:rFonts w:cs="Arial"/>
                <w:color w:val="0D0D0D" w:themeColor="text1" w:themeTint="F2"/>
                <w:spacing w:val="-4"/>
              </w:rPr>
              <w:t>tavební produkce</w:t>
            </w:r>
            <w:r w:rsidRPr="005232F9">
              <w:rPr>
                <w:rStyle w:val="Znakapoznpodarou"/>
                <w:color w:val="0D0D0D" w:themeColor="text1" w:themeTint="F2"/>
                <w:spacing w:val="-2"/>
              </w:rPr>
              <w:footnoteReference w:id="38"/>
            </w:r>
            <w:r>
              <w:rPr>
                <w:rFonts w:cs="Arial"/>
                <w:color w:val="0D0D0D" w:themeColor="text1" w:themeTint="F2"/>
                <w:spacing w:val="-4"/>
              </w:rPr>
              <w:t xml:space="preserve"> sice v 1. i 2. čtvrtletí 2021 přesáhlo 2 %, ve 3. čtvrtletí ale výkon celého odvětví o 1,0 % poklesl. Stálo za tím primárně inženýrské stavitelství, na něž dolehlo pomalejší čerpání veřejných investic v prvních dvou třetinách roku. Ve 4. čtvrtletí došlo ve stavebnictví k pozitivnímu obratu (+2,2 %), na kterém se podílelo zejména pozemní stavitelství těžící z příznivého vývoje bytové výstavby.</w:t>
            </w:r>
          </w:p>
        </w:tc>
      </w:tr>
      <w:tr w:rsidR="00F77A50" w:rsidRPr="00191C35" w14:paraId="09038984" w14:textId="77777777" w:rsidTr="00B66208">
        <w:trPr>
          <w:trHeight w:val="145"/>
        </w:trPr>
        <w:tc>
          <w:tcPr>
            <w:tcW w:w="1728" w:type="dxa"/>
            <w:shd w:val="clear" w:color="auto" w:fill="auto"/>
            <w:tcMar>
              <w:left w:w="0" w:type="dxa"/>
            </w:tcMar>
          </w:tcPr>
          <w:p w14:paraId="2BA5C365" w14:textId="77777777" w:rsidR="00F77A50" w:rsidRDefault="00F77A50" w:rsidP="00B66208">
            <w:pPr>
              <w:pStyle w:val="Marginlie"/>
            </w:pPr>
            <w:r>
              <w:t>Tři roky trvající růst inženýrského stavitelství již loni nepokračoval. Pozemní stavitelství se postupně zotavovalo.</w:t>
            </w:r>
          </w:p>
        </w:tc>
        <w:tc>
          <w:tcPr>
            <w:tcW w:w="206" w:type="dxa"/>
            <w:shd w:val="clear" w:color="auto" w:fill="auto"/>
            <w:tcMar>
              <w:left w:w="0" w:type="dxa"/>
            </w:tcMar>
          </w:tcPr>
          <w:p w14:paraId="1145CD77"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3DE8048E" w14:textId="77777777" w:rsidR="00F77A50" w:rsidRPr="00076B73" w:rsidRDefault="00F77A50" w:rsidP="00B66208">
            <w:pPr>
              <w:spacing w:after="160"/>
              <w:rPr>
                <w:rFonts w:cs="Arial"/>
                <w:color w:val="0D0D0D" w:themeColor="text1" w:themeTint="F2"/>
                <w:spacing w:val="-2"/>
              </w:rPr>
            </w:pPr>
            <w:r w:rsidRPr="00076B73">
              <w:rPr>
                <w:rFonts w:cs="Arial"/>
                <w:color w:val="0D0D0D" w:themeColor="text1" w:themeTint="F2"/>
                <w:spacing w:val="-2"/>
              </w:rPr>
              <w:t>I</w:t>
            </w:r>
            <w:r>
              <w:rPr>
                <w:rFonts w:cs="Arial"/>
                <w:color w:val="0D0D0D" w:themeColor="text1" w:themeTint="F2"/>
                <w:spacing w:val="-2"/>
              </w:rPr>
              <w:t> </w:t>
            </w:r>
            <w:r w:rsidRPr="00076B73">
              <w:rPr>
                <w:rFonts w:cs="Arial"/>
                <w:color w:val="0D0D0D" w:themeColor="text1" w:themeTint="F2"/>
                <w:spacing w:val="-2"/>
              </w:rPr>
              <w:t>díky vývoji v posledních měsících tak za celý loňský rok stavební produkce mírně vzrostla, výhradně ale vlivem pozemního stavitelství, které posílilo o</w:t>
            </w:r>
            <w:r>
              <w:rPr>
                <w:rFonts w:cs="Arial"/>
                <w:color w:val="0D0D0D" w:themeColor="text1" w:themeTint="F2"/>
                <w:spacing w:val="-2"/>
              </w:rPr>
              <w:t> </w:t>
            </w:r>
            <w:r w:rsidRPr="00076B73">
              <w:rPr>
                <w:rFonts w:cs="Arial"/>
                <w:color w:val="0D0D0D" w:themeColor="text1" w:themeTint="F2"/>
                <w:spacing w:val="-2"/>
              </w:rPr>
              <w:t>3,5</w:t>
            </w:r>
            <w:r>
              <w:rPr>
                <w:rFonts w:cs="Arial"/>
                <w:color w:val="0D0D0D" w:themeColor="text1" w:themeTint="F2"/>
                <w:spacing w:val="-2"/>
              </w:rPr>
              <w:t> %.</w:t>
            </w:r>
            <w:r w:rsidRPr="00076B73">
              <w:rPr>
                <w:rFonts w:cs="Arial"/>
                <w:color w:val="0D0D0D" w:themeColor="text1" w:themeTint="F2"/>
                <w:spacing w:val="-2"/>
              </w:rPr>
              <w:t xml:space="preserve"> Naopak tři roky trvající růst inženýrského stavitelství, podpořený sílícím čerpáním prostředků z evropských fondů, se loni zastavil (–0,2</w:t>
            </w:r>
            <w:r>
              <w:rPr>
                <w:rFonts w:cs="Arial"/>
                <w:color w:val="0D0D0D" w:themeColor="text1" w:themeTint="F2"/>
                <w:spacing w:val="-2"/>
              </w:rPr>
              <w:t> %</w:t>
            </w:r>
            <w:r w:rsidRPr="00076B73">
              <w:rPr>
                <w:rFonts w:cs="Arial"/>
                <w:color w:val="0D0D0D" w:themeColor="text1" w:themeTint="F2"/>
                <w:spacing w:val="-2"/>
              </w:rPr>
              <w:t>). To pozemní stavitelství navazovalo na útlum z roku 2020 (</w:t>
            </w:r>
            <w:r w:rsidRPr="00076B73">
              <w:rPr>
                <w:color w:val="0D0D0D" w:themeColor="text1" w:themeTint="F2"/>
                <w:spacing w:val="-2"/>
              </w:rPr>
              <w:t>–</w:t>
            </w:r>
            <w:r w:rsidRPr="00076B73">
              <w:rPr>
                <w:rFonts w:cs="Arial"/>
                <w:color w:val="0D0D0D" w:themeColor="text1" w:themeTint="F2"/>
                <w:spacing w:val="-2"/>
              </w:rPr>
              <w:t>9,0</w:t>
            </w:r>
            <w:r>
              <w:rPr>
                <w:rFonts w:cs="Arial"/>
                <w:color w:val="0D0D0D" w:themeColor="text1" w:themeTint="F2"/>
                <w:spacing w:val="-2"/>
              </w:rPr>
              <w:t> %</w:t>
            </w:r>
            <w:r w:rsidRPr="00076B73">
              <w:rPr>
                <w:rFonts w:cs="Arial"/>
                <w:color w:val="0D0D0D" w:themeColor="text1" w:themeTint="F2"/>
                <w:spacing w:val="-2"/>
              </w:rPr>
              <w:t>), jenž byl nejhlubší ve srovnatelné 20leté řadě.</w:t>
            </w:r>
          </w:p>
        </w:tc>
      </w:tr>
      <w:tr w:rsidR="00F77A50" w:rsidRPr="00191C35" w14:paraId="6B9A6403" w14:textId="77777777" w:rsidTr="00B66208">
        <w:trPr>
          <w:trHeight w:val="145"/>
        </w:trPr>
        <w:tc>
          <w:tcPr>
            <w:tcW w:w="1728" w:type="dxa"/>
            <w:shd w:val="clear" w:color="auto" w:fill="auto"/>
            <w:tcMar>
              <w:left w:w="0" w:type="dxa"/>
            </w:tcMar>
          </w:tcPr>
          <w:p w14:paraId="67BF3CD5" w14:textId="77777777" w:rsidR="00F77A50" w:rsidRDefault="00F77A50" w:rsidP="00B66208">
            <w:pPr>
              <w:pStyle w:val="Marginlie"/>
            </w:pPr>
          </w:p>
        </w:tc>
        <w:tc>
          <w:tcPr>
            <w:tcW w:w="206" w:type="dxa"/>
            <w:shd w:val="clear" w:color="auto" w:fill="auto"/>
            <w:tcMar>
              <w:left w:w="0" w:type="dxa"/>
            </w:tcMar>
          </w:tcPr>
          <w:p w14:paraId="2E8D93D8"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086D7E7E" w14:textId="77777777" w:rsidR="00F77A50" w:rsidRPr="006E759E" w:rsidRDefault="00F77A50" w:rsidP="00B66208">
            <w:pPr>
              <w:spacing w:after="0"/>
              <w:rPr>
                <w:spacing w:val="-5"/>
              </w:rPr>
            </w:pPr>
            <w:r w:rsidRPr="006E759E">
              <w:rPr>
                <w:b/>
                <w:spacing w:val="-5"/>
              </w:rPr>
              <w:t xml:space="preserve">Graf č. 6  Příspěvky odvětví k meziroční změně stavební produkce </w:t>
            </w:r>
            <w:r w:rsidRPr="006E759E">
              <w:rPr>
                <w:spacing w:val="-5"/>
              </w:rPr>
              <w:t>(reálně, v p. b.)</w:t>
            </w:r>
            <w:r w:rsidRPr="006E759E">
              <w:rPr>
                <w:b/>
                <w:bCs/>
                <w:spacing w:val="-5"/>
              </w:rPr>
              <w:t>,</w:t>
            </w:r>
            <w:r w:rsidRPr="006E759E">
              <w:rPr>
                <w:b/>
                <w:bCs/>
                <w:spacing w:val="-5"/>
              </w:rPr>
              <w:br/>
            </w:r>
            <w:r w:rsidRPr="006E759E">
              <w:rPr>
                <w:b/>
                <w:spacing w:val="-5"/>
              </w:rPr>
              <w:t xml:space="preserve">nové stavební zakázky </w:t>
            </w:r>
            <w:r w:rsidRPr="006E759E">
              <w:rPr>
                <w:spacing w:val="-5"/>
              </w:rPr>
              <w:t>(</w:t>
            </w:r>
            <w:r w:rsidRPr="006E759E">
              <w:rPr>
                <w:bCs/>
                <w:spacing w:val="-5"/>
              </w:rPr>
              <w:t xml:space="preserve">nominálně, </w:t>
            </w:r>
            <w:r w:rsidRPr="006E759E">
              <w:rPr>
                <w:spacing w:val="-5"/>
              </w:rPr>
              <w:t>meziročně,</w:t>
            </w:r>
            <w:r w:rsidRPr="006E759E">
              <w:rPr>
                <w:bCs/>
                <w:spacing w:val="-5"/>
              </w:rPr>
              <w:t xml:space="preserve"> v %</w:t>
            </w:r>
            <w:r w:rsidRPr="006E759E">
              <w:rPr>
                <w:spacing w:val="-5"/>
              </w:rPr>
              <w:t>, pravá osa</w:t>
            </w:r>
            <w:r w:rsidRPr="006E759E">
              <w:rPr>
                <w:bCs/>
                <w:spacing w:val="-5"/>
              </w:rPr>
              <w:t>)</w:t>
            </w:r>
            <w:r w:rsidRPr="006E759E">
              <w:rPr>
                <w:b/>
                <w:spacing w:val="-5"/>
              </w:rPr>
              <w:t>, saldo důvěry podnikatelů ve stavebnictví*</w:t>
            </w:r>
            <w:r w:rsidRPr="006E759E">
              <w:rPr>
                <w:spacing w:val="-5"/>
              </w:rPr>
              <w:t xml:space="preserve"> (v p. b., pravá osa) </w:t>
            </w:r>
            <w:r w:rsidRPr="006E759E">
              <w:rPr>
                <w:b/>
                <w:spacing w:val="-5"/>
              </w:rPr>
              <w:t>a vybrané bariéry růstu</w:t>
            </w:r>
            <w:r w:rsidRPr="006E759E">
              <w:rPr>
                <w:spacing w:val="-5"/>
              </w:rPr>
              <w:t>* (v %, pravá osa)</w:t>
            </w:r>
          </w:p>
        </w:tc>
      </w:tr>
      <w:tr w:rsidR="00F77A50" w:rsidRPr="00191C35" w14:paraId="11D86604" w14:textId="77777777" w:rsidTr="00B66208">
        <w:tblPrEx>
          <w:tblCellMar>
            <w:left w:w="70" w:type="dxa"/>
            <w:right w:w="70" w:type="dxa"/>
          </w:tblCellMar>
        </w:tblPrEx>
        <w:trPr>
          <w:trHeight w:val="145"/>
        </w:trPr>
        <w:tc>
          <w:tcPr>
            <w:tcW w:w="1728" w:type="dxa"/>
            <w:shd w:val="clear" w:color="auto" w:fill="auto"/>
          </w:tcPr>
          <w:p w14:paraId="1CFBC8CB" w14:textId="77777777" w:rsidR="00F77A50" w:rsidRDefault="00F77A50" w:rsidP="00B66208">
            <w:pPr>
              <w:pStyle w:val="Marginlie"/>
            </w:pPr>
          </w:p>
        </w:tc>
        <w:tc>
          <w:tcPr>
            <w:tcW w:w="206" w:type="dxa"/>
            <w:shd w:val="clear" w:color="auto" w:fill="auto"/>
          </w:tcPr>
          <w:p w14:paraId="0252D769" w14:textId="77777777" w:rsidR="00F77A50" w:rsidRPr="00B43216" w:rsidRDefault="00F77A50" w:rsidP="00B66208">
            <w:pPr>
              <w:pStyle w:val="Textpoznpodarou"/>
              <w:jc w:val="both"/>
              <w:rPr>
                <w:spacing w:val="-4"/>
              </w:rPr>
            </w:pPr>
          </w:p>
        </w:tc>
        <w:tc>
          <w:tcPr>
            <w:tcW w:w="7730" w:type="dxa"/>
            <w:shd w:val="clear" w:color="auto" w:fill="auto"/>
          </w:tcPr>
          <w:p w14:paraId="3F1E8B72" w14:textId="77777777" w:rsidR="00F77A50" w:rsidRPr="003E01D3" w:rsidRDefault="00F77A50" w:rsidP="00B66208">
            <w:pPr>
              <w:spacing w:after="0"/>
              <w:rPr>
                <w:b/>
                <w:spacing w:val="-4"/>
              </w:rPr>
            </w:pPr>
            <w:r>
              <w:rPr>
                <w:noProof/>
              </w:rPr>
              <w:drawing>
                <wp:inline distT="0" distB="0" distL="0" distR="0" wp14:anchorId="1FEC7305" wp14:editId="4D055B43">
                  <wp:extent cx="4817745" cy="3581400"/>
                  <wp:effectExtent l="0" t="0" r="1905"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F77A50" w:rsidRPr="00191C35" w14:paraId="470747E1" w14:textId="77777777" w:rsidTr="00B66208">
        <w:trPr>
          <w:trHeight w:val="145"/>
        </w:trPr>
        <w:tc>
          <w:tcPr>
            <w:tcW w:w="1728" w:type="dxa"/>
            <w:shd w:val="clear" w:color="auto" w:fill="auto"/>
            <w:tcMar>
              <w:left w:w="0" w:type="dxa"/>
            </w:tcMar>
          </w:tcPr>
          <w:p w14:paraId="35CE6A84" w14:textId="77777777" w:rsidR="00F77A50" w:rsidRDefault="00F77A50" w:rsidP="00B66208">
            <w:pPr>
              <w:pStyle w:val="Marginlie"/>
            </w:pPr>
          </w:p>
        </w:tc>
        <w:tc>
          <w:tcPr>
            <w:tcW w:w="206" w:type="dxa"/>
            <w:shd w:val="clear" w:color="auto" w:fill="auto"/>
            <w:tcMar>
              <w:left w:w="0" w:type="dxa"/>
            </w:tcMar>
          </w:tcPr>
          <w:p w14:paraId="4AD9133C"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04C3B101" w14:textId="77777777" w:rsidR="00F77A50" w:rsidRPr="00883202" w:rsidRDefault="00F77A50" w:rsidP="00B66208">
            <w:pPr>
              <w:spacing w:after="0"/>
              <w:rPr>
                <w:rFonts w:cs="Arial"/>
                <w:sz w:val="14"/>
                <w:szCs w:val="14"/>
              </w:rPr>
            </w:pPr>
            <w:r>
              <w:rPr>
                <w:rFonts w:cs="Arial"/>
                <w:sz w:val="14"/>
                <w:szCs w:val="14"/>
              </w:rPr>
              <w:t xml:space="preserve">Poznámka: </w:t>
            </w:r>
            <w:r w:rsidRPr="00883202">
              <w:rPr>
                <w:rFonts w:cs="Arial"/>
                <w:sz w:val="14"/>
                <w:szCs w:val="14"/>
              </w:rPr>
              <w:t>Údaje o stavební produkci jsou očištěny o kalendářní vlivy.</w:t>
            </w:r>
          </w:p>
          <w:p w14:paraId="626A1C6C" w14:textId="77777777" w:rsidR="00F77A50" w:rsidRDefault="00F77A50" w:rsidP="00B66208">
            <w:pPr>
              <w:tabs>
                <w:tab w:val="right" w:pos="7711"/>
              </w:tabs>
              <w:spacing w:after="0"/>
              <w:rPr>
                <w:rFonts w:cs="Arial"/>
                <w:sz w:val="14"/>
                <w:szCs w:val="14"/>
              </w:rPr>
            </w:pPr>
            <w:r w:rsidRPr="00883202">
              <w:rPr>
                <w:rFonts w:cs="Arial"/>
                <w:sz w:val="14"/>
                <w:szCs w:val="14"/>
              </w:rPr>
              <w:t>*</w:t>
            </w:r>
            <w:r w:rsidRPr="006E759E">
              <w:rPr>
                <w:rFonts w:cs="Arial"/>
                <w:spacing w:val="-2"/>
                <w:sz w:val="14"/>
                <w:szCs w:val="14"/>
              </w:rPr>
              <w:t>Saldo důvěry podnikatelů i bariéry</w:t>
            </w:r>
            <w:r w:rsidRPr="00883202">
              <w:rPr>
                <w:rFonts w:cs="Arial"/>
                <w:spacing w:val="-2"/>
                <w:sz w:val="14"/>
                <w:szCs w:val="14"/>
              </w:rPr>
              <w:t xml:space="preserve"> růstu jsou sezónně očištěny a vyjadřují stav ve druhém měsíci daného čtvrtletí</w:t>
            </w:r>
            <w:r w:rsidRPr="00883202">
              <w:rPr>
                <w:rFonts w:cs="Arial"/>
                <w:sz w:val="14"/>
                <w:szCs w:val="14"/>
              </w:rPr>
              <w:t>.</w:t>
            </w:r>
            <w:r>
              <w:rPr>
                <w:rFonts w:cs="Arial"/>
                <w:sz w:val="14"/>
                <w:szCs w:val="14"/>
              </w:rPr>
              <w:t xml:space="preserve"> Podniky mohly uvést více hlavních bariér současně.</w:t>
            </w:r>
            <w:r>
              <w:rPr>
                <w:rFonts w:cs="Arial"/>
                <w:sz w:val="14"/>
                <w:szCs w:val="14"/>
              </w:rPr>
              <w:tab/>
            </w:r>
            <w:r w:rsidRPr="00883202">
              <w:rPr>
                <w:rFonts w:cs="Arial"/>
                <w:sz w:val="14"/>
                <w:szCs w:val="14"/>
              </w:rPr>
              <w:t>Zdroj: ČSÚ</w:t>
            </w:r>
            <w:r>
              <w:rPr>
                <w:rFonts w:cs="Arial"/>
                <w:sz w:val="14"/>
                <w:szCs w:val="14"/>
              </w:rPr>
              <w:t>, Eurostat</w:t>
            </w:r>
          </w:p>
          <w:p w14:paraId="1BD149C2" w14:textId="77777777" w:rsidR="00F77A50" w:rsidRPr="00FC6785" w:rsidRDefault="00F77A50" w:rsidP="00B66208">
            <w:pPr>
              <w:tabs>
                <w:tab w:val="right" w:pos="7711"/>
              </w:tabs>
              <w:spacing w:after="0"/>
              <w:rPr>
                <w:rFonts w:cs="Arial"/>
                <w:sz w:val="14"/>
                <w:szCs w:val="14"/>
              </w:rPr>
            </w:pPr>
          </w:p>
        </w:tc>
      </w:tr>
      <w:tr w:rsidR="00F77A50" w:rsidRPr="00191C35" w14:paraId="7627ED92" w14:textId="77777777" w:rsidTr="00B66208">
        <w:trPr>
          <w:trHeight w:val="145"/>
        </w:trPr>
        <w:tc>
          <w:tcPr>
            <w:tcW w:w="1728" w:type="dxa"/>
            <w:shd w:val="clear" w:color="auto" w:fill="auto"/>
            <w:tcMar>
              <w:left w:w="0" w:type="dxa"/>
            </w:tcMar>
          </w:tcPr>
          <w:p w14:paraId="7D5D699D" w14:textId="77777777" w:rsidR="00F77A50" w:rsidRDefault="00F77A50" w:rsidP="00B66208">
            <w:pPr>
              <w:pStyle w:val="Marginlie"/>
            </w:pPr>
            <w:r>
              <w:t xml:space="preserve">Počet zahájených bytů mírně přesáhl dosud rekordní výstavbu z roku </w:t>
            </w:r>
            <w:r>
              <w:lastRenderedPageBreak/>
              <w:t>2007. Svižně rostla hlavně výstavba bytů v bytových domech v Praze a středních Čechách.</w:t>
            </w:r>
          </w:p>
          <w:p w14:paraId="03A994F0" w14:textId="77777777" w:rsidR="00F77A50" w:rsidRDefault="00F77A50" w:rsidP="00B66208">
            <w:pPr>
              <w:pStyle w:val="Marginlie"/>
            </w:pPr>
          </w:p>
          <w:p w14:paraId="1BC37A0E" w14:textId="77777777" w:rsidR="00F77A50" w:rsidRDefault="00F77A50" w:rsidP="00B66208">
            <w:pPr>
              <w:pStyle w:val="Marginlie"/>
            </w:pPr>
          </w:p>
          <w:p w14:paraId="352E2DC6" w14:textId="77777777" w:rsidR="00F77A50" w:rsidRDefault="00F77A50" w:rsidP="00B66208">
            <w:pPr>
              <w:pStyle w:val="Marginlie"/>
            </w:pPr>
            <w:r w:rsidRPr="00CF1D8C">
              <w:t>Počet dokončených</w:t>
            </w:r>
            <w:r>
              <w:t xml:space="preserve"> bytů meziročně stagnoval.</w:t>
            </w:r>
          </w:p>
        </w:tc>
        <w:tc>
          <w:tcPr>
            <w:tcW w:w="206" w:type="dxa"/>
            <w:shd w:val="clear" w:color="auto" w:fill="auto"/>
            <w:tcMar>
              <w:left w:w="0" w:type="dxa"/>
            </w:tcMar>
          </w:tcPr>
          <w:p w14:paraId="479ED1BB" w14:textId="77777777" w:rsidR="00F77A50" w:rsidRPr="00B34A3C" w:rsidRDefault="00F77A50" w:rsidP="00B66208">
            <w:pPr>
              <w:pStyle w:val="Textpoznpodarou"/>
              <w:jc w:val="both"/>
              <w:rPr>
                <w:color w:val="0D0D0D" w:themeColor="text1" w:themeTint="F2"/>
                <w:spacing w:val="-4"/>
              </w:rPr>
            </w:pPr>
          </w:p>
        </w:tc>
        <w:tc>
          <w:tcPr>
            <w:tcW w:w="7730" w:type="dxa"/>
            <w:shd w:val="clear" w:color="auto" w:fill="auto"/>
            <w:tcMar>
              <w:left w:w="0" w:type="dxa"/>
            </w:tcMar>
          </w:tcPr>
          <w:p w14:paraId="32E0D3BE" w14:textId="77777777" w:rsidR="00F77A50" w:rsidRDefault="00F77A50" w:rsidP="00B66208">
            <w:pPr>
              <w:spacing w:after="160"/>
              <w:rPr>
                <w:rFonts w:cs="Arial"/>
                <w:bCs/>
                <w:color w:val="0D0D0D" w:themeColor="text1" w:themeTint="F2"/>
                <w:spacing w:val="-2"/>
                <w:szCs w:val="20"/>
              </w:rPr>
            </w:pPr>
            <w:r>
              <w:rPr>
                <w:rFonts w:cs="Arial"/>
                <w:color w:val="0D0D0D" w:themeColor="text1" w:themeTint="F2"/>
                <w:spacing w:val="-4"/>
              </w:rPr>
              <w:t>Byť celé stavebnictví nebylo v roce 2021 protipandemickými restrikcemi bezprostředně zasaženo, dopady předloňských opatření ho stále ovlivňovaly (v administrativní náročnosti přípravy staveb či mobilitě zahraničních pracovníků).</w:t>
            </w:r>
            <w:r>
              <w:rPr>
                <w:spacing w:val="-4"/>
              </w:rPr>
              <w:t xml:space="preserve"> Po ústupu jarní pandemické vlny se </w:t>
            </w:r>
            <w:r>
              <w:rPr>
                <w:spacing w:val="-4"/>
              </w:rPr>
              <w:lastRenderedPageBreak/>
              <w:t>nicméně podmínky pro stavebnictví zlepšily, což se projevilo například v zahajované bytové výstavbě. Především díky nebývale silnému 2. pololetí tak dosáhl za celý loňský rok počet zahájených bytů v novodobé historii ČR rekordních 45,0 tis. Nevídané bylo i</w:t>
            </w:r>
            <w:r>
              <w:rPr>
                <w:rFonts w:cs="Arial"/>
                <w:color w:val="0D0D0D" w:themeColor="text1" w:themeTint="F2"/>
                <w:spacing w:val="-4"/>
              </w:rPr>
              <w:t> </w:t>
            </w:r>
            <w:r>
              <w:rPr>
                <w:spacing w:val="-4"/>
              </w:rPr>
              <w:t xml:space="preserve">meziroční posílení výstavby (o 28 %), hlavně díky bytům v bytových domech. Byť se celková výstavba navyšovala ve 12 ze 14 krajů, k růstu loni z drtivé většiny přispěly Praha a střední Čechy. Počet </w:t>
            </w:r>
            <w:r w:rsidRPr="00CF1D8C">
              <w:rPr>
                <w:spacing w:val="-4"/>
              </w:rPr>
              <w:t>dokončených bytů</w:t>
            </w:r>
            <w:r>
              <w:rPr>
                <w:spacing w:val="-4"/>
              </w:rPr>
              <w:t xml:space="preserve"> v Česku loni pouze stagnoval (na 34,6 tis.) a za rokem 2007 o</w:t>
            </w:r>
            <w:r>
              <w:rPr>
                <w:rFonts w:cs="Arial"/>
                <w:color w:val="0D0D0D" w:themeColor="text1" w:themeTint="F2"/>
                <w:spacing w:val="-4"/>
              </w:rPr>
              <w:t> </w:t>
            </w:r>
            <w:r>
              <w:rPr>
                <w:spacing w:val="-4"/>
              </w:rPr>
              <w:t>šestinu zaostal. Bytů v rodinných domech vzniklo dokonce nejméně za poslední čtyři roky. Prudký růst cen stavebních materiálů i prací mohl přispět k větší rozestavěnosti a tím i</w:t>
            </w:r>
            <w:r>
              <w:rPr>
                <w:rFonts w:cs="Arial"/>
                <w:color w:val="0D0D0D" w:themeColor="text1" w:themeTint="F2"/>
                <w:spacing w:val="-4"/>
              </w:rPr>
              <w:t> </w:t>
            </w:r>
            <w:r>
              <w:rPr>
                <w:spacing w:val="-4"/>
              </w:rPr>
              <w:t>k</w:t>
            </w:r>
            <w:r>
              <w:rPr>
                <w:rFonts w:cs="Arial"/>
                <w:color w:val="0D0D0D" w:themeColor="text1" w:themeTint="F2"/>
                <w:spacing w:val="-4"/>
              </w:rPr>
              <w:t> </w:t>
            </w:r>
            <w:r>
              <w:rPr>
                <w:spacing w:val="-4"/>
              </w:rPr>
              <w:t>prodloužení průměrné doby výstavby.</w:t>
            </w:r>
          </w:p>
        </w:tc>
      </w:tr>
      <w:tr w:rsidR="00F77A50" w:rsidRPr="00191C35" w14:paraId="7A5200FD" w14:textId="77777777" w:rsidTr="00B66208">
        <w:trPr>
          <w:trHeight w:val="145"/>
        </w:trPr>
        <w:tc>
          <w:tcPr>
            <w:tcW w:w="1728" w:type="dxa"/>
            <w:shd w:val="clear" w:color="auto" w:fill="auto"/>
            <w:tcMar>
              <w:left w:w="0" w:type="dxa"/>
            </w:tcMar>
          </w:tcPr>
          <w:p w14:paraId="74D1FA2A" w14:textId="77777777" w:rsidR="00F77A50" w:rsidRDefault="00F77A50" w:rsidP="00B66208">
            <w:pPr>
              <w:pStyle w:val="Marginlie"/>
            </w:pPr>
            <w:r>
              <w:lastRenderedPageBreak/>
              <w:t>Růst hodnoty nových stavebních zakázek ve 4. čtvrtletí zvolnil.</w:t>
            </w:r>
          </w:p>
          <w:p w14:paraId="36770E7A" w14:textId="77777777" w:rsidR="00F77A50" w:rsidRDefault="00F77A50" w:rsidP="00B66208">
            <w:pPr>
              <w:pStyle w:val="Marginlie"/>
            </w:pPr>
          </w:p>
          <w:p w14:paraId="1073237B" w14:textId="77777777" w:rsidR="00F77A50" w:rsidRDefault="00F77A50" w:rsidP="00B66208">
            <w:pPr>
              <w:pStyle w:val="Marginlie"/>
            </w:pPr>
          </w:p>
          <w:p w14:paraId="2C24F243" w14:textId="77777777" w:rsidR="00F77A50" w:rsidRDefault="00F77A50" w:rsidP="00B66208">
            <w:pPr>
              <w:pStyle w:val="Marginlie"/>
            </w:pPr>
          </w:p>
          <w:p w14:paraId="206EC03F" w14:textId="77777777" w:rsidR="00F77A50" w:rsidRDefault="00F77A50" w:rsidP="00B66208">
            <w:pPr>
              <w:pStyle w:val="Marginlie"/>
            </w:pPr>
          </w:p>
          <w:p w14:paraId="53D1E470" w14:textId="77777777" w:rsidR="00F77A50" w:rsidRDefault="00F77A50" w:rsidP="00B66208">
            <w:pPr>
              <w:pStyle w:val="Marginlie"/>
            </w:pPr>
          </w:p>
          <w:p w14:paraId="36357554" w14:textId="77777777" w:rsidR="00F77A50" w:rsidRDefault="00F77A50" w:rsidP="00B66208">
            <w:pPr>
              <w:pStyle w:val="Marginlie"/>
            </w:pPr>
            <w:r>
              <w:t>Důvěra podnikatelů ve stavebnictví se loni příliš neměnila, leden a únor 2022 přinesly pozitivní posun. Klíčovou růstovou bariérou zůstává nedostatek pracovníků.</w:t>
            </w:r>
          </w:p>
        </w:tc>
        <w:tc>
          <w:tcPr>
            <w:tcW w:w="206" w:type="dxa"/>
            <w:shd w:val="clear" w:color="auto" w:fill="auto"/>
            <w:tcMar>
              <w:left w:w="0" w:type="dxa"/>
            </w:tcMar>
          </w:tcPr>
          <w:p w14:paraId="3BE2ECC9" w14:textId="77777777" w:rsidR="00F77A50" w:rsidRPr="00B34A3C" w:rsidRDefault="00F77A50" w:rsidP="00B66208">
            <w:pPr>
              <w:pStyle w:val="Textpoznpodarou"/>
              <w:jc w:val="both"/>
              <w:rPr>
                <w:color w:val="0D0D0D" w:themeColor="text1" w:themeTint="F2"/>
                <w:spacing w:val="-4"/>
              </w:rPr>
            </w:pPr>
          </w:p>
        </w:tc>
        <w:tc>
          <w:tcPr>
            <w:tcW w:w="7730" w:type="dxa"/>
            <w:shd w:val="clear" w:color="auto" w:fill="auto"/>
            <w:tcMar>
              <w:left w:w="0" w:type="dxa"/>
            </w:tcMar>
          </w:tcPr>
          <w:p w14:paraId="0BA2A99F" w14:textId="77777777" w:rsidR="00F77A50" w:rsidRPr="00A42A66" w:rsidRDefault="00F77A50" w:rsidP="00B66208">
            <w:pPr>
              <w:spacing w:after="160"/>
              <w:rPr>
                <w:rFonts w:cs="Arial"/>
                <w:bCs/>
                <w:color w:val="0D0D0D" w:themeColor="text1" w:themeTint="F2"/>
                <w:spacing w:val="-5"/>
                <w:szCs w:val="20"/>
              </w:rPr>
            </w:pPr>
            <w:r w:rsidRPr="00A42A66">
              <w:rPr>
                <w:spacing w:val="-5"/>
              </w:rPr>
              <w:t>Růst nominální hodnoty nově uzavřených tuzemských stavebních zakázek (v podnicích s více než 50 zaměstnanci) po svižném meziročním tempu v prvních třech čtvrtletích (v úhrnu o pětinu) ve zbylé části loňského roku zvolnil (na 1,0 %) a zůstal tak ve stínu růstu stavebních prací (7,9 %) i cen materiálů (17,0 %)</w:t>
            </w:r>
            <w:r w:rsidRPr="00A42A66">
              <w:rPr>
                <w:rStyle w:val="Znakapoznpodarou"/>
                <w:spacing w:val="-5"/>
              </w:rPr>
              <w:footnoteReference w:id="39"/>
            </w:r>
            <w:r w:rsidRPr="00A42A66">
              <w:rPr>
                <w:spacing w:val="-5"/>
              </w:rPr>
              <w:t>. Celková zásoba práce zahrnující všechny dosud nerealizované zakázky byla v prosinci 2021 meziročně vyšší o 13,1 % (podobně rostla u tuzemských veřejných i soukromých zakázek). Orientační hodnota vydaných stavebních povolení převýšila ve 4. čtvrtletí obdobnou úroveň roku 2020 o 30 %, ve dvouletém srovnání byla ale vyšší „jen“ o 16 %. K růstu přispěla nejvíce nová výstavba bytových budov.</w:t>
            </w:r>
            <w:r w:rsidRPr="00A42A66">
              <w:rPr>
                <w:color w:val="0D0D0D" w:themeColor="text1" w:themeTint="F2"/>
                <w:spacing w:val="-5"/>
                <w:szCs w:val="20"/>
              </w:rPr>
              <w:t xml:space="preserve"> Důvěra podnikatelů ve stavebnictví po celý loňský rok mírně </w:t>
            </w:r>
            <w:r w:rsidRPr="00A42A66">
              <w:rPr>
                <w:spacing w:val="-5"/>
                <w:szCs w:val="20"/>
              </w:rPr>
              <w:t xml:space="preserve">kolísala a setrvávala lehce pod úrovní z období těsně před počátkem pandemie. Na počátku roku 2022 došlo ke zlepšení vlivem příznivějšího hodnocení současné poptávky i očekávání u zaměstnanosti. Nedostatečnou poptávku označilo za růstovou bariéru již jen 19 % podniků, </w:t>
            </w:r>
            <w:r w:rsidRPr="00A42A66">
              <w:rPr>
                <w:spacing w:val="-5"/>
              </w:rPr>
              <w:t>nedostatek materiálu a zařízení sužoval naopak rekordních 26 % firem. Fakticky více než tři roky zůstává klíčovou bariérou ve stavebnictví nedostatek pracovníků – ten letos v únoru limitoval již 52 % podniků.</w:t>
            </w:r>
          </w:p>
        </w:tc>
      </w:tr>
      <w:tr w:rsidR="00F77A50" w:rsidRPr="00191C35" w14:paraId="6BB22A99" w14:textId="77777777" w:rsidTr="00B66208">
        <w:trPr>
          <w:trHeight w:val="145"/>
        </w:trPr>
        <w:tc>
          <w:tcPr>
            <w:tcW w:w="1728" w:type="dxa"/>
            <w:shd w:val="clear" w:color="auto" w:fill="auto"/>
            <w:tcMar>
              <w:left w:w="0" w:type="dxa"/>
            </w:tcMar>
          </w:tcPr>
          <w:p w14:paraId="36FCEE02" w14:textId="77777777" w:rsidR="00F77A50" w:rsidRDefault="00F77A50" w:rsidP="00B66208">
            <w:pPr>
              <w:pStyle w:val="Marginlie"/>
            </w:pPr>
            <w:r>
              <w:t>K mezičtvrtletnímu růstu tržeb ve službách přispěly loni ve 2. i 3. čtvrtletí zejména aktivity vázané na cestovní ruch, na konci roku pak doprava a skladování.</w:t>
            </w:r>
          </w:p>
        </w:tc>
        <w:tc>
          <w:tcPr>
            <w:tcW w:w="206" w:type="dxa"/>
            <w:shd w:val="clear" w:color="auto" w:fill="auto"/>
            <w:tcMar>
              <w:left w:w="0" w:type="dxa"/>
            </w:tcMar>
          </w:tcPr>
          <w:p w14:paraId="2043A58F" w14:textId="77777777" w:rsidR="00F77A50" w:rsidRPr="00B34A3C" w:rsidRDefault="00F77A50" w:rsidP="00B66208">
            <w:pPr>
              <w:pStyle w:val="Textpoznpodarou"/>
              <w:jc w:val="both"/>
              <w:rPr>
                <w:color w:val="0D0D0D" w:themeColor="text1" w:themeTint="F2"/>
                <w:spacing w:val="-4"/>
              </w:rPr>
            </w:pPr>
          </w:p>
        </w:tc>
        <w:tc>
          <w:tcPr>
            <w:tcW w:w="7730" w:type="dxa"/>
            <w:shd w:val="clear" w:color="auto" w:fill="auto"/>
            <w:tcMar>
              <w:left w:w="0" w:type="dxa"/>
            </w:tcMar>
          </w:tcPr>
          <w:p w14:paraId="5E3328D4" w14:textId="77777777" w:rsidR="00F77A50" w:rsidRPr="00236892" w:rsidRDefault="00F77A50" w:rsidP="00B66208">
            <w:pPr>
              <w:spacing w:after="160"/>
              <w:rPr>
                <w:color w:val="0D0D0D" w:themeColor="text1" w:themeTint="F2"/>
                <w:spacing w:val="-5"/>
              </w:rPr>
            </w:pPr>
            <w:r w:rsidRPr="00236892">
              <w:rPr>
                <w:rFonts w:cs="Arial"/>
                <w:bCs/>
                <w:color w:val="0D0D0D" w:themeColor="text1" w:themeTint="F2"/>
                <w:spacing w:val="-5"/>
                <w:szCs w:val="20"/>
              </w:rPr>
              <w:t xml:space="preserve">Podstatné zlepšení epidemické situace během loňského jara spolu s postupující vakcinací populace umožnily prakticky úplné uvolnění restrikcí. Na rozdíl od letních měsíců roku 2020 došlo i ke zjednodušení procedur v přeshraničním pohybu osob. To vyústilo ve svižný mezikvartální růst </w:t>
            </w:r>
            <w:r w:rsidRPr="00236892">
              <w:rPr>
                <w:color w:val="0D0D0D" w:themeColor="text1" w:themeTint="F2"/>
                <w:spacing w:val="-5"/>
              </w:rPr>
              <w:t>tržeb ve vybraných službách</w:t>
            </w:r>
            <w:r w:rsidRPr="00236892">
              <w:rPr>
                <w:color w:val="0D0D0D" w:themeColor="text1" w:themeTint="F2"/>
                <w:spacing w:val="-5"/>
                <w:vertAlign w:val="superscript"/>
              </w:rPr>
              <w:footnoteReference w:id="40"/>
            </w:r>
            <w:r w:rsidRPr="00236892">
              <w:rPr>
                <w:color w:val="0D0D0D" w:themeColor="text1" w:themeTint="F2"/>
                <w:spacing w:val="-5"/>
              </w:rPr>
              <w:t>, jenž ve 2. čtvrtletí 2021 činil 5,3 % a v následujícím období 3,0 %. Toto oživení bylo přirozeně taženo aktivitami navázanými na cestovní ruch, v menší míře se na něm ale podílela všechna hlavní odvětví služeb. Ve 4. čtvrtletí zotavování služeb pokračovalo (+2,2 %), hlavně díky odvětví dopravy a skladování, jehož tržby poprvé překonaly vrchol z předpandemického období. To dosud neplatí pro služby jako celek, neboť jejich souhrnný výkon za úrovní ze 2. čtvrtletí 2019 stále o 2,5 % zaostával.</w:t>
            </w:r>
          </w:p>
        </w:tc>
      </w:tr>
      <w:tr w:rsidR="00F77A50" w:rsidRPr="00191C35" w14:paraId="6AA67DF7" w14:textId="77777777" w:rsidTr="00B66208">
        <w:trPr>
          <w:trHeight w:val="145"/>
        </w:trPr>
        <w:tc>
          <w:tcPr>
            <w:tcW w:w="1728" w:type="dxa"/>
            <w:shd w:val="clear" w:color="auto" w:fill="auto"/>
            <w:tcMar>
              <w:left w:w="0" w:type="dxa"/>
            </w:tcMar>
          </w:tcPr>
          <w:p w14:paraId="2D192AC4" w14:textId="77777777" w:rsidR="00F77A50" w:rsidRDefault="00F77A50" w:rsidP="00B66208">
            <w:pPr>
              <w:pStyle w:val="Marginlie"/>
            </w:pPr>
            <w:r>
              <w:t>Doprava a skladování zajistily loni více než polovinu meziročního růstu tržeb ve službách.</w:t>
            </w:r>
          </w:p>
          <w:p w14:paraId="398A6C5B" w14:textId="77777777" w:rsidR="00F77A50" w:rsidRDefault="00F77A50" w:rsidP="00B66208">
            <w:pPr>
              <w:pStyle w:val="Marginlie"/>
            </w:pPr>
          </w:p>
          <w:p w14:paraId="0E6BC005" w14:textId="77777777" w:rsidR="00F77A50" w:rsidRDefault="00F77A50" w:rsidP="00B66208">
            <w:pPr>
              <w:pStyle w:val="Marginlie"/>
            </w:pPr>
          </w:p>
          <w:p w14:paraId="56B234F1" w14:textId="77777777" w:rsidR="00F77A50" w:rsidRDefault="00F77A50" w:rsidP="00B66208">
            <w:pPr>
              <w:pStyle w:val="Marginlie"/>
            </w:pPr>
          </w:p>
          <w:p w14:paraId="0DA5D313" w14:textId="77777777" w:rsidR="00F77A50" w:rsidRDefault="00F77A50" w:rsidP="00B66208">
            <w:pPr>
              <w:pStyle w:val="Marginlie"/>
            </w:pPr>
          </w:p>
          <w:p w14:paraId="2D9F4B5B" w14:textId="77777777" w:rsidR="00F77A50" w:rsidRDefault="00F77A50" w:rsidP="00B66208">
            <w:pPr>
              <w:pStyle w:val="Marginlie"/>
            </w:pPr>
          </w:p>
          <w:p w14:paraId="531AB886" w14:textId="77777777" w:rsidR="00F77A50" w:rsidRDefault="00F77A50" w:rsidP="00B66208">
            <w:pPr>
              <w:pStyle w:val="Marginlie"/>
            </w:pPr>
            <w:r>
              <w:t>Tržby v ubytování, stravování a pohostinství za rokem 2019 stále hluboce zaostávaly.</w:t>
            </w:r>
          </w:p>
        </w:tc>
        <w:tc>
          <w:tcPr>
            <w:tcW w:w="206" w:type="dxa"/>
            <w:shd w:val="clear" w:color="auto" w:fill="auto"/>
            <w:tcMar>
              <w:left w:w="0" w:type="dxa"/>
            </w:tcMar>
          </w:tcPr>
          <w:p w14:paraId="4325DE0C" w14:textId="77777777" w:rsidR="00F77A50" w:rsidRPr="00B34A3C" w:rsidRDefault="00F77A50" w:rsidP="00B66208">
            <w:pPr>
              <w:pStyle w:val="Textpoznpodarou"/>
              <w:jc w:val="both"/>
              <w:rPr>
                <w:color w:val="0D0D0D" w:themeColor="text1" w:themeTint="F2"/>
                <w:spacing w:val="-4"/>
              </w:rPr>
            </w:pPr>
          </w:p>
        </w:tc>
        <w:tc>
          <w:tcPr>
            <w:tcW w:w="7730" w:type="dxa"/>
            <w:shd w:val="clear" w:color="auto" w:fill="auto"/>
            <w:tcMar>
              <w:left w:w="0" w:type="dxa"/>
            </w:tcMar>
          </w:tcPr>
          <w:p w14:paraId="1EC44562" w14:textId="77777777" w:rsidR="00F77A50" w:rsidRPr="00514960" w:rsidRDefault="00F77A50" w:rsidP="00B66208">
            <w:pPr>
              <w:spacing w:after="0"/>
              <w:rPr>
                <w:spacing w:val="-2"/>
              </w:rPr>
            </w:pPr>
            <w:r>
              <w:rPr>
                <w:spacing w:val="-2"/>
              </w:rPr>
              <w:t>Za celý loňský rok se tržby v odvětví dopravy a skladování meziročně zvýšily o plných 12,8</w:t>
            </w:r>
            <w:r>
              <w:rPr>
                <w:color w:val="0D0D0D" w:themeColor="text1" w:themeTint="F2"/>
                <w:spacing w:val="-4"/>
              </w:rPr>
              <w:t> </w:t>
            </w:r>
            <w:r>
              <w:rPr>
                <w:spacing w:val="-2"/>
              </w:rPr>
              <w:t>% a k růstu výkonu všech služeb (+7,5 %) přispěly více než polovinou. Určujícím faktorem byla silná poptávka ve skladování, kde tržby převýšily úroveň z roku 2019 již téměř o desetinu. Pokračoval rychlý rozvoj poštovních a kurýrních činností, které profitovaly z růstu internetového prodeje, během pandemie dále zesíleného. Tržby v pozemní a potrubní dopravě sice loni vzrostly meziročně o 5,7 %, reálně se však nacházely pouze blízko hodnoty z let 2015 a 2016. Návratu na běžnou úroveň mobility bránily snížené přepravní nároky lidí plynoucí z častějšího využívání práce z domova i distančního vzdělávání a také z pomalejšího oživování příjezdového cestovního ruchu</w:t>
            </w:r>
            <w:r>
              <w:rPr>
                <w:rStyle w:val="Znakapoznpodarou"/>
                <w:spacing w:val="-5"/>
              </w:rPr>
              <w:footnoteReference w:id="41"/>
            </w:r>
            <w:r>
              <w:rPr>
                <w:spacing w:val="-2"/>
              </w:rPr>
              <w:t>. To se plně promítlo do tržeb v ubytování, které sice meziročně mírně vzrostly (o 2,3 %), oproti roku 2019 byly ale slabší o 55 %. Ve stravování a pohostinství činil díky rychlejšímu oživení spotřeby tuzemských domácností dvouletý propad tržeb „jen“ 30 %.</w:t>
            </w:r>
          </w:p>
        </w:tc>
      </w:tr>
      <w:tr w:rsidR="00F77A50" w:rsidRPr="00191C35" w14:paraId="025C2BBD" w14:textId="77777777" w:rsidTr="00B66208">
        <w:trPr>
          <w:trHeight w:val="145"/>
        </w:trPr>
        <w:tc>
          <w:tcPr>
            <w:tcW w:w="1728" w:type="dxa"/>
            <w:shd w:val="clear" w:color="auto" w:fill="auto"/>
            <w:tcMar>
              <w:left w:w="0" w:type="dxa"/>
            </w:tcMar>
          </w:tcPr>
          <w:p w14:paraId="103B63DF" w14:textId="77777777" w:rsidR="00F77A50" w:rsidRDefault="00F77A50" w:rsidP="00B66208">
            <w:pPr>
              <w:pStyle w:val="Marginlie"/>
            </w:pPr>
          </w:p>
        </w:tc>
        <w:tc>
          <w:tcPr>
            <w:tcW w:w="206" w:type="dxa"/>
            <w:shd w:val="clear" w:color="auto" w:fill="auto"/>
            <w:tcMar>
              <w:left w:w="0" w:type="dxa"/>
            </w:tcMar>
          </w:tcPr>
          <w:p w14:paraId="51730E25"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45F27AC2" w14:textId="77777777" w:rsidR="00F77A50" w:rsidRPr="00491A43" w:rsidRDefault="00F77A50" w:rsidP="00B66208">
            <w:pPr>
              <w:spacing w:after="0"/>
              <w:rPr>
                <w:szCs w:val="20"/>
              </w:rPr>
            </w:pPr>
            <w:r w:rsidRPr="00491A43">
              <w:rPr>
                <w:b/>
              </w:rPr>
              <w:t>Graf č. 7</w:t>
            </w:r>
            <w:r>
              <w:rPr>
                <w:b/>
              </w:rPr>
              <w:t xml:space="preserve"> </w:t>
            </w:r>
            <w:r w:rsidRPr="00491A43">
              <w:rPr>
                <w:b/>
              </w:rPr>
              <w:t xml:space="preserve"> Příspěvky dílčích odvětví k meziroční změně tržeb ve službách*</w:t>
            </w:r>
            <w:r w:rsidRPr="00491A43">
              <w:rPr>
                <w:b/>
              </w:rPr>
              <w:br/>
            </w:r>
            <w:r w:rsidRPr="00491A43">
              <w:t>(</w:t>
            </w:r>
            <w:r w:rsidRPr="00491A43">
              <w:rPr>
                <w:bCs/>
              </w:rPr>
              <w:t xml:space="preserve">reálně, </w:t>
            </w:r>
            <w:r w:rsidRPr="00491A43">
              <w:t>v p. b)</w:t>
            </w:r>
            <w:r w:rsidRPr="00491A43">
              <w:rPr>
                <w:b/>
                <w:bCs/>
              </w:rPr>
              <w:t xml:space="preserve">, </w:t>
            </w:r>
            <w:r>
              <w:rPr>
                <w:b/>
              </w:rPr>
              <w:t xml:space="preserve">saldo </w:t>
            </w:r>
            <w:r w:rsidRPr="00491A43">
              <w:rPr>
                <w:b/>
              </w:rPr>
              <w:t xml:space="preserve">důvěry </w:t>
            </w:r>
            <w:r>
              <w:rPr>
                <w:b/>
              </w:rPr>
              <w:t xml:space="preserve">podnikatelů </w:t>
            </w:r>
            <w:r w:rsidRPr="00491A43">
              <w:rPr>
                <w:b/>
              </w:rPr>
              <w:t xml:space="preserve">ve službách** </w:t>
            </w:r>
            <w:r w:rsidRPr="00491A43">
              <w:t>(v p. b., pravá osa)</w:t>
            </w:r>
            <w:r w:rsidRPr="00491A43">
              <w:rPr>
                <w:b/>
              </w:rPr>
              <w:t xml:space="preserve"> a vybrané bariéry růstu*</w:t>
            </w:r>
            <w:r w:rsidRPr="00491A43">
              <w:t>* (v %, pravá osa)</w:t>
            </w:r>
          </w:p>
        </w:tc>
      </w:tr>
      <w:tr w:rsidR="00F77A50" w:rsidRPr="00191C35" w14:paraId="4CF79A9D" w14:textId="77777777" w:rsidTr="00B66208">
        <w:tblPrEx>
          <w:tblCellMar>
            <w:left w:w="70" w:type="dxa"/>
            <w:right w:w="70" w:type="dxa"/>
          </w:tblCellMar>
        </w:tblPrEx>
        <w:trPr>
          <w:trHeight w:val="145"/>
        </w:trPr>
        <w:tc>
          <w:tcPr>
            <w:tcW w:w="1728" w:type="dxa"/>
            <w:shd w:val="clear" w:color="auto" w:fill="auto"/>
          </w:tcPr>
          <w:p w14:paraId="25069B2C" w14:textId="77777777" w:rsidR="00F77A50" w:rsidRDefault="00F77A50" w:rsidP="00B66208">
            <w:pPr>
              <w:pStyle w:val="Marginlie"/>
            </w:pPr>
          </w:p>
        </w:tc>
        <w:tc>
          <w:tcPr>
            <w:tcW w:w="206" w:type="dxa"/>
            <w:shd w:val="clear" w:color="auto" w:fill="auto"/>
          </w:tcPr>
          <w:p w14:paraId="097BB298" w14:textId="77777777" w:rsidR="00F77A50" w:rsidRPr="00B43216" w:rsidRDefault="00F77A50" w:rsidP="00B66208">
            <w:pPr>
              <w:pStyle w:val="Textpoznpodarou"/>
              <w:jc w:val="both"/>
              <w:rPr>
                <w:spacing w:val="-4"/>
              </w:rPr>
            </w:pPr>
          </w:p>
        </w:tc>
        <w:tc>
          <w:tcPr>
            <w:tcW w:w="7730" w:type="dxa"/>
            <w:shd w:val="clear" w:color="auto" w:fill="auto"/>
          </w:tcPr>
          <w:p w14:paraId="697F1FE6" w14:textId="77777777" w:rsidR="00F77A50" w:rsidRPr="004D53D9" w:rsidRDefault="00F77A50" w:rsidP="00B66208">
            <w:pPr>
              <w:spacing w:after="0"/>
              <w:rPr>
                <w:spacing w:val="-4"/>
                <w:szCs w:val="20"/>
              </w:rPr>
            </w:pPr>
            <w:r>
              <w:rPr>
                <w:noProof/>
              </w:rPr>
              <w:drawing>
                <wp:inline distT="0" distB="0" distL="0" distR="0" wp14:anchorId="618AE803" wp14:editId="28F3B0A7">
                  <wp:extent cx="4773930" cy="3549650"/>
                  <wp:effectExtent l="0" t="0" r="762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F77A50" w:rsidRPr="00191C35" w14:paraId="430C4CF8" w14:textId="77777777" w:rsidTr="00B66208">
        <w:trPr>
          <w:trHeight w:val="145"/>
        </w:trPr>
        <w:tc>
          <w:tcPr>
            <w:tcW w:w="1728" w:type="dxa"/>
            <w:shd w:val="clear" w:color="auto" w:fill="auto"/>
            <w:tcMar>
              <w:left w:w="0" w:type="dxa"/>
            </w:tcMar>
          </w:tcPr>
          <w:p w14:paraId="51F34DA1" w14:textId="77777777" w:rsidR="00F77A50" w:rsidRDefault="00F77A50" w:rsidP="00B66208">
            <w:pPr>
              <w:pStyle w:val="Marginlie"/>
            </w:pPr>
          </w:p>
        </w:tc>
        <w:tc>
          <w:tcPr>
            <w:tcW w:w="206" w:type="dxa"/>
            <w:shd w:val="clear" w:color="auto" w:fill="auto"/>
            <w:tcMar>
              <w:left w:w="0" w:type="dxa"/>
            </w:tcMar>
          </w:tcPr>
          <w:p w14:paraId="7DF5F619"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5FEF0A67" w14:textId="77777777" w:rsidR="00F77A50" w:rsidRPr="00883202" w:rsidRDefault="00F77A50" w:rsidP="00B66208">
            <w:pPr>
              <w:spacing w:after="0"/>
              <w:rPr>
                <w:rFonts w:cs="Arial"/>
                <w:sz w:val="14"/>
                <w:szCs w:val="14"/>
              </w:rPr>
            </w:pPr>
            <w:r w:rsidRPr="00883202">
              <w:rPr>
                <w:rFonts w:cs="Arial"/>
                <w:sz w:val="14"/>
                <w:szCs w:val="14"/>
              </w:rPr>
              <w:t>*</w:t>
            </w:r>
            <w:r w:rsidRPr="00883202">
              <w:rPr>
                <w:color w:val="0D0D0D" w:themeColor="text1" w:themeTint="F2"/>
                <w:sz w:val="14"/>
                <w:szCs w:val="14"/>
              </w:rPr>
              <w:t>Bez odvětví obchodu, peněžnictví, pojišťovnictví, vědy, výzkumu a veřejných služeb.</w:t>
            </w:r>
            <w:r>
              <w:rPr>
                <w:color w:val="0D0D0D" w:themeColor="text1" w:themeTint="F2"/>
                <w:sz w:val="14"/>
                <w:szCs w:val="14"/>
              </w:rPr>
              <w:t xml:space="preserve"> </w:t>
            </w:r>
            <w:r>
              <w:rPr>
                <w:rFonts w:cs="Arial"/>
                <w:sz w:val="14"/>
                <w:szCs w:val="14"/>
              </w:rPr>
              <w:t xml:space="preserve">Tržby </w:t>
            </w:r>
            <w:r w:rsidRPr="00883202">
              <w:rPr>
                <w:rFonts w:cs="Arial"/>
                <w:sz w:val="14"/>
                <w:szCs w:val="14"/>
              </w:rPr>
              <w:t>jsou očištěny o kalendářní vlivy.</w:t>
            </w:r>
          </w:p>
          <w:p w14:paraId="706EEBDB" w14:textId="77777777" w:rsidR="00F77A50" w:rsidRDefault="00F77A50" w:rsidP="00B66208">
            <w:pPr>
              <w:tabs>
                <w:tab w:val="right" w:pos="7711"/>
              </w:tabs>
              <w:spacing w:after="0"/>
              <w:rPr>
                <w:rFonts w:cs="Arial"/>
                <w:sz w:val="14"/>
                <w:szCs w:val="14"/>
              </w:rPr>
            </w:pPr>
            <w:r w:rsidRPr="00883202">
              <w:rPr>
                <w:rFonts w:cs="Arial"/>
                <w:sz w:val="14"/>
                <w:szCs w:val="14"/>
              </w:rPr>
              <w:t>**</w:t>
            </w:r>
            <w:r w:rsidRPr="00883202">
              <w:rPr>
                <w:rFonts w:cs="Arial"/>
                <w:spacing w:val="-2"/>
                <w:sz w:val="14"/>
                <w:szCs w:val="14"/>
              </w:rPr>
              <w:t xml:space="preserve">Zahrnuje i finanční sektor. </w:t>
            </w:r>
            <w:r w:rsidRPr="00CF1D8C">
              <w:rPr>
                <w:rFonts w:cs="Arial"/>
                <w:spacing w:val="-2"/>
                <w:sz w:val="14"/>
                <w:szCs w:val="14"/>
              </w:rPr>
              <w:t>Saldo důvěry podnikatelů i bariéry růstu jsou sezónně očištěny a vyjadřují stav v prvním (bariéry růstu), resp. ve druhém měsíci daného čtvrtletí (saldo důvěry</w:t>
            </w:r>
            <w:r>
              <w:rPr>
                <w:rFonts w:cs="Arial"/>
                <w:spacing w:val="-2"/>
                <w:sz w:val="14"/>
                <w:szCs w:val="14"/>
              </w:rPr>
              <w:t>)</w:t>
            </w:r>
            <w:r w:rsidRPr="00883202">
              <w:rPr>
                <w:rFonts w:cs="Arial"/>
                <w:spacing w:val="-2"/>
                <w:sz w:val="14"/>
                <w:szCs w:val="14"/>
              </w:rPr>
              <w:t>.</w:t>
            </w:r>
            <w:r>
              <w:rPr>
                <w:rFonts w:cs="Arial"/>
                <w:spacing w:val="-2"/>
                <w:sz w:val="14"/>
                <w:szCs w:val="14"/>
              </w:rPr>
              <w:t xml:space="preserve"> </w:t>
            </w:r>
            <w:r>
              <w:rPr>
                <w:rFonts w:cs="Arial"/>
                <w:sz w:val="14"/>
                <w:szCs w:val="14"/>
              </w:rPr>
              <w:t>Podniky mohly uvést více hlavních bariér současně.</w:t>
            </w:r>
          </w:p>
          <w:p w14:paraId="6A5B139D" w14:textId="77777777" w:rsidR="00F77A50" w:rsidRPr="00417064" w:rsidRDefault="00F77A50" w:rsidP="00B66208">
            <w:pPr>
              <w:tabs>
                <w:tab w:val="right" w:pos="7711"/>
              </w:tabs>
              <w:spacing w:after="200"/>
              <w:jc w:val="right"/>
              <w:rPr>
                <w:rFonts w:cs="Arial"/>
                <w:sz w:val="14"/>
                <w:szCs w:val="14"/>
              </w:rPr>
            </w:pPr>
            <w:r>
              <w:rPr>
                <w:rFonts w:cs="Arial"/>
                <w:sz w:val="14"/>
                <w:szCs w:val="14"/>
              </w:rPr>
              <w:t xml:space="preserve">Zdroj: </w:t>
            </w:r>
            <w:r w:rsidRPr="00883202">
              <w:rPr>
                <w:rFonts w:cs="Arial"/>
                <w:sz w:val="14"/>
                <w:szCs w:val="14"/>
              </w:rPr>
              <w:t>ČSÚ</w:t>
            </w:r>
            <w:r>
              <w:rPr>
                <w:rFonts w:cs="Arial"/>
                <w:sz w:val="14"/>
                <w:szCs w:val="14"/>
              </w:rPr>
              <w:t>, Eurostat</w:t>
            </w:r>
          </w:p>
        </w:tc>
      </w:tr>
      <w:tr w:rsidR="00F77A50" w:rsidRPr="007B59C1" w14:paraId="48CBB8DE" w14:textId="77777777" w:rsidTr="00B66208">
        <w:trPr>
          <w:trHeight w:val="145"/>
        </w:trPr>
        <w:tc>
          <w:tcPr>
            <w:tcW w:w="1728" w:type="dxa"/>
            <w:shd w:val="clear" w:color="auto" w:fill="auto"/>
            <w:tcMar>
              <w:left w:w="0" w:type="dxa"/>
            </w:tcMar>
          </w:tcPr>
          <w:p w14:paraId="49F1A541" w14:textId="77777777" w:rsidR="00F77A50" w:rsidRDefault="00F77A50" w:rsidP="00B66208">
            <w:pPr>
              <w:pStyle w:val="Marginlie"/>
            </w:pPr>
            <w:r>
              <w:t>Růst tržeb v informačních a komunikačních činnostech pokračoval osmý rok v řadě.</w:t>
            </w:r>
          </w:p>
          <w:p w14:paraId="565D7C50" w14:textId="77777777" w:rsidR="00F77A50" w:rsidRDefault="00F77A50" w:rsidP="00B66208">
            <w:pPr>
              <w:pStyle w:val="Marginlie"/>
            </w:pPr>
          </w:p>
          <w:p w14:paraId="5B76F0C3" w14:textId="77777777" w:rsidR="00F77A50" w:rsidRDefault="00F77A50" w:rsidP="00B66208">
            <w:pPr>
              <w:pStyle w:val="Marginlie"/>
            </w:pPr>
          </w:p>
          <w:p w14:paraId="7CFF51A9" w14:textId="77777777" w:rsidR="00F77A50" w:rsidRDefault="00F77A50" w:rsidP="00B66208">
            <w:pPr>
              <w:pStyle w:val="Marginlie"/>
            </w:pPr>
          </w:p>
          <w:p w14:paraId="69ECC504" w14:textId="77777777" w:rsidR="00F77A50" w:rsidRDefault="00F77A50" w:rsidP="00B66208">
            <w:pPr>
              <w:pStyle w:val="Marginlie"/>
            </w:pPr>
          </w:p>
          <w:p w14:paraId="3B4F17C6" w14:textId="77777777" w:rsidR="00F77A50" w:rsidRDefault="00F77A50" w:rsidP="00B66208">
            <w:pPr>
              <w:pStyle w:val="Marginlie"/>
            </w:pPr>
          </w:p>
          <w:p w14:paraId="644FE14B" w14:textId="77777777" w:rsidR="00F77A50" w:rsidRDefault="00F77A50" w:rsidP="00B66208">
            <w:pPr>
              <w:pStyle w:val="Marginlie"/>
              <w:rPr>
                <w:color w:val="0D0D0D" w:themeColor="text1" w:themeTint="F2"/>
              </w:rPr>
            </w:pPr>
            <w:r>
              <w:t>Některé specializované služby pro podniky čelily poklesu poptávky v letech 2020 i 2021.</w:t>
            </w:r>
          </w:p>
        </w:tc>
        <w:tc>
          <w:tcPr>
            <w:tcW w:w="206" w:type="dxa"/>
            <w:shd w:val="clear" w:color="auto" w:fill="auto"/>
            <w:tcMar>
              <w:left w:w="0" w:type="dxa"/>
            </w:tcMar>
          </w:tcPr>
          <w:p w14:paraId="6782D655" w14:textId="77777777" w:rsidR="00F77A50" w:rsidRPr="007B59C1" w:rsidRDefault="00F77A50" w:rsidP="00B66208">
            <w:pPr>
              <w:pStyle w:val="Textpoznpodarou"/>
              <w:jc w:val="both"/>
              <w:rPr>
                <w:color w:val="0D0D0D" w:themeColor="text1" w:themeTint="F2"/>
                <w:spacing w:val="-4"/>
              </w:rPr>
            </w:pPr>
          </w:p>
        </w:tc>
        <w:tc>
          <w:tcPr>
            <w:tcW w:w="7730" w:type="dxa"/>
            <w:shd w:val="clear" w:color="auto" w:fill="auto"/>
            <w:tcMar>
              <w:left w:w="0" w:type="dxa"/>
            </w:tcMar>
          </w:tcPr>
          <w:p w14:paraId="21655DC9" w14:textId="77777777" w:rsidR="00F77A50" w:rsidRPr="002617EE" w:rsidRDefault="00F77A50" w:rsidP="00B66208">
            <w:pPr>
              <w:spacing w:after="160"/>
              <w:rPr>
                <w:rFonts w:cs="Arial"/>
                <w:color w:val="0D0D0D" w:themeColor="text1" w:themeTint="F2"/>
                <w:spacing w:val="-4"/>
                <w:szCs w:val="20"/>
              </w:rPr>
            </w:pPr>
            <w:r w:rsidRPr="00E74E91">
              <w:rPr>
                <w:color w:val="0D0D0D" w:themeColor="text1" w:themeTint="F2"/>
                <w:spacing w:val="-4"/>
              </w:rPr>
              <w:t>Meziroční růst tržeb v</w:t>
            </w:r>
            <w:r>
              <w:rPr>
                <w:color w:val="0D0D0D" w:themeColor="text1" w:themeTint="F2"/>
                <w:spacing w:val="-4"/>
              </w:rPr>
              <w:t> </w:t>
            </w:r>
            <w:r w:rsidRPr="00E74E91">
              <w:rPr>
                <w:color w:val="0D0D0D" w:themeColor="text1" w:themeTint="F2"/>
                <w:spacing w:val="-4"/>
              </w:rPr>
              <w:t>odvětví informačních a</w:t>
            </w:r>
            <w:r>
              <w:rPr>
                <w:color w:val="0D0D0D" w:themeColor="text1" w:themeTint="F2"/>
                <w:spacing w:val="-4"/>
              </w:rPr>
              <w:t> </w:t>
            </w:r>
            <w:r w:rsidRPr="00E74E91">
              <w:rPr>
                <w:color w:val="0D0D0D" w:themeColor="text1" w:themeTint="F2"/>
                <w:spacing w:val="-4"/>
              </w:rPr>
              <w:t>komunikačních činností (ICT) loni výrazně</w:t>
            </w:r>
            <w:r>
              <w:rPr>
                <w:color w:val="0D0D0D" w:themeColor="text1" w:themeTint="F2"/>
                <w:spacing w:val="-4"/>
              </w:rPr>
              <w:t xml:space="preserve"> zrychlil (na 5,8 %). Tržby se zde zvyšovaly</w:t>
            </w:r>
            <w:r w:rsidRPr="00E74E91">
              <w:rPr>
                <w:color w:val="0D0D0D" w:themeColor="text1" w:themeTint="F2"/>
                <w:spacing w:val="-4"/>
              </w:rPr>
              <w:t xml:space="preserve"> osmý rok v řadě. K loňskému růstu přispěla všechna dílčí odvětví, nejvíce činnosti v oblasti informačních technologií (např</w:t>
            </w:r>
            <w:r>
              <w:rPr>
                <w:color w:val="0D0D0D" w:themeColor="text1" w:themeTint="F2"/>
                <w:spacing w:val="-4"/>
              </w:rPr>
              <w:t>íklad</w:t>
            </w:r>
            <w:r w:rsidRPr="00E74E91">
              <w:rPr>
                <w:color w:val="0D0D0D" w:themeColor="text1" w:themeTint="F2"/>
                <w:spacing w:val="-4"/>
              </w:rPr>
              <w:t xml:space="preserve"> programování). Rychle se zotavoval hudební a</w:t>
            </w:r>
            <w:r>
              <w:rPr>
                <w:color w:val="0D0D0D" w:themeColor="text1" w:themeTint="F2"/>
                <w:spacing w:val="-4"/>
              </w:rPr>
              <w:t> </w:t>
            </w:r>
            <w:r w:rsidRPr="00E74E91">
              <w:rPr>
                <w:color w:val="0D0D0D" w:themeColor="text1" w:themeTint="F2"/>
                <w:spacing w:val="-4"/>
              </w:rPr>
              <w:t>filmový průmysl</w:t>
            </w:r>
            <w:r w:rsidRPr="00E74E91">
              <w:rPr>
                <w:rStyle w:val="Znakapoznpodarou"/>
                <w:color w:val="0D0D0D" w:themeColor="text1" w:themeTint="F2"/>
                <w:spacing w:val="-4"/>
              </w:rPr>
              <w:footnoteReference w:id="42"/>
            </w:r>
            <w:r w:rsidRPr="00E74E91">
              <w:rPr>
                <w:color w:val="0D0D0D" w:themeColor="text1" w:themeTint="F2"/>
                <w:spacing w:val="-4"/>
              </w:rPr>
              <w:t>, propad tržeb z roku 2020 (o</w:t>
            </w:r>
            <w:r>
              <w:rPr>
                <w:color w:val="0D0D0D" w:themeColor="text1" w:themeTint="F2"/>
                <w:spacing w:val="-4"/>
              </w:rPr>
              <w:t> </w:t>
            </w:r>
            <w:r w:rsidRPr="00E74E91">
              <w:rPr>
                <w:color w:val="0D0D0D" w:themeColor="text1" w:themeTint="F2"/>
                <w:spacing w:val="-4"/>
              </w:rPr>
              <w:t>39</w:t>
            </w:r>
            <w:r>
              <w:rPr>
                <w:color w:val="0D0D0D" w:themeColor="text1" w:themeTint="F2"/>
                <w:spacing w:val="-4"/>
              </w:rPr>
              <w:t> %</w:t>
            </w:r>
            <w:r w:rsidRPr="00E74E91">
              <w:rPr>
                <w:color w:val="0D0D0D" w:themeColor="text1" w:themeTint="F2"/>
                <w:spacing w:val="-4"/>
              </w:rPr>
              <w:t>) však zatím plně nekompenzoval. V odvětví profesní, vědecké a</w:t>
            </w:r>
            <w:r>
              <w:rPr>
                <w:color w:val="0D0D0D" w:themeColor="text1" w:themeTint="F2"/>
                <w:spacing w:val="-4"/>
              </w:rPr>
              <w:t> </w:t>
            </w:r>
            <w:r w:rsidRPr="00E74E91">
              <w:rPr>
                <w:color w:val="0D0D0D" w:themeColor="text1" w:themeTint="F2"/>
                <w:spacing w:val="-4"/>
              </w:rPr>
              <w:t>technické činnosti, z velké části závislém na firemní poptávce, v</w:t>
            </w:r>
            <w:r>
              <w:rPr>
                <w:color w:val="0D0D0D" w:themeColor="text1" w:themeTint="F2"/>
                <w:spacing w:val="-4"/>
              </w:rPr>
              <w:t>zrostly loni tržby meziročně o 5,4 %</w:t>
            </w:r>
            <w:r w:rsidRPr="00E74E91">
              <w:rPr>
                <w:color w:val="0D0D0D" w:themeColor="text1" w:themeTint="F2"/>
                <w:spacing w:val="-4"/>
              </w:rPr>
              <w:t>. Přispěly k tomu nejvíce architektonické a inženýrské činnosti. Sílila poptávka také po činnostech vedení podniků (v</w:t>
            </w:r>
            <w:r>
              <w:rPr>
                <w:color w:val="0D0D0D" w:themeColor="text1" w:themeTint="F2"/>
                <w:spacing w:val="-4"/>
              </w:rPr>
              <w:t xml:space="preserve">četně </w:t>
            </w:r>
            <w:r w:rsidRPr="00E74E91">
              <w:rPr>
                <w:color w:val="0D0D0D" w:themeColor="text1" w:themeTint="F2"/>
                <w:spacing w:val="-4"/>
              </w:rPr>
              <w:t>poradenství v oblasti řízení), u</w:t>
            </w:r>
            <w:r>
              <w:rPr>
                <w:color w:val="0D0D0D" w:themeColor="text1" w:themeTint="F2"/>
                <w:spacing w:val="-4"/>
              </w:rPr>
              <w:t> </w:t>
            </w:r>
            <w:r w:rsidRPr="00E74E91">
              <w:rPr>
                <w:color w:val="0D0D0D" w:themeColor="text1" w:themeTint="F2"/>
                <w:spacing w:val="-4"/>
              </w:rPr>
              <w:t>nichž stejně jako v případě právních a</w:t>
            </w:r>
            <w:r>
              <w:rPr>
                <w:color w:val="0D0D0D" w:themeColor="text1" w:themeTint="F2"/>
                <w:spacing w:val="-4"/>
              </w:rPr>
              <w:t> </w:t>
            </w:r>
            <w:r w:rsidRPr="00E74E91">
              <w:rPr>
                <w:color w:val="0D0D0D" w:themeColor="text1" w:themeTint="F2"/>
                <w:spacing w:val="-4"/>
              </w:rPr>
              <w:t>účetnických činností již tržby úroveň</w:t>
            </w:r>
            <w:r>
              <w:rPr>
                <w:color w:val="0D0D0D" w:themeColor="text1" w:themeTint="F2"/>
                <w:spacing w:val="-4"/>
              </w:rPr>
              <w:t xml:space="preserve"> z období těsně před pandemií </w:t>
            </w:r>
            <w:r w:rsidRPr="00E74E91">
              <w:rPr>
                <w:color w:val="0D0D0D" w:themeColor="text1" w:themeTint="F2"/>
                <w:spacing w:val="-4"/>
              </w:rPr>
              <w:t>překonaly. Naopak některé specializované služby (</w:t>
            </w:r>
            <w:r>
              <w:rPr>
                <w:color w:val="0D0D0D" w:themeColor="text1" w:themeTint="F2"/>
                <w:spacing w:val="-4"/>
              </w:rPr>
              <w:t xml:space="preserve">například </w:t>
            </w:r>
            <w:r w:rsidRPr="00E74E91">
              <w:rPr>
                <w:color w:val="0D0D0D" w:themeColor="text1" w:themeTint="F2"/>
                <w:spacing w:val="-4"/>
              </w:rPr>
              <w:t>překladatelské, fotografické</w:t>
            </w:r>
            <w:r>
              <w:rPr>
                <w:color w:val="0D0D0D" w:themeColor="text1" w:themeTint="F2"/>
                <w:spacing w:val="-4"/>
              </w:rPr>
              <w:t>, návrhářské</w:t>
            </w:r>
            <w:r w:rsidRPr="00E74E91">
              <w:rPr>
                <w:color w:val="0D0D0D" w:themeColor="text1" w:themeTint="F2"/>
                <w:spacing w:val="-4"/>
              </w:rPr>
              <w:t>) čelily poklesu poptávky v obou pandemických letech.</w:t>
            </w:r>
            <w:r>
              <w:rPr>
                <w:color w:val="0D0D0D" w:themeColor="text1" w:themeTint="F2"/>
                <w:spacing w:val="-4"/>
              </w:rPr>
              <w:t xml:space="preserve"> V</w:t>
            </w:r>
            <w:r w:rsidRPr="00E74E91">
              <w:rPr>
                <w:color w:val="0D0D0D" w:themeColor="text1" w:themeTint="F2"/>
                <w:spacing w:val="-4"/>
              </w:rPr>
              <w:t> odvětví administrativní a podpůrné činno</w:t>
            </w:r>
            <w:r>
              <w:rPr>
                <w:color w:val="0D0D0D" w:themeColor="text1" w:themeTint="F2"/>
                <w:spacing w:val="-4"/>
              </w:rPr>
              <w:t>sti byl loňský růst tržeb (o 7,5</w:t>
            </w:r>
            <w:r w:rsidRPr="00E74E91">
              <w:rPr>
                <w:color w:val="0D0D0D" w:themeColor="text1" w:themeTint="F2"/>
                <w:spacing w:val="-4"/>
              </w:rPr>
              <w:t> %) z drtivé části ovlivněn oživením poptávky v oblasti cestovních agentur, ve kterých přesto tržby nedosahovaly ani 40</w:t>
            </w:r>
            <w:r>
              <w:rPr>
                <w:color w:val="0D0D0D" w:themeColor="text1" w:themeTint="F2"/>
                <w:spacing w:val="-4"/>
              </w:rPr>
              <w:t> </w:t>
            </w:r>
            <w:r w:rsidRPr="00E74E91">
              <w:rPr>
                <w:color w:val="0D0D0D" w:themeColor="text1" w:themeTint="F2"/>
                <w:spacing w:val="-4"/>
              </w:rPr>
              <w:t>% úrovně roku 2019. Propad z roku 2020 ovšem dosud nepřekonal</w:t>
            </w:r>
            <w:r>
              <w:rPr>
                <w:color w:val="0D0D0D" w:themeColor="text1" w:themeTint="F2"/>
                <w:spacing w:val="-4"/>
              </w:rPr>
              <w:t>a</w:t>
            </w:r>
            <w:r w:rsidRPr="00E74E91">
              <w:rPr>
                <w:color w:val="0D0D0D" w:themeColor="text1" w:themeTint="F2"/>
                <w:spacing w:val="-4"/>
              </w:rPr>
              <w:t xml:space="preserve"> ani ostatní dílčí odvětví – zejména pak pracovní agentury, u</w:t>
            </w:r>
            <w:r>
              <w:rPr>
                <w:color w:val="0D0D0D" w:themeColor="text1" w:themeTint="F2"/>
                <w:spacing w:val="-4"/>
              </w:rPr>
              <w:t> </w:t>
            </w:r>
            <w:r w:rsidRPr="00E74E91">
              <w:rPr>
                <w:color w:val="0D0D0D" w:themeColor="text1" w:themeTint="F2"/>
                <w:spacing w:val="-4"/>
              </w:rPr>
              <w:t>nichž byla v průběhu loňského roku patrná slábnoucí poptávka.</w:t>
            </w:r>
          </w:p>
        </w:tc>
      </w:tr>
      <w:tr w:rsidR="00F77A50" w:rsidRPr="007B59C1" w14:paraId="37C82307" w14:textId="77777777" w:rsidTr="00B66208">
        <w:trPr>
          <w:trHeight w:val="145"/>
        </w:trPr>
        <w:tc>
          <w:tcPr>
            <w:tcW w:w="1728" w:type="dxa"/>
            <w:shd w:val="clear" w:color="auto" w:fill="auto"/>
            <w:tcMar>
              <w:left w:w="0" w:type="dxa"/>
            </w:tcMar>
          </w:tcPr>
          <w:p w14:paraId="4A7FF61D" w14:textId="77777777" w:rsidR="00F77A50" w:rsidRDefault="00F77A50" w:rsidP="00B66208">
            <w:pPr>
              <w:pStyle w:val="Marginlie"/>
              <w:rPr>
                <w:color w:val="0D0D0D" w:themeColor="text1" w:themeTint="F2"/>
              </w:rPr>
            </w:pPr>
            <w:r>
              <w:rPr>
                <w:color w:val="0D0D0D" w:themeColor="text1" w:themeTint="F2"/>
              </w:rPr>
              <w:t xml:space="preserve">Výkon maloobchodu byl loni poznamenán restrikcemi v 1. čtvrtletí. K meziměsíčnímu </w:t>
            </w:r>
            <w:r>
              <w:rPr>
                <w:color w:val="0D0D0D" w:themeColor="text1" w:themeTint="F2"/>
              </w:rPr>
              <w:lastRenderedPageBreak/>
              <w:t>poklesu tržeb došlo i na konci roku.</w:t>
            </w:r>
          </w:p>
        </w:tc>
        <w:tc>
          <w:tcPr>
            <w:tcW w:w="206" w:type="dxa"/>
            <w:shd w:val="clear" w:color="auto" w:fill="auto"/>
            <w:tcMar>
              <w:left w:w="0" w:type="dxa"/>
            </w:tcMar>
          </w:tcPr>
          <w:p w14:paraId="2A118BBB" w14:textId="77777777" w:rsidR="00F77A50" w:rsidRPr="007B59C1" w:rsidRDefault="00F77A50" w:rsidP="00B66208">
            <w:pPr>
              <w:pStyle w:val="Textpoznpodarou"/>
              <w:jc w:val="both"/>
              <w:rPr>
                <w:color w:val="0D0D0D" w:themeColor="text1" w:themeTint="F2"/>
                <w:spacing w:val="-4"/>
              </w:rPr>
            </w:pPr>
          </w:p>
        </w:tc>
        <w:tc>
          <w:tcPr>
            <w:tcW w:w="7730" w:type="dxa"/>
            <w:shd w:val="clear" w:color="auto" w:fill="auto"/>
            <w:tcMar>
              <w:left w:w="0" w:type="dxa"/>
            </w:tcMar>
          </w:tcPr>
          <w:p w14:paraId="7E2A4C90" w14:textId="77777777" w:rsidR="00F77A50" w:rsidRPr="00022F9D" w:rsidRDefault="00F77A50" w:rsidP="00B66208">
            <w:pPr>
              <w:spacing w:after="200"/>
              <w:rPr>
                <w:rFonts w:cs="Arial"/>
                <w:color w:val="0D0D0D" w:themeColor="text1" w:themeTint="F2"/>
                <w:spacing w:val="-3"/>
                <w:szCs w:val="20"/>
              </w:rPr>
            </w:pPr>
            <w:r w:rsidRPr="00022F9D">
              <w:rPr>
                <w:rFonts w:cs="Arial"/>
                <w:color w:val="0D0D0D" w:themeColor="text1" w:themeTint="F2"/>
                <w:spacing w:val="-3"/>
                <w:szCs w:val="20"/>
              </w:rPr>
              <w:t>Loňské tržby v</w:t>
            </w:r>
            <w:r>
              <w:rPr>
                <w:rFonts w:cs="Arial"/>
                <w:color w:val="0D0D0D" w:themeColor="text1" w:themeTint="F2"/>
                <w:spacing w:val="-3"/>
                <w:szCs w:val="20"/>
              </w:rPr>
              <w:t> </w:t>
            </w:r>
            <w:r w:rsidRPr="00022F9D">
              <w:rPr>
                <w:rFonts w:cs="Arial"/>
                <w:color w:val="0D0D0D" w:themeColor="text1" w:themeTint="F2"/>
                <w:spacing w:val="-3"/>
                <w:szCs w:val="20"/>
              </w:rPr>
              <w:t>maloobchodu</w:t>
            </w:r>
            <w:r w:rsidRPr="00022F9D">
              <w:rPr>
                <w:rStyle w:val="Znakapoznpodarou"/>
                <w:color w:val="0D0D0D" w:themeColor="text1" w:themeTint="F2"/>
                <w:spacing w:val="-3"/>
              </w:rPr>
              <w:footnoteReference w:id="43"/>
            </w:r>
            <w:r w:rsidRPr="00022F9D">
              <w:rPr>
                <w:rFonts w:cs="Arial"/>
                <w:color w:val="0D0D0D" w:themeColor="text1" w:themeTint="F2"/>
                <w:spacing w:val="-3"/>
                <w:szCs w:val="20"/>
              </w:rPr>
              <w:t xml:space="preserve"> byly podstatně ovlivněny restrikcemi v 1.</w:t>
            </w:r>
            <w:r>
              <w:rPr>
                <w:rFonts w:cs="Arial"/>
                <w:color w:val="0D0D0D" w:themeColor="text1" w:themeTint="F2"/>
                <w:spacing w:val="-3"/>
                <w:szCs w:val="20"/>
              </w:rPr>
              <w:t> čtvrtlet</w:t>
            </w:r>
            <w:r w:rsidRPr="00022F9D">
              <w:rPr>
                <w:rFonts w:cs="Arial"/>
                <w:color w:val="0D0D0D" w:themeColor="text1" w:themeTint="F2"/>
                <w:spacing w:val="-3"/>
                <w:szCs w:val="20"/>
              </w:rPr>
              <w:t>í, které vrcholily citelným omezením mobility obyvatel v březnu. Na jarní uvolnění restrikcí reagovaly tržby silným květnovým růstem (</w:t>
            </w:r>
            <w:r>
              <w:rPr>
                <w:rFonts w:cs="Arial"/>
                <w:color w:val="0D0D0D" w:themeColor="text1" w:themeTint="F2"/>
                <w:spacing w:val="-3"/>
                <w:szCs w:val="20"/>
              </w:rPr>
              <w:t>o </w:t>
            </w:r>
            <w:r w:rsidRPr="00022F9D">
              <w:rPr>
                <w:rFonts w:cs="Arial"/>
                <w:color w:val="0D0D0D" w:themeColor="text1" w:themeTint="F2"/>
                <w:spacing w:val="-3"/>
                <w:szCs w:val="20"/>
              </w:rPr>
              <w:t>9,0</w:t>
            </w:r>
            <w:r>
              <w:rPr>
                <w:rFonts w:cs="Arial"/>
                <w:color w:val="0D0D0D" w:themeColor="text1" w:themeTint="F2"/>
                <w:spacing w:val="-3"/>
                <w:szCs w:val="20"/>
              </w:rPr>
              <w:t> %</w:t>
            </w:r>
            <w:r w:rsidRPr="00022F9D">
              <w:rPr>
                <w:rFonts w:cs="Arial"/>
                <w:color w:val="0D0D0D" w:themeColor="text1" w:themeTint="F2"/>
                <w:spacing w:val="-3"/>
                <w:szCs w:val="20"/>
              </w:rPr>
              <w:t xml:space="preserve"> meziměsíčně, z toho v segmentu nepotravinářského zboží o</w:t>
            </w:r>
            <w:r>
              <w:rPr>
                <w:rFonts w:cs="Arial"/>
                <w:color w:val="0D0D0D" w:themeColor="text1" w:themeTint="F2"/>
                <w:spacing w:val="-3"/>
                <w:szCs w:val="20"/>
              </w:rPr>
              <w:t> </w:t>
            </w:r>
            <w:r w:rsidRPr="00022F9D">
              <w:rPr>
                <w:rFonts w:cs="Arial"/>
                <w:color w:val="0D0D0D" w:themeColor="text1" w:themeTint="F2"/>
                <w:spacing w:val="-3"/>
                <w:szCs w:val="20"/>
              </w:rPr>
              <w:t>13,9</w:t>
            </w:r>
            <w:r>
              <w:rPr>
                <w:rFonts w:cs="Arial"/>
                <w:color w:val="0D0D0D" w:themeColor="text1" w:themeTint="F2"/>
                <w:spacing w:val="-3"/>
                <w:szCs w:val="20"/>
              </w:rPr>
              <w:t> %</w:t>
            </w:r>
            <w:r w:rsidRPr="00022F9D">
              <w:rPr>
                <w:rFonts w:cs="Arial"/>
                <w:color w:val="0D0D0D" w:themeColor="text1" w:themeTint="F2"/>
                <w:spacing w:val="-3"/>
                <w:szCs w:val="20"/>
              </w:rPr>
              <w:t xml:space="preserve">). Souběžně s tím citelně posílila hodnota indikátoru </w:t>
            </w:r>
            <w:r w:rsidRPr="00022F9D">
              <w:rPr>
                <w:rFonts w:cs="Arial"/>
                <w:color w:val="0D0D0D" w:themeColor="text1" w:themeTint="F2"/>
                <w:spacing w:val="-3"/>
                <w:szCs w:val="20"/>
              </w:rPr>
              <w:lastRenderedPageBreak/>
              <w:t xml:space="preserve">spotřebitelské důvěry, která však ani během léta nedosáhla výše z období těsně </w:t>
            </w:r>
            <w:r>
              <w:rPr>
                <w:rFonts w:cs="Arial"/>
                <w:color w:val="0D0D0D" w:themeColor="text1" w:themeTint="F2"/>
                <w:spacing w:val="-3"/>
                <w:szCs w:val="20"/>
              </w:rPr>
              <w:t xml:space="preserve">před </w:t>
            </w:r>
            <w:r w:rsidRPr="00022F9D">
              <w:rPr>
                <w:rFonts w:cs="Arial"/>
                <w:color w:val="0D0D0D" w:themeColor="text1" w:themeTint="F2"/>
                <w:spacing w:val="-3"/>
                <w:szCs w:val="20"/>
              </w:rPr>
              <w:t>počátkem pandemie</w:t>
            </w:r>
            <w:r w:rsidRPr="00022F9D">
              <w:rPr>
                <w:rStyle w:val="Znakapoznpodarou"/>
                <w:color w:val="0D0D0D" w:themeColor="text1" w:themeTint="F2"/>
                <w:spacing w:val="-3"/>
                <w:szCs w:val="20"/>
              </w:rPr>
              <w:footnoteReference w:id="44"/>
            </w:r>
            <w:r w:rsidRPr="00022F9D">
              <w:rPr>
                <w:rFonts w:cs="Arial"/>
                <w:color w:val="0D0D0D" w:themeColor="text1" w:themeTint="F2"/>
                <w:spacing w:val="-3"/>
                <w:szCs w:val="20"/>
              </w:rPr>
              <w:t>. Přestože zhoršování epidemické situace v poslední třetině roku již nebylo spojeno s omezením možností nákupů, maloobchodní tržby v listopadu i</w:t>
            </w:r>
            <w:r>
              <w:rPr>
                <w:rFonts w:cs="Arial"/>
                <w:color w:val="0D0D0D" w:themeColor="text1" w:themeTint="F2"/>
                <w:spacing w:val="-3"/>
                <w:szCs w:val="20"/>
              </w:rPr>
              <w:t> </w:t>
            </w:r>
            <w:r w:rsidRPr="00022F9D">
              <w:rPr>
                <w:rFonts w:cs="Arial"/>
                <w:color w:val="0D0D0D" w:themeColor="text1" w:themeTint="F2"/>
                <w:spacing w:val="-3"/>
                <w:szCs w:val="20"/>
              </w:rPr>
              <w:t>prosinci meziměsíčně poklesly (v</w:t>
            </w:r>
            <w:r>
              <w:rPr>
                <w:rFonts w:cs="Arial"/>
                <w:color w:val="0D0D0D" w:themeColor="text1" w:themeTint="F2"/>
                <w:spacing w:val="-3"/>
                <w:szCs w:val="20"/>
              </w:rPr>
              <w:t xml:space="preserve"> úhrnu za oba měsíce o 3,4 %). Za celý loňský rok </w:t>
            </w:r>
            <w:r w:rsidRPr="00022F9D">
              <w:rPr>
                <w:rFonts w:cs="Arial"/>
                <w:color w:val="0D0D0D" w:themeColor="text1" w:themeTint="F2"/>
                <w:spacing w:val="-3"/>
                <w:szCs w:val="20"/>
              </w:rPr>
              <w:t>vzrostly o 4,4 %</w:t>
            </w:r>
            <w:r w:rsidRPr="00022F9D">
              <w:rPr>
                <w:rStyle w:val="Znakapoznpodarou"/>
                <w:color w:val="0D0D0D" w:themeColor="text1" w:themeTint="F2"/>
                <w:spacing w:val="-3"/>
                <w:szCs w:val="20"/>
              </w:rPr>
              <w:footnoteReference w:id="45"/>
            </w:r>
            <w:r w:rsidRPr="00022F9D">
              <w:rPr>
                <w:rFonts w:cs="Arial"/>
                <w:color w:val="0D0D0D" w:themeColor="text1" w:themeTint="F2"/>
                <w:spacing w:val="-3"/>
                <w:szCs w:val="20"/>
              </w:rPr>
              <w:t xml:space="preserve"> a</w:t>
            </w:r>
            <w:r>
              <w:rPr>
                <w:rFonts w:cs="Arial"/>
                <w:color w:val="0D0D0D" w:themeColor="text1" w:themeTint="F2"/>
                <w:spacing w:val="-3"/>
                <w:szCs w:val="20"/>
              </w:rPr>
              <w:t> </w:t>
            </w:r>
            <w:r w:rsidRPr="00022F9D">
              <w:rPr>
                <w:rFonts w:cs="Arial"/>
                <w:color w:val="0D0D0D" w:themeColor="text1" w:themeTint="F2"/>
                <w:spacing w:val="-3"/>
                <w:szCs w:val="20"/>
              </w:rPr>
              <w:t>po mírném poklesu v roce 2020 (o</w:t>
            </w:r>
            <w:r>
              <w:rPr>
                <w:rFonts w:cs="Arial"/>
                <w:color w:val="0D0D0D" w:themeColor="text1" w:themeTint="F2"/>
                <w:spacing w:val="-3"/>
                <w:szCs w:val="20"/>
              </w:rPr>
              <w:t> </w:t>
            </w:r>
            <w:r w:rsidRPr="00022F9D">
              <w:rPr>
                <w:rFonts w:cs="Arial"/>
                <w:color w:val="0D0D0D" w:themeColor="text1" w:themeTint="F2"/>
                <w:spacing w:val="-3"/>
                <w:szCs w:val="20"/>
              </w:rPr>
              <w:t>0,9</w:t>
            </w:r>
            <w:r>
              <w:rPr>
                <w:rFonts w:cs="Arial"/>
                <w:color w:val="0D0D0D" w:themeColor="text1" w:themeTint="F2"/>
                <w:spacing w:val="-3"/>
                <w:szCs w:val="20"/>
              </w:rPr>
              <w:t> %</w:t>
            </w:r>
            <w:r w:rsidRPr="00022F9D">
              <w:rPr>
                <w:rFonts w:cs="Arial"/>
                <w:color w:val="0D0D0D" w:themeColor="text1" w:themeTint="F2"/>
                <w:spacing w:val="-3"/>
                <w:szCs w:val="20"/>
              </w:rPr>
              <w:t>) se přiblížily tempům z období těsně před propuknutím pandemie.</w:t>
            </w:r>
          </w:p>
        </w:tc>
      </w:tr>
      <w:tr w:rsidR="00F77A50" w:rsidRPr="007B59C1" w14:paraId="0629855B" w14:textId="77777777" w:rsidTr="00B66208">
        <w:trPr>
          <w:trHeight w:val="145"/>
        </w:trPr>
        <w:tc>
          <w:tcPr>
            <w:tcW w:w="1728" w:type="dxa"/>
            <w:shd w:val="clear" w:color="auto" w:fill="auto"/>
            <w:tcMar>
              <w:left w:w="0" w:type="dxa"/>
            </w:tcMar>
          </w:tcPr>
          <w:p w14:paraId="13F4A0FB" w14:textId="77777777" w:rsidR="00F77A50" w:rsidRDefault="00F77A50" w:rsidP="00B66208">
            <w:pPr>
              <w:pStyle w:val="Marginlie"/>
              <w:rPr>
                <w:color w:val="0D0D0D" w:themeColor="text1" w:themeTint="F2"/>
              </w:rPr>
            </w:pPr>
            <w:r>
              <w:rPr>
                <w:color w:val="0D0D0D" w:themeColor="text1" w:themeTint="F2"/>
              </w:rPr>
              <w:lastRenderedPageBreak/>
              <w:t>Tržby za prodej nepotravinářského zboží byly výrazně taženy internetovým obchodem.</w:t>
            </w:r>
          </w:p>
          <w:p w14:paraId="2AD08411" w14:textId="77777777" w:rsidR="00F77A50" w:rsidRDefault="00F77A50" w:rsidP="00B66208">
            <w:pPr>
              <w:pStyle w:val="Marginlie"/>
              <w:rPr>
                <w:color w:val="0D0D0D" w:themeColor="text1" w:themeTint="F2"/>
              </w:rPr>
            </w:pPr>
          </w:p>
          <w:p w14:paraId="1C675393" w14:textId="77777777" w:rsidR="00F77A50" w:rsidRDefault="00F77A50" w:rsidP="00B66208">
            <w:pPr>
              <w:pStyle w:val="Marginlie"/>
              <w:rPr>
                <w:color w:val="0D0D0D" w:themeColor="text1" w:themeTint="F2"/>
              </w:rPr>
            </w:pPr>
          </w:p>
          <w:p w14:paraId="42FDE83F" w14:textId="77777777" w:rsidR="00F77A50" w:rsidRDefault="00F77A50" w:rsidP="00B66208">
            <w:pPr>
              <w:pStyle w:val="Marginlie"/>
              <w:rPr>
                <w:color w:val="0D0D0D" w:themeColor="text1" w:themeTint="F2"/>
              </w:rPr>
            </w:pPr>
          </w:p>
          <w:p w14:paraId="21C39B6B" w14:textId="77777777" w:rsidR="00F77A50" w:rsidRDefault="00F77A50" w:rsidP="00B66208">
            <w:pPr>
              <w:pStyle w:val="Marginlie"/>
              <w:rPr>
                <w:color w:val="0D0D0D" w:themeColor="text1" w:themeTint="F2"/>
              </w:rPr>
            </w:pPr>
          </w:p>
          <w:p w14:paraId="682E2C3D" w14:textId="77777777" w:rsidR="00F77A50" w:rsidRPr="007B59C1" w:rsidRDefault="00F77A50" w:rsidP="00B66208">
            <w:pPr>
              <w:pStyle w:val="Marginlie"/>
              <w:rPr>
                <w:color w:val="0D0D0D" w:themeColor="text1" w:themeTint="F2"/>
              </w:rPr>
            </w:pPr>
            <w:r>
              <w:rPr>
                <w:color w:val="0D0D0D" w:themeColor="text1" w:themeTint="F2"/>
              </w:rPr>
              <w:t>Tržby za prodej potravin klesly druhým rokem v řadě. V roce 2021 se na tom patrně podílely i velké řetězce.</w:t>
            </w:r>
          </w:p>
        </w:tc>
        <w:tc>
          <w:tcPr>
            <w:tcW w:w="206" w:type="dxa"/>
            <w:shd w:val="clear" w:color="auto" w:fill="auto"/>
            <w:tcMar>
              <w:left w:w="0" w:type="dxa"/>
            </w:tcMar>
          </w:tcPr>
          <w:p w14:paraId="4E640E3B" w14:textId="77777777" w:rsidR="00F77A50" w:rsidRPr="007B59C1" w:rsidRDefault="00F77A50" w:rsidP="00B66208">
            <w:pPr>
              <w:pStyle w:val="Textpoznpodarou"/>
              <w:jc w:val="both"/>
              <w:rPr>
                <w:color w:val="0D0D0D" w:themeColor="text1" w:themeTint="F2"/>
                <w:spacing w:val="-4"/>
              </w:rPr>
            </w:pPr>
          </w:p>
        </w:tc>
        <w:tc>
          <w:tcPr>
            <w:tcW w:w="7730" w:type="dxa"/>
            <w:shd w:val="clear" w:color="auto" w:fill="auto"/>
            <w:tcMar>
              <w:left w:w="0" w:type="dxa"/>
            </w:tcMar>
          </w:tcPr>
          <w:p w14:paraId="6F82C0C0" w14:textId="77777777" w:rsidR="00F77A50" w:rsidRPr="000537C8" w:rsidRDefault="00F77A50" w:rsidP="00B66208">
            <w:pPr>
              <w:spacing w:after="200"/>
              <w:rPr>
                <w:rFonts w:cs="Arial"/>
                <w:color w:val="0D0D0D" w:themeColor="text1" w:themeTint="F2"/>
                <w:spacing w:val="-5"/>
                <w:szCs w:val="20"/>
              </w:rPr>
            </w:pPr>
            <w:r w:rsidRPr="000537C8">
              <w:rPr>
                <w:rFonts w:cs="Arial"/>
                <w:color w:val="0D0D0D" w:themeColor="text1" w:themeTint="F2"/>
                <w:spacing w:val="-5"/>
                <w:szCs w:val="20"/>
              </w:rPr>
              <w:t xml:space="preserve">Loňský růst celého maloobchodu byl nejvíce tažen vyššími tržbami za </w:t>
            </w:r>
            <w:r>
              <w:rPr>
                <w:rFonts w:cs="Arial"/>
                <w:color w:val="0D0D0D" w:themeColor="text1" w:themeTint="F2"/>
                <w:spacing w:val="-5"/>
                <w:szCs w:val="20"/>
              </w:rPr>
              <w:t>nepotravinářské zboží (8,0 %</w:t>
            </w:r>
            <w:r w:rsidRPr="000537C8">
              <w:rPr>
                <w:rFonts w:cs="Arial"/>
                <w:color w:val="0D0D0D" w:themeColor="text1" w:themeTint="F2"/>
                <w:spacing w:val="-5"/>
                <w:szCs w:val="20"/>
              </w:rPr>
              <w:t xml:space="preserve"> meziročně), </w:t>
            </w:r>
            <w:r>
              <w:rPr>
                <w:rFonts w:cs="Arial"/>
                <w:color w:val="0D0D0D" w:themeColor="text1" w:themeTint="F2"/>
                <w:spacing w:val="-5"/>
                <w:szCs w:val="20"/>
              </w:rPr>
              <w:t>v nichž</w:t>
            </w:r>
            <w:r w:rsidRPr="000537C8">
              <w:rPr>
                <w:rFonts w:cs="Arial"/>
                <w:color w:val="0D0D0D" w:themeColor="text1" w:themeTint="F2"/>
                <w:spacing w:val="-5"/>
                <w:szCs w:val="20"/>
              </w:rPr>
              <w:t xml:space="preserve"> se mohl projevovat vliv odložené spotřeby</w:t>
            </w:r>
            <w:r w:rsidRPr="000537C8">
              <w:rPr>
                <w:color w:val="0D0D0D" w:themeColor="text1" w:themeTint="F2"/>
                <w:spacing w:val="-5"/>
              </w:rPr>
              <w:t xml:space="preserve"> i </w:t>
            </w:r>
            <w:r w:rsidRPr="000537C8">
              <w:rPr>
                <w:rFonts w:cs="Arial"/>
                <w:color w:val="0D0D0D" w:themeColor="text1" w:themeTint="F2"/>
                <w:spacing w:val="-5"/>
                <w:szCs w:val="20"/>
              </w:rPr>
              <w:t>rostoucí obliba nákupů přes internet, kter</w:t>
            </w:r>
            <w:r>
              <w:rPr>
                <w:rFonts w:cs="Arial"/>
                <w:color w:val="0D0D0D" w:themeColor="text1" w:themeTint="F2"/>
                <w:spacing w:val="-5"/>
                <w:szCs w:val="20"/>
              </w:rPr>
              <w:t>é</w:t>
            </w:r>
            <w:r w:rsidRPr="000537C8">
              <w:rPr>
                <w:rFonts w:cs="Arial"/>
                <w:color w:val="0D0D0D" w:themeColor="text1" w:themeTint="F2"/>
                <w:spacing w:val="-5"/>
                <w:szCs w:val="20"/>
              </w:rPr>
              <w:t xml:space="preserve"> se během pandemie pro část spotřebitelů patrně stal</w:t>
            </w:r>
            <w:r>
              <w:rPr>
                <w:rFonts w:cs="Arial"/>
                <w:color w:val="0D0D0D" w:themeColor="text1" w:themeTint="F2"/>
                <w:spacing w:val="-5"/>
                <w:szCs w:val="20"/>
              </w:rPr>
              <w:t>y</w:t>
            </w:r>
            <w:r w:rsidRPr="000537C8">
              <w:rPr>
                <w:rFonts w:cs="Arial"/>
                <w:color w:val="0D0D0D" w:themeColor="text1" w:themeTint="F2"/>
                <w:spacing w:val="-5"/>
                <w:szCs w:val="20"/>
              </w:rPr>
              <w:t xml:space="preserve"> dominantním nákupním kanálem. V rámci specializovaných prodejen rostly vedle internetových prodejů nejvíce tržby v obchodech s počítačovým a</w:t>
            </w:r>
            <w:r>
              <w:rPr>
                <w:rFonts w:cs="Arial"/>
                <w:color w:val="0D0D0D" w:themeColor="text1" w:themeTint="F2"/>
                <w:spacing w:val="-5"/>
                <w:szCs w:val="20"/>
              </w:rPr>
              <w:t> </w:t>
            </w:r>
            <w:r w:rsidRPr="000537C8">
              <w:rPr>
                <w:rFonts w:cs="Arial"/>
                <w:color w:val="0D0D0D" w:themeColor="text1" w:themeTint="F2"/>
                <w:spacing w:val="-5"/>
                <w:szCs w:val="20"/>
              </w:rPr>
              <w:t>komunikačním zařízením (6,8</w:t>
            </w:r>
            <w:r>
              <w:rPr>
                <w:rFonts w:cs="Arial"/>
                <w:color w:val="0D0D0D" w:themeColor="text1" w:themeTint="F2"/>
                <w:spacing w:val="-5"/>
                <w:szCs w:val="20"/>
              </w:rPr>
              <w:t> %</w:t>
            </w:r>
            <w:r w:rsidRPr="000537C8">
              <w:rPr>
                <w:rFonts w:cs="Arial"/>
                <w:color w:val="0D0D0D" w:themeColor="text1" w:themeTint="F2"/>
                <w:spacing w:val="-5"/>
                <w:szCs w:val="20"/>
              </w:rPr>
              <w:t>) a</w:t>
            </w:r>
            <w:r>
              <w:rPr>
                <w:rFonts w:cs="Arial"/>
                <w:color w:val="0D0D0D" w:themeColor="text1" w:themeTint="F2"/>
                <w:spacing w:val="-5"/>
                <w:szCs w:val="20"/>
              </w:rPr>
              <w:t> </w:t>
            </w:r>
            <w:r w:rsidRPr="000537C8">
              <w:rPr>
                <w:rFonts w:cs="Arial"/>
                <w:color w:val="0D0D0D" w:themeColor="text1" w:themeTint="F2"/>
                <w:spacing w:val="-5"/>
                <w:szCs w:val="20"/>
              </w:rPr>
              <w:t>v obchodech s kosm</w:t>
            </w:r>
            <w:r>
              <w:rPr>
                <w:rFonts w:cs="Arial"/>
                <w:color w:val="0D0D0D" w:themeColor="text1" w:themeTint="F2"/>
                <w:spacing w:val="-5"/>
                <w:szCs w:val="20"/>
              </w:rPr>
              <w:t>etickými a toaletními výrobky (5,8 %</w:t>
            </w:r>
            <w:r w:rsidRPr="000537C8">
              <w:rPr>
                <w:rFonts w:cs="Arial"/>
                <w:color w:val="0D0D0D" w:themeColor="text1" w:themeTint="F2"/>
                <w:spacing w:val="-5"/>
                <w:szCs w:val="20"/>
              </w:rPr>
              <w:t>). Mírněji rostla poptávka u</w:t>
            </w:r>
            <w:r>
              <w:rPr>
                <w:rFonts w:cs="Arial"/>
                <w:color w:val="0D0D0D" w:themeColor="text1" w:themeTint="F2"/>
                <w:spacing w:val="-5"/>
                <w:szCs w:val="20"/>
              </w:rPr>
              <w:t> </w:t>
            </w:r>
            <w:r w:rsidRPr="000537C8">
              <w:rPr>
                <w:rFonts w:cs="Arial"/>
                <w:color w:val="0D0D0D" w:themeColor="text1" w:themeTint="F2"/>
                <w:spacing w:val="-5"/>
                <w:szCs w:val="20"/>
              </w:rPr>
              <w:t>prodejen s</w:t>
            </w:r>
            <w:r>
              <w:rPr>
                <w:rFonts w:cs="Arial"/>
                <w:color w:val="0D0D0D" w:themeColor="text1" w:themeTint="F2"/>
                <w:spacing w:val="-5"/>
                <w:szCs w:val="20"/>
              </w:rPr>
              <w:t> </w:t>
            </w:r>
            <w:r w:rsidRPr="000537C8">
              <w:rPr>
                <w:rFonts w:cs="Arial"/>
                <w:color w:val="0D0D0D" w:themeColor="text1" w:themeTint="F2"/>
                <w:spacing w:val="-5"/>
                <w:szCs w:val="20"/>
              </w:rPr>
              <w:t>oděvy, obuví a</w:t>
            </w:r>
            <w:r>
              <w:rPr>
                <w:rFonts w:cs="Arial"/>
                <w:color w:val="0D0D0D" w:themeColor="text1" w:themeTint="F2"/>
                <w:spacing w:val="-5"/>
                <w:szCs w:val="20"/>
              </w:rPr>
              <w:t> </w:t>
            </w:r>
            <w:r w:rsidRPr="000537C8">
              <w:rPr>
                <w:rFonts w:cs="Arial"/>
                <w:color w:val="0D0D0D" w:themeColor="text1" w:themeTint="F2"/>
                <w:spacing w:val="-5"/>
                <w:szCs w:val="20"/>
              </w:rPr>
              <w:t>koženým zbožím a</w:t>
            </w:r>
            <w:r>
              <w:rPr>
                <w:rFonts w:cs="Arial"/>
                <w:color w:val="0D0D0D" w:themeColor="text1" w:themeTint="F2"/>
                <w:spacing w:val="-5"/>
                <w:szCs w:val="20"/>
              </w:rPr>
              <w:t> </w:t>
            </w:r>
            <w:r w:rsidRPr="000537C8">
              <w:rPr>
                <w:rFonts w:cs="Arial"/>
                <w:color w:val="0D0D0D" w:themeColor="text1" w:themeTint="F2"/>
                <w:spacing w:val="-5"/>
                <w:szCs w:val="20"/>
              </w:rPr>
              <w:t>také u</w:t>
            </w:r>
            <w:r>
              <w:rPr>
                <w:rFonts w:cs="Arial"/>
                <w:color w:val="0D0D0D" w:themeColor="text1" w:themeTint="F2"/>
                <w:spacing w:val="-5"/>
                <w:szCs w:val="20"/>
              </w:rPr>
              <w:t> </w:t>
            </w:r>
            <w:r w:rsidRPr="000537C8">
              <w:rPr>
                <w:rFonts w:cs="Arial"/>
                <w:color w:val="0D0D0D" w:themeColor="text1" w:themeTint="F2"/>
                <w:spacing w:val="-5"/>
                <w:szCs w:val="20"/>
              </w:rPr>
              <w:t>výrobků pro kulturu a</w:t>
            </w:r>
            <w:r>
              <w:rPr>
                <w:rFonts w:cs="Arial"/>
                <w:color w:val="0D0D0D" w:themeColor="text1" w:themeTint="F2"/>
                <w:spacing w:val="-5"/>
                <w:szCs w:val="20"/>
              </w:rPr>
              <w:t> </w:t>
            </w:r>
            <w:r w:rsidRPr="000537C8">
              <w:rPr>
                <w:rFonts w:cs="Arial"/>
                <w:color w:val="0D0D0D" w:themeColor="text1" w:themeTint="F2"/>
                <w:spacing w:val="-5"/>
                <w:szCs w:val="20"/>
              </w:rPr>
              <w:t>rekreaci – v obou případech ovšem tržby stále výrazně zaostaly za rokem 2019. Tržby za prodej potravin se loni snížily druhým rokem v</w:t>
            </w:r>
            <w:r>
              <w:rPr>
                <w:rFonts w:cs="Arial"/>
                <w:color w:val="0D0D0D" w:themeColor="text1" w:themeTint="F2"/>
                <w:spacing w:val="-5"/>
                <w:szCs w:val="20"/>
              </w:rPr>
              <w:t> </w:t>
            </w:r>
            <w:r w:rsidRPr="000537C8">
              <w:rPr>
                <w:rFonts w:cs="Arial"/>
                <w:color w:val="0D0D0D" w:themeColor="text1" w:themeTint="F2"/>
                <w:spacing w:val="-5"/>
                <w:szCs w:val="20"/>
              </w:rPr>
              <w:t>řadě (shodně o</w:t>
            </w:r>
            <w:r>
              <w:rPr>
                <w:rFonts w:cs="Arial"/>
                <w:color w:val="0D0D0D" w:themeColor="text1" w:themeTint="F2"/>
                <w:spacing w:val="-5"/>
                <w:szCs w:val="20"/>
              </w:rPr>
              <w:t> </w:t>
            </w:r>
            <w:r w:rsidRPr="000537C8">
              <w:rPr>
                <w:rFonts w:cs="Arial"/>
                <w:color w:val="0D0D0D" w:themeColor="text1" w:themeTint="F2"/>
                <w:spacing w:val="-5"/>
                <w:szCs w:val="20"/>
              </w:rPr>
              <w:t>0,3</w:t>
            </w:r>
            <w:r>
              <w:rPr>
                <w:rFonts w:cs="Arial"/>
                <w:color w:val="0D0D0D" w:themeColor="text1" w:themeTint="F2"/>
                <w:spacing w:val="-5"/>
                <w:szCs w:val="20"/>
              </w:rPr>
              <w:t> %), poprvé po sedmi</w:t>
            </w:r>
            <w:r w:rsidRPr="000537C8">
              <w:rPr>
                <w:rFonts w:cs="Arial"/>
                <w:color w:val="0D0D0D" w:themeColor="text1" w:themeTint="F2"/>
                <w:spacing w:val="-5"/>
                <w:szCs w:val="20"/>
              </w:rPr>
              <w:t xml:space="preserve"> letech </w:t>
            </w:r>
            <w:r>
              <w:rPr>
                <w:rFonts w:cs="Arial"/>
                <w:color w:val="0D0D0D" w:themeColor="text1" w:themeTint="F2"/>
                <w:spacing w:val="-5"/>
                <w:szCs w:val="20"/>
              </w:rPr>
              <w:t>růstu</w:t>
            </w:r>
            <w:r w:rsidRPr="000537C8">
              <w:rPr>
                <w:rFonts w:cs="Arial"/>
                <w:color w:val="0D0D0D" w:themeColor="text1" w:themeTint="F2"/>
                <w:spacing w:val="-5"/>
                <w:szCs w:val="20"/>
              </w:rPr>
              <w:t xml:space="preserve"> poklesly</w:t>
            </w:r>
            <w:r>
              <w:rPr>
                <w:rFonts w:cs="Arial"/>
                <w:color w:val="0D0D0D" w:themeColor="text1" w:themeTint="F2"/>
                <w:spacing w:val="-5"/>
                <w:szCs w:val="20"/>
              </w:rPr>
              <w:t xml:space="preserve"> </w:t>
            </w:r>
            <w:r w:rsidRPr="000537C8">
              <w:rPr>
                <w:rFonts w:cs="Arial"/>
                <w:color w:val="0D0D0D" w:themeColor="text1" w:themeTint="F2"/>
                <w:spacing w:val="-5"/>
                <w:szCs w:val="20"/>
              </w:rPr>
              <w:t>v nespecializovaných prodejnách, v nichž dominují velké</w:t>
            </w:r>
            <w:r>
              <w:rPr>
                <w:rFonts w:cs="Arial"/>
                <w:color w:val="0D0D0D" w:themeColor="text1" w:themeTint="F2"/>
                <w:spacing w:val="-5"/>
                <w:szCs w:val="20"/>
              </w:rPr>
              <w:t xml:space="preserve"> obchodní</w:t>
            </w:r>
            <w:r w:rsidRPr="000537C8">
              <w:rPr>
                <w:rFonts w:cs="Arial"/>
                <w:color w:val="0D0D0D" w:themeColor="text1" w:themeTint="F2"/>
                <w:spacing w:val="-5"/>
                <w:szCs w:val="20"/>
              </w:rPr>
              <w:t xml:space="preserve"> řetězce. Prodejci poho</w:t>
            </w:r>
            <w:r>
              <w:rPr>
                <w:rFonts w:cs="Arial"/>
                <w:color w:val="0D0D0D" w:themeColor="text1" w:themeTint="F2"/>
                <w:spacing w:val="-5"/>
                <w:szCs w:val="20"/>
              </w:rPr>
              <w:t xml:space="preserve">nných hmot stržili meziročně o 4,0 % více, </w:t>
            </w:r>
            <w:r w:rsidRPr="000537C8">
              <w:rPr>
                <w:rFonts w:cs="Arial"/>
                <w:color w:val="0D0D0D" w:themeColor="text1" w:themeTint="F2"/>
                <w:spacing w:val="-5"/>
                <w:szCs w:val="20"/>
              </w:rPr>
              <w:t xml:space="preserve">propad z roku 2020 </w:t>
            </w:r>
            <w:r>
              <w:rPr>
                <w:rFonts w:cs="Arial"/>
                <w:color w:val="0D0D0D" w:themeColor="text1" w:themeTint="F2"/>
                <w:spacing w:val="-5"/>
                <w:szCs w:val="20"/>
              </w:rPr>
              <w:t xml:space="preserve">ale </w:t>
            </w:r>
            <w:r w:rsidRPr="000537C8">
              <w:rPr>
                <w:rFonts w:cs="Arial"/>
                <w:color w:val="0D0D0D" w:themeColor="text1" w:themeTint="F2"/>
                <w:spacing w:val="-5"/>
                <w:szCs w:val="20"/>
              </w:rPr>
              <w:t>zdaleka nevyrovnali</w:t>
            </w:r>
            <w:r w:rsidRPr="000537C8">
              <w:rPr>
                <w:rStyle w:val="Znakapoznpodarou"/>
                <w:color w:val="0D0D0D" w:themeColor="text1" w:themeTint="F2"/>
                <w:spacing w:val="-5"/>
                <w:szCs w:val="20"/>
              </w:rPr>
              <w:footnoteReference w:id="46"/>
            </w:r>
            <w:r w:rsidRPr="000537C8">
              <w:rPr>
                <w:rFonts w:cs="Arial"/>
                <w:color w:val="0D0D0D" w:themeColor="text1" w:themeTint="F2"/>
                <w:spacing w:val="-5"/>
                <w:szCs w:val="20"/>
              </w:rPr>
              <w:t>. Podobně na tom byl i</w:t>
            </w:r>
            <w:r>
              <w:rPr>
                <w:rFonts w:cs="Arial"/>
                <w:color w:val="0D0D0D" w:themeColor="text1" w:themeTint="F2"/>
                <w:spacing w:val="-5"/>
                <w:szCs w:val="20"/>
              </w:rPr>
              <w:t> </w:t>
            </w:r>
            <w:r w:rsidRPr="000537C8">
              <w:rPr>
                <w:rFonts w:cs="Arial"/>
                <w:color w:val="0D0D0D" w:themeColor="text1" w:themeTint="F2"/>
                <w:spacing w:val="-5"/>
                <w:szCs w:val="20"/>
              </w:rPr>
              <w:t>motoristický segment obchodu, jehož tržby navzdory loňskému oži</w:t>
            </w:r>
            <w:r>
              <w:rPr>
                <w:rFonts w:cs="Arial"/>
                <w:color w:val="0D0D0D" w:themeColor="text1" w:themeTint="F2"/>
                <w:spacing w:val="-5"/>
                <w:szCs w:val="20"/>
              </w:rPr>
              <w:t>vení za úrovní z roku 2019 o 8 %</w:t>
            </w:r>
            <w:r w:rsidRPr="000537C8">
              <w:rPr>
                <w:rFonts w:cs="Arial"/>
                <w:color w:val="0D0D0D" w:themeColor="text1" w:themeTint="F2"/>
                <w:spacing w:val="-5"/>
                <w:szCs w:val="20"/>
              </w:rPr>
              <w:t xml:space="preserve"> zaostávaly. To platilo pro celý tento segment vyjma obchodu, oprav i</w:t>
            </w:r>
            <w:r>
              <w:rPr>
                <w:rFonts w:cs="Arial"/>
                <w:color w:val="0D0D0D" w:themeColor="text1" w:themeTint="F2"/>
                <w:spacing w:val="-5"/>
                <w:szCs w:val="20"/>
              </w:rPr>
              <w:t> </w:t>
            </w:r>
            <w:r w:rsidRPr="000537C8">
              <w:rPr>
                <w:rFonts w:cs="Arial"/>
                <w:color w:val="0D0D0D" w:themeColor="text1" w:themeTint="F2"/>
                <w:spacing w:val="-5"/>
                <w:szCs w:val="20"/>
              </w:rPr>
              <w:t>údržby motocyklů (s</w:t>
            </w:r>
            <w:r>
              <w:rPr>
                <w:rFonts w:cs="Arial"/>
                <w:color w:val="0D0D0D" w:themeColor="text1" w:themeTint="F2"/>
                <w:spacing w:val="-5"/>
                <w:szCs w:val="20"/>
              </w:rPr>
              <w:t> </w:t>
            </w:r>
            <w:r w:rsidRPr="000537C8">
              <w:rPr>
                <w:rFonts w:cs="Arial"/>
                <w:color w:val="0D0D0D" w:themeColor="text1" w:themeTint="F2"/>
                <w:spacing w:val="-5"/>
                <w:szCs w:val="20"/>
              </w:rPr>
              <w:t>dlouhodobě rostoucí poptávkou, za pandemie významně nenarušenou).</w:t>
            </w:r>
          </w:p>
        </w:tc>
      </w:tr>
      <w:tr w:rsidR="00F77A50" w:rsidRPr="00BA07CB" w14:paraId="43E58328" w14:textId="77777777" w:rsidTr="00B66208">
        <w:trPr>
          <w:trHeight w:val="145"/>
        </w:trPr>
        <w:tc>
          <w:tcPr>
            <w:tcW w:w="1728" w:type="dxa"/>
            <w:shd w:val="clear" w:color="auto" w:fill="auto"/>
            <w:tcMar>
              <w:left w:w="0" w:type="dxa"/>
            </w:tcMar>
          </w:tcPr>
          <w:p w14:paraId="01EDB46D" w14:textId="77777777" w:rsidR="00F77A50" w:rsidRPr="0006697D" w:rsidRDefault="00F77A50" w:rsidP="00B66208">
            <w:pPr>
              <w:pStyle w:val="Marginlie"/>
              <w:rPr>
                <w:color w:val="0D0D0D" w:themeColor="text1" w:themeTint="F2"/>
              </w:rPr>
            </w:pPr>
          </w:p>
        </w:tc>
        <w:tc>
          <w:tcPr>
            <w:tcW w:w="206" w:type="dxa"/>
            <w:shd w:val="clear" w:color="auto" w:fill="auto"/>
            <w:tcMar>
              <w:left w:w="0" w:type="dxa"/>
            </w:tcMar>
          </w:tcPr>
          <w:p w14:paraId="172F6E33" w14:textId="77777777" w:rsidR="00F77A50" w:rsidRPr="0006697D" w:rsidRDefault="00F77A50" w:rsidP="00B66208">
            <w:pPr>
              <w:pStyle w:val="Textpoznpodarou"/>
              <w:jc w:val="both"/>
              <w:rPr>
                <w:color w:val="0D0D0D" w:themeColor="text1" w:themeTint="F2"/>
                <w:spacing w:val="-4"/>
              </w:rPr>
            </w:pPr>
          </w:p>
        </w:tc>
        <w:tc>
          <w:tcPr>
            <w:tcW w:w="7730" w:type="dxa"/>
            <w:shd w:val="clear" w:color="auto" w:fill="auto"/>
            <w:tcMar>
              <w:left w:w="0" w:type="dxa"/>
            </w:tcMar>
          </w:tcPr>
          <w:p w14:paraId="11A361A4" w14:textId="77777777" w:rsidR="00F77A50" w:rsidRPr="0006697D" w:rsidRDefault="00F77A50" w:rsidP="00B66208">
            <w:pPr>
              <w:spacing w:after="0"/>
              <w:rPr>
                <w:rFonts w:cs="Arial"/>
                <w:color w:val="0D0D0D" w:themeColor="text1" w:themeTint="F2"/>
                <w:spacing w:val="-4"/>
                <w:szCs w:val="20"/>
              </w:rPr>
            </w:pPr>
            <w:r w:rsidRPr="00360244">
              <w:rPr>
                <w:rFonts w:cs="Arial"/>
                <w:b/>
                <w:color w:val="0D0D0D" w:themeColor="text1" w:themeTint="F2"/>
                <w:spacing w:val="-4"/>
                <w:szCs w:val="20"/>
              </w:rPr>
              <w:t>Graf č. 8</w:t>
            </w:r>
            <w:r>
              <w:rPr>
                <w:rFonts w:cs="Arial"/>
                <w:b/>
                <w:color w:val="0D0D0D" w:themeColor="text1" w:themeTint="F2"/>
                <w:spacing w:val="-4"/>
                <w:szCs w:val="20"/>
              </w:rPr>
              <w:t xml:space="preserve"> </w:t>
            </w:r>
            <w:r w:rsidRPr="00CC1D7E">
              <w:rPr>
                <w:rFonts w:cs="Arial"/>
                <w:b/>
                <w:bCs/>
                <w:color w:val="0D0D0D" w:themeColor="text1" w:themeTint="F2"/>
                <w:spacing w:val="-4"/>
                <w:szCs w:val="20"/>
              </w:rPr>
              <w:t xml:space="preserve"> </w:t>
            </w:r>
            <w:r>
              <w:rPr>
                <w:rFonts w:cs="Arial"/>
                <w:b/>
                <w:bCs/>
                <w:color w:val="0D0D0D" w:themeColor="text1" w:themeTint="F2"/>
                <w:spacing w:val="-4"/>
                <w:szCs w:val="20"/>
              </w:rPr>
              <w:t xml:space="preserve">Tržby v maloobchodu* </w:t>
            </w:r>
            <w:r>
              <w:rPr>
                <w:rFonts w:cs="Arial"/>
                <w:color w:val="0D0D0D" w:themeColor="text1" w:themeTint="F2"/>
                <w:spacing w:val="-4"/>
                <w:szCs w:val="20"/>
              </w:rPr>
              <w:t>(reálně, meziročně,</w:t>
            </w:r>
            <w:r w:rsidRPr="00491A43">
              <w:rPr>
                <w:rFonts w:cs="Arial"/>
                <w:color w:val="0D0D0D" w:themeColor="text1" w:themeTint="F2"/>
                <w:spacing w:val="-4"/>
                <w:szCs w:val="20"/>
              </w:rPr>
              <w:t xml:space="preserve"> v</w:t>
            </w:r>
            <w:r>
              <w:rPr>
                <w:rFonts w:cs="Arial"/>
                <w:color w:val="0D0D0D" w:themeColor="text1" w:themeTint="F2"/>
                <w:spacing w:val="-4"/>
                <w:szCs w:val="20"/>
              </w:rPr>
              <w:t> </w:t>
            </w:r>
            <w:r w:rsidRPr="00491A43">
              <w:rPr>
                <w:rFonts w:cs="Arial"/>
                <w:color w:val="0D0D0D" w:themeColor="text1" w:themeTint="F2"/>
                <w:spacing w:val="-4"/>
                <w:szCs w:val="20"/>
              </w:rPr>
              <w:t xml:space="preserve">%) </w:t>
            </w:r>
            <w:r w:rsidRPr="00491A43">
              <w:rPr>
                <w:rFonts w:cs="Arial"/>
                <w:b/>
                <w:color w:val="0D0D0D" w:themeColor="text1" w:themeTint="F2"/>
                <w:spacing w:val="-4"/>
                <w:szCs w:val="20"/>
              </w:rPr>
              <w:t>a</w:t>
            </w:r>
            <w:r>
              <w:rPr>
                <w:rFonts w:cs="Arial"/>
                <w:b/>
                <w:color w:val="0D0D0D" w:themeColor="text1" w:themeTint="F2"/>
                <w:spacing w:val="-4"/>
                <w:szCs w:val="20"/>
              </w:rPr>
              <w:t> </w:t>
            </w:r>
            <w:r w:rsidRPr="00491A43">
              <w:rPr>
                <w:rFonts w:cs="Arial"/>
                <w:b/>
                <w:bCs/>
                <w:color w:val="0D0D0D" w:themeColor="text1" w:themeTint="F2"/>
                <w:spacing w:val="-4"/>
                <w:szCs w:val="20"/>
              </w:rPr>
              <w:t>saldo indikátoru důvěry spotřebitelů</w:t>
            </w:r>
            <w:r>
              <w:rPr>
                <w:rFonts w:cs="Arial"/>
                <w:b/>
                <w:bCs/>
                <w:color w:val="0D0D0D" w:themeColor="text1" w:themeTint="F2"/>
                <w:spacing w:val="-4"/>
                <w:szCs w:val="20"/>
              </w:rPr>
              <w:t>**</w:t>
            </w:r>
            <w:r w:rsidRPr="00491A43">
              <w:rPr>
                <w:rFonts w:cs="Arial"/>
                <w:b/>
                <w:bCs/>
                <w:color w:val="0D0D0D" w:themeColor="text1" w:themeTint="F2"/>
                <w:spacing w:val="-4"/>
                <w:szCs w:val="20"/>
              </w:rPr>
              <w:t xml:space="preserve"> </w:t>
            </w:r>
            <w:r w:rsidRPr="00491A43">
              <w:rPr>
                <w:rFonts w:cs="Arial"/>
                <w:color w:val="0D0D0D" w:themeColor="text1" w:themeTint="F2"/>
                <w:spacing w:val="-4"/>
                <w:szCs w:val="20"/>
              </w:rPr>
              <w:t>(</w:t>
            </w:r>
            <w:r>
              <w:rPr>
                <w:rFonts w:cs="Arial"/>
                <w:color w:val="0D0D0D" w:themeColor="text1" w:themeTint="F2"/>
                <w:spacing w:val="-4"/>
                <w:szCs w:val="20"/>
              </w:rPr>
              <w:t xml:space="preserve">v p. b., </w:t>
            </w:r>
            <w:r w:rsidRPr="00491A43">
              <w:rPr>
                <w:rFonts w:cs="Arial"/>
                <w:color w:val="0D0D0D" w:themeColor="text1" w:themeTint="F2"/>
                <w:spacing w:val="-4"/>
                <w:szCs w:val="20"/>
              </w:rPr>
              <w:t>pravá osa)</w:t>
            </w:r>
          </w:p>
        </w:tc>
      </w:tr>
      <w:tr w:rsidR="00F77A50" w:rsidRPr="004D53D9" w14:paraId="700CA7B2" w14:textId="77777777" w:rsidTr="00B66208">
        <w:tblPrEx>
          <w:tblCellMar>
            <w:left w:w="70" w:type="dxa"/>
            <w:right w:w="70" w:type="dxa"/>
          </w:tblCellMar>
        </w:tblPrEx>
        <w:trPr>
          <w:trHeight w:val="145"/>
        </w:trPr>
        <w:tc>
          <w:tcPr>
            <w:tcW w:w="1728" w:type="dxa"/>
            <w:shd w:val="clear" w:color="auto" w:fill="auto"/>
          </w:tcPr>
          <w:p w14:paraId="56E5604F" w14:textId="77777777" w:rsidR="00F77A50" w:rsidRPr="0006697D" w:rsidRDefault="00F77A50" w:rsidP="00B66208">
            <w:pPr>
              <w:pStyle w:val="Marginlie"/>
              <w:rPr>
                <w:color w:val="0D0D0D" w:themeColor="text1" w:themeTint="F2"/>
              </w:rPr>
            </w:pPr>
          </w:p>
        </w:tc>
        <w:tc>
          <w:tcPr>
            <w:tcW w:w="206" w:type="dxa"/>
            <w:shd w:val="clear" w:color="auto" w:fill="auto"/>
          </w:tcPr>
          <w:p w14:paraId="38AC9B2E" w14:textId="77777777" w:rsidR="00F77A50" w:rsidRPr="0006697D" w:rsidRDefault="00F77A50" w:rsidP="00B66208">
            <w:pPr>
              <w:pStyle w:val="Textpoznpodarou"/>
              <w:jc w:val="both"/>
              <w:rPr>
                <w:color w:val="0D0D0D" w:themeColor="text1" w:themeTint="F2"/>
                <w:spacing w:val="-4"/>
              </w:rPr>
            </w:pPr>
          </w:p>
        </w:tc>
        <w:tc>
          <w:tcPr>
            <w:tcW w:w="7730" w:type="dxa"/>
            <w:shd w:val="clear" w:color="auto" w:fill="auto"/>
          </w:tcPr>
          <w:p w14:paraId="50C9FD71" w14:textId="77777777" w:rsidR="00F77A50" w:rsidRPr="0006697D" w:rsidRDefault="00F77A50" w:rsidP="00B66208">
            <w:pPr>
              <w:spacing w:after="0"/>
              <w:rPr>
                <w:rFonts w:cs="Arial"/>
                <w:color w:val="0D0D0D" w:themeColor="text1" w:themeTint="F2"/>
                <w:spacing w:val="-4"/>
                <w:szCs w:val="20"/>
              </w:rPr>
            </w:pPr>
            <w:r>
              <w:rPr>
                <w:noProof/>
              </w:rPr>
              <w:drawing>
                <wp:inline distT="0" distB="0" distL="0" distR="0" wp14:anchorId="27CCD049" wp14:editId="775F3D49">
                  <wp:extent cx="4773930" cy="3448050"/>
                  <wp:effectExtent l="0" t="0" r="7620"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F77A50" w:rsidRPr="00417064" w14:paraId="48FD2A49" w14:textId="77777777" w:rsidTr="00B66208">
        <w:trPr>
          <w:trHeight w:val="145"/>
        </w:trPr>
        <w:tc>
          <w:tcPr>
            <w:tcW w:w="1728" w:type="dxa"/>
            <w:shd w:val="clear" w:color="auto" w:fill="auto"/>
            <w:tcMar>
              <w:left w:w="0" w:type="dxa"/>
            </w:tcMar>
          </w:tcPr>
          <w:p w14:paraId="308A5B17" w14:textId="77777777" w:rsidR="00F77A50" w:rsidRPr="0006697D" w:rsidRDefault="00F77A50" w:rsidP="00B66208">
            <w:pPr>
              <w:pStyle w:val="Marginlie"/>
              <w:rPr>
                <w:color w:val="0D0D0D" w:themeColor="text1" w:themeTint="F2"/>
              </w:rPr>
            </w:pPr>
          </w:p>
        </w:tc>
        <w:tc>
          <w:tcPr>
            <w:tcW w:w="206" w:type="dxa"/>
            <w:shd w:val="clear" w:color="auto" w:fill="auto"/>
            <w:tcMar>
              <w:left w:w="0" w:type="dxa"/>
            </w:tcMar>
          </w:tcPr>
          <w:p w14:paraId="46D54BE9" w14:textId="77777777" w:rsidR="00F77A50" w:rsidRPr="0006697D" w:rsidRDefault="00F77A50" w:rsidP="00B66208">
            <w:pPr>
              <w:pStyle w:val="Textpoznpodarou"/>
              <w:jc w:val="both"/>
              <w:rPr>
                <w:color w:val="0D0D0D" w:themeColor="text1" w:themeTint="F2"/>
                <w:spacing w:val="-4"/>
              </w:rPr>
            </w:pPr>
          </w:p>
        </w:tc>
        <w:tc>
          <w:tcPr>
            <w:tcW w:w="7730" w:type="dxa"/>
            <w:shd w:val="clear" w:color="auto" w:fill="auto"/>
            <w:tcMar>
              <w:left w:w="0" w:type="dxa"/>
            </w:tcMar>
          </w:tcPr>
          <w:p w14:paraId="7FCDF937" w14:textId="77777777" w:rsidR="00F77A50" w:rsidRPr="0006697D" w:rsidRDefault="00F77A50" w:rsidP="00B66208">
            <w:pPr>
              <w:spacing w:after="0"/>
              <w:rPr>
                <w:rFonts w:cs="Arial"/>
                <w:color w:val="0D0D0D" w:themeColor="text1" w:themeTint="F2"/>
                <w:spacing w:val="-4"/>
                <w:sz w:val="14"/>
                <w:szCs w:val="14"/>
              </w:rPr>
            </w:pPr>
            <w:r w:rsidRPr="0006697D">
              <w:rPr>
                <w:rFonts w:cs="Arial"/>
                <w:color w:val="0D0D0D" w:themeColor="text1" w:themeTint="F2"/>
                <w:spacing w:val="-4"/>
                <w:sz w:val="14"/>
                <w:szCs w:val="14"/>
              </w:rPr>
              <w:t>*</w:t>
            </w:r>
            <w:r>
              <w:rPr>
                <w:rFonts w:cs="Arial"/>
                <w:sz w:val="14"/>
                <w:szCs w:val="14"/>
              </w:rPr>
              <w:t xml:space="preserve"> Tržby </w:t>
            </w:r>
            <w:r w:rsidRPr="00883202">
              <w:rPr>
                <w:rFonts w:cs="Arial"/>
                <w:sz w:val="14"/>
                <w:szCs w:val="14"/>
              </w:rPr>
              <w:t>jsou očištěny o kalendářní vlivy</w:t>
            </w:r>
            <w:r>
              <w:rPr>
                <w:rFonts w:cs="Arial"/>
                <w:sz w:val="14"/>
                <w:szCs w:val="14"/>
              </w:rPr>
              <w:t>.</w:t>
            </w:r>
          </w:p>
          <w:p w14:paraId="1BDEAF70" w14:textId="77777777" w:rsidR="00F77A50" w:rsidRPr="009C3949" w:rsidRDefault="00F77A50" w:rsidP="00B66208">
            <w:pPr>
              <w:tabs>
                <w:tab w:val="right" w:pos="7711"/>
              </w:tabs>
              <w:spacing w:after="0"/>
              <w:rPr>
                <w:rFonts w:cs="Arial"/>
                <w:color w:val="0D0D0D" w:themeColor="text1" w:themeTint="F2"/>
                <w:spacing w:val="-4"/>
                <w:sz w:val="14"/>
                <w:szCs w:val="14"/>
              </w:rPr>
            </w:pPr>
            <w:r w:rsidRPr="0006697D">
              <w:rPr>
                <w:rFonts w:cs="Arial"/>
                <w:color w:val="0D0D0D" w:themeColor="text1" w:themeTint="F2"/>
                <w:spacing w:val="-4"/>
                <w:sz w:val="14"/>
                <w:szCs w:val="14"/>
              </w:rPr>
              <w:t xml:space="preserve">** </w:t>
            </w:r>
            <w:r w:rsidRPr="00836C0A">
              <w:rPr>
                <w:rFonts w:cs="Arial"/>
                <w:color w:val="0D0D0D" w:themeColor="text1" w:themeTint="F2"/>
                <w:spacing w:val="-4"/>
                <w:sz w:val="14"/>
                <w:szCs w:val="14"/>
              </w:rPr>
              <w:t>Saldo důvěry spotřebitelů</w:t>
            </w:r>
            <w:r>
              <w:rPr>
                <w:rFonts w:cs="Arial"/>
                <w:color w:val="0D0D0D" w:themeColor="text1" w:themeTint="F2"/>
                <w:spacing w:val="-4"/>
                <w:sz w:val="14"/>
                <w:szCs w:val="14"/>
              </w:rPr>
              <w:t xml:space="preserve"> je sezónně očištěno a vyjadřuje</w:t>
            </w:r>
            <w:r w:rsidRPr="0006697D">
              <w:rPr>
                <w:rFonts w:cs="Arial"/>
                <w:color w:val="0D0D0D" w:themeColor="text1" w:themeTint="F2"/>
                <w:spacing w:val="-4"/>
                <w:sz w:val="14"/>
                <w:szCs w:val="14"/>
              </w:rPr>
              <w:t xml:space="preserve"> stav ve druhém měsíci daného čtvrtletí</w:t>
            </w:r>
            <w:r>
              <w:rPr>
                <w:rFonts w:cs="Arial"/>
                <w:color w:val="0D0D0D" w:themeColor="text1" w:themeTint="F2"/>
                <w:spacing w:val="-4"/>
                <w:sz w:val="14"/>
                <w:szCs w:val="14"/>
              </w:rPr>
              <w:t>.</w:t>
            </w:r>
            <w:r>
              <w:rPr>
                <w:rFonts w:cs="Arial"/>
                <w:color w:val="0D0D0D" w:themeColor="text1" w:themeTint="F2"/>
                <w:spacing w:val="-4"/>
                <w:sz w:val="14"/>
                <w:szCs w:val="14"/>
              </w:rPr>
              <w:tab/>
            </w:r>
            <w:r w:rsidRPr="0006697D">
              <w:rPr>
                <w:rFonts w:cs="Arial"/>
                <w:color w:val="0D0D0D" w:themeColor="text1" w:themeTint="F2"/>
                <w:spacing w:val="-4"/>
                <w:sz w:val="14"/>
                <w:szCs w:val="14"/>
              </w:rPr>
              <w:t>Zdroj: ČSÚ</w:t>
            </w:r>
          </w:p>
        </w:tc>
      </w:tr>
    </w:tbl>
    <w:p w14:paraId="3BFBA732" w14:textId="03772FCB" w:rsidR="00700E8A" w:rsidRPr="00F62CCE" w:rsidRDefault="00700E8A">
      <w:pPr>
        <w:spacing w:after="0" w:line="240" w:lineRule="auto"/>
        <w:jc w:val="left"/>
        <w:rPr>
          <w:rFonts w:eastAsia="MS Gothic"/>
          <w:b/>
          <w:bCs/>
          <w:color w:val="71818C"/>
          <w:sz w:val="2"/>
          <w:szCs w:val="2"/>
          <w:highlight w:val="yellow"/>
        </w:rPr>
      </w:pPr>
      <w:r w:rsidRPr="00F62CCE">
        <w:rPr>
          <w:sz w:val="2"/>
          <w:szCs w:val="2"/>
          <w:highlight w:val="yellow"/>
        </w:rPr>
        <w:br w:type="page"/>
      </w:r>
    </w:p>
    <w:p w14:paraId="2B1B849D" w14:textId="77777777" w:rsidR="00A02E8B" w:rsidRPr="00134FFF" w:rsidRDefault="00A02E8B" w:rsidP="00A02E8B">
      <w:pPr>
        <w:pStyle w:val="Nadpis11"/>
        <w:rPr>
          <w:sz w:val="2"/>
          <w:szCs w:val="2"/>
        </w:rPr>
      </w:pPr>
      <w:bookmarkStart w:id="18" w:name="_Toc90395912"/>
      <w:bookmarkStart w:id="19" w:name="_Toc90395913"/>
      <w:bookmarkStart w:id="20" w:name="_Toc50712130"/>
      <w:bookmarkStart w:id="21" w:name="_Toc58605377"/>
      <w:bookmarkStart w:id="22" w:name="_Toc26865023"/>
      <w:bookmarkStart w:id="23" w:name="_Toc74246554"/>
      <w:bookmarkStart w:id="24" w:name="_Toc66719933"/>
      <w:bookmarkStart w:id="25" w:name="_Toc50712132"/>
      <w:bookmarkStart w:id="26" w:name="_Toc98756080"/>
      <w:bookmarkEnd w:id="11"/>
      <w:bookmarkEnd w:id="12"/>
      <w:bookmarkEnd w:id="13"/>
      <w:bookmarkEnd w:id="14"/>
      <w:r>
        <w:lastRenderedPageBreak/>
        <w:t>4</w:t>
      </w:r>
      <w:bookmarkStart w:id="27" w:name="_Toc511215218"/>
      <w:bookmarkStart w:id="28" w:name="_Toc19090679"/>
      <w:bookmarkStart w:id="29" w:name="_Toc74643856"/>
      <w:bookmarkStart w:id="30" w:name="_Toc42852411"/>
      <w:bookmarkStart w:id="31" w:name="_Toc74643857"/>
      <w:bookmarkEnd w:id="27"/>
      <w:bookmarkEnd w:id="28"/>
      <w:r w:rsidRPr="009110F7">
        <w:t>.</w:t>
      </w:r>
      <w:r>
        <w:t> </w:t>
      </w:r>
      <w:r w:rsidRPr="009110F7">
        <w:t>Vnější vztahy</w:t>
      </w:r>
      <w:bookmarkEnd w:id="18"/>
      <w:bookmarkEnd w:id="26"/>
    </w:p>
    <w:tbl>
      <w:tblPr>
        <w:tblW w:w="9639" w:type="dxa"/>
        <w:tblInd w:w="-15" w:type="dxa"/>
        <w:tblCellMar>
          <w:left w:w="0" w:type="dxa"/>
          <w:right w:w="0" w:type="dxa"/>
        </w:tblCellMar>
        <w:tblLook w:val="00A0" w:firstRow="1" w:lastRow="0" w:firstColumn="1" w:lastColumn="0" w:noHBand="0" w:noVBand="0"/>
      </w:tblPr>
      <w:tblGrid>
        <w:gridCol w:w="1760"/>
        <w:gridCol w:w="223"/>
        <w:gridCol w:w="7656"/>
      </w:tblGrid>
      <w:tr w:rsidR="00A02E8B" w:rsidRPr="009110F7" w14:paraId="165398AE" w14:textId="77777777" w:rsidTr="008E039E">
        <w:trPr>
          <w:trHeight w:val="145"/>
        </w:trPr>
        <w:tc>
          <w:tcPr>
            <w:tcW w:w="1760" w:type="dxa"/>
            <w:shd w:val="clear" w:color="auto" w:fill="auto"/>
            <w:tcMar>
              <w:left w:w="0" w:type="dxa"/>
            </w:tcMar>
          </w:tcPr>
          <w:p w14:paraId="59BB3315" w14:textId="77777777" w:rsidR="00A02E8B" w:rsidRDefault="00A02E8B" w:rsidP="008E039E">
            <w:pPr>
              <w:pStyle w:val="Marginlie"/>
            </w:pPr>
            <w:r>
              <w:t>K výraznému nárůstu vývozu v roce 2021 přispěla zejména první polovina roku a nízká srovnávací základna.</w:t>
            </w:r>
          </w:p>
        </w:tc>
        <w:tc>
          <w:tcPr>
            <w:tcW w:w="223" w:type="dxa"/>
            <w:shd w:val="clear" w:color="auto" w:fill="auto"/>
            <w:tcMar>
              <w:left w:w="0" w:type="dxa"/>
            </w:tcMar>
          </w:tcPr>
          <w:p w14:paraId="7DA3815F" w14:textId="77777777" w:rsidR="00A02E8B" w:rsidRDefault="00A02E8B" w:rsidP="008E039E">
            <w:pPr>
              <w:pStyle w:val="Textpoznpodarou"/>
              <w:jc w:val="both"/>
              <w:rPr>
                <w:spacing w:val="-4"/>
              </w:rPr>
            </w:pPr>
          </w:p>
        </w:tc>
        <w:tc>
          <w:tcPr>
            <w:tcW w:w="7656" w:type="dxa"/>
            <w:shd w:val="clear" w:color="auto" w:fill="auto"/>
            <w:tcMar>
              <w:left w:w="0" w:type="dxa"/>
            </w:tcMar>
          </w:tcPr>
          <w:p w14:paraId="04A70410" w14:textId="77777777" w:rsidR="00A02E8B" w:rsidRPr="00AF6F98" w:rsidRDefault="00A02E8B" w:rsidP="008E039E">
            <w:pPr>
              <w:spacing w:after="180"/>
              <w:rPr>
                <w:spacing w:val="-4"/>
              </w:rPr>
            </w:pPr>
            <w:r>
              <w:rPr>
                <w:spacing w:val="-4"/>
              </w:rPr>
              <w:t>V roce 2021 dosáhl vývoz zboží hodnoty 3 936,4 mld. korun a meziročně tak byl vyšší o 453,3 mld. (13,0 %). Tento mimořádně vysoký přírůstek (nejvyšší od roku 2014) byl ovlivněn i srovnáním s rokem 2020 (pokles vývozu o 5,7 %), kdy byl zahraniční obchod silně ovlivněn přerušením výroby ve velkých průmyslových podnicích v ČR i Evropě, zejména v automobilkách. K silnému přírůstku nejvíce přispěl vývoj ve 2. čtvrtletí, na kterém se projevila nízká srovnávací základna stejného období roku 2020 (meziročně byl vývoz vyšší o 40,8 %). Export zboží ale meziročně rostl ve všech čtvrtletích. V samotném 4. čtvrtletí dosáhla hodnota vývozu 1 030,0 mld. korun. To představuje meziroční nárůst o 27,5 mld. korun (2,7 %). Poměrně mírná dynamika byla kromě problémů s dodávkami komponent v průmyslu ovlivněna i srovnáním s velmi silným 4. čtvrtletím 2020, kdy vrcholila snaha vývozců dohnat ztráty z jara stejného roku.</w:t>
            </w:r>
          </w:p>
        </w:tc>
      </w:tr>
      <w:tr w:rsidR="00A02E8B" w:rsidRPr="009110F7" w14:paraId="26234E33" w14:textId="77777777" w:rsidTr="008E039E">
        <w:trPr>
          <w:trHeight w:val="145"/>
        </w:trPr>
        <w:tc>
          <w:tcPr>
            <w:tcW w:w="1760" w:type="dxa"/>
            <w:shd w:val="clear" w:color="auto" w:fill="auto"/>
            <w:tcMar>
              <w:left w:w="0" w:type="dxa"/>
            </w:tcMar>
          </w:tcPr>
          <w:p w14:paraId="20150DE6" w14:textId="77777777" w:rsidR="00A02E8B" w:rsidRDefault="00A02E8B" w:rsidP="008E039E">
            <w:pPr>
              <w:pStyle w:val="Marginlie"/>
            </w:pPr>
            <w:r>
              <w:t xml:space="preserve">Loni silněji rostl export </w:t>
            </w:r>
            <w:r>
              <w:br/>
              <w:t>do Evropské unie než mimo ni.</w:t>
            </w:r>
          </w:p>
        </w:tc>
        <w:tc>
          <w:tcPr>
            <w:tcW w:w="223" w:type="dxa"/>
            <w:shd w:val="clear" w:color="auto" w:fill="auto"/>
            <w:tcMar>
              <w:left w:w="0" w:type="dxa"/>
            </w:tcMar>
          </w:tcPr>
          <w:p w14:paraId="62C2FD5B" w14:textId="77777777" w:rsidR="00A02E8B" w:rsidRDefault="00A02E8B" w:rsidP="008E039E">
            <w:pPr>
              <w:pStyle w:val="Textpoznpodarou"/>
              <w:jc w:val="both"/>
              <w:rPr>
                <w:spacing w:val="-4"/>
              </w:rPr>
            </w:pPr>
          </w:p>
        </w:tc>
        <w:tc>
          <w:tcPr>
            <w:tcW w:w="7656" w:type="dxa"/>
            <w:shd w:val="clear" w:color="auto" w:fill="auto"/>
            <w:tcMar>
              <w:left w:w="0" w:type="dxa"/>
            </w:tcMar>
          </w:tcPr>
          <w:p w14:paraId="6D7E6CDD" w14:textId="77777777" w:rsidR="00A02E8B" w:rsidRPr="00AF6F98" w:rsidRDefault="00A02E8B" w:rsidP="008E039E">
            <w:pPr>
              <w:spacing w:after="180"/>
              <w:rPr>
                <w:spacing w:val="-4"/>
              </w:rPr>
            </w:pPr>
            <w:r>
              <w:rPr>
                <w:spacing w:val="-4"/>
              </w:rPr>
              <w:t xml:space="preserve">Z teritoriálního pohledu loni k nárůstu exportu přispíval z většiny vývoz do Evropské unie, který byl meziročně vyšší o 398,4 mld. korun (14,4 %). Export mimo EU byl vyšší o 54,3 mld. korun (7,7 %). Meziroční dynamika vývozu do EU byla ve všech čtvrtletích roku 2021 vyšší než v případě exportu mimo EU. Rostl vývoz do většiny jednotlivých zemí, což bylo dáno i nízkou srovnávací základnou. Nejvíce v roce 2021 vzrostl export do Německa (+125,9 mld. korun, 11,5 %), na Slovensko (+57,5 mld., 17,7 %) a do Polska (+51,4 mld., 22,5 %). Výrazné přírůstky ale zaznamenal i vývoz do Rakouska (+36,4 mld. korun, 25,6 %), Itálie (+23,5 mld., 18,7 %) a Francie (+18,3 mld., 10,9 %). Jen u několika zemí byl zaznamenán pokles vývozu. Nejvýrazněji loni klesl export do Ruska (–4,6 mld. korun, </w:t>
            </w:r>
            <w:r>
              <w:rPr>
                <w:spacing w:val="-4"/>
              </w:rPr>
              <w:br/>
              <w:t>–5,5 %), Kazachstánu (–3,6 mld., –46,8 %), Indonésie (–2,2 mld., –52,5 %) a do Turecka (–2,1 mld., –4,9 %).</w:t>
            </w:r>
          </w:p>
        </w:tc>
      </w:tr>
      <w:tr w:rsidR="00A02E8B" w:rsidRPr="009110F7" w14:paraId="06FBD171" w14:textId="77777777" w:rsidTr="008E039E">
        <w:trPr>
          <w:trHeight w:val="145"/>
        </w:trPr>
        <w:tc>
          <w:tcPr>
            <w:tcW w:w="1760" w:type="dxa"/>
            <w:shd w:val="clear" w:color="auto" w:fill="auto"/>
            <w:tcMar>
              <w:left w:w="0" w:type="dxa"/>
            </w:tcMar>
          </w:tcPr>
          <w:p w14:paraId="337BD45E" w14:textId="77777777" w:rsidR="00A02E8B" w:rsidRDefault="00A02E8B" w:rsidP="008E039E">
            <w:pPr>
              <w:pStyle w:val="Marginlie"/>
            </w:pPr>
            <w:r>
              <w:t>Ve 4. čtvrtletí export mimo EU meziročně klesal.</w:t>
            </w:r>
          </w:p>
        </w:tc>
        <w:tc>
          <w:tcPr>
            <w:tcW w:w="223" w:type="dxa"/>
            <w:shd w:val="clear" w:color="auto" w:fill="auto"/>
            <w:tcMar>
              <w:left w:w="0" w:type="dxa"/>
            </w:tcMar>
          </w:tcPr>
          <w:p w14:paraId="308EEBD2" w14:textId="77777777" w:rsidR="00A02E8B" w:rsidRDefault="00A02E8B" w:rsidP="008E039E">
            <w:pPr>
              <w:pStyle w:val="Textpoznpodarou"/>
              <w:jc w:val="both"/>
              <w:rPr>
                <w:spacing w:val="-4"/>
              </w:rPr>
            </w:pPr>
          </w:p>
        </w:tc>
        <w:tc>
          <w:tcPr>
            <w:tcW w:w="7656" w:type="dxa"/>
            <w:shd w:val="clear" w:color="auto" w:fill="auto"/>
            <w:tcMar>
              <w:left w:w="0" w:type="dxa"/>
            </w:tcMar>
          </w:tcPr>
          <w:p w14:paraId="75F9B0AD" w14:textId="77777777" w:rsidR="00A02E8B" w:rsidRDefault="00A02E8B" w:rsidP="008E039E">
            <w:pPr>
              <w:spacing w:after="180"/>
              <w:rPr>
                <w:spacing w:val="-4"/>
              </w:rPr>
            </w:pPr>
            <w:r>
              <w:rPr>
                <w:spacing w:val="-4"/>
              </w:rPr>
              <w:t>V samotném 4. čtvrtletí meziročně rostl vývoz do EU (+30,0 mld. korun, 3,7 %), zatímco export mimo EU podruhé v řadě klesl (–2,8 mld., –1,4 %). Nejvíce se zvýšil vývoz na Slovensko (+18,7 mld. korun, 20,0 %), do Rakouska (+8,3 mld., 21,5 %) a Polska (+7,7 mld., 11,7 %). Poměrně slabý byl meziroční přírůstek vývozu do Německa (+4,0 mld. korun, 1,3 %). Růst exportu k našim nejbližším sousedům (hlavně do Německa a na Slovensko) byl výrazně podpořen prudkým zvýšením cen elektřiny. Ve 4. čtvrtletí nejvíce meziročně klesl vývoz do Francie (–7,2 mld. korun, –13,7 %), Ruska (–6,1 mld., –25,9 %) a Španělska (–4,3 mld., –15,4 %).</w:t>
            </w:r>
          </w:p>
        </w:tc>
      </w:tr>
      <w:tr w:rsidR="00A02E8B" w:rsidRPr="009110F7" w14:paraId="06A19B1F" w14:textId="77777777" w:rsidTr="008E039E">
        <w:trPr>
          <w:trHeight w:val="170"/>
        </w:trPr>
        <w:tc>
          <w:tcPr>
            <w:tcW w:w="1760" w:type="dxa"/>
            <w:shd w:val="clear" w:color="auto" w:fill="auto"/>
            <w:tcMar>
              <w:left w:w="0" w:type="dxa"/>
            </w:tcMar>
          </w:tcPr>
          <w:p w14:paraId="059E8172" w14:textId="77777777" w:rsidR="00A02E8B" w:rsidRDefault="00A02E8B" w:rsidP="008E039E">
            <w:pPr>
              <w:pStyle w:val="Marginlie"/>
            </w:pPr>
            <w:r>
              <w:t>Vývoz naprosté většiny druhů zboží loni rostl.</w:t>
            </w:r>
          </w:p>
        </w:tc>
        <w:tc>
          <w:tcPr>
            <w:tcW w:w="223" w:type="dxa"/>
            <w:shd w:val="clear" w:color="auto" w:fill="auto"/>
            <w:tcMar>
              <w:left w:w="0" w:type="dxa"/>
            </w:tcMar>
          </w:tcPr>
          <w:p w14:paraId="2CD89808" w14:textId="77777777" w:rsidR="00A02E8B" w:rsidRDefault="00A02E8B" w:rsidP="008E039E">
            <w:pPr>
              <w:pStyle w:val="Textpoznpodarou"/>
              <w:jc w:val="both"/>
              <w:rPr>
                <w:spacing w:val="-4"/>
              </w:rPr>
            </w:pPr>
          </w:p>
        </w:tc>
        <w:tc>
          <w:tcPr>
            <w:tcW w:w="7656" w:type="dxa"/>
            <w:shd w:val="clear" w:color="auto" w:fill="auto"/>
            <w:tcMar>
              <w:left w:w="0" w:type="dxa"/>
            </w:tcMar>
          </w:tcPr>
          <w:p w14:paraId="0C4D256E" w14:textId="77777777" w:rsidR="00A02E8B" w:rsidRPr="00AF6F98" w:rsidRDefault="00A02E8B" w:rsidP="008E039E">
            <w:pPr>
              <w:spacing w:after="180"/>
              <w:rPr>
                <w:spacing w:val="-4"/>
              </w:rPr>
            </w:pPr>
            <w:r>
              <w:rPr>
                <w:spacing w:val="-4"/>
              </w:rPr>
              <w:t>K celkovému navýšení exportu zboží v roce 2021 nejvíce přispívala elektrická zařízení (+51,1 mld. korun, 17,0 %), následovaná chemickými látkami a přípravky (+48,4 mld., 29,5 %), motorovými vozidly (+47,4 mld., 5,2 %) a základními kovy (+46,7 mld., 37,3 %). U chemikálií a kovů k růstu silně přispělo zvýšení cen. To bylo i důvodem rekordního přírůstku vývozu elektřiny, plynu, páry a klimatizovaného vzduchu (+39,7 mld. korun, 191,6 %). Po propadu v roce 2020 se zotavil a výrazně rostl také export strojů a zařízení (+39,3 mld. korun, 10,3 %), kovodělných výrobků (+31,6 mld., 14,6 %) a pryžových a plastových výrobků (+24,3 mld., 13,3 %). Mimořádně silné navýšení vývozu bylo loni zaznamenáno u produktů souvisejících s odpadem (+18,5 mld. korun, 66,2 %)</w:t>
            </w:r>
            <w:r>
              <w:rPr>
                <w:rStyle w:val="Znakapoznpodarou"/>
                <w:spacing w:val="-4"/>
              </w:rPr>
              <w:footnoteReference w:id="47"/>
            </w:r>
            <w:r>
              <w:rPr>
                <w:spacing w:val="-4"/>
              </w:rPr>
              <w:t>, u koksu a rafinovaných ropných výrobků (+17,3 mld., 67,7 %) a dřeva a dřevěných výrobků (+15,8 mld., 38,3 %). Solidně se zvýšil i export potravinářských výrobků (+9,7 mld., 8,1 %), počítačů, elektronických a optických přístrojů (+8,7 mld. korun, 2,3 %), ostatních nekovových minerálních výrobků (+8,6 mld., 12,2 %), ostatních výrobků zpracovatelského průmyslu (+7,8 mld., 9,2 %), oděvů (+7,2 mld., 21,1 %) nebo papíru a výrobků z něj (+6,5 mld., 10,4 %). Meziročně nižší byl loni jen vývoz u některých relativně menších položek, nejvíce klesl export ropy a zemního plynu (–2,9 mld. korun, –85,3 %) a filmů, videozáznamů a zvukových nahrávek (–1,5 mld., –14,4 %).</w:t>
            </w:r>
          </w:p>
        </w:tc>
      </w:tr>
      <w:tr w:rsidR="00A02E8B" w:rsidRPr="009110F7" w14:paraId="0139AA71" w14:textId="77777777" w:rsidTr="008E039E">
        <w:trPr>
          <w:trHeight w:val="170"/>
        </w:trPr>
        <w:tc>
          <w:tcPr>
            <w:tcW w:w="1760" w:type="dxa"/>
            <w:shd w:val="clear" w:color="auto" w:fill="auto"/>
            <w:tcMar>
              <w:left w:w="0" w:type="dxa"/>
            </w:tcMar>
          </w:tcPr>
          <w:p w14:paraId="00C8A38C" w14:textId="77777777" w:rsidR="00A02E8B" w:rsidRDefault="00A02E8B" w:rsidP="008E039E">
            <w:pPr>
              <w:pStyle w:val="Marginlie"/>
            </w:pPr>
            <w:r>
              <w:lastRenderedPageBreak/>
              <w:t>Ve 4. čtvrtletí se hluboce propadal export motorových vozidel.</w:t>
            </w:r>
          </w:p>
        </w:tc>
        <w:tc>
          <w:tcPr>
            <w:tcW w:w="223" w:type="dxa"/>
            <w:shd w:val="clear" w:color="auto" w:fill="auto"/>
            <w:tcMar>
              <w:left w:w="0" w:type="dxa"/>
            </w:tcMar>
          </w:tcPr>
          <w:p w14:paraId="2C36D693" w14:textId="77777777" w:rsidR="00A02E8B" w:rsidRDefault="00A02E8B" w:rsidP="008E039E">
            <w:pPr>
              <w:pStyle w:val="Textpoznpodarou"/>
              <w:jc w:val="both"/>
              <w:rPr>
                <w:spacing w:val="-4"/>
              </w:rPr>
            </w:pPr>
          </w:p>
        </w:tc>
        <w:tc>
          <w:tcPr>
            <w:tcW w:w="7656" w:type="dxa"/>
            <w:shd w:val="clear" w:color="auto" w:fill="auto"/>
            <w:tcMar>
              <w:left w:w="0" w:type="dxa"/>
            </w:tcMar>
          </w:tcPr>
          <w:p w14:paraId="4ED29F64" w14:textId="77777777" w:rsidR="00A02E8B" w:rsidRDefault="00A02E8B" w:rsidP="008E039E">
            <w:pPr>
              <w:spacing w:after="180"/>
              <w:rPr>
                <w:spacing w:val="-4"/>
              </w:rPr>
            </w:pPr>
            <w:r>
              <w:rPr>
                <w:spacing w:val="-4"/>
              </w:rPr>
              <w:t>Velké zpomalení dynamiky exportu, ke kterému došlo ve druhé polovině roku 2021, lze z většiny spojit s problémy ve výrobě motorových vozidel. V samotném 4. čtvrtletí se export motorových vozidel meziročně snížil o 50,0 mld. korun (–17,4 %). Výrazný pokles vykázali pak jen vývozci počítačů, elektronických a optických přístrojů (–13,7 mld. korun, –11,8 %). K výslednému celkovému meziročnímu přírůstku hodnoty vývozu zboží ve 4. čtvrtletí klíčově přispěla elektřina, plyn, pára a klimatizovaný vzduch (+27,4 mld. korun, 450,9 %), ale i většina ostatních odvětví si alespoň mírný růst udržela. Meziročně vyšší byl v závěru roku export základních kovů (+13,1 mld. korun, 41,0 %), chemických látek a přípravků (+11,2 mld., 24,1 %), koksu a rafinovaných ropných výrobků (+6,1 mld., 89,7 %), kovodělných výrobků (+5,2 mld., 8,8 %), produktů souvisejících s odpadem (+3,8 mld., 47,4 %), elektrických zařízení (+3,2 mld., 3,7 %), potravinářských výrobků (+3,2 mld., 10,2 %) nebo dřeva a dřevěných výrobků (+3,1 mld., 28,3 %).</w:t>
            </w:r>
          </w:p>
        </w:tc>
      </w:tr>
      <w:tr w:rsidR="00A02E8B" w:rsidRPr="009110F7" w14:paraId="47BFA65E" w14:textId="77777777" w:rsidTr="008E039E">
        <w:trPr>
          <w:trHeight w:val="150"/>
        </w:trPr>
        <w:tc>
          <w:tcPr>
            <w:tcW w:w="1760" w:type="dxa"/>
            <w:vMerge w:val="restart"/>
            <w:shd w:val="clear" w:color="auto" w:fill="auto"/>
            <w:tcMar>
              <w:left w:w="0" w:type="dxa"/>
            </w:tcMar>
          </w:tcPr>
          <w:p w14:paraId="1C4C6A73" w14:textId="77777777" w:rsidR="00A02E8B" w:rsidRDefault="00A02E8B" w:rsidP="008E039E">
            <w:pPr>
              <w:pStyle w:val="Marginlie"/>
            </w:pPr>
          </w:p>
        </w:tc>
        <w:tc>
          <w:tcPr>
            <w:tcW w:w="223" w:type="dxa"/>
            <w:vMerge w:val="restart"/>
            <w:shd w:val="clear" w:color="auto" w:fill="auto"/>
            <w:tcMar>
              <w:left w:w="0" w:type="dxa"/>
            </w:tcMar>
          </w:tcPr>
          <w:p w14:paraId="3A9C7680" w14:textId="77777777" w:rsidR="00A02E8B" w:rsidRDefault="00A02E8B" w:rsidP="008E039E">
            <w:pPr>
              <w:pStyle w:val="Textpoznpodarou"/>
              <w:jc w:val="both"/>
              <w:rPr>
                <w:spacing w:val="-4"/>
              </w:rPr>
            </w:pPr>
          </w:p>
        </w:tc>
        <w:tc>
          <w:tcPr>
            <w:tcW w:w="7656" w:type="dxa"/>
            <w:shd w:val="clear" w:color="auto" w:fill="auto"/>
            <w:tcMar>
              <w:left w:w="0" w:type="dxa"/>
            </w:tcMar>
          </w:tcPr>
          <w:p w14:paraId="1F7ADEBC" w14:textId="482D6F67" w:rsidR="00A02E8B" w:rsidRPr="00804097" w:rsidRDefault="00A02E8B" w:rsidP="00A02E8B">
            <w:pPr>
              <w:spacing w:after="0"/>
              <w:rPr>
                <w:b/>
                <w:bCs/>
                <w:spacing w:val="-4"/>
              </w:rPr>
            </w:pPr>
            <w:r>
              <w:rPr>
                <w:b/>
                <w:bCs/>
                <w:spacing w:val="-4"/>
              </w:rPr>
              <w:t xml:space="preserve">Graf č. 9  </w:t>
            </w:r>
            <w:r w:rsidRPr="00804097">
              <w:rPr>
                <w:b/>
                <w:bCs/>
                <w:spacing w:val="-4"/>
              </w:rPr>
              <w:t>Vývoz a</w:t>
            </w:r>
            <w:r>
              <w:rPr>
                <w:b/>
                <w:bCs/>
                <w:spacing w:val="-4"/>
              </w:rPr>
              <w:t> </w:t>
            </w:r>
            <w:r w:rsidRPr="00804097">
              <w:rPr>
                <w:b/>
                <w:bCs/>
                <w:spacing w:val="-4"/>
              </w:rPr>
              <w:t xml:space="preserve">dovoz zboží </w:t>
            </w:r>
            <w:r w:rsidRPr="00804097">
              <w:rPr>
                <w:spacing w:val="-4"/>
              </w:rPr>
              <w:t>(meziročn</w:t>
            </w:r>
            <w:r>
              <w:rPr>
                <w:spacing w:val="-4"/>
              </w:rPr>
              <w:t>í změna,</w:t>
            </w:r>
            <w:r w:rsidRPr="00804097">
              <w:rPr>
                <w:spacing w:val="-4"/>
              </w:rPr>
              <w:t xml:space="preserve"> v</w:t>
            </w:r>
            <w:r>
              <w:rPr>
                <w:spacing w:val="-4"/>
              </w:rPr>
              <w:t> %</w:t>
            </w:r>
            <w:r w:rsidRPr="00804097">
              <w:rPr>
                <w:spacing w:val="-4"/>
              </w:rPr>
              <w:t>)</w:t>
            </w:r>
            <w:r w:rsidRPr="00804097">
              <w:rPr>
                <w:b/>
                <w:bCs/>
                <w:spacing w:val="-4"/>
              </w:rPr>
              <w:t xml:space="preserve"> a</w:t>
            </w:r>
            <w:r>
              <w:rPr>
                <w:b/>
                <w:bCs/>
                <w:spacing w:val="-4"/>
              </w:rPr>
              <w:t> </w:t>
            </w:r>
            <w:r w:rsidRPr="00804097">
              <w:rPr>
                <w:b/>
                <w:bCs/>
                <w:spacing w:val="-4"/>
              </w:rPr>
              <w:t xml:space="preserve">bilance zahraničního obchodu se zbožím </w:t>
            </w:r>
            <w:r w:rsidRPr="00804097">
              <w:rPr>
                <w:spacing w:val="-4"/>
              </w:rPr>
              <w:t>(v</w:t>
            </w:r>
            <w:r>
              <w:rPr>
                <w:spacing w:val="-4"/>
              </w:rPr>
              <w:t> mld</w:t>
            </w:r>
            <w:r w:rsidRPr="00804097">
              <w:rPr>
                <w:spacing w:val="-4"/>
              </w:rPr>
              <w:t>. korun, pravá osa)</w:t>
            </w:r>
          </w:p>
        </w:tc>
      </w:tr>
      <w:tr w:rsidR="00A02E8B" w:rsidRPr="009110F7" w14:paraId="319124DC" w14:textId="77777777" w:rsidTr="008E039E">
        <w:tblPrEx>
          <w:tblCellMar>
            <w:left w:w="70" w:type="dxa"/>
            <w:right w:w="70" w:type="dxa"/>
          </w:tblCellMar>
        </w:tblPrEx>
        <w:trPr>
          <w:trHeight w:val="150"/>
        </w:trPr>
        <w:tc>
          <w:tcPr>
            <w:tcW w:w="1760" w:type="dxa"/>
            <w:vMerge/>
            <w:shd w:val="clear" w:color="auto" w:fill="auto"/>
          </w:tcPr>
          <w:p w14:paraId="1E5E3659" w14:textId="77777777" w:rsidR="00A02E8B" w:rsidRDefault="00A02E8B" w:rsidP="008E039E">
            <w:pPr>
              <w:pStyle w:val="Marginlie"/>
            </w:pPr>
          </w:p>
        </w:tc>
        <w:tc>
          <w:tcPr>
            <w:tcW w:w="223" w:type="dxa"/>
            <w:vMerge/>
            <w:shd w:val="clear" w:color="auto" w:fill="auto"/>
          </w:tcPr>
          <w:p w14:paraId="1F57B1C7" w14:textId="77777777" w:rsidR="00A02E8B" w:rsidRDefault="00A02E8B" w:rsidP="008E039E">
            <w:pPr>
              <w:pStyle w:val="Textpoznpodarou"/>
              <w:jc w:val="both"/>
              <w:rPr>
                <w:spacing w:val="-4"/>
              </w:rPr>
            </w:pPr>
          </w:p>
        </w:tc>
        <w:tc>
          <w:tcPr>
            <w:tcW w:w="7656" w:type="dxa"/>
            <w:shd w:val="clear" w:color="auto" w:fill="auto"/>
          </w:tcPr>
          <w:p w14:paraId="024BD0AD" w14:textId="77777777" w:rsidR="00A02E8B" w:rsidRDefault="00A02E8B" w:rsidP="008E039E">
            <w:pPr>
              <w:spacing w:after="0"/>
              <w:rPr>
                <w:spacing w:val="-4"/>
              </w:rPr>
            </w:pPr>
            <w:r>
              <w:rPr>
                <w:noProof/>
              </w:rPr>
              <w:drawing>
                <wp:inline distT="0" distB="0" distL="0" distR="0" wp14:anchorId="00B83C1D" wp14:editId="36E6CA26">
                  <wp:extent cx="4770000" cy="3540625"/>
                  <wp:effectExtent l="0" t="0" r="0" b="3175"/>
                  <wp:docPr id="5" name="Graf 5">
                    <a:extLst xmlns:a="http://schemas.openxmlformats.org/drawingml/2006/main">
                      <a:ext uri="{FF2B5EF4-FFF2-40B4-BE49-F238E27FC236}">
                        <a16:creationId xmlns:a16="http://schemas.microsoft.com/office/drawing/2014/main" id="{8E34A376-5955-451A-B8E8-536A257FF3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A02E8B" w:rsidRPr="009110F7" w14:paraId="467E6C70" w14:textId="77777777" w:rsidTr="008E039E">
        <w:trPr>
          <w:trHeight w:val="150"/>
        </w:trPr>
        <w:tc>
          <w:tcPr>
            <w:tcW w:w="1760" w:type="dxa"/>
            <w:vMerge/>
            <w:shd w:val="clear" w:color="auto" w:fill="auto"/>
            <w:tcMar>
              <w:left w:w="0" w:type="dxa"/>
            </w:tcMar>
          </w:tcPr>
          <w:p w14:paraId="283FE59D" w14:textId="77777777" w:rsidR="00A02E8B" w:rsidRDefault="00A02E8B" w:rsidP="008E039E">
            <w:pPr>
              <w:pStyle w:val="Marginlie"/>
            </w:pPr>
          </w:p>
        </w:tc>
        <w:tc>
          <w:tcPr>
            <w:tcW w:w="223" w:type="dxa"/>
            <w:vMerge/>
            <w:shd w:val="clear" w:color="auto" w:fill="auto"/>
            <w:tcMar>
              <w:left w:w="0" w:type="dxa"/>
            </w:tcMar>
          </w:tcPr>
          <w:p w14:paraId="365892C6" w14:textId="77777777" w:rsidR="00A02E8B" w:rsidRDefault="00A02E8B" w:rsidP="008E039E">
            <w:pPr>
              <w:pStyle w:val="Textpoznpodarou"/>
              <w:jc w:val="both"/>
              <w:rPr>
                <w:spacing w:val="-4"/>
              </w:rPr>
            </w:pPr>
          </w:p>
        </w:tc>
        <w:tc>
          <w:tcPr>
            <w:tcW w:w="7656" w:type="dxa"/>
            <w:shd w:val="clear" w:color="auto" w:fill="auto"/>
            <w:tcMar>
              <w:left w:w="0" w:type="dxa"/>
            </w:tcMar>
          </w:tcPr>
          <w:p w14:paraId="7F038E7E" w14:textId="77777777" w:rsidR="00A02E8B" w:rsidRDefault="00A02E8B" w:rsidP="008E039E">
            <w:pPr>
              <w:spacing w:after="180"/>
              <w:rPr>
                <w:spacing w:val="-4"/>
              </w:rPr>
            </w:pPr>
            <w:r>
              <w:rPr>
                <w:sz w:val="14"/>
                <w:szCs w:val="14"/>
              </w:rPr>
              <w:t>Zdroj: ČSÚ</w:t>
            </w:r>
          </w:p>
        </w:tc>
      </w:tr>
      <w:tr w:rsidR="00A02E8B" w:rsidRPr="009110F7" w14:paraId="02A4992E" w14:textId="77777777" w:rsidTr="008E039E">
        <w:trPr>
          <w:trHeight w:val="145"/>
        </w:trPr>
        <w:tc>
          <w:tcPr>
            <w:tcW w:w="1760" w:type="dxa"/>
            <w:shd w:val="clear" w:color="auto" w:fill="auto"/>
            <w:tcMar>
              <w:left w:w="0" w:type="dxa"/>
            </w:tcMar>
          </w:tcPr>
          <w:p w14:paraId="7B12D77B" w14:textId="77777777" w:rsidR="00A02E8B" w:rsidRDefault="00A02E8B" w:rsidP="008E039E">
            <w:pPr>
              <w:pStyle w:val="Marginlie"/>
            </w:pPr>
            <w:r>
              <w:t>Dovoz loni v průběhu celého roku velmi silně rostl.</w:t>
            </w:r>
          </w:p>
        </w:tc>
        <w:tc>
          <w:tcPr>
            <w:tcW w:w="223" w:type="dxa"/>
            <w:shd w:val="clear" w:color="auto" w:fill="auto"/>
            <w:tcMar>
              <w:left w:w="0" w:type="dxa"/>
            </w:tcMar>
          </w:tcPr>
          <w:p w14:paraId="1CE17EE0" w14:textId="77777777" w:rsidR="00A02E8B" w:rsidRDefault="00A02E8B" w:rsidP="008E039E">
            <w:pPr>
              <w:pStyle w:val="Textpoznpodarou"/>
              <w:jc w:val="both"/>
              <w:rPr>
                <w:spacing w:val="-4"/>
              </w:rPr>
            </w:pPr>
          </w:p>
        </w:tc>
        <w:tc>
          <w:tcPr>
            <w:tcW w:w="7656" w:type="dxa"/>
            <w:shd w:val="clear" w:color="auto" w:fill="auto"/>
            <w:tcMar>
              <w:left w:w="0" w:type="dxa"/>
            </w:tcMar>
          </w:tcPr>
          <w:p w14:paraId="11CD0E27" w14:textId="77777777" w:rsidR="00A02E8B" w:rsidRPr="00AF6F98" w:rsidRDefault="00A02E8B" w:rsidP="008E039E">
            <w:pPr>
              <w:spacing w:after="180"/>
              <w:rPr>
                <w:spacing w:val="-4"/>
              </w:rPr>
            </w:pPr>
            <w:r>
              <w:rPr>
                <w:spacing w:val="-4"/>
              </w:rPr>
              <w:t xml:space="preserve">Dovoz zboží v roce 2021 dosáhl hodnoty 3 940,3 mld. korun a meziročně se zvýšil o 637,1 mld. (19,3 %). K prudkému nárůstu importu přispělo srovnání se slabým rokem 2020, ale velký vliv měl i vývoj cen mnoha surovin. Navýšení cen ropy a zemního plynu, základních kovů i dalších materiálů se promítalo do velmi silné dynamiky importu po celý rok. V samotném 4. čtvrtletí činila hodnota dovozu 1 057,4 mld. korun a meziročně byla vyšší o 133,9 mld. (14,5 %). Na vývoji dovozu z teritoriálního pohledu se odrážel výrazný růst cen surovin, které Česko dováží převážně ze zemí mimo EU. Import z Evropské unie se tak loni celkově zvýšil o 366,4 mld. korun (17,3 %), zatímco dovoz z mimounijních zemí byl vyšší o 265,2 mld. (22,7 %). Nejvíce loni vzrostl dovoz z Německa (+117,1 mld. korun, 14,3 %), Ruska (+69,8 mld., 103,0 %), Polska (+60,8 mld., 21,2 %) a Číny (+60,2 mld., 14,6 %). Silný byl také přírůstek dovozu ze Slovenska (+41,5 mld., 25,8 %), z Itálie (+29,0 mld., 19,5 %), Japonska (+23,4 mld., 38,6 %) a Rakouska (+23,1 mld., 23,7 %).  V samotném 4. čtvrtletí meziroční růst dovozu ze zemí mimo EU (+75,7 mld. korun, 23,0 %) výrazně převyšoval přírůstek importu z Unie (+56,9 mld., 9,7 %). Dál sílila dynamika dovozu z Ruska (+26,4 mld. korun, 136,6 %) i Číny (+22,2 mld., 18,5 %). Výrazný byl přírůstek u Polska (+12,9 mld. korun, 16,2 %), Německa (+10,9 mld., 4,8 %), Slovenska (+9,6 mld., </w:t>
            </w:r>
            <w:r>
              <w:rPr>
                <w:spacing w:val="-4"/>
              </w:rPr>
              <w:lastRenderedPageBreak/>
              <w:t xml:space="preserve">20,9 %), Itálie (+6,3 mld., 15,6 %) nebo Rakouska (+6,2 mld., 23,6 %). Nejvýrazněji ve 4. čtvrtletí meziročně klesal dovoz z Jižní Koreje (–2,6 mld. korun, –11,2 %) a Maďarska </w:t>
            </w:r>
            <w:r>
              <w:rPr>
                <w:spacing w:val="-4"/>
              </w:rPr>
              <w:br/>
              <w:t>(–2,1 mld., –7,4 %).</w:t>
            </w:r>
          </w:p>
        </w:tc>
      </w:tr>
      <w:tr w:rsidR="00A02E8B" w:rsidRPr="009110F7" w14:paraId="1B5BF0E1" w14:textId="77777777" w:rsidTr="008E039E">
        <w:trPr>
          <w:trHeight w:val="145"/>
        </w:trPr>
        <w:tc>
          <w:tcPr>
            <w:tcW w:w="1760" w:type="dxa"/>
            <w:shd w:val="clear" w:color="auto" w:fill="auto"/>
            <w:tcMar>
              <w:left w:w="0" w:type="dxa"/>
            </w:tcMar>
          </w:tcPr>
          <w:p w14:paraId="7F953739" w14:textId="77777777" w:rsidR="00A02E8B" w:rsidRDefault="00A02E8B" w:rsidP="008E039E">
            <w:pPr>
              <w:pStyle w:val="Marginlie"/>
            </w:pPr>
            <w:r>
              <w:lastRenderedPageBreak/>
              <w:t>Růst dovozu loni ovlivňovalo hlavně navýšení cen některých surovin.</w:t>
            </w:r>
          </w:p>
        </w:tc>
        <w:tc>
          <w:tcPr>
            <w:tcW w:w="223" w:type="dxa"/>
            <w:shd w:val="clear" w:color="auto" w:fill="auto"/>
            <w:tcMar>
              <w:left w:w="0" w:type="dxa"/>
            </w:tcMar>
          </w:tcPr>
          <w:p w14:paraId="1A748AC9" w14:textId="77777777" w:rsidR="00A02E8B" w:rsidRDefault="00A02E8B" w:rsidP="008E039E">
            <w:pPr>
              <w:pStyle w:val="Textpoznpodarou"/>
              <w:jc w:val="both"/>
              <w:rPr>
                <w:spacing w:val="-4"/>
              </w:rPr>
            </w:pPr>
          </w:p>
        </w:tc>
        <w:tc>
          <w:tcPr>
            <w:tcW w:w="7656" w:type="dxa"/>
            <w:shd w:val="clear" w:color="auto" w:fill="auto"/>
            <w:tcMar>
              <w:left w:w="0" w:type="dxa"/>
            </w:tcMar>
          </w:tcPr>
          <w:p w14:paraId="03FCFBFE" w14:textId="77777777" w:rsidR="00A02E8B" w:rsidRDefault="00A02E8B" w:rsidP="008E039E">
            <w:pPr>
              <w:spacing w:after="180"/>
              <w:rPr>
                <w:spacing w:val="-4"/>
              </w:rPr>
            </w:pPr>
            <w:r>
              <w:rPr>
                <w:spacing w:val="-4"/>
              </w:rPr>
              <w:t>V loňském roce byl zaznamenán prudký růst dovozu u řady artiklů. Nejvýraznější přírůstek vykázal import základních kovů (+103,1 mld. korun, 45,6 %), ropy a zemního plynu (+80,5 mld., 109,0 %) a chemických látek a přípravků (+73,9 mld., 27,3 %). Velmi silné bylo také navýšení dovozu elektrických zařízení (+70,8 mld. korun, 25,1 %), strojů a zařízení (+44,0 mld., 13,8 %) a motorových vozidel (41,8 mld., 8,6 %). Výrazný byl dále růst importu pryžových a plastových výrobků (+26,1 mld. korun, 14,8 %), koksu a rafinovaných ropných výrobků (+23,5 mld., 51,3 %), počítačů, elektronických a optických přístrojů (+22,4 mld., 5,3 %), kovodělných výrobků (+20,1 mld., 12,5 %), základních farmaceutických výrobků (+17,6 mld., 15,5 %), ostatních výrobků zpracovatelského průmyslu (+15,3 mld., 20,7 %), elektřiny, plynu, páry a klimatizovaného vzduchu (+12,7 mld., 107,8 %), potravinářských výrobků (+10,6 mld., 6,6 %) nebo rud (+10,0 mld., 70,1 %). K výraznějšímu poklesu došlo jen u dovozu textilií (–5,3 mld. korun, –9,1 %) a filmů, videozáznamů a zvukových nahrávek (–1,0 mld., –18,6 %).</w:t>
            </w:r>
          </w:p>
        </w:tc>
      </w:tr>
      <w:tr w:rsidR="00A02E8B" w:rsidRPr="009110F7" w14:paraId="075BB53A" w14:textId="77777777" w:rsidTr="008E039E">
        <w:trPr>
          <w:trHeight w:val="145"/>
        </w:trPr>
        <w:tc>
          <w:tcPr>
            <w:tcW w:w="1760" w:type="dxa"/>
            <w:shd w:val="clear" w:color="auto" w:fill="auto"/>
            <w:tcMar>
              <w:left w:w="0" w:type="dxa"/>
            </w:tcMar>
          </w:tcPr>
          <w:p w14:paraId="3134A4A8" w14:textId="77777777" w:rsidR="00A02E8B" w:rsidRDefault="00A02E8B" w:rsidP="008E039E">
            <w:pPr>
              <w:pStyle w:val="Marginlie"/>
            </w:pPr>
            <w:r>
              <w:t>Ve 4. čtvrtletí silně meziročně klesal jen dovoz motorových vozidel.</w:t>
            </w:r>
          </w:p>
        </w:tc>
        <w:tc>
          <w:tcPr>
            <w:tcW w:w="223" w:type="dxa"/>
            <w:shd w:val="clear" w:color="auto" w:fill="auto"/>
            <w:tcMar>
              <w:left w:w="0" w:type="dxa"/>
            </w:tcMar>
          </w:tcPr>
          <w:p w14:paraId="4B9D8E5B" w14:textId="77777777" w:rsidR="00A02E8B" w:rsidRDefault="00A02E8B" w:rsidP="008E039E">
            <w:pPr>
              <w:pStyle w:val="Textpoznpodarou"/>
              <w:jc w:val="both"/>
              <w:rPr>
                <w:spacing w:val="-4"/>
              </w:rPr>
            </w:pPr>
          </w:p>
        </w:tc>
        <w:tc>
          <w:tcPr>
            <w:tcW w:w="7656" w:type="dxa"/>
            <w:shd w:val="clear" w:color="auto" w:fill="auto"/>
            <w:tcMar>
              <w:left w:w="0" w:type="dxa"/>
            </w:tcMar>
          </w:tcPr>
          <w:p w14:paraId="766B2447" w14:textId="77777777" w:rsidR="00A02E8B" w:rsidRDefault="00A02E8B" w:rsidP="008E039E">
            <w:pPr>
              <w:spacing w:after="180"/>
              <w:rPr>
                <w:spacing w:val="-4"/>
              </w:rPr>
            </w:pPr>
            <w:r>
              <w:rPr>
                <w:spacing w:val="-4"/>
              </w:rPr>
              <w:t xml:space="preserve">V samotném 4. čtvrtletí 2021 silně meziročně klesl pouze dovoz motorových vozidel </w:t>
            </w:r>
            <w:r>
              <w:rPr>
                <w:spacing w:val="-4"/>
              </w:rPr>
              <w:br/>
              <w:t>(–25,0 mld. korun, –16,4 %), dovoz ostatního zboží vesměs rostl. Nejvíce se opět zvyšovala hodnota dovozu surovin – ropy a zemního plynu (+35,6 mld. korun, 184,6 %) a základních kovů (+28,4 mld., 46,7 %). S navýšením cen lze spojit i nárůst dovozu chemických látek a přípravků (+15,9 mld., 21,3 %), koksu a rafinovaných ropných výrobků (+10,3 mld., 98,0 %) a elektřiny, plynu, páry a klimatizovaného vzduchu (+6,3 mld., 187,4 %). Vyšší byl také import strojů a zařízení (+7,2 mld., 8,4 %), elektrických zařízení (+6,9 mld. korun, 8,3 %), ostatních výrobků zpracovatelského průmyslu (+5,6 mld., 26,8 %) nebo potravinářských výrobků (+5,7 mld., 13,7 %).</w:t>
            </w:r>
          </w:p>
        </w:tc>
      </w:tr>
      <w:tr w:rsidR="00A02E8B" w:rsidRPr="009110F7" w14:paraId="01F69EA3" w14:textId="77777777" w:rsidTr="008E039E">
        <w:trPr>
          <w:trHeight w:val="145"/>
        </w:trPr>
        <w:tc>
          <w:tcPr>
            <w:tcW w:w="1760" w:type="dxa"/>
            <w:shd w:val="clear" w:color="auto" w:fill="auto"/>
            <w:tcMar>
              <w:left w:w="0" w:type="dxa"/>
            </w:tcMar>
          </w:tcPr>
          <w:p w14:paraId="6444283E" w14:textId="77777777" w:rsidR="00A02E8B" w:rsidRDefault="00A02E8B" w:rsidP="008E039E">
            <w:pPr>
              <w:pStyle w:val="Marginlie"/>
            </w:pPr>
            <w:r>
              <w:t xml:space="preserve">Poprvé od roku 2010 skončila bilance zahraničního obchodu </w:t>
            </w:r>
            <w:r>
              <w:br/>
              <w:t>se zbožím v deficitu.</w:t>
            </w:r>
          </w:p>
        </w:tc>
        <w:tc>
          <w:tcPr>
            <w:tcW w:w="223" w:type="dxa"/>
            <w:shd w:val="clear" w:color="auto" w:fill="auto"/>
            <w:tcMar>
              <w:left w:w="0" w:type="dxa"/>
            </w:tcMar>
          </w:tcPr>
          <w:p w14:paraId="25C8B8E1" w14:textId="77777777" w:rsidR="00A02E8B" w:rsidRDefault="00A02E8B" w:rsidP="008E039E">
            <w:pPr>
              <w:pStyle w:val="Textpoznpodarou"/>
              <w:jc w:val="both"/>
              <w:rPr>
                <w:spacing w:val="-4"/>
              </w:rPr>
            </w:pPr>
          </w:p>
        </w:tc>
        <w:tc>
          <w:tcPr>
            <w:tcW w:w="7656" w:type="dxa"/>
            <w:shd w:val="clear" w:color="auto" w:fill="auto"/>
            <w:tcMar>
              <w:left w:w="0" w:type="dxa"/>
            </w:tcMar>
          </w:tcPr>
          <w:p w14:paraId="206947DD" w14:textId="550980C7" w:rsidR="00A02E8B" w:rsidRPr="00AF6F98" w:rsidRDefault="00A02E8B" w:rsidP="00937017">
            <w:pPr>
              <w:spacing w:after="180"/>
              <w:rPr>
                <w:spacing w:val="-4"/>
              </w:rPr>
            </w:pPr>
            <w:r>
              <w:rPr>
                <w:spacing w:val="-4"/>
              </w:rPr>
              <w:t xml:space="preserve">Bilance zahraničního obchodu se zbožím v roce 2021 spadla do deficitu 3,9 mld. korun. Jde o první schodek od roku 2010. Bilance se tak meziročně propadla o 183,8 mld. korun. Ke zhoršení přispěl zejména vývoj ve druhé polovině roku, kdy se plně projevily problémy s dodávkami komponent ve výrobě motorových vozidel, ke kterým se přidalo i zhoršení bilance v důsledku růstu cen surovin. Loňský propad bilance zahraničního obchodu se zbožím lze plně připsat na vrub obchodu se zeměmi mimo EU (prohloubení deficitu </w:t>
            </w:r>
            <w:r>
              <w:rPr>
                <w:spacing w:val="-4"/>
              </w:rPr>
              <w:br/>
              <w:t>o –210,9 mld. korun). Naopak přebytek obchodu se zeměmi EU se zlepšil o 32,0 mld. korun. Nejvíce loni ve směru zhoršení bilance působil obchod s Ruskem (–74,4 mld. korun), Čínou (–58,2 mld.), Japonskem (–21,9 mld.), Tureckem (–14,0 mld.)</w:t>
            </w:r>
            <w:r w:rsidR="00937017">
              <w:rPr>
                <w:spacing w:val="-4"/>
              </w:rPr>
              <w:t>, Ukrajinou (-13,5 mld.), Kazachstánem (-13,0 mld.)</w:t>
            </w:r>
            <w:r>
              <w:rPr>
                <w:spacing w:val="-4"/>
              </w:rPr>
              <w:t xml:space="preserve"> a Polskem (–9,3 mld.). Zhoršila se i bilance obchodu s Jižní Koreou (–7,5 mld. korun), Nizozemskem (–6,2 mld.), Itálií (–5,5 mld.), se Spojenými státy (–3,0 mld.), Rumunskem (–2,7 mld.) nebo Belgií </w:t>
            </w:r>
            <w:r>
              <w:rPr>
                <w:spacing w:val="-4"/>
              </w:rPr>
              <w:br/>
              <w:t>(–2,5</w:t>
            </w:r>
            <w:r>
              <w:t> mld</w:t>
            </w:r>
            <w:r>
              <w:rPr>
                <w:spacing w:val="-4"/>
              </w:rPr>
              <w:t>.). Naopak významně ve směru zlepšení bilance působil obchod se Slovenskem (+16,0 mld. korun), Rakouskem (+13,4 mld.) a Německem (+8,8 mld.) a zlepšila se i bilance se Švédskem (+4,8 mld.), Francií (+3,6 mld.), Španělskem (+3,0 mld.) nebo Velkou Británií (+2,4 mld.).</w:t>
            </w:r>
          </w:p>
        </w:tc>
      </w:tr>
      <w:tr w:rsidR="00A02E8B" w:rsidRPr="009110F7" w14:paraId="5EC71F5D" w14:textId="77777777" w:rsidTr="008E039E">
        <w:trPr>
          <w:trHeight w:val="145"/>
        </w:trPr>
        <w:tc>
          <w:tcPr>
            <w:tcW w:w="1760" w:type="dxa"/>
            <w:shd w:val="clear" w:color="auto" w:fill="auto"/>
            <w:tcMar>
              <w:left w:w="0" w:type="dxa"/>
            </w:tcMar>
          </w:tcPr>
          <w:p w14:paraId="6D309347" w14:textId="77777777" w:rsidR="00A02E8B" w:rsidRDefault="00A02E8B" w:rsidP="008E039E">
            <w:pPr>
              <w:pStyle w:val="Marginlie"/>
            </w:pPr>
            <w:r>
              <w:t xml:space="preserve">Deficit bilance ve 4. čtvrtletí byl nejhorší </w:t>
            </w:r>
            <w:r>
              <w:br/>
              <w:t>od roku 2008.</w:t>
            </w:r>
          </w:p>
        </w:tc>
        <w:tc>
          <w:tcPr>
            <w:tcW w:w="223" w:type="dxa"/>
            <w:shd w:val="clear" w:color="auto" w:fill="auto"/>
            <w:tcMar>
              <w:left w:w="0" w:type="dxa"/>
            </w:tcMar>
          </w:tcPr>
          <w:p w14:paraId="7B8EF03F" w14:textId="77777777" w:rsidR="00A02E8B" w:rsidRDefault="00A02E8B" w:rsidP="008E039E">
            <w:pPr>
              <w:pStyle w:val="Textpoznpodarou"/>
              <w:jc w:val="both"/>
              <w:rPr>
                <w:spacing w:val="-4"/>
              </w:rPr>
            </w:pPr>
          </w:p>
        </w:tc>
        <w:tc>
          <w:tcPr>
            <w:tcW w:w="7656" w:type="dxa"/>
            <w:shd w:val="clear" w:color="auto" w:fill="auto"/>
            <w:tcMar>
              <w:left w:w="0" w:type="dxa"/>
            </w:tcMar>
          </w:tcPr>
          <w:p w14:paraId="35A38F8F" w14:textId="77777777" w:rsidR="00A02E8B" w:rsidRDefault="00A02E8B" w:rsidP="008E039E">
            <w:pPr>
              <w:spacing w:after="180"/>
              <w:rPr>
                <w:spacing w:val="-4"/>
              </w:rPr>
            </w:pPr>
            <w:r>
              <w:rPr>
                <w:spacing w:val="-4"/>
              </w:rPr>
              <w:t>Ve 4. čtvrtletí schodek bilance činil 27,4 mld. korun. Šlo o nejhorší výsledek od roku 2008 a první deficit v tomto období od roku 2010</w:t>
            </w:r>
            <w:r>
              <w:rPr>
                <w:rStyle w:val="Znakapoznpodarou"/>
                <w:spacing w:val="-4"/>
              </w:rPr>
              <w:footnoteReference w:id="48"/>
            </w:r>
            <w:r>
              <w:rPr>
                <w:spacing w:val="-4"/>
              </w:rPr>
              <w:t>. Oproti 4. čtvrtletí 2020 se saldo zhoršilo o 106,4 mld. korun</w:t>
            </w:r>
            <w:r>
              <w:rPr>
                <w:rStyle w:val="Znakapoznpodarou"/>
                <w:spacing w:val="-4"/>
              </w:rPr>
              <w:footnoteReference w:id="49"/>
            </w:r>
            <w:r>
              <w:rPr>
                <w:spacing w:val="-4"/>
              </w:rPr>
              <w:t xml:space="preserve">. Ve směru deficitu působil obchod s většinou sledovaných zemí. Přebytek obchodu s EU se meziročně propadl o 26,9 mld. korun a deficit se zeměmi mimo EU se prohloubil o 78,5 mld. Nejvíce ve směru deficitu působil obchod s Ruskem </w:t>
            </w:r>
            <w:r>
              <w:rPr>
                <w:spacing w:val="-4"/>
              </w:rPr>
              <w:br/>
              <w:t xml:space="preserve">(–32,5 mld. korun) a Čínou (–21,8 mld.). Výrazně horší byla i bilance zahraničního obchodu s Francií (–10,2 mld. korun), Německem (–6,8 mld.), Polskem (–5,2 mld.), Itálií (–5,0 mld.), </w:t>
            </w:r>
            <w:r>
              <w:rPr>
                <w:spacing w:val="-4"/>
              </w:rPr>
              <w:lastRenderedPageBreak/>
              <w:t>Tureckem (–4,0 mld.) nebo Španělskem (–4,0 mld.). Naopak se zlepšilo saldo obchodu se Slovenskem (+9,2 mld. korun), Rakouskem (+2,1 mld.), Jižní Koreou (+1,7 mld.) nebo Maďarskem (+0,9 mld.).</w:t>
            </w:r>
          </w:p>
        </w:tc>
      </w:tr>
      <w:tr w:rsidR="00A02E8B" w:rsidRPr="009110F7" w14:paraId="5DEEAAB5" w14:textId="77777777" w:rsidTr="008E039E">
        <w:trPr>
          <w:trHeight w:val="145"/>
        </w:trPr>
        <w:tc>
          <w:tcPr>
            <w:tcW w:w="1760" w:type="dxa"/>
            <w:shd w:val="clear" w:color="auto" w:fill="auto"/>
            <w:tcMar>
              <w:left w:w="0" w:type="dxa"/>
            </w:tcMar>
          </w:tcPr>
          <w:p w14:paraId="180B1864" w14:textId="77777777" w:rsidR="00A02E8B" w:rsidRDefault="00A02E8B" w:rsidP="008E039E">
            <w:pPr>
              <w:pStyle w:val="Marginlie"/>
            </w:pPr>
            <w:r>
              <w:lastRenderedPageBreak/>
              <w:t>K propadu bilance loni nejvíce přispíval obchod s ropou a zemním plynem.</w:t>
            </w:r>
          </w:p>
        </w:tc>
        <w:tc>
          <w:tcPr>
            <w:tcW w:w="223" w:type="dxa"/>
            <w:shd w:val="clear" w:color="auto" w:fill="auto"/>
            <w:tcMar>
              <w:left w:w="0" w:type="dxa"/>
            </w:tcMar>
          </w:tcPr>
          <w:p w14:paraId="7CB3737D" w14:textId="77777777" w:rsidR="00A02E8B" w:rsidRDefault="00A02E8B" w:rsidP="008E039E">
            <w:pPr>
              <w:pStyle w:val="Textpoznpodarou"/>
              <w:jc w:val="both"/>
              <w:rPr>
                <w:spacing w:val="-4"/>
              </w:rPr>
            </w:pPr>
          </w:p>
        </w:tc>
        <w:tc>
          <w:tcPr>
            <w:tcW w:w="7656" w:type="dxa"/>
            <w:shd w:val="clear" w:color="auto" w:fill="auto"/>
            <w:tcMar>
              <w:left w:w="0" w:type="dxa"/>
            </w:tcMar>
          </w:tcPr>
          <w:p w14:paraId="0B628756" w14:textId="77777777" w:rsidR="00A02E8B" w:rsidRDefault="00A02E8B" w:rsidP="008E039E">
            <w:pPr>
              <w:spacing w:after="180"/>
              <w:rPr>
                <w:spacing w:val="-4"/>
              </w:rPr>
            </w:pPr>
            <w:r>
              <w:rPr>
                <w:spacing w:val="-4"/>
              </w:rPr>
              <w:t xml:space="preserve">Z pohledu zbožové struktury měl na loňském rekordním propadu bilance největší podíl obchod s ropou a zemním plynem (–83,4 mld. korun), základními kovy (–56,4 mld.) a chemickými látkami a přípravky (–25,5 mld.). Silně se loni zhoršila také bilance obchodu s elektrickými zařízeními (–19,7 mld. korun), základními farmaceutickými výrobky </w:t>
            </w:r>
            <w:r>
              <w:rPr>
                <w:spacing w:val="-4"/>
              </w:rPr>
              <w:br/>
              <w:t xml:space="preserve">(–13,8 mld.), počítači, elektronickými a optickými přístroji (–13,7 mld.) a rudami </w:t>
            </w:r>
            <w:r>
              <w:rPr>
                <w:spacing w:val="-4"/>
              </w:rPr>
              <w:br/>
              <w:t>(–10,0 mld.). Horší bylo také saldo obchodu s ostatními výrobky zpracovatelského průmyslu (–7,5 mld. korun), koksem a rafinovanými ropnými výrobky (–6,2 mld.), ostatními dopravními prostředky (–5,0 mld.) nebo stroji a zařízeními (–4,7 mld.). Ve směru zlepšení bilance naopak silně působil obchod s elektřinou, plynem, párou a klimatizovaným vzduchem (+27,0 mld. korun), produkty souvisejícími s odpadem (+14,0 mld.), kovodělnými výrobky (+11,5 mld.), dřevem a dřevěnými výrobky (+8,7 mld.), textiliemi (+7,0 mld.) a motorovými vozidly (+5,6 mld.).</w:t>
            </w:r>
          </w:p>
        </w:tc>
      </w:tr>
      <w:tr w:rsidR="00A02E8B" w:rsidRPr="009110F7" w14:paraId="419C5232" w14:textId="77777777" w:rsidTr="008E039E">
        <w:trPr>
          <w:trHeight w:val="145"/>
        </w:trPr>
        <w:tc>
          <w:tcPr>
            <w:tcW w:w="1760" w:type="dxa"/>
            <w:shd w:val="clear" w:color="auto" w:fill="auto"/>
            <w:tcMar>
              <w:left w:w="0" w:type="dxa"/>
            </w:tcMar>
          </w:tcPr>
          <w:p w14:paraId="2817D200" w14:textId="77777777" w:rsidR="00A02E8B" w:rsidRDefault="00A02E8B" w:rsidP="008E039E">
            <w:pPr>
              <w:pStyle w:val="Marginlie"/>
            </w:pPr>
            <w:r>
              <w:t>Ve 4. čtvrtletí se meziročně zhoršovalo saldo napříč většinou druhů zboží.</w:t>
            </w:r>
          </w:p>
        </w:tc>
        <w:tc>
          <w:tcPr>
            <w:tcW w:w="223" w:type="dxa"/>
            <w:shd w:val="clear" w:color="auto" w:fill="auto"/>
            <w:tcMar>
              <w:left w:w="0" w:type="dxa"/>
            </w:tcMar>
          </w:tcPr>
          <w:p w14:paraId="34E00139" w14:textId="77777777" w:rsidR="00A02E8B" w:rsidRDefault="00A02E8B" w:rsidP="008E039E">
            <w:pPr>
              <w:pStyle w:val="Textpoznpodarou"/>
              <w:jc w:val="both"/>
              <w:rPr>
                <w:spacing w:val="-4"/>
              </w:rPr>
            </w:pPr>
          </w:p>
        </w:tc>
        <w:tc>
          <w:tcPr>
            <w:tcW w:w="7656" w:type="dxa"/>
            <w:shd w:val="clear" w:color="auto" w:fill="auto"/>
            <w:tcMar>
              <w:left w:w="0" w:type="dxa"/>
            </w:tcMar>
          </w:tcPr>
          <w:p w14:paraId="109BBC87" w14:textId="77777777" w:rsidR="00A02E8B" w:rsidRDefault="00A02E8B" w:rsidP="008E039E">
            <w:pPr>
              <w:spacing w:after="180"/>
              <w:rPr>
                <w:spacing w:val="-4"/>
              </w:rPr>
            </w:pPr>
            <w:r>
              <w:rPr>
                <w:spacing w:val="-4"/>
              </w:rPr>
              <w:t xml:space="preserve">Ve 4. čtvrtletí 2021 ve směru deficitu působil obchod s většinou druhů zboží. Výrazně příznivě se meziročně vyvíjela jen bilance obchodu s elektřinou, plynem, párou a klimatizovaným vzduchem (+21,0 mld. korun), produkty souvisejícími s odpadem (+2,9 mld.), kovodělnými výrobky (+1,9 mld.), textiliemi (+1,7 mld.) a dřevem a výrobky z něj (+1,3 mld.). Dál se silně meziročně prohluboval deficit obchodu s ropou a zemním plynem (–35,4 mld. korun), základními kovy (–15,2 mld.) a počítači, elektronickými a optickými přístroji (–14,4 mld.). Prudce klesal přebytek obchodu s motorovými vozidly (–25,0 mld. korun). Dál se zhoršilo saldo obchodu se stroji a zařízeními (–7,9 mld. korun), chemickými látkami a přípravky (–4,8 mld.), koksem a rafinovanými ropnými produkty (–4,2 mld.), ostatními výrobky zpracovatelského průmyslu (–4,1 mld.), elektrickými zařízeními </w:t>
            </w:r>
            <w:r>
              <w:rPr>
                <w:spacing w:val="-4"/>
              </w:rPr>
              <w:br/>
              <w:t>(–3,8 mld.) nebo základními farmaceutickými výrobky (–3,5 mld.).</w:t>
            </w:r>
          </w:p>
        </w:tc>
      </w:tr>
      <w:tr w:rsidR="00A02E8B" w:rsidRPr="009110F7" w14:paraId="461570E2" w14:textId="77777777" w:rsidTr="008E039E">
        <w:trPr>
          <w:trHeight w:val="106"/>
        </w:trPr>
        <w:tc>
          <w:tcPr>
            <w:tcW w:w="1760" w:type="dxa"/>
            <w:vMerge w:val="restart"/>
            <w:shd w:val="clear" w:color="auto" w:fill="auto"/>
            <w:tcMar>
              <w:left w:w="0" w:type="dxa"/>
            </w:tcMar>
          </w:tcPr>
          <w:p w14:paraId="250A2920" w14:textId="77777777" w:rsidR="00A02E8B" w:rsidRDefault="00A02E8B" w:rsidP="008E039E">
            <w:pPr>
              <w:pStyle w:val="Marginlie"/>
            </w:pPr>
          </w:p>
        </w:tc>
        <w:tc>
          <w:tcPr>
            <w:tcW w:w="223" w:type="dxa"/>
            <w:vMerge w:val="restart"/>
            <w:shd w:val="clear" w:color="auto" w:fill="auto"/>
            <w:tcMar>
              <w:left w:w="0" w:type="dxa"/>
            </w:tcMar>
          </w:tcPr>
          <w:p w14:paraId="11D865C1" w14:textId="77777777" w:rsidR="00A02E8B" w:rsidRDefault="00A02E8B" w:rsidP="008E039E">
            <w:pPr>
              <w:pStyle w:val="Textpoznpodarou"/>
              <w:jc w:val="both"/>
              <w:rPr>
                <w:spacing w:val="-4"/>
              </w:rPr>
            </w:pPr>
          </w:p>
        </w:tc>
        <w:tc>
          <w:tcPr>
            <w:tcW w:w="7656" w:type="dxa"/>
            <w:shd w:val="clear" w:color="auto" w:fill="auto"/>
            <w:tcMar>
              <w:left w:w="0" w:type="dxa"/>
            </w:tcMar>
          </w:tcPr>
          <w:p w14:paraId="35C44846" w14:textId="4A30EA06" w:rsidR="00A02E8B" w:rsidRPr="00D75AC1" w:rsidRDefault="00A02E8B" w:rsidP="00A02E8B">
            <w:pPr>
              <w:spacing w:after="0"/>
              <w:rPr>
                <w:spacing w:val="-4"/>
                <w:szCs w:val="20"/>
              </w:rPr>
            </w:pPr>
            <w:r w:rsidRPr="00D75AC1">
              <w:rPr>
                <w:rFonts w:cs="Arial"/>
                <w:b/>
                <w:bCs/>
                <w:color w:val="000000"/>
                <w:szCs w:val="20"/>
              </w:rPr>
              <w:t>Graf č.</w:t>
            </w:r>
            <w:r>
              <w:rPr>
                <w:rFonts w:cs="Arial"/>
                <w:b/>
                <w:bCs/>
                <w:color w:val="000000"/>
                <w:szCs w:val="20"/>
              </w:rPr>
              <w:t xml:space="preserve"> 10 </w:t>
            </w:r>
            <w:r w:rsidRPr="00D75AC1">
              <w:rPr>
                <w:rFonts w:cs="Arial"/>
                <w:b/>
                <w:bCs/>
                <w:color w:val="000000"/>
                <w:szCs w:val="20"/>
              </w:rPr>
              <w:t xml:space="preserve"> </w:t>
            </w:r>
            <w:r w:rsidRPr="00D75AC1">
              <w:rPr>
                <w:b/>
                <w:spacing w:val="-4"/>
                <w:szCs w:val="20"/>
              </w:rPr>
              <w:t xml:space="preserve">Bilance zahraničního obchodu </w:t>
            </w:r>
            <w:r>
              <w:rPr>
                <w:b/>
                <w:spacing w:val="-4"/>
                <w:szCs w:val="20"/>
              </w:rPr>
              <w:t xml:space="preserve">se zbožím </w:t>
            </w:r>
            <w:r w:rsidRPr="00D75AC1">
              <w:rPr>
                <w:b/>
                <w:spacing w:val="-4"/>
                <w:szCs w:val="20"/>
              </w:rPr>
              <w:t xml:space="preserve">ve statistice zahraničního obchodu </w:t>
            </w:r>
            <w:r w:rsidRPr="00D75AC1">
              <w:rPr>
                <w:spacing w:val="-4"/>
                <w:szCs w:val="20"/>
              </w:rPr>
              <w:t xml:space="preserve">(kumulace </w:t>
            </w:r>
            <w:r>
              <w:rPr>
                <w:spacing w:val="-4"/>
                <w:szCs w:val="20"/>
              </w:rPr>
              <w:t>roku 2021</w:t>
            </w:r>
            <w:r w:rsidRPr="00D75AC1">
              <w:rPr>
                <w:spacing w:val="-4"/>
                <w:szCs w:val="20"/>
              </w:rPr>
              <w:t>, v mld.</w:t>
            </w:r>
            <w:r>
              <w:rPr>
                <w:spacing w:val="-4"/>
                <w:szCs w:val="20"/>
              </w:rPr>
              <w:t xml:space="preserve"> </w:t>
            </w:r>
            <w:r w:rsidRPr="00D75AC1">
              <w:rPr>
                <w:spacing w:val="-4"/>
                <w:szCs w:val="20"/>
              </w:rPr>
              <w:t>korun, vybrané oddíly klasifikace CPA)</w:t>
            </w:r>
          </w:p>
        </w:tc>
      </w:tr>
      <w:tr w:rsidR="00A02E8B" w:rsidRPr="009110F7" w14:paraId="08947230" w14:textId="77777777" w:rsidTr="008E039E">
        <w:tblPrEx>
          <w:tblCellMar>
            <w:left w:w="70" w:type="dxa"/>
            <w:right w:w="70" w:type="dxa"/>
          </w:tblCellMar>
        </w:tblPrEx>
        <w:trPr>
          <w:trHeight w:val="106"/>
        </w:trPr>
        <w:tc>
          <w:tcPr>
            <w:tcW w:w="1760" w:type="dxa"/>
            <w:vMerge/>
            <w:shd w:val="clear" w:color="auto" w:fill="auto"/>
          </w:tcPr>
          <w:p w14:paraId="3F986492" w14:textId="77777777" w:rsidR="00A02E8B" w:rsidRDefault="00A02E8B" w:rsidP="008E039E">
            <w:pPr>
              <w:pStyle w:val="Marginlie"/>
            </w:pPr>
          </w:p>
        </w:tc>
        <w:tc>
          <w:tcPr>
            <w:tcW w:w="223" w:type="dxa"/>
            <w:vMerge/>
            <w:shd w:val="clear" w:color="auto" w:fill="auto"/>
          </w:tcPr>
          <w:p w14:paraId="5457000B" w14:textId="77777777" w:rsidR="00A02E8B" w:rsidRDefault="00A02E8B" w:rsidP="008E039E">
            <w:pPr>
              <w:pStyle w:val="Textpoznpodarou"/>
              <w:jc w:val="both"/>
              <w:rPr>
                <w:spacing w:val="-4"/>
              </w:rPr>
            </w:pPr>
          </w:p>
        </w:tc>
        <w:tc>
          <w:tcPr>
            <w:tcW w:w="7656" w:type="dxa"/>
            <w:shd w:val="clear" w:color="auto" w:fill="auto"/>
          </w:tcPr>
          <w:p w14:paraId="28A97905" w14:textId="77777777" w:rsidR="00A02E8B" w:rsidRPr="00AF6F98" w:rsidRDefault="00A02E8B" w:rsidP="008E039E">
            <w:pPr>
              <w:spacing w:after="0"/>
              <w:rPr>
                <w:spacing w:val="-4"/>
              </w:rPr>
            </w:pPr>
            <w:r>
              <w:rPr>
                <w:noProof/>
              </w:rPr>
              <w:drawing>
                <wp:inline distT="0" distB="0" distL="0" distR="0" wp14:anchorId="4EE5F4B0" wp14:editId="66E8E3EB">
                  <wp:extent cx="4771467" cy="3553200"/>
                  <wp:effectExtent l="0" t="0" r="0" b="0"/>
                  <wp:docPr id="6" name="Graf 6">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A02E8B" w:rsidRPr="009110F7" w14:paraId="7942ADA2" w14:textId="77777777" w:rsidTr="008E039E">
        <w:trPr>
          <w:trHeight w:val="106"/>
        </w:trPr>
        <w:tc>
          <w:tcPr>
            <w:tcW w:w="1760" w:type="dxa"/>
            <w:vMerge/>
            <w:shd w:val="clear" w:color="auto" w:fill="auto"/>
            <w:tcMar>
              <w:left w:w="0" w:type="dxa"/>
            </w:tcMar>
          </w:tcPr>
          <w:p w14:paraId="41ED45D9" w14:textId="77777777" w:rsidR="00A02E8B" w:rsidRDefault="00A02E8B" w:rsidP="008E039E">
            <w:pPr>
              <w:pStyle w:val="Marginlie"/>
            </w:pPr>
          </w:p>
        </w:tc>
        <w:tc>
          <w:tcPr>
            <w:tcW w:w="223" w:type="dxa"/>
            <w:vMerge/>
            <w:shd w:val="clear" w:color="auto" w:fill="auto"/>
            <w:tcMar>
              <w:left w:w="0" w:type="dxa"/>
            </w:tcMar>
          </w:tcPr>
          <w:p w14:paraId="469D6854" w14:textId="77777777" w:rsidR="00A02E8B" w:rsidRDefault="00A02E8B" w:rsidP="008E039E">
            <w:pPr>
              <w:pStyle w:val="Textpoznpodarou"/>
              <w:jc w:val="both"/>
              <w:rPr>
                <w:spacing w:val="-4"/>
              </w:rPr>
            </w:pPr>
          </w:p>
        </w:tc>
        <w:tc>
          <w:tcPr>
            <w:tcW w:w="7656" w:type="dxa"/>
            <w:shd w:val="clear" w:color="auto" w:fill="auto"/>
            <w:tcMar>
              <w:left w:w="0" w:type="dxa"/>
            </w:tcMar>
          </w:tcPr>
          <w:p w14:paraId="1FB837D5" w14:textId="77777777" w:rsidR="00A02E8B" w:rsidRPr="00AF6F98" w:rsidRDefault="00A02E8B" w:rsidP="008E039E">
            <w:pPr>
              <w:spacing w:after="0"/>
              <w:rPr>
                <w:spacing w:val="-4"/>
              </w:rPr>
            </w:pPr>
            <w:r>
              <w:rPr>
                <w:sz w:val="14"/>
                <w:szCs w:val="14"/>
              </w:rPr>
              <w:t>Zdroj: ČSÚ</w:t>
            </w:r>
          </w:p>
        </w:tc>
      </w:tr>
    </w:tbl>
    <w:p w14:paraId="7CEEB718" w14:textId="27F98F79" w:rsidR="009B553D" w:rsidRPr="009110F7" w:rsidRDefault="009B553D" w:rsidP="009B553D">
      <w:pPr>
        <w:pStyle w:val="Nadpis11"/>
      </w:pPr>
      <w:bookmarkStart w:id="32" w:name="_Toc98756081"/>
      <w:bookmarkEnd w:id="29"/>
      <w:bookmarkEnd w:id="30"/>
      <w:bookmarkEnd w:id="31"/>
      <w:r w:rsidRPr="009110F7">
        <w:lastRenderedPageBreak/>
        <w:t>5</w:t>
      </w:r>
      <w:r>
        <w:t>. </w:t>
      </w:r>
      <w:r w:rsidRPr="009110F7">
        <w:t>Ceny</w:t>
      </w:r>
      <w:bookmarkEnd w:id="19"/>
      <w:bookmarkEnd w:id="32"/>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9B553D" w:rsidRPr="009110F7" w14:paraId="5E9509D1" w14:textId="77777777" w:rsidTr="00913237">
        <w:trPr>
          <w:trHeight w:val="145"/>
        </w:trPr>
        <w:tc>
          <w:tcPr>
            <w:tcW w:w="1805" w:type="dxa"/>
            <w:shd w:val="clear" w:color="auto" w:fill="auto"/>
            <w:tcMar>
              <w:left w:w="0" w:type="dxa"/>
            </w:tcMar>
          </w:tcPr>
          <w:p w14:paraId="6CF3200F" w14:textId="77777777" w:rsidR="009B553D" w:rsidRPr="00793D78" w:rsidRDefault="009B553D" w:rsidP="00913237">
            <w:pPr>
              <w:pStyle w:val="Marginlie"/>
              <w:rPr>
                <w:spacing w:val="0"/>
              </w:rPr>
            </w:pPr>
            <w:r>
              <w:rPr>
                <w:spacing w:val="0"/>
              </w:rPr>
              <w:t>Celková cenová hladina v ekonomice byla meziročně výrazně vyšší.</w:t>
            </w:r>
          </w:p>
        </w:tc>
        <w:tc>
          <w:tcPr>
            <w:tcW w:w="224" w:type="dxa"/>
            <w:shd w:val="clear" w:color="auto" w:fill="auto"/>
            <w:tcMar>
              <w:left w:w="0" w:type="dxa"/>
            </w:tcMar>
          </w:tcPr>
          <w:p w14:paraId="4621C188" w14:textId="77777777" w:rsidR="009B553D" w:rsidRPr="00793D78" w:rsidRDefault="009B553D" w:rsidP="00913237">
            <w:pPr>
              <w:pStyle w:val="Textpoznpodarou1"/>
              <w:jc w:val="both"/>
            </w:pPr>
          </w:p>
        </w:tc>
        <w:tc>
          <w:tcPr>
            <w:tcW w:w="7610" w:type="dxa"/>
            <w:shd w:val="clear" w:color="auto" w:fill="auto"/>
            <w:tcMar>
              <w:left w:w="0" w:type="dxa"/>
            </w:tcMar>
          </w:tcPr>
          <w:p w14:paraId="180A4F68" w14:textId="77777777" w:rsidR="009B553D" w:rsidRPr="00793D78" w:rsidRDefault="009B553D" w:rsidP="00913237">
            <w:pPr>
              <w:rPr>
                <w:szCs w:val="20"/>
              </w:rPr>
            </w:pPr>
            <w:r>
              <w:rPr>
                <w:szCs w:val="20"/>
              </w:rPr>
              <w:t>Celkový růst cenové hladiny v domácí ekonomice v roce 2021 podle deflátoru HDP dosáhl 4,1 %. Rostla cenová hladina spotřeby (3,4 %) i kapitálových statků (5,6 %). Směnné relace zahraničního obchodu v loňském roce dosáhly 100,1 %. Meziroční růst cenové hladiny ve 4. čtvrtletí 2021 celkem dosáhl 3,3 %. Z toho spotřební statky zdražily o 4,0 %, zejména pod vlivem posilující dynamiky cen spotřeby domácností (4,7 %). Ceny kapitálových statků se zvýšily o 6,0 %. Směnné relace byly záporné (98,0 %), především vlivem obchodu se zbožím (97,7 %), kde se projevil prudký růst cen dovozu. Ve srovnání se 3. čtvrtletím 2021 se cenová hladina snížila o 0,6 %. Ceny spotřeby sice mezičtvrtletně rostly o 1,0 %, ale kapitálové statky zlevnily o 0,1 % a směnné relace byly záporné (98,2 %).</w:t>
            </w:r>
          </w:p>
        </w:tc>
      </w:tr>
      <w:tr w:rsidR="009B553D" w:rsidRPr="009110F7" w14:paraId="0F686B8E" w14:textId="77777777" w:rsidTr="00913237">
        <w:trPr>
          <w:trHeight w:val="145"/>
        </w:trPr>
        <w:tc>
          <w:tcPr>
            <w:tcW w:w="1805" w:type="dxa"/>
            <w:shd w:val="clear" w:color="auto" w:fill="auto"/>
            <w:tcMar>
              <w:left w:w="0" w:type="dxa"/>
            </w:tcMar>
          </w:tcPr>
          <w:p w14:paraId="16A68A3E" w14:textId="77777777" w:rsidR="009B553D" w:rsidRDefault="009B553D" w:rsidP="00913237">
            <w:pPr>
              <w:pStyle w:val="Marginlie"/>
              <w:rPr>
                <w:spacing w:val="0"/>
              </w:rPr>
            </w:pPr>
            <w:r>
              <w:rPr>
                <w:spacing w:val="0"/>
              </w:rPr>
              <w:t>Spotřebitelské ceny se loni zvýšily nejsilněji od roku 2008.</w:t>
            </w:r>
          </w:p>
          <w:p w14:paraId="0E1234E8" w14:textId="77777777" w:rsidR="009B553D" w:rsidRDefault="009B553D" w:rsidP="00913237">
            <w:pPr>
              <w:pStyle w:val="Marginlie"/>
              <w:rPr>
                <w:spacing w:val="0"/>
              </w:rPr>
            </w:pPr>
          </w:p>
          <w:p w14:paraId="6B846D96" w14:textId="77777777" w:rsidR="009B553D" w:rsidRDefault="009B553D" w:rsidP="00913237">
            <w:pPr>
              <w:pStyle w:val="Marginlie"/>
              <w:rPr>
                <w:spacing w:val="0"/>
              </w:rPr>
            </w:pPr>
          </w:p>
          <w:p w14:paraId="526D145E" w14:textId="77777777" w:rsidR="009B553D" w:rsidRDefault="009B553D" w:rsidP="00913237">
            <w:pPr>
              <w:pStyle w:val="Marginlie"/>
              <w:rPr>
                <w:spacing w:val="0"/>
              </w:rPr>
            </w:pPr>
          </w:p>
          <w:p w14:paraId="3DB3442C" w14:textId="77777777" w:rsidR="009B553D" w:rsidRDefault="009B553D" w:rsidP="00913237">
            <w:pPr>
              <w:pStyle w:val="Marginlie"/>
              <w:rPr>
                <w:spacing w:val="0"/>
              </w:rPr>
            </w:pPr>
          </w:p>
          <w:p w14:paraId="214B26A6" w14:textId="77777777" w:rsidR="009B553D" w:rsidRDefault="009B553D" w:rsidP="00913237">
            <w:pPr>
              <w:pStyle w:val="Marginlie"/>
              <w:rPr>
                <w:spacing w:val="0"/>
              </w:rPr>
            </w:pPr>
          </w:p>
          <w:p w14:paraId="5B167FE6" w14:textId="77777777" w:rsidR="009B553D" w:rsidRDefault="009B553D" w:rsidP="00913237">
            <w:pPr>
              <w:pStyle w:val="Marginlie"/>
              <w:rPr>
                <w:spacing w:val="0"/>
              </w:rPr>
            </w:pPr>
          </w:p>
          <w:p w14:paraId="09359358" w14:textId="77777777" w:rsidR="009B553D" w:rsidRDefault="009B553D" w:rsidP="00913237">
            <w:pPr>
              <w:pStyle w:val="Marginlie"/>
              <w:rPr>
                <w:spacing w:val="0"/>
              </w:rPr>
            </w:pPr>
          </w:p>
          <w:p w14:paraId="676242F3" w14:textId="77777777" w:rsidR="009B553D" w:rsidRPr="00793D78" w:rsidRDefault="009B553D" w:rsidP="00913237">
            <w:pPr>
              <w:pStyle w:val="Marginlie"/>
              <w:rPr>
                <w:spacing w:val="0"/>
              </w:rPr>
            </w:pPr>
            <w:r>
              <w:rPr>
                <w:spacing w:val="0"/>
              </w:rPr>
              <w:t>Meziroční růst spotřebitelských cen v průběhu roku zrychloval.</w:t>
            </w:r>
          </w:p>
        </w:tc>
        <w:tc>
          <w:tcPr>
            <w:tcW w:w="224" w:type="dxa"/>
            <w:shd w:val="clear" w:color="auto" w:fill="auto"/>
            <w:tcMar>
              <w:left w:w="0" w:type="dxa"/>
            </w:tcMar>
          </w:tcPr>
          <w:p w14:paraId="3FAF5605" w14:textId="77777777" w:rsidR="009B553D" w:rsidRPr="00793D78" w:rsidRDefault="009B553D" w:rsidP="00913237">
            <w:pPr>
              <w:pStyle w:val="Textpoznpodarou1"/>
              <w:jc w:val="both"/>
              <w:rPr>
                <w:highlight w:val="yellow"/>
              </w:rPr>
            </w:pPr>
          </w:p>
        </w:tc>
        <w:tc>
          <w:tcPr>
            <w:tcW w:w="7610" w:type="dxa"/>
            <w:shd w:val="clear" w:color="auto" w:fill="auto"/>
            <w:tcMar>
              <w:left w:w="0" w:type="dxa"/>
            </w:tcMar>
          </w:tcPr>
          <w:p w14:paraId="4483CD51" w14:textId="12793540" w:rsidR="009B553D" w:rsidRPr="000316FC" w:rsidRDefault="009B553D" w:rsidP="00FF0989">
            <w:r>
              <w:t>Index spotřebitelských cen se celkově oproti roku 2020 zvýšil o 3,8 %. To byl nejvyšší přírůstek od roku 2008. Nejvíce k tomuto nárůstu přispěl vývoj cen dopravy, alkoholických nápojů a tabáku a bydlení, vody, energií a paliv (dále bydlení a energie). Vyšší ale byly ceny v téměř všech oddílech spotřebního koše (výjimkou byly ceny pošt a telekomunikací). Zejména ve 2. pololetí se do cenového růstu výrazněji než obvykle promítal vývoj cen odívání a obuvi nebo bytového vybavení a zařízení, což byly položky ovlivněné protiepidemickými opatřeními v maloobchodě a zároveň narušením mezinárodních dodavatelských řetězců. Zrychloval i růst cen některých služeb. Meziroční růst spotřebitelských cen v průběhu celého roku 2021 výrazně zrychloval a ve 4. čtvrtletí dosáhl 6,1 % (nejvíce od 3. čtvrtletí 2008). K tomu nejvíce přispěl přírůstek cen dopravy, bydlení a energií a alkoholických nápojů a tabáku. Bydlení a doprava byly také hlavními faktory prudkého zrychlení celkové meziroční dynamiky. Velmi výrazný ale byl i příspěvek cen odívání a obuvi, rekreac</w:t>
            </w:r>
            <w:r w:rsidR="00FF0989">
              <w:t>e</w:t>
            </w:r>
            <w:r>
              <w:t xml:space="preserve"> a kultury, potravin a nealkoholických nápojů a stravování a ubytování. Oproti 3. čtvrtletí se spotřebitelské ceny zvýšily o 1,6 %.</w:t>
            </w:r>
          </w:p>
        </w:tc>
      </w:tr>
      <w:tr w:rsidR="009B553D" w:rsidRPr="00D75AC1" w14:paraId="52D9EA72" w14:textId="77777777" w:rsidTr="00913237">
        <w:trPr>
          <w:trHeight w:val="170"/>
        </w:trPr>
        <w:tc>
          <w:tcPr>
            <w:tcW w:w="1805" w:type="dxa"/>
            <w:vMerge w:val="restart"/>
            <w:shd w:val="clear" w:color="auto" w:fill="auto"/>
            <w:tcMar>
              <w:left w:w="0" w:type="dxa"/>
            </w:tcMar>
          </w:tcPr>
          <w:p w14:paraId="33F2D2DF" w14:textId="77777777" w:rsidR="009B553D" w:rsidRDefault="009B553D" w:rsidP="00913237">
            <w:pPr>
              <w:pStyle w:val="Marginlie"/>
              <w:rPr>
                <w:spacing w:val="0"/>
              </w:rPr>
            </w:pPr>
          </w:p>
        </w:tc>
        <w:tc>
          <w:tcPr>
            <w:tcW w:w="224" w:type="dxa"/>
            <w:vMerge w:val="restart"/>
            <w:shd w:val="clear" w:color="auto" w:fill="auto"/>
            <w:tcMar>
              <w:left w:w="0" w:type="dxa"/>
            </w:tcMar>
          </w:tcPr>
          <w:p w14:paraId="059075E7" w14:textId="77777777" w:rsidR="009B553D" w:rsidRPr="00793D78" w:rsidRDefault="009B553D" w:rsidP="00913237">
            <w:pPr>
              <w:pStyle w:val="Textpoznpodarou1"/>
              <w:jc w:val="both"/>
              <w:rPr>
                <w:highlight w:val="yellow"/>
              </w:rPr>
            </w:pPr>
          </w:p>
        </w:tc>
        <w:tc>
          <w:tcPr>
            <w:tcW w:w="7610" w:type="dxa"/>
            <w:shd w:val="clear" w:color="auto" w:fill="auto"/>
            <w:tcMar>
              <w:left w:w="0" w:type="dxa"/>
            </w:tcMar>
          </w:tcPr>
          <w:p w14:paraId="1207DDF0" w14:textId="0BB082E3" w:rsidR="009B553D" w:rsidRPr="00D75AC1" w:rsidRDefault="009B553D" w:rsidP="00913237">
            <w:pPr>
              <w:spacing w:after="0"/>
              <w:rPr>
                <w:b/>
                <w:szCs w:val="20"/>
              </w:rPr>
            </w:pPr>
            <w:r w:rsidRPr="00793D78">
              <w:rPr>
                <w:rFonts w:cs="Arial"/>
                <w:b/>
                <w:bCs/>
                <w:color w:val="000000"/>
                <w:sz w:val="18"/>
                <w:szCs w:val="18"/>
              </w:rPr>
              <w:t xml:space="preserve">Graf </w:t>
            </w:r>
            <w:r w:rsidR="00A02E8B">
              <w:rPr>
                <w:rFonts w:cs="Arial"/>
                <w:b/>
                <w:bCs/>
                <w:color w:val="000000"/>
                <w:sz w:val="18"/>
                <w:szCs w:val="18"/>
              </w:rPr>
              <w:t>č. 11</w:t>
            </w:r>
            <w:r>
              <w:rPr>
                <w:rFonts w:cs="Arial"/>
                <w:b/>
                <w:bCs/>
                <w:color w:val="000000"/>
                <w:sz w:val="18"/>
                <w:szCs w:val="18"/>
              </w:rPr>
              <w:t xml:space="preserve"> </w:t>
            </w:r>
            <w:r w:rsidRPr="00793D78">
              <w:rPr>
                <w:rFonts w:cs="Arial"/>
                <w:b/>
                <w:bCs/>
                <w:color w:val="000000"/>
                <w:sz w:val="18"/>
                <w:szCs w:val="18"/>
              </w:rPr>
              <w:t xml:space="preserve"> Ceny ve vybraných oddílech indexu spotřebitelských cen</w:t>
            </w:r>
            <w:r w:rsidRPr="00793D78">
              <w:rPr>
                <w:rFonts w:cs="Arial"/>
                <w:b/>
                <w:color w:val="000000"/>
                <w:sz w:val="18"/>
                <w:szCs w:val="18"/>
              </w:rPr>
              <w:t xml:space="preserve"> </w:t>
            </w:r>
            <w:r w:rsidRPr="009067EA">
              <w:rPr>
                <w:rFonts w:cs="Arial"/>
                <w:color w:val="000000"/>
                <w:sz w:val="18"/>
                <w:szCs w:val="18"/>
              </w:rPr>
              <w:t>(meziročně v %)</w:t>
            </w:r>
          </w:p>
        </w:tc>
      </w:tr>
      <w:tr w:rsidR="009B553D" w:rsidRPr="009110F7" w14:paraId="0046282E" w14:textId="77777777" w:rsidTr="00913237">
        <w:tblPrEx>
          <w:tblCellMar>
            <w:left w:w="70" w:type="dxa"/>
            <w:right w:w="70" w:type="dxa"/>
          </w:tblCellMar>
        </w:tblPrEx>
        <w:trPr>
          <w:trHeight w:val="170"/>
        </w:trPr>
        <w:tc>
          <w:tcPr>
            <w:tcW w:w="1805" w:type="dxa"/>
            <w:vMerge/>
            <w:shd w:val="clear" w:color="auto" w:fill="auto"/>
          </w:tcPr>
          <w:p w14:paraId="0D040257" w14:textId="77777777" w:rsidR="009B553D" w:rsidRPr="00793D78" w:rsidRDefault="009B553D" w:rsidP="00913237">
            <w:pPr>
              <w:pStyle w:val="Marginlie"/>
              <w:rPr>
                <w:spacing w:val="0"/>
              </w:rPr>
            </w:pPr>
          </w:p>
        </w:tc>
        <w:tc>
          <w:tcPr>
            <w:tcW w:w="224" w:type="dxa"/>
            <w:vMerge/>
            <w:shd w:val="clear" w:color="auto" w:fill="auto"/>
          </w:tcPr>
          <w:p w14:paraId="6DDA7ECC" w14:textId="77777777" w:rsidR="009B553D" w:rsidRPr="00793D78" w:rsidRDefault="009B553D" w:rsidP="00913237">
            <w:pPr>
              <w:pStyle w:val="Textpoznpodarou"/>
              <w:jc w:val="both"/>
            </w:pPr>
          </w:p>
        </w:tc>
        <w:tc>
          <w:tcPr>
            <w:tcW w:w="7610" w:type="dxa"/>
            <w:shd w:val="clear" w:color="auto" w:fill="auto"/>
          </w:tcPr>
          <w:p w14:paraId="723F44FA" w14:textId="77777777" w:rsidR="009B553D" w:rsidRPr="00793D78" w:rsidRDefault="009B553D" w:rsidP="00913237">
            <w:pPr>
              <w:spacing w:after="0"/>
            </w:pPr>
            <w:r>
              <w:rPr>
                <w:noProof/>
              </w:rPr>
              <w:drawing>
                <wp:inline distT="0" distB="0" distL="0" distR="0" wp14:anchorId="383DE0AB" wp14:editId="38E0E1C1">
                  <wp:extent cx="4734425" cy="3375400"/>
                  <wp:effectExtent l="0" t="0" r="0" b="0"/>
                  <wp:docPr id="9" name="Graf 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9B553D" w:rsidRPr="009110F7" w14:paraId="124117F3" w14:textId="77777777" w:rsidTr="00913237">
        <w:trPr>
          <w:trHeight w:val="170"/>
        </w:trPr>
        <w:tc>
          <w:tcPr>
            <w:tcW w:w="1805" w:type="dxa"/>
            <w:vMerge/>
            <w:shd w:val="clear" w:color="auto" w:fill="auto"/>
            <w:tcMar>
              <w:left w:w="0" w:type="dxa"/>
            </w:tcMar>
          </w:tcPr>
          <w:p w14:paraId="1E801BD8" w14:textId="77777777" w:rsidR="009B553D" w:rsidRPr="00793D78" w:rsidRDefault="009B553D" w:rsidP="00913237">
            <w:pPr>
              <w:pStyle w:val="Marginlie"/>
              <w:rPr>
                <w:spacing w:val="0"/>
              </w:rPr>
            </w:pPr>
          </w:p>
        </w:tc>
        <w:tc>
          <w:tcPr>
            <w:tcW w:w="224" w:type="dxa"/>
            <w:vMerge/>
            <w:shd w:val="clear" w:color="auto" w:fill="auto"/>
            <w:tcMar>
              <w:left w:w="0" w:type="dxa"/>
            </w:tcMar>
          </w:tcPr>
          <w:p w14:paraId="33B8EA9D" w14:textId="77777777" w:rsidR="009B553D" w:rsidRPr="00793D78" w:rsidRDefault="009B553D" w:rsidP="00913237">
            <w:pPr>
              <w:pStyle w:val="Textpoznpodarou"/>
              <w:jc w:val="both"/>
            </w:pPr>
          </w:p>
        </w:tc>
        <w:tc>
          <w:tcPr>
            <w:tcW w:w="7610" w:type="dxa"/>
            <w:shd w:val="clear" w:color="auto" w:fill="auto"/>
            <w:tcMar>
              <w:left w:w="0" w:type="dxa"/>
            </w:tcMar>
          </w:tcPr>
          <w:p w14:paraId="580D534A" w14:textId="77777777" w:rsidR="009B553D" w:rsidRPr="00793D78" w:rsidRDefault="009B553D" w:rsidP="00913237">
            <w:pPr>
              <w:rPr>
                <w:sz w:val="14"/>
                <w:szCs w:val="14"/>
              </w:rPr>
            </w:pPr>
            <w:r w:rsidRPr="00793D78">
              <w:rPr>
                <w:sz w:val="14"/>
                <w:szCs w:val="14"/>
              </w:rPr>
              <w:t>Zdroj: ČSÚ</w:t>
            </w:r>
          </w:p>
        </w:tc>
      </w:tr>
      <w:tr w:rsidR="009B553D" w:rsidRPr="009110F7" w14:paraId="7786A1D6" w14:textId="77777777" w:rsidTr="00913237">
        <w:trPr>
          <w:trHeight w:val="145"/>
        </w:trPr>
        <w:tc>
          <w:tcPr>
            <w:tcW w:w="1805" w:type="dxa"/>
            <w:shd w:val="clear" w:color="auto" w:fill="auto"/>
            <w:tcMar>
              <w:left w:w="0" w:type="dxa"/>
            </w:tcMar>
          </w:tcPr>
          <w:p w14:paraId="6640857D" w14:textId="77777777" w:rsidR="009B553D" w:rsidRDefault="009B553D" w:rsidP="00913237">
            <w:pPr>
              <w:pStyle w:val="Marginlie"/>
              <w:rPr>
                <w:spacing w:val="0"/>
              </w:rPr>
            </w:pPr>
            <w:r>
              <w:rPr>
                <w:spacing w:val="0"/>
              </w:rPr>
              <w:lastRenderedPageBreak/>
              <w:t>Za výrazným růstem cen bydlení a energií stálo především imputované nájemné.</w:t>
            </w:r>
          </w:p>
        </w:tc>
        <w:tc>
          <w:tcPr>
            <w:tcW w:w="224" w:type="dxa"/>
            <w:shd w:val="clear" w:color="auto" w:fill="auto"/>
            <w:tcMar>
              <w:left w:w="0" w:type="dxa"/>
            </w:tcMar>
          </w:tcPr>
          <w:p w14:paraId="544DFFCC" w14:textId="77777777" w:rsidR="009B553D" w:rsidRPr="00793D78" w:rsidRDefault="009B553D" w:rsidP="00913237">
            <w:pPr>
              <w:pStyle w:val="Textpoznpodarou1"/>
              <w:jc w:val="both"/>
            </w:pPr>
          </w:p>
        </w:tc>
        <w:tc>
          <w:tcPr>
            <w:tcW w:w="7610" w:type="dxa"/>
            <w:shd w:val="clear" w:color="auto" w:fill="auto"/>
            <w:tcMar>
              <w:left w:w="0" w:type="dxa"/>
            </w:tcMar>
          </w:tcPr>
          <w:p w14:paraId="4F5B2AD2" w14:textId="0F0E0933" w:rsidR="009B553D" w:rsidRDefault="009B553D" w:rsidP="00913237">
            <w:r>
              <w:t>Ceny bydlení a energií se v roce 2021 zvýšily o 2,8 %. Nejvýrazněji vzrostly položky imputovaného nájemného</w:t>
            </w:r>
            <w:r>
              <w:rPr>
                <w:rStyle w:val="Znakapoznpodarou"/>
              </w:rPr>
              <w:footnoteReference w:id="50"/>
            </w:r>
            <w:r>
              <w:t xml:space="preserve"> (7,0 %), cen běžné údržby a drobných oprav (5,6 %) a ostatních služeb souvisejících s bydlením (4,0 %). Nájemné z bytu se loni zvýšilo o 2,4 %. Naproti tomu ceny elektřiny, plynu a paliv loni klesly o 3,2 %. K tomu částečně přispělo i dočasné prominutí DPH u energií, ke kterému došlo v závěru roku v reakci na prudké zvýšení cen elektřiny na světových trzích. V samotném 4. čtvrtletí se ceny bydlení a energií meziročně zvýšily o 5,6 % a jejich růst prudce zrychlil ve srovnání s předchozím kvartálem. Důvodem byl zejména prudký nárůst imputovaného nájemného (13,9 %). Ceny běžné údržby a oprav byly vyšší o 9,6 %, ostatních služeb</w:t>
            </w:r>
            <w:r w:rsidR="00FF0989">
              <w:t xml:space="preserve"> souvisejících s bydlením</w:t>
            </w:r>
            <w:r>
              <w:t xml:space="preserve"> o 4,7 % a nájemného z bytu o 3,7 %. Ceny elektřiny, plynu a paliv se ve 4. čtvrtletí meziročně snížily o 4,9 % a jejich pokles byl prohlouben výše zmíněným prominutím DPH.</w:t>
            </w:r>
          </w:p>
        </w:tc>
      </w:tr>
      <w:tr w:rsidR="009B553D" w:rsidRPr="009110F7" w14:paraId="32ACFA0D" w14:textId="77777777" w:rsidTr="00913237">
        <w:trPr>
          <w:trHeight w:val="145"/>
        </w:trPr>
        <w:tc>
          <w:tcPr>
            <w:tcW w:w="1805" w:type="dxa"/>
            <w:shd w:val="clear" w:color="auto" w:fill="auto"/>
            <w:tcMar>
              <w:left w:w="0" w:type="dxa"/>
            </w:tcMar>
          </w:tcPr>
          <w:p w14:paraId="02FB8FFF" w14:textId="77777777" w:rsidR="009B553D" w:rsidRPr="00EB06EF" w:rsidRDefault="009B553D" w:rsidP="00913237">
            <w:pPr>
              <w:pStyle w:val="Marginlie"/>
              <w:rPr>
                <w:spacing w:val="0"/>
              </w:rPr>
            </w:pPr>
            <w:r>
              <w:rPr>
                <w:spacing w:val="0"/>
              </w:rPr>
              <w:t>Silně rostly ceny nákupů dopravních prostředků i náklady na jejich provoz.</w:t>
            </w:r>
          </w:p>
        </w:tc>
        <w:tc>
          <w:tcPr>
            <w:tcW w:w="224" w:type="dxa"/>
            <w:shd w:val="clear" w:color="auto" w:fill="auto"/>
            <w:tcMar>
              <w:left w:w="0" w:type="dxa"/>
            </w:tcMar>
          </w:tcPr>
          <w:p w14:paraId="07CFE9DB" w14:textId="77777777" w:rsidR="009B553D" w:rsidRPr="00EB06EF" w:rsidRDefault="009B553D" w:rsidP="00913237">
            <w:pPr>
              <w:pStyle w:val="Textpoznpodarou1"/>
              <w:jc w:val="both"/>
            </w:pPr>
          </w:p>
        </w:tc>
        <w:tc>
          <w:tcPr>
            <w:tcW w:w="7610" w:type="dxa"/>
            <w:shd w:val="clear" w:color="auto" w:fill="auto"/>
            <w:tcMar>
              <w:left w:w="0" w:type="dxa"/>
            </w:tcMar>
          </w:tcPr>
          <w:p w14:paraId="4E4B1D39" w14:textId="484E5663" w:rsidR="009B553D" w:rsidRDefault="009B553D" w:rsidP="00FF0989">
            <w:r>
              <w:t xml:space="preserve">Ceny dopravy se v roce 2021 celkově zvýšily o 8,4 %. Nejvíce k tomu přispěl silný nárůst nákladů na provoz osobních dopravních prostředků (11,2 %), který odrážel prudké zvýšení cen ropy. Velmi výrazně ale rostly také ceny automobilů, motocyklů a jízdních kol (7,5 %). Jejich meziroční přírůstky zrychlily už v roce 2020, kdy došlo k dočasnému pozastavení zahraničního obchodu a průmyslu a specificky v českém případě také k oslabení měnového kurzu, což zdražilo dovoz. Loni se dál prohlubovaly problémy s nedostatkem součástek v automobilovém průmyslu a v logistice, což dopravní prostředky dál zdražovalo. Ceny dopravních služeb loni vzrostly o 2,4 %. Také meziroční růst cen dopravy v závěru roku prudce zrychlil a ve 4. čtvrtletí dosáhl 13,1 %. Přitom náklady na provoz dopravních prostředků byly </w:t>
            </w:r>
            <w:r w:rsidR="00FF0989">
              <w:t xml:space="preserve">ve 4. čtvrtletí </w:t>
            </w:r>
            <w:r>
              <w:t xml:space="preserve">vyšší o 20,9 % a ceny </w:t>
            </w:r>
            <w:r w:rsidR="00FF0989">
              <w:t>automobilů, motocyklů a jízdních kol</w:t>
            </w:r>
            <w:r>
              <w:t xml:space="preserve"> vzrostly o 8,2 %. Ceny dopravních služeb se zvýšily o 5,2 %.</w:t>
            </w:r>
          </w:p>
        </w:tc>
      </w:tr>
      <w:tr w:rsidR="009B553D" w:rsidRPr="009110F7" w14:paraId="2B71579F" w14:textId="77777777" w:rsidTr="00913237">
        <w:trPr>
          <w:trHeight w:val="145"/>
        </w:trPr>
        <w:tc>
          <w:tcPr>
            <w:tcW w:w="1805" w:type="dxa"/>
            <w:shd w:val="clear" w:color="auto" w:fill="auto"/>
            <w:tcMar>
              <w:left w:w="0" w:type="dxa"/>
            </w:tcMar>
          </w:tcPr>
          <w:p w14:paraId="310193EC" w14:textId="77777777" w:rsidR="009B553D" w:rsidRDefault="009B553D" w:rsidP="00913237">
            <w:pPr>
              <w:pStyle w:val="Marginlie"/>
              <w:rPr>
                <w:spacing w:val="0"/>
              </w:rPr>
            </w:pPr>
            <w:r>
              <w:rPr>
                <w:spacing w:val="0"/>
              </w:rPr>
              <w:t>Velmi silně nadále rostly ceny tabáku.</w:t>
            </w:r>
          </w:p>
        </w:tc>
        <w:tc>
          <w:tcPr>
            <w:tcW w:w="224" w:type="dxa"/>
            <w:shd w:val="clear" w:color="auto" w:fill="auto"/>
            <w:tcMar>
              <w:left w:w="0" w:type="dxa"/>
            </w:tcMar>
          </w:tcPr>
          <w:p w14:paraId="24949E5A" w14:textId="77777777" w:rsidR="009B553D" w:rsidRPr="00793D78" w:rsidRDefault="009B553D" w:rsidP="00913237">
            <w:pPr>
              <w:pStyle w:val="Textpoznpodarou1"/>
              <w:jc w:val="both"/>
            </w:pPr>
          </w:p>
        </w:tc>
        <w:tc>
          <w:tcPr>
            <w:tcW w:w="7610" w:type="dxa"/>
            <w:shd w:val="clear" w:color="auto" w:fill="auto"/>
            <w:tcMar>
              <w:left w:w="0" w:type="dxa"/>
            </w:tcMar>
          </w:tcPr>
          <w:p w14:paraId="748B9F76" w14:textId="77777777" w:rsidR="009B553D" w:rsidRDefault="009B553D" w:rsidP="00913237">
            <w:r>
              <w:t>Ceny alkoholických nápojů a tabáku byly loni vyšší o 8,4 %. Většina z tohoto nárůstu připadla na ceny tabáku (13,1 %), zatímco ceny alkoholických nápojů se zvyšovaly mírněji (2,3 %). V samotném 4. čtvrtletí ceny alkoholických nápojů a tabáku meziročně vzrostly o 7,7 %. Z toho ceny tabáku byly vyšší o 11,9 % a alkoholu o 1,9 %. Ceny potravin a nealkoholických nápojů loni vzrostly o 0,8 % a přispěly k tomu zejména ceny olejů a tuků (12,3 %), pekárenských výrobků a obilovin (1,9 %) a mléka, sýrů a vajec (1,1 %). Naopak ceny masa byly nižší o 1,8 %. V závěru roku ale růst cen potravin a nealkoholických nápojů sílil a ve 4. čtvrtletí dosáhl 2,3 %. Meziroční navýšení cen pekárenských výrobků a obilovin zrychlilo na 4,4 %, mléka, sýrů a vajec na 3,9 % a olejů a tuků na 21,2 %. Pokračoval pokles cen masa, které byly ve 4. čtvrtletí nižší o 1,8 %.</w:t>
            </w:r>
          </w:p>
        </w:tc>
      </w:tr>
      <w:tr w:rsidR="009B553D" w:rsidRPr="009110F7" w14:paraId="1AE7548C" w14:textId="77777777" w:rsidTr="00913237">
        <w:trPr>
          <w:trHeight w:val="145"/>
        </w:trPr>
        <w:tc>
          <w:tcPr>
            <w:tcW w:w="1805" w:type="dxa"/>
            <w:shd w:val="clear" w:color="auto" w:fill="auto"/>
            <w:tcMar>
              <w:left w:w="0" w:type="dxa"/>
            </w:tcMar>
          </w:tcPr>
          <w:p w14:paraId="363B3C04" w14:textId="77777777" w:rsidR="009B553D" w:rsidRDefault="009B553D" w:rsidP="00913237">
            <w:pPr>
              <w:pStyle w:val="Marginlie"/>
              <w:rPr>
                <w:spacing w:val="0"/>
              </w:rPr>
            </w:pPr>
            <w:r>
              <w:rPr>
                <w:spacing w:val="0"/>
              </w:rPr>
              <w:t>Rostly ceny ve většině oddílů spotřebního koše.</w:t>
            </w:r>
          </w:p>
        </w:tc>
        <w:tc>
          <w:tcPr>
            <w:tcW w:w="224" w:type="dxa"/>
            <w:shd w:val="clear" w:color="auto" w:fill="auto"/>
            <w:tcMar>
              <w:left w:w="0" w:type="dxa"/>
            </w:tcMar>
          </w:tcPr>
          <w:p w14:paraId="197A2359" w14:textId="77777777" w:rsidR="009B553D" w:rsidRPr="00793D78" w:rsidRDefault="009B553D" w:rsidP="00913237">
            <w:pPr>
              <w:pStyle w:val="Textpoznpodarou1"/>
              <w:jc w:val="both"/>
            </w:pPr>
          </w:p>
        </w:tc>
        <w:tc>
          <w:tcPr>
            <w:tcW w:w="7610" w:type="dxa"/>
            <w:shd w:val="clear" w:color="auto" w:fill="auto"/>
            <w:tcMar>
              <w:left w:w="0" w:type="dxa"/>
            </w:tcMar>
          </w:tcPr>
          <w:p w14:paraId="7DAAC227" w14:textId="4F2D83BE" w:rsidR="009B553D" w:rsidRDefault="009B553D" w:rsidP="00FF0989">
            <w:r>
              <w:t>Ve většině ostatních oddílů spotřebního koše loni došlo k posílení cenového růstu a ve velké míře se to týkalo zboží, kterého se dotklo narušení světové dopravy, případně položek, na které dopadla protiepidemická opatření v maloobchodě a službách. Ceny odívání a obuvi tak vzrostly o 6,5 %, bytové vybavení a zařízení domácnosti zdražilo o 3,5 %, ceny rekreac</w:t>
            </w:r>
            <w:r w:rsidR="00FF0989">
              <w:t>e</w:t>
            </w:r>
            <w:r>
              <w:t xml:space="preserve"> a kultury byly vyšší o 3,0 %, stravování a ubytování o 4,3 % a ostatního zboží a služeb o 3,5 %. Přitom ke zrychlení cenového růstu u těchto položek docházelo zejména ve druhé polovině roku. Ve 4. čtvrtletí tak meziroční přírůstek cen odívání a obuvi dosáhl 12,6 %, bytového vybavení a zařízení domácnosti 6,1 %, rekreac</w:t>
            </w:r>
            <w:r w:rsidR="00FF0989">
              <w:t>e</w:t>
            </w:r>
            <w:r>
              <w:t xml:space="preserve"> a kultury 5,3 %, stravování a ubytování 6,8 % a ostatního zboží a služeb 4,5 %. Pouze ceny pošt a telekomunikací se loni snížily o 0,6 % a klesaly v průběhu celého roku – v samotném 4. čtvrtletí byly nižší o 0,5 %.</w:t>
            </w:r>
          </w:p>
        </w:tc>
      </w:tr>
      <w:tr w:rsidR="009B553D" w:rsidRPr="009110F7" w14:paraId="4CEB2CF5" w14:textId="77777777" w:rsidTr="00913237">
        <w:trPr>
          <w:trHeight w:val="145"/>
        </w:trPr>
        <w:tc>
          <w:tcPr>
            <w:tcW w:w="1805" w:type="dxa"/>
            <w:shd w:val="clear" w:color="auto" w:fill="auto"/>
            <w:tcMar>
              <w:left w:w="0" w:type="dxa"/>
            </w:tcMar>
          </w:tcPr>
          <w:p w14:paraId="37A3346F" w14:textId="77777777" w:rsidR="009B553D" w:rsidRDefault="009B553D" w:rsidP="00913237">
            <w:pPr>
              <w:pStyle w:val="Marginlie"/>
              <w:rPr>
                <w:spacing w:val="0"/>
              </w:rPr>
            </w:pPr>
            <w:r>
              <w:rPr>
                <w:spacing w:val="0"/>
              </w:rPr>
              <w:lastRenderedPageBreak/>
              <w:t>Meziroční růst spotřebitelských cen v EU v průběhu loňského roku posiloval.</w:t>
            </w:r>
          </w:p>
        </w:tc>
        <w:tc>
          <w:tcPr>
            <w:tcW w:w="224" w:type="dxa"/>
            <w:shd w:val="clear" w:color="auto" w:fill="auto"/>
            <w:tcMar>
              <w:left w:w="0" w:type="dxa"/>
            </w:tcMar>
          </w:tcPr>
          <w:p w14:paraId="0B1F5B4C" w14:textId="77777777" w:rsidR="009B553D" w:rsidRPr="00793D78" w:rsidRDefault="009B553D" w:rsidP="00913237">
            <w:pPr>
              <w:pStyle w:val="Textpoznpodarou1"/>
              <w:jc w:val="both"/>
            </w:pPr>
          </w:p>
        </w:tc>
        <w:tc>
          <w:tcPr>
            <w:tcW w:w="7610" w:type="dxa"/>
            <w:shd w:val="clear" w:color="auto" w:fill="auto"/>
            <w:tcMar>
              <w:left w:w="0" w:type="dxa"/>
            </w:tcMar>
          </w:tcPr>
          <w:p w14:paraId="4CFE2556" w14:textId="77777777" w:rsidR="009B553D" w:rsidRDefault="009B553D" w:rsidP="00913237">
            <w:r>
              <w:t>Harmonizovaný index spotřebitelských cen (HICP)</w:t>
            </w:r>
            <w:r>
              <w:rPr>
                <w:rStyle w:val="Znakapoznpodarou"/>
              </w:rPr>
              <w:footnoteReference w:id="51"/>
            </w:r>
            <w:r>
              <w:t xml:space="preserve"> v EU se v roce 2021 zvýšil o 2,9 %, nejvíce od roku 2008. Poměrně výrazný nárůst byl ovlivněn především posílením cen dopravy (6,8 %) a bydlení a energií (4,8 %). Nejvíce se zvyšoval HICP v Polsku (5,2 %), Maďarsku (5,2 %) a Litvě (4,6 %). V seznamu zemí s nadprůměrným růstem HICP převažují novější členové EU včetně Česka (3,3 %). Nejmírněji se loni navyšovaly ceny v Řecku (0,6 %), na Maltě (0,7 %) a v Portugalsku (0,9 %). Meziroční růst HICP v EU v průběhu celého roku 2021 posiloval a ve 4. čtvrtletí dosáhl 4,9 %. Zrychlení ovlivnily především prudce rostoucí ceny dopravy a bydlení a energií. Nejvíce se zvyšovaly spotřebitelské ceny v Litvě (9,4 %), Estonsku (9,1 %) a Polsku (7,3 %). Nejmírnější meziroční přírůstky ve 4. čtvrtletí vykázala Malta (2,1 %), Portugalsko (2,4 %) a Finsko (3,1 %).</w:t>
            </w:r>
          </w:p>
        </w:tc>
      </w:tr>
      <w:tr w:rsidR="009B553D" w:rsidRPr="009110F7" w14:paraId="6D98820C" w14:textId="77777777" w:rsidTr="00913237">
        <w:trPr>
          <w:trHeight w:val="145"/>
        </w:trPr>
        <w:tc>
          <w:tcPr>
            <w:tcW w:w="1805" w:type="dxa"/>
            <w:shd w:val="clear" w:color="auto" w:fill="auto"/>
            <w:tcMar>
              <w:left w:w="0" w:type="dxa"/>
            </w:tcMar>
          </w:tcPr>
          <w:p w14:paraId="75288F3D" w14:textId="77777777" w:rsidR="009B553D" w:rsidRDefault="009B553D" w:rsidP="00913237">
            <w:pPr>
              <w:pStyle w:val="Marginlie"/>
              <w:rPr>
                <w:spacing w:val="0"/>
              </w:rPr>
            </w:pPr>
            <w:r>
              <w:rPr>
                <w:spacing w:val="0"/>
              </w:rPr>
              <w:t>Ceny bytů rostly mimořádně vysokými tempy.</w:t>
            </w:r>
          </w:p>
        </w:tc>
        <w:tc>
          <w:tcPr>
            <w:tcW w:w="224" w:type="dxa"/>
            <w:shd w:val="clear" w:color="auto" w:fill="auto"/>
            <w:tcMar>
              <w:left w:w="0" w:type="dxa"/>
            </w:tcMar>
          </w:tcPr>
          <w:p w14:paraId="300C0801" w14:textId="77777777" w:rsidR="009B553D" w:rsidRPr="00793D78" w:rsidRDefault="009B553D" w:rsidP="00913237">
            <w:pPr>
              <w:pStyle w:val="Textpoznpodarou1"/>
              <w:jc w:val="both"/>
            </w:pPr>
          </w:p>
        </w:tc>
        <w:tc>
          <w:tcPr>
            <w:tcW w:w="7610" w:type="dxa"/>
            <w:shd w:val="clear" w:color="auto" w:fill="auto"/>
            <w:tcMar>
              <w:left w:w="0" w:type="dxa"/>
            </w:tcMar>
          </w:tcPr>
          <w:p w14:paraId="589BD71E" w14:textId="77777777" w:rsidR="009B553D" w:rsidRDefault="009B553D" w:rsidP="00913237">
            <w:r>
              <w:t>Napětí na trhu nemovitostí se nadále prohlubovalo a s ním také rapidně zrychloval růst cen nemovitostí v celém Česku. Převis poptávky nad nabídkou posiloval přebytek volné hotovosti v domácnostech i tlak na zajištění výhodnějšího financování v očekávání dalšího nárůstu úrokových sazeb. Meziroční růst nabídkových cen bytů v ČR ve 4. čtvrtletí dosáhl 12,4 %, což bylo nejvíce od 1. čtvrtletí 2018. Růst nabídkových cen bytů mimo Prahu posílil na 16,5 %, což bylo nejvíce od konce roku 2008. Nabídkové ceny bytů v Praze meziročně vzrostly o 9,1 %. Realizované ceny starších bytů v ČR byly ve 4. čtvrtletí meziročně vyšší o 25,2 %. Z toho byty mimo Prahu byly dražší o 26,7 %, zatímco ceny bytů v Praze se zvedly o pětinu. Realizované ceny nových bytů v Praze se ve 4. čtvrtletí meziročně zvýšily o 26,5 %.</w:t>
            </w:r>
          </w:p>
        </w:tc>
      </w:tr>
      <w:tr w:rsidR="009B553D" w:rsidRPr="009110F7" w14:paraId="5EC2F05E" w14:textId="77777777" w:rsidTr="00913237">
        <w:trPr>
          <w:trHeight w:val="170"/>
        </w:trPr>
        <w:tc>
          <w:tcPr>
            <w:tcW w:w="1805" w:type="dxa"/>
            <w:vMerge w:val="restart"/>
            <w:shd w:val="clear" w:color="auto" w:fill="auto"/>
            <w:tcMar>
              <w:left w:w="0" w:type="dxa"/>
            </w:tcMar>
          </w:tcPr>
          <w:p w14:paraId="0EC1F2A2" w14:textId="77777777" w:rsidR="009B553D" w:rsidRDefault="009B553D" w:rsidP="00913237">
            <w:pPr>
              <w:pStyle w:val="Marginlie"/>
              <w:rPr>
                <w:spacing w:val="0"/>
              </w:rPr>
            </w:pPr>
          </w:p>
        </w:tc>
        <w:tc>
          <w:tcPr>
            <w:tcW w:w="224" w:type="dxa"/>
            <w:vMerge w:val="restart"/>
            <w:shd w:val="clear" w:color="auto" w:fill="auto"/>
            <w:tcMar>
              <w:left w:w="0" w:type="dxa"/>
            </w:tcMar>
          </w:tcPr>
          <w:p w14:paraId="4185F676" w14:textId="77777777" w:rsidR="009B553D" w:rsidRPr="00793D78" w:rsidRDefault="009B553D" w:rsidP="00913237">
            <w:pPr>
              <w:pStyle w:val="Textpoznpodarou1"/>
              <w:jc w:val="both"/>
            </w:pPr>
          </w:p>
        </w:tc>
        <w:tc>
          <w:tcPr>
            <w:tcW w:w="7610" w:type="dxa"/>
            <w:shd w:val="clear" w:color="auto" w:fill="auto"/>
            <w:tcMar>
              <w:left w:w="0" w:type="dxa"/>
            </w:tcMar>
          </w:tcPr>
          <w:p w14:paraId="4B4CDCE4" w14:textId="3B2F9E2B" w:rsidR="009B553D" w:rsidRDefault="001C3794" w:rsidP="00A02E8B">
            <w:pPr>
              <w:spacing w:after="0"/>
            </w:pPr>
            <w:r>
              <w:rPr>
                <w:b/>
                <w:sz w:val="18"/>
                <w:szCs w:val="18"/>
                <w:lang w:eastAsia="en-US"/>
              </w:rPr>
              <w:t>Graf č. 1</w:t>
            </w:r>
            <w:r w:rsidR="00A02E8B">
              <w:rPr>
                <w:b/>
                <w:sz w:val="18"/>
                <w:szCs w:val="18"/>
                <w:lang w:eastAsia="en-US"/>
              </w:rPr>
              <w:t>2</w:t>
            </w:r>
            <w:r w:rsidR="009B553D" w:rsidRPr="00793D78">
              <w:rPr>
                <w:b/>
                <w:sz w:val="18"/>
                <w:szCs w:val="18"/>
                <w:lang w:eastAsia="en-US"/>
              </w:rPr>
              <w:t xml:space="preserve">  Ceny nemovitostí </w:t>
            </w:r>
            <w:r w:rsidR="009B553D" w:rsidRPr="009067EA">
              <w:rPr>
                <w:sz w:val="18"/>
                <w:szCs w:val="18"/>
                <w:lang w:eastAsia="en-US"/>
              </w:rPr>
              <w:t>(meziroční změna, v %)</w:t>
            </w:r>
          </w:p>
        </w:tc>
      </w:tr>
      <w:tr w:rsidR="009B553D" w:rsidRPr="009110F7" w14:paraId="44AF19B3" w14:textId="77777777" w:rsidTr="00913237">
        <w:tblPrEx>
          <w:tblCellMar>
            <w:left w:w="70" w:type="dxa"/>
            <w:right w:w="70" w:type="dxa"/>
          </w:tblCellMar>
        </w:tblPrEx>
        <w:trPr>
          <w:trHeight w:val="170"/>
        </w:trPr>
        <w:tc>
          <w:tcPr>
            <w:tcW w:w="1805" w:type="dxa"/>
            <w:vMerge/>
            <w:shd w:val="clear" w:color="auto" w:fill="auto"/>
          </w:tcPr>
          <w:p w14:paraId="778C224F" w14:textId="77777777" w:rsidR="009B553D" w:rsidRDefault="009B553D" w:rsidP="00913237">
            <w:pPr>
              <w:pStyle w:val="Marginlie"/>
              <w:rPr>
                <w:spacing w:val="0"/>
              </w:rPr>
            </w:pPr>
          </w:p>
        </w:tc>
        <w:tc>
          <w:tcPr>
            <w:tcW w:w="224" w:type="dxa"/>
            <w:vMerge/>
            <w:shd w:val="clear" w:color="auto" w:fill="auto"/>
          </w:tcPr>
          <w:p w14:paraId="560D1A92" w14:textId="77777777" w:rsidR="009B553D" w:rsidRPr="00793D78" w:rsidRDefault="009B553D" w:rsidP="00913237">
            <w:pPr>
              <w:pStyle w:val="Textpoznpodarou1"/>
              <w:jc w:val="both"/>
            </w:pPr>
          </w:p>
        </w:tc>
        <w:tc>
          <w:tcPr>
            <w:tcW w:w="7610" w:type="dxa"/>
            <w:shd w:val="clear" w:color="auto" w:fill="auto"/>
          </w:tcPr>
          <w:p w14:paraId="4FC14634" w14:textId="77777777" w:rsidR="009B553D" w:rsidRDefault="009B553D" w:rsidP="00913237">
            <w:pPr>
              <w:spacing w:after="0"/>
            </w:pPr>
            <w:r>
              <w:rPr>
                <w:noProof/>
              </w:rPr>
              <w:drawing>
                <wp:inline distT="0" distB="0" distL="0" distR="0" wp14:anchorId="26417697" wp14:editId="386F51A7">
                  <wp:extent cx="4737600" cy="3553200"/>
                  <wp:effectExtent l="0" t="0" r="6350" b="0"/>
                  <wp:docPr id="21" name="Graf 2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9B553D" w:rsidRPr="009110F7" w14:paraId="491A13AF" w14:textId="77777777" w:rsidTr="00913237">
        <w:trPr>
          <w:trHeight w:val="170"/>
        </w:trPr>
        <w:tc>
          <w:tcPr>
            <w:tcW w:w="1805" w:type="dxa"/>
            <w:vMerge/>
            <w:shd w:val="clear" w:color="auto" w:fill="auto"/>
            <w:tcMar>
              <w:left w:w="0" w:type="dxa"/>
            </w:tcMar>
          </w:tcPr>
          <w:p w14:paraId="0C79B595" w14:textId="77777777" w:rsidR="009B553D" w:rsidRDefault="009B553D" w:rsidP="00913237">
            <w:pPr>
              <w:pStyle w:val="Marginlie"/>
              <w:rPr>
                <w:spacing w:val="0"/>
              </w:rPr>
            </w:pPr>
          </w:p>
        </w:tc>
        <w:tc>
          <w:tcPr>
            <w:tcW w:w="224" w:type="dxa"/>
            <w:vMerge/>
            <w:shd w:val="clear" w:color="auto" w:fill="auto"/>
            <w:tcMar>
              <w:left w:w="0" w:type="dxa"/>
            </w:tcMar>
          </w:tcPr>
          <w:p w14:paraId="3437C888" w14:textId="77777777" w:rsidR="009B553D" w:rsidRPr="00793D78" w:rsidRDefault="009B553D" w:rsidP="00913237">
            <w:pPr>
              <w:pStyle w:val="Textpoznpodarou1"/>
              <w:jc w:val="both"/>
            </w:pPr>
          </w:p>
        </w:tc>
        <w:tc>
          <w:tcPr>
            <w:tcW w:w="7610" w:type="dxa"/>
            <w:shd w:val="clear" w:color="auto" w:fill="auto"/>
            <w:tcMar>
              <w:left w:w="0" w:type="dxa"/>
            </w:tcMar>
          </w:tcPr>
          <w:p w14:paraId="5B14D41C" w14:textId="77777777" w:rsidR="009B553D" w:rsidRDefault="009B553D" w:rsidP="00913237">
            <w:r w:rsidRPr="00793D78">
              <w:rPr>
                <w:sz w:val="14"/>
                <w:szCs w:val="14"/>
              </w:rPr>
              <w:t>Zdroj: ČSÚ</w:t>
            </w:r>
          </w:p>
        </w:tc>
      </w:tr>
      <w:tr w:rsidR="009B553D" w:rsidRPr="009110F7" w14:paraId="59B5CF3A" w14:textId="77777777" w:rsidTr="00913237">
        <w:trPr>
          <w:trHeight w:val="145"/>
        </w:trPr>
        <w:tc>
          <w:tcPr>
            <w:tcW w:w="1805" w:type="dxa"/>
            <w:shd w:val="clear" w:color="auto" w:fill="auto"/>
            <w:tcMar>
              <w:left w:w="0" w:type="dxa"/>
            </w:tcMar>
          </w:tcPr>
          <w:p w14:paraId="0871EE6E" w14:textId="77777777" w:rsidR="009B553D" w:rsidRDefault="009B553D" w:rsidP="00913237">
            <w:pPr>
              <w:pStyle w:val="Marginlie"/>
              <w:rPr>
                <w:spacing w:val="0"/>
              </w:rPr>
            </w:pPr>
            <w:r>
              <w:rPr>
                <w:spacing w:val="0"/>
              </w:rPr>
              <w:t>Ceny průmyslových výrobců loni rostly rekordním tempem.</w:t>
            </w:r>
          </w:p>
        </w:tc>
        <w:tc>
          <w:tcPr>
            <w:tcW w:w="224" w:type="dxa"/>
            <w:shd w:val="clear" w:color="auto" w:fill="auto"/>
            <w:tcMar>
              <w:left w:w="0" w:type="dxa"/>
            </w:tcMar>
          </w:tcPr>
          <w:p w14:paraId="15D49AE0" w14:textId="77777777" w:rsidR="009B553D" w:rsidRPr="00793D78" w:rsidRDefault="009B553D" w:rsidP="00913237">
            <w:pPr>
              <w:pStyle w:val="Textpoznpodarou1"/>
              <w:jc w:val="both"/>
            </w:pPr>
          </w:p>
        </w:tc>
        <w:tc>
          <w:tcPr>
            <w:tcW w:w="7610" w:type="dxa"/>
            <w:shd w:val="clear" w:color="auto" w:fill="auto"/>
            <w:tcMar>
              <w:left w:w="0" w:type="dxa"/>
            </w:tcMar>
          </w:tcPr>
          <w:p w14:paraId="18463D99" w14:textId="77777777" w:rsidR="009B553D" w:rsidRDefault="009B553D" w:rsidP="00913237">
            <w:r>
              <w:t>Ceny průmyslových výrobců se v roce 2021 zvýšily o 7,1 %, což bylo nejvíce od roku 1995. Většinu z tohoto nárůstu ovlivnily ceny výrobků a služeb zpracovatelského průmyslu, které vzrostly o 8,4 %. Přispívalo k tomu zejména navýšení cen obecných kovů a kovodělných výrobků (17,2 %) a koksu a rafinovaných ropných produktů</w:t>
            </w:r>
            <w:r>
              <w:rPr>
                <w:rStyle w:val="Znakapoznpodarou"/>
              </w:rPr>
              <w:footnoteReference w:id="52"/>
            </w:r>
            <w:r>
              <w:t xml:space="preserve">. S vývojem cen ropy byl spojen i silný přírůstek cen chemických látek a výrobků </w:t>
            </w:r>
            <w:r>
              <w:lastRenderedPageBreak/>
              <w:t xml:space="preserve">(31,8 %) a výrazné zdražení se dotklo i dřeva, papíru a tisku (13,4 %). Solidně rostly i ceny pryžových a plastových výrobků (4,6 %), elektrických zařízení (4,6 %), textilu, oděvů a usní (4,4 %), nábytku a ostatních výrobků zpracovatelského průmyslu (3,6 %) a strojů a zařízení (3,1 %). Mírně rostly ceny základních farmaceutických výrobků (2,0 %), potravinářských výrobků, nápojů a tabáku (0,8 %) a počítačů, elektronických a optických přístrojů (0,4 %). Nižší byly loni pouze ceny dopravních prostředků </w:t>
            </w:r>
            <w:r>
              <w:br/>
              <w:t>(–0,9 %). Ceny elektřiny, plynu, páry a klimatizovaného vzduchu loni celkově vzrostly o 1,7 %, těžby a dobývání o 4,3 % a zásobování vodou a souvisejících služeb o 6,2 %.</w:t>
            </w:r>
          </w:p>
        </w:tc>
      </w:tr>
      <w:tr w:rsidR="009B553D" w:rsidRPr="009110F7" w14:paraId="7CC45A67" w14:textId="77777777" w:rsidTr="00913237">
        <w:trPr>
          <w:trHeight w:val="145"/>
        </w:trPr>
        <w:tc>
          <w:tcPr>
            <w:tcW w:w="1805" w:type="dxa"/>
            <w:shd w:val="clear" w:color="auto" w:fill="auto"/>
            <w:tcMar>
              <w:left w:w="0" w:type="dxa"/>
            </w:tcMar>
          </w:tcPr>
          <w:p w14:paraId="2EDBCA33" w14:textId="77777777" w:rsidR="009B553D" w:rsidRDefault="009B553D" w:rsidP="00913237">
            <w:pPr>
              <w:pStyle w:val="Marginlie"/>
              <w:rPr>
                <w:spacing w:val="0"/>
              </w:rPr>
            </w:pPr>
            <w:r>
              <w:rPr>
                <w:spacing w:val="0"/>
              </w:rPr>
              <w:lastRenderedPageBreak/>
              <w:t>Meziroční přírůstek cen průmyslových výrobců v průběhu roku 2021 sílil.</w:t>
            </w:r>
          </w:p>
        </w:tc>
        <w:tc>
          <w:tcPr>
            <w:tcW w:w="224" w:type="dxa"/>
            <w:shd w:val="clear" w:color="auto" w:fill="auto"/>
            <w:tcMar>
              <w:left w:w="0" w:type="dxa"/>
            </w:tcMar>
          </w:tcPr>
          <w:p w14:paraId="40E8D01B" w14:textId="77777777" w:rsidR="009B553D" w:rsidRPr="00793D78" w:rsidRDefault="009B553D" w:rsidP="00913237">
            <w:pPr>
              <w:pStyle w:val="Textpoznpodarou1"/>
              <w:jc w:val="both"/>
            </w:pPr>
          </w:p>
        </w:tc>
        <w:tc>
          <w:tcPr>
            <w:tcW w:w="7610" w:type="dxa"/>
            <w:shd w:val="clear" w:color="auto" w:fill="auto"/>
            <w:tcMar>
              <w:left w:w="0" w:type="dxa"/>
            </w:tcMar>
          </w:tcPr>
          <w:p w14:paraId="3E8483E2" w14:textId="77777777" w:rsidR="009B553D" w:rsidRDefault="009B553D" w:rsidP="00913237">
            <w:pPr>
              <w:rPr>
                <w:rStyle w:val="Znakapoznpodarou"/>
              </w:rPr>
            </w:pPr>
            <w:r>
              <w:t>Podobně jako u spotřebitelských cen i meziroční růst cen průmyslových výrobců v průběhu roku prudce zrychloval a ve 4. čtvrtletí dosáhl 12,8 %. V závěru roku zrychlil cenový růst ve většině sekcí. Výrobky a služby zpracovatelského průmyslu byly meziročně dražší o 14,5 % a posílení dynamiky bylo podpořeno především vývojem u různých surovin. Mimořádně vysoký tak byl přírůstek cen koksu a rafinovaných ropných výrobků, chemických látek a výrobků (51,4 %), obecných kovů a kovodělných výrobků (26,5 %) a dřeva, papíru a tisku (25,1 %). S výjimkou dopravních prostředků (pokles o 1,4 %) ale narůstaly ceny ve všech oddílech průmyslové produkce a u většiny se růst zrychloval, protože se jich do nějaké míry dotýkaly problémy s narušením globální dopravy a dodavatelských řetězců. Meziroční přírůstek cen elektřiny, plynu, páry a klimatizovaného vzduchu ve 4. čtvrtletí prudce zrychlil na 5,5 %. Podobně posílil růst cen těžby a dobývání na 13,8 %. Ceny zásobování vodou a souvisejících služeb byly vyšší o 5,9 %.</w:t>
            </w:r>
          </w:p>
        </w:tc>
      </w:tr>
      <w:tr w:rsidR="009B553D" w:rsidRPr="009110F7" w14:paraId="4B62D9CC" w14:textId="77777777" w:rsidTr="00913237">
        <w:trPr>
          <w:trHeight w:val="170"/>
        </w:trPr>
        <w:tc>
          <w:tcPr>
            <w:tcW w:w="1805" w:type="dxa"/>
            <w:vMerge w:val="restart"/>
            <w:shd w:val="clear" w:color="auto" w:fill="auto"/>
            <w:tcMar>
              <w:left w:w="0" w:type="dxa"/>
            </w:tcMar>
          </w:tcPr>
          <w:p w14:paraId="13CD1170" w14:textId="77777777" w:rsidR="009B553D" w:rsidRDefault="009B553D" w:rsidP="00913237">
            <w:pPr>
              <w:pStyle w:val="Marginlie"/>
              <w:rPr>
                <w:spacing w:val="0"/>
              </w:rPr>
            </w:pPr>
          </w:p>
        </w:tc>
        <w:tc>
          <w:tcPr>
            <w:tcW w:w="224" w:type="dxa"/>
            <w:vMerge w:val="restart"/>
            <w:shd w:val="clear" w:color="auto" w:fill="auto"/>
            <w:tcMar>
              <w:left w:w="0" w:type="dxa"/>
            </w:tcMar>
          </w:tcPr>
          <w:p w14:paraId="3D22BE72" w14:textId="77777777" w:rsidR="009B553D" w:rsidRPr="00793D78" w:rsidRDefault="009B553D" w:rsidP="00913237">
            <w:pPr>
              <w:pStyle w:val="Textpoznpodarou1"/>
              <w:jc w:val="both"/>
              <w:rPr>
                <w:highlight w:val="yellow"/>
              </w:rPr>
            </w:pPr>
          </w:p>
        </w:tc>
        <w:tc>
          <w:tcPr>
            <w:tcW w:w="7610" w:type="dxa"/>
            <w:shd w:val="clear" w:color="auto" w:fill="auto"/>
            <w:tcMar>
              <w:left w:w="0" w:type="dxa"/>
            </w:tcMar>
          </w:tcPr>
          <w:p w14:paraId="78F0DD33" w14:textId="13D7ED2A" w:rsidR="009B553D" w:rsidRPr="00D75AC1" w:rsidRDefault="001C3794" w:rsidP="00A02E8B">
            <w:pPr>
              <w:spacing w:after="0"/>
              <w:rPr>
                <w:b/>
                <w:szCs w:val="20"/>
              </w:rPr>
            </w:pPr>
            <w:r>
              <w:rPr>
                <w:b/>
                <w:sz w:val="18"/>
                <w:szCs w:val="18"/>
              </w:rPr>
              <w:t>Graf č. 1</w:t>
            </w:r>
            <w:r w:rsidR="00A02E8B">
              <w:rPr>
                <w:b/>
                <w:sz w:val="18"/>
                <w:szCs w:val="18"/>
              </w:rPr>
              <w:t>3</w:t>
            </w:r>
            <w:r w:rsidR="009B553D" w:rsidRPr="00793D78">
              <w:rPr>
                <w:b/>
                <w:sz w:val="18"/>
                <w:szCs w:val="18"/>
              </w:rPr>
              <w:t xml:space="preserve">  </w:t>
            </w:r>
            <w:r w:rsidR="009B553D" w:rsidRPr="00793D78">
              <w:rPr>
                <w:b/>
                <w:sz w:val="18"/>
                <w:szCs w:val="18"/>
                <w:lang w:eastAsia="en-US"/>
              </w:rPr>
              <w:t xml:space="preserve">Ceny hlavních skupin průmyslových výrobců </w:t>
            </w:r>
            <w:r w:rsidR="009B553D" w:rsidRPr="009067EA">
              <w:rPr>
                <w:sz w:val="18"/>
                <w:szCs w:val="18"/>
                <w:lang w:eastAsia="en-US"/>
              </w:rPr>
              <w:t>(meziroční změna, v %, podle klasifikace CPA)</w:t>
            </w:r>
          </w:p>
        </w:tc>
      </w:tr>
      <w:tr w:rsidR="009B553D" w:rsidRPr="009110F7" w14:paraId="36CB296B" w14:textId="77777777" w:rsidTr="00913237">
        <w:tblPrEx>
          <w:tblCellMar>
            <w:left w:w="70" w:type="dxa"/>
            <w:right w:w="70" w:type="dxa"/>
          </w:tblCellMar>
        </w:tblPrEx>
        <w:trPr>
          <w:trHeight w:val="170"/>
        </w:trPr>
        <w:tc>
          <w:tcPr>
            <w:tcW w:w="1805" w:type="dxa"/>
            <w:vMerge/>
            <w:shd w:val="clear" w:color="auto" w:fill="auto"/>
          </w:tcPr>
          <w:p w14:paraId="2A4A5315" w14:textId="77777777" w:rsidR="009B553D" w:rsidRPr="00793D78" w:rsidRDefault="009B553D" w:rsidP="00913237">
            <w:pPr>
              <w:pStyle w:val="Marginlie"/>
              <w:rPr>
                <w:spacing w:val="0"/>
              </w:rPr>
            </w:pPr>
          </w:p>
        </w:tc>
        <w:tc>
          <w:tcPr>
            <w:tcW w:w="224" w:type="dxa"/>
            <w:vMerge/>
            <w:shd w:val="clear" w:color="auto" w:fill="auto"/>
          </w:tcPr>
          <w:p w14:paraId="00621CA8" w14:textId="77777777" w:rsidR="009B553D" w:rsidRPr="00793D78" w:rsidRDefault="009B553D" w:rsidP="00913237">
            <w:pPr>
              <w:pStyle w:val="Textpoznpodarou1"/>
              <w:jc w:val="both"/>
            </w:pPr>
          </w:p>
        </w:tc>
        <w:tc>
          <w:tcPr>
            <w:tcW w:w="7610" w:type="dxa"/>
            <w:shd w:val="clear" w:color="auto" w:fill="auto"/>
          </w:tcPr>
          <w:p w14:paraId="4EF20C35" w14:textId="77777777" w:rsidR="009B553D" w:rsidRPr="00793D78" w:rsidRDefault="009B553D" w:rsidP="00913237">
            <w:pPr>
              <w:spacing w:after="0"/>
            </w:pPr>
            <w:r>
              <w:rPr>
                <w:noProof/>
              </w:rPr>
              <w:drawing>
                <wp:inline distT="0" distB="0" distL="0" distR="0" wp14:anchorId="219C427F" wp14:editId="02AFB8EA">
                  <wp:extent cx="4737600" cy="3378575"/>
                  <wp:effectExtent l="0" t="0" r="6350" b="0"/>
                  <wp:docPr id="29" name="Graf 2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9B553D" w:rsidRPr="009110F7" w14:paraId="0EA01CAA" w14:textId="77777777" w:rsidTr="00913237">
        <w:trPr>
          <w:trHeight w:val="170"/>
        </w:trPr>
        <w:tc>
          <w:tcPr>
            <w:tcW w:w="1805" w:type="dxa"/>
            <w:vMerge/>
            <w:shd w:val="clear" w:color="auto" w:fill="auto"/>
            <w:tcMar>
              <w:left w:w="0" w:type="dxa"/>
            </w:tcMar>
          </w:tcPr>
          <w:p w14:paraId="2B00BFC5" w14:textId="77777777" w:rsidR="009B553D" w:rsidRPr="00793D78" w:rsidRDefault="009B553D" w:rsidP="00913237">
            <w:pPr>
              <w:pStyle w:val="Marginlie"/>
              <w:rPr>
                <w:spacing w:val="0"/>
              </w:rPr>
            </w:pPr>
          </w:p>
        </w:tc>
        <w:tc>
          <w:tcPr>
            <w:tcW w:w="224" w:type="dxa"/>
            <w:vMerge/>
            <w:shd w:val="clear" w:color="auto" w:fill="auto"/>
            <w:tcMar>
              <w:left w:w="0" w:type="dxa"/>
            </w:tcMar>
          </w:tcPr>
          <w:p w14:paraId="56C9B07F" w14:textId="77777777" w:rsidR="009B553D" w:rsidRPr="00793D78" w:rsidRDefault="009B553D" w:rsidP="00913237">
            <w:pPr>
              <w:pStyle w:val="Textpoznpodarou1"/>
              <w:jc w:val="both"/>
            </w:pPr>
          </w:p>
        </w:tc>
        <w:tc>
          <w:tcPr>
            <w:tcW w:w="7610" w:type="dxa"/>
            <w:shd w:val="clear" w:color="auto" w:fill="auto"/>
            <w:tcMar>
              <w:left w:w="0" w:type="dxa"/>
            </w:tcMar>
          </w:tcPr>
          <w:p w14:paraId="1284E05D" w14:textId="77777777" w:rsidR="009B553D" w:rsidRPr="00793D78" w:rsidRDefault="009B553D" w:rsidP="00913237">
            <w:r w:rsidRPr="00793D78">
              <w:rPr>
                <w:sz w:val="14"/>
                <w:szCs w:val="14"/>
              </w:rPr>
              <w:t>Zdroj: ČSÚ</w:t>
            </w:r>
          </w:p>
        </w:tc>
      </w:tr>
      <w:tr w:rsidR="009B553D" w:rsidRPr="009110F7" w14:paraId="0B241F7D" w14:textId="77777777" w:rsidTr="00913237">
        <w:trPr>
          <w:trHeight w:val="145"/>
        </w:trPr>
        <w:tc>
          <w:tcPr>
            <w:tcW w:w="1805" w:type="dxa"/>
            <w:shd w:val="clear" w:color="auto" w:fill="auto"/>
            <w:tcMar>
              <w:left w:w="0" w:type="dxa"/>
            </w:tcMar>
          </w:tcPr>
          <w:p w14:paraId="2F78672C" w14:textId="77777777" w:rsidR="009B553D" w:rsidRDefault="009B553D" w:rsidP="00913237">
            <w:pPr>
              <w:pStyle w:val="Marginlie"/>
              <w:rPr>
                <w:spacing w:val="0"/>
              </w:rPr>
            </w:pPr>
            <w:r>
              <w:rPr>
                <w:spacing w:val="0"/>
              </w:rPr>
              <w:t>Ceny průmyslových výrobců v EU rekordně rostly.</w:t>
            </w:r>
          </w:p>
        </w:tc>
        <w:tc>
          <w:tcPr>
            <w:tcW w:w="224" w:type="dxa"/>
            <w:shd w:val="clear" w:color="auto" w:fill="auto"/>
            <w:tcMar>
              <w:left w:w="0" w:type="dxa"/>
            </w:tcMar>
          </w:tcPr>
          <w:p w14:paraId="391ACC6A" w14:textId="77777777" w:rsidR="009B553D" w:rsidRPr="00793D78" w:rsidRDefault="009B553D" w:rsidP="00913237">
            <w:pPr>
              <w:pStyle w:val="Textpoznpodarou1"/>
              <w:jc w:val="both"/>
            </w:pPr>
          </w:p>
        </w:tc>
        <w:tc>
          <w:tcPr>
            <w:tcW w:w="7610" w:type="dxa"/>
            <w:shd w:val="clear" w:color="auto" w:fill="auto"/>
            <w:tcMar>
              <w:left w:w="0" w:type="dxa"/>
            </w:tcMar>
          </w:tcPr>
          <w:p w14:paraId="5420D8A5" w14:textId="1AD9D391" w:rsidR="009B553D" w:rsidRDefault="009B553D" w:rsidP="006D47D9">
            <w:r>
              <w:t>Ceny průmyslových výrobců v EU v roce 2021 vzrostly celkově o 12,</w:t>
            </w:r>
            <w:r w:rsidR="006D47D9">
              <w:t>4</w:t>
            </w:r>
            <w:r>
              <w:t> %</w:t>
            </w:r>
            <w:r>
              <w:rPr>
                <w:rStyle w:val="Znakapoznpodarou"/>
              </w:rPr>
              <w:footnoteReference w:id="53"/>
            </w:r>
            <w:r>
              <w:t>. Jde o zcela rekordní úroveň přírůstku. Velmi silně loni rostly ceny elektřiny, plynu, páry a klimatizovaného vzduchu (31,9 %) a těžby a dobývání (30,</w:t>
            </w:r>
            <w:r w:rsidR="006D47D9">
              <w:t>3</w:t>
            </w:r>
            <w:r>
              <w:t> %), ale také ceny zboží a služeb zpracovatelského průmyslu (7,</w:t>
            </w:r>
            <w:r w:rsidR="006D47D9">
              <w:t>7</w:t>
            </w:r>
            <w:r>
              <w:t> %). Nejvíce vzrostly ceny průmyslových výrobců v Irsku (55,</w:t>
            </w:r>
            <w:r w:rsidR="006D47D9">
              <w:t>8</w:t>
            </w:r>
            <w:r>
              <w:t xml:space="preserve"> %), Dánsku (25,2 %) a v Belgii (21,1 %). Nejmírnější přírůstek </w:t>
            </w:r>
            <w:r>
              <w:lastRenderedPageBreak/>
              <w:t>vykázala Malta (1,9 %) a dále Slovensko (5,5 %), Slovinsko (6,</w:t>
            </w:r>
            <w:r w:rsidR="006D47D9">
              <w:t>1</w:t>
            </w:r>
            <w:r>
              <w:t> %) a Česko (7,1 %). Také meziroční růst cen průmyslových výrobců v průběhu roku zrychloval a ve 4. čtvrtletí dosáhl 23,9 %. Nejvíce se zvyšovaly ceny v Irsku (92,</w:t>
            </w:r>
            <w:r w:rsidR="006D47D9">
              <w:t>6</w:t>
            </w:r>
            <w:r>
              <w:t> %), Dánsku (50,3 %) a Rumunsku (38,4 %). Nejnižší přírůstek cen opět vykázala Malta (3,</w:t>
            </w:r>
            <w:r w:rsidR="006D47D9">
              <w:t>8</w:t>
            </w:r>
            <w:r>
              <w:t> %) a za ní Slovinsko (10,</w:t>
            </w:r>
            <w:r w:rsidR="006D47D9">
              <w:t>1</w:t>
            </w:r>
            <w:r>
              <w:t xml:space="preserve"> %), </w:t>
            </w:r>
            <w:r w:rsidR="006D47D9">
              <w:t>Česko (12,8 %) a Slovensko (13,4</w:t>
            </w:r>
            <w:r>
              <w:t> %).</w:t>
            </w:r>
          </w:p>
        </w:tc>
      </w:tr>
      <w:tr w:rsidR="009B553D" w:rsidRPr="009110F7" w14:paraId="25BCA707" w14:textId="77777777" w:rsidTr="00913237">
        <w:trPr>
          <w:trHeight w:val="145"/>
        </w:trPr>
        <w:tc>
          <w:tcPr>
            <w:tcW w:w="1805" w:type="dxa"/>
            <w:shd w:val="clear" w:color="auto" w:fill="auto"/>
            <w:tcMar>
              <w:left w:w="0" w:type="dxa"/>
            </w:tcMar>
          </w:tcPr>
          <w:p w14:paraId="03D8C752" w14:textId="77777777" w:rsidR="009B553D" w:rsidRDefault="009B553D" w:rsidP="00913237">
            <w:pPr>
              <w:pStyle w:val="Marginlie"/>
              <w:rPr>
                <w:spacing w:val="0"/>
              </w:rPr>
            </w:pPr>
            <w:r>
              <w:rPr>
                <w:spacing w:val="0"/>
              </w:rPr>
              <w:lastRenderedPageBreak/>
              <w:t>Na cenách stavebních prací se projevilo mimořádné zdražování materiálu.</w:t>
            </w:r>
          </w:p>
        </w:tc>
        <w:tc>
          <w:tcPr>
            <w:tcW w:w="224" w:type="dxa"/>
            <w:shd w:val="clear" w:color="auto" w:fill="auto"/>
            <w:tcMar>
              <w:left w:w="0" w:type="dxa"/>
            </w:tcMar>
          </w:tcPr>
          <w:p w14:paraId="2E633E27" w14:textId="77777777" w:rsidR="009B553D" w:rsidRPr="00793D78" w:rsidRDefault="009B553D" w:rsidP="00913237">
            <w:pPr>
              <w:pStyle w:val="Textpoznpodarou1"/>
              <w:jc w:val="both"/>
            </w:pPr>
          </w:p>
        </w:tc>
        <w:tc>
          <w:tcPr>
            <w:tcW w:w="7610" w:type="dxa"/>
            <w:shd w:val="clear" w:color="auto" w:fill="auto"/>
            <w:tcMar>
              <w:left w:w="0" w:type="dxa"/>
            </w:tcMar>
          </w:tcPr>
          <w:p w14:paraId="30541BD6" w14:textId="77777777" w:rsidR="009B553D" w:rsidRPr="00793D78" w:rsidRDefault="009B553D" w:rsidP="00913237">
            <w:r>
              <w:t>Přírůstek cen stavebních prací loni výrazně posílil a celkově dosáhl 5,1 %. Značně se na tom podílelo zdražení materiálů a výrobků spotřebovaných ve stavebnictví (10,9 %). Meziroční růst indexu cen stavebních prací v průběhu celého roku 2021 zrychloval a ve 4. čtvrtletí dosáhl 7,9 %. Přitom ceny materiálů a výrobků spotřebovávaných ve stavebnictví byly meziročně vyšší o 17,0 %. Oproti 3. čtvrtletí se ceny stavebních prací zvýšily o 2,0 % a ceny materiálů a výrobků o 2,5 %.</w:t>
            </w:r>
          </w:p>
        </w:tc>
      </w:tr>
      <w:tr w:rsidR="009B553D" w:rsidRPr="009110F7" w14:paraId="319F021C" w14:textId="77777777" w:rsidTr="00913237">
        <w:trPr>
          <w:trHeight w:val="145"/>
        </w:trPr>
        <w:tc>
          <w:tcPr>
            <w:tcW w:w="1805" w:type="dxa"/>
            <w:shd w:val="clear" w:color="auto" w:fill="auto"/>
            <w:tcMar>
              <w:left w:w="0" w:type="dxa"/>
            </w:tcMar>
          </w:tcPr>
          <w:p w14:paraId="5160798E" w14:textId="77777777" w:rsidR="009B553D" w:rsidRPr="00793D78" w:rsidRDefault="009B553D" w:rsidP="00913237">
            <w:pPr>
              <w:pStyle w:val="Marginlie"/>
              <w:rPr>
                <w:spacing w:val="0"/>
              </w:rPr>
            </w:pPr>
            <w:r>
              <w:rPr>
                <w:spacing w:val="0"/>
              </w:rPr>
              <w:t>Přírůstek cen tržních služeb loni zvolnil.</w:t>
            </w:r>
          </w:p>
        </w:tc>
        <w:tc>
          <w:tcPr>
            <w:tcW w:w="224" w:type="dxa"/>
            <w:shd w:val="clear" w:color="auto" w:fill="auto"/>
            <w:tcMar>
              <w:left w:w="0" w:type="dxa"/>
            </w:tcMar>
          </w:tcPr>
          <w:p w14:paraId="7D241765" w14:textId="77777777" w:rsidR="009B553D" w:rsidRPr="00793D78" w:rsidRDefault="009B553D" w:rsidP="00913237">
            <w:pPr>
              <w:pStyle w:val="Textpoznpodarou1"/>
              <w:jc w:val="both"/>
            </w:pPr>
          </w:p>
        </w:tc>
        <w:tc>
          <w:tcPr>
            <w:tcW w:w="7610" w:type="dxa"/>
            <w:shd w:val="clear" w:color="auto" w:fill="auto"/>
            <w:tcMar>
              <w:left w:w="0" w:type="dxa"/>
            </w:tcMar>
          </w:tcPr>
          <w:p w14:paraId="6CA28396" w14:textId="77777777" w:rsidR="009B553D" w:rsidRPr="00793D78" w:rsidRDefault="009B553D" w:rsidP="00913237">
            <w:r>
              <w:t>Ceny tržních služeb se v roce 2021 zvýšily o 1,3 %. Přírůstek tak byl nejmírnější od roku 2016 a promítala se do něj problematická situace v některých odvětvích. Ke zpomalení nejvíce přispěl vývoj cen skladování a podpůrných služeb v dopravě, jejichž přírůstek loni zmírnil na 1,1 %. Pomaleji rostly například i ceny služeb v oblasti programování a souvisejícího poradenství (2,9 %), pojištění, zajištění a penzijního financování (0,6 %) a služeb v oblasti nemovitostí (1,7 %). Stagnovaly ceny architektonických a inženýrských služeb a technických zkoušek a analýz a nižší byly ceny informačních služeb (–2,9 %). Naopak růst cen reklamních služeb a průzkumu trhu loni zrychlil na 1,6 % a posílil i přírůstek cen služeb v oblasti zaměstnání (6,1 %).</w:t>
            </w:r>
          </w:p>
        </w:tc>
      </w:tr>
      <w:tr w:rsidR="009B553D" w:rsidRPr="009110F7" w14:paraId="032DB279" w14:textId="77777777" w:rsidTr="00913237">
        <w:trPr>
          <w:trHeight w:val="145"/>
        </w:trPr>
        <w:tc>
          <w:tcPr>
            <w:tcW w:w="1805" w:type="dxa"/>
            <w:shd w:val="clear" w:color="auto" w:fill="auto"/>
            <w:tcMar>
              <w:left w:w="0" w:type="dxa"/>
            </w:tcMar>
          </w:tcPr>
          <w:p w14:paraId="3C20C650" w14:textId="77777777" w:rsidR="009B553D" w:rsidRDefault="009B553D" w:rsidP="00913237">
            <w:pPr>
              <w:pStyle w:val="Marginlie"/>
              <w:rPr>
                <w:spacing w:val="0"/>
              </w:rPr>
            </w:pPr>
            <w:r>
              <w:rPr>
                <w:spacing w:val="0"/>
              </w:rPr>
              <w:t>Na konci roku 2021 růst cen tržních služeb posiloval.</w:t>
            </w:r>
          </w:p>
        </w:tc>
        <w:tc>
          <w:tcPr>
            <w:tcW w:w="224" w:type="dxa"/>
            <w:shd w:val="clear" w:color="auto" w:fill="auto"/>
            <w:tcMar>
              <w:left w:w="0" w:type="dxa"/>
            </w:tcMar>
          </w:tcPr>
          <w:p w14:paraId="5064B23E" w14:textId="77777777" w:rsidR="009B553D" w:rsidRPr="00793D78" w:rsidRDefault="009B553D" w:rsidP="00913237">
            <w:pPr>
              <w:pStyle w:val="Textpoznpodarou1"/>
              <w:jc w:val="both"/>
            </w:pPr>
          </w:p>
        </w:tc>
        <w:tc>
          <w:tcPr>
            <w:tcW w:w="7610" w:type="dxa"/>
            <w:shd w:val="clear" w:color="auto" w:fill="auto"/>
            <w:tcMar>
              <w:left w:w="0" w:type="dxa"/>
            </w:tcMar>
          </w:tcPr>
          <w:p w14:paraId="4216E3CB" w14:textId="77777777" w:rsidR="009B553D" w:rsidRDefault="009B553D" w:rsidP="00913237">
            <w:r>
              <w:t>Meziroční růst cen tržních služeb v druhé polovině roku 2021 posiloval a ve 4. čtvrtletí dosáhl 1,8 %. K celkovému přírůstku nejvíce přispělo prudké navýšení cen reklamních služeb a průzkumu trhu (6,6 %), cen služeb v oblasti zaměstnání (9,8 %), pozemní a potrubní dopravy (1,6 %), služeb v oblasti programování a souvisejícího poradenství (2,0 %) a služeb v oblasti nemovitostí (1,9 %). Mírně také přispívaly ceny vedení podniků a poradenství (2,7 %), služeb v oblasti pronájmu a operativního leasingu (2,0 %), poštovních a kurýrních služeb (2,0 %), skladování a podpůrných služeb v dopravě (1,5 %) a pojištění, zajištění a penzijního financování (1,0 %). Ve směru poklesu ve 4. čtvrtletí působily zejména ceny telekomunikačních služeb (–0,7 %).</w:t>
            </w:r>
          </w:p>
        </w:tc>
      </w:tr>
      <w:tr w:rsidR="009B553D" w:rsidRPr="009110F7" w14:paraId="11EC28AC" w14:textId="77777777" w:rsidTr="00913237">
        <w:trPr>
          <w:trHeight w:val="145"/>
        </w:trPr>
        <w:tc>
          <w:tcPr>
            <w:tcW w:w="1805" w:type="dxa"/>
            <w:shd w:val="clear" w:color="auto" w:fill="auto"/>
            <w:tcMar>
              <w:left w:w="0" w:type="dxa"/>
            </w:tcMar>
          </w:tcPr>
          <w:p w14:paraId="0B2489A0" w14:textId="77777777" w:rsidR="009B553D" w:rsidRPr="00793D78" w:rsidRDefault="009B553D" w:rsidP="00913237">
            <w:pPr>
              <w:pStyle w:val="Marginlie"/>
              <w:rPr>
                <w:spacing w:val="0"/>
              </w:rPr>
            </w:pPr>
            <w:r>
              <w:rPr>
                <w:spacing w:val="0"/>
              </w:rPr>
              <w:t>Loni se silně zvyšovaly hlavně ceny rostlinné výroby.</w:t>
            </w:r>
          </w:p>
        </w:tc>
        <w:tc>
          <w:tcPr>
            <w:tcW w:w="224" w:type="dxa"/>
            <w:shd w:val="clear" w:color="auto" w:fill="auto"/>
            <w:tcMar>
              <w:left w:w="0" w:type="dxa"/>
            </w:tcMar>
          </w:tcPr>
          <w:p w14:paraId="13C0856A" w14:textId="77777777" w:rsidR="009B553D" w:rsidRPr="00793D78" w:rsidRDefault="009B553D" w:rsidP="00913237">
            <w:pPr>
              <w:pStyle w:val="Textpoznpodarou1"/>
              <w:jc w:val="both"/>
            </w:pPr>
          </w:p>
        </w:tc>
        <w:tc>
          <w:tcPr>
            <w:tcW w:w="7610" w:type="dxa"/>
            <w:shd w:val="clear" w:color="auto" w:fill="auto"/>
            <w:tcMar>
              <w:left w:w="0" w:type="dxa"/>
            </w:tcMar>
          </w:tcPr>
          <w:p w14:paraId="5BCAE626" w14:textId="77777777" w:rsidR="009B553D" w:rsidRPr="00CB64E1" w:rsidRDefault="009B553D" w:rsidP="00913237">
            <w:pPr>
              <w:rPr>
                <w:spacing w:val="-2"/>
              </w:rPr>
            </w:pPr>
            <w:r>
              <w:rPr>
                <w:spacing w:val="-2"/>
              </w:rPr>
              <w:t xml:space="preserve">Ceny zemědělské výroby v roce 2021 vzrostly o 6,9 %. Vyšší byly jen ceny rostlinné výroby (12,4 %). Výrazně rostly ceny obilovin (16,3 %, především pod vlivem cen pšenice, které byly vyšší o 19,3 %) i průmyslových plodin (12,8 %, z toho olejniny zdražily o 14,8 %, luskoviny o 13,9 % a cukrová řepa o 9,7 %). Ceny krmných plodin se zvýšily o 1,1 % a zeleniny a zahradnických produktů o 11,6 %. Naopak výrazně nižší byly ceny brambor (–12,6 %) a klesly i ceny ovoce (–5,0 %). Ceny živočišné výroby stagnovaly </w:t>
            </w:r>
            <w:r>
              <w:rPr>
                <w:spacing w:val="-2"/>
              </w:rPr>
              <w:br/>
              <w:t xml:space="preserve">(–0,2 %). Nižší byly ceny hospodářských zvířat (–5,8 %), zejména prasat a selat </w:t>
            </w:r>
            <w:r>
              <w:rPr>
                <w:spacing w:val="-2"/>
              </w:rPr>
              <w:br/>
              <w:t>(–16,2 %). Naopak skot byl dražší o 4,3 % a drůbež o 1,3 %. Ceny živočišných výrobků loni vzrostly o 4,5 %, z toho mléka o 4,7 % a vajec o 2,1 %.</w:t>
            </w:r>
          </w:p>
        </w:tc>
      </w:tr>
      <w:tr w:rsidR="009B553D" w:rsidRPr="009110F7" w14:paraId="2ED926F0" w14:textId="77777777" w:rsidTr="00913237">
        <w:trPr>
          <w:trHeight w:val="145"/>
        </w:trPr>
        <w:tc>
          <w:tcPr>
            <w:tcW w:w="1805" w:type="dxa"/>
            <w:shd w:val="clear" w:color="auto" w:fill="auto"/>
            <w:tcMar>
              <w:left w:w="0" w:type="dxa"/>
            </w:tcMar>
          </w:tcPr>
          <w:p w14:paraId="2BE0F6A6" w14:textId="77777777" w:rsidR="009B553D" w:rsidRDefault="009B553D" w:rsidP="00913237">
            <w:pPr>
              <w:pStyle w:val="Marginlie"/>
              <w:rPr>
                <w:spacing w:val="0"/>
              </w:rPr>
            </w:pPr>
            <w:r>
              <w:rPr>
                <w:spacing w:val="0"/>
              </w:rPr>
              <w:t>Ve 4. čtvrtletí 2021 byly meziročně vyšší ceny rostlinné i živočišné výroby.</w:t>
            </w:r>
          </w:p>
        </w:tc>
        <w:tc>
          <w:tcPr>
            <w:tcW w:w="224" w:type="dxa"/>
            <w:shd w:val="clear" w:color="auto" w:fill="auto"/>
            <w:tcMar>
              <w:left w:w="0" w:type="dxa"/>
            </w:tcMar>
          </w:tcPr>
          <w:p w14:paraId="7062FF91" w14:textId="77777777" w:rsidR="009B553D" w:rsidRPr="00793D78" w:rsidRDefault="009B553D" w:rsidP="00913237">
            <w:pPr>
              <w:pStyle w:val="Textpoznpodarou1"/>
              <w:jc w:val="both"/>
            </w:pPr>
          </w:p>
        </w:tc>
        <w:tc>
          <w:tcPr>
            <w:tcW w:w="7610" w:type="dxa"/>
            <w:shd w:val="clear" w:color="auto" w:fill="auto"/>
            <w:tcMar>
              <w:left w:w="0" w:type="dxa"/>
            </w:tcMar>
          </w:tcPr>
          <w:p w14:paraId="20F33F89" w14:textId="1346BC1B" w:rsidR="009B553D" w:rsidRDefault="009B553D" w:rsidP="00602998">
            <w:pPr>
              <w:rPr>
                <w:spacing w:val="-2"/>
              </w:rPr>
            </w:pPr>
            <w:r>
              <w:rPr>
                <w:spacing w:val="-2"/>
              </w:rPr>
              <w:t>Meziroční růst cen zemědělské výroby loni v průběhu roku zrychloval a ve 4. čtvrtletí vyšplhal až na 15,7 %. Přitom ceny rostlinné výroby byly vyšší o 2</w:t>
            </w:r>
            <w:r w:rsidR="00602998">
              <w:rPr>
                <w:spacing w:val="-2"/>
              </w:rPr>
              <w:t>1,5</w:t>
            </w:r>
            <w:r>
              <w:rPr>
                <w:spacing w:val="-2"/>
              </w:rPr>
              <w:t xml:space="preserve"> %. Meziroční přírůstek cen obilovin zrychlil na 28,0 %. Podílel se na tom hlavně vývoj cen pšenice (přírůstek 29,4 % ve 4. čtvrtletí), podobně se ale chovaly i ceny mnoha dalších obilovin (žito 24,0 %, ječmen 21,2 %, oves 9,9 %, kukuřice na zrno 40,8 %). Ceny průmyslových plodin meziročně vzrostly o 21,6 %, z toho olejnin o 32,3 %, luskovin o 23,1 % a cukrové řepy o 10,4 %. Krmné plodiny meziročně zdražily o 7,4 % a zelenina a zahradnické produkty o 18,9 %. Ceny brambor se ve 4. čtvrtletí dostaly ze sedm čtvrtletí trvající série meziročních poklesů (1,8 %). Ovoce bylo meziročně levnější o 1,2 %. Ceny živočišné výroby meziročně vzrostly o 5,9 %. Ceny hospodářských zvířat byly vyšší o 1,6 %. Zatímco propad cen prasat a selat se zmírnil na 5,9 %, růst cen skotu zrychlil na 10,8 % </w:t>
            </w:r>
            <w:r>
              <w:rPr>
                <w:spacing w:val="-2"/>
              </w:rPr>
              <w:lastRenderedPageBreak/>
              <w:t>a drůbeže na 3,2 %. Ceny živočišných výrobků byly vyšší o 9,0 %, z toho mléko zdražilo o 9,5 % a vejce o 3,3 %.</w:t>
            </w:r>
          </w:p>
        </w:tc>
      </w:tr>
      <w:tr w:rsidR="009B553D" w:rsidRPr="009110F7" w14:paraId="0B02EFF0" w14:textId="77777777" w:rsidTr="00913237">
        <w:trPr>
          <w:trHeight w:val="145"/>
        </w:trPr>
        <w:tc>
          <w:tcPr>
            <w:tcW w:w="1805" w:type="dxa"/>
            <w:shd w:val="clear" w:color="auto" w:fill="auto"/>
            <w:tcMar>
              <w:left w:w="0" w:type="dxa"/>
            </w:tcMar>
          </w:tcPr>
          <w:p w14:paraId="5BB7998E" w14:textId="77777777" w:rsidR="009B553D" w:rsidRPr="00793D78" w:rsidRDefault="009B553D" w:rsidP="00913237">
            <w:pPr>
              <w:pStyle w:val="Marginlie"/>
              <w:rPr>
                <w:spacing w:val="0"/>
              </w:rPr>
            </w:pPr>
            <w:r>
              <w:rPr>
                <w:spacing w:val="0"/>
              </w:rPr>
              <w:lastRenderedPageBreak/>
              <w:t>Ceny vývozu v roce 2021 rostly.</w:t>
            </w:r>
          </w:p>
        </w:tc>
        <w:tc>
          <w:tcPr>
            <w:tcW w:w="224" w:type="dxa"/>
            <w:shd w:val="clear" w:color="auto" w:fill="auto"/>
            <w:tcMar>
              <w:left w:w="0" w:type="dxa"/>
            </w:tcMar>
          </w:tcPr>
          <w:p w14:paraId="2D8ACAA8" w14:textId="77777777" w:rsidR="009B553D" w:rsidRPr="00793D78" w:rsidRDefault="009B553D" w:rsidP="00913237">
            <w:pPr>
              <w:pStyle w:val="Textpoznpodarou1"/>
              <w:jc w:val="both"/>
            </w:pPr>
          </w:p>
        </w:tc>
        <w:tc>
          <w:tcPr>
            <w:tcW w:w="7610" w:type="dxa"/>
            <w:shd w:val="clear" w:color="auto" w:fill="auto"/>
            <w:tcMar>
              <w:left w:w="0" w:type="dxa"/>
            </w:tcMar>
          </w:tcPr>
          <w:p w14:paraId="408D625A" w14:textId="77777777" w:rsidR="009B553D" w:rsidRPr="00793D78" w:rsidRDefault="009B553D" w:rsidP="00913237">
            <w:r>
              <w:t>Ceny vývozu v roce 2021 vzrostly o 5,8 %. Jejich dynamika tak výrazně posílila. Vývoj kurzu koruny (zejména posilování vůči euru) přitom růst cen zahraničního obchodu tlumil</w:t>
            </w:r>
            <w:r>
              <w:rPr>
                <w:rStyle w:val="Znakapoznpodarou"/>
              </w:rPr>
              <w:footnoteReference w:id="54"/>
            </w:r>
            <w:r>
              <w:t>. Velký podíl na tom měl vývoj cen exportu minerálních paliv (57,9 %) a ostatních surovin</w:t>
            </w:r>
            <w:r>
              <w:rPr>
                <w:rStyle w:val="Znakapoznpodarou"/>
              </w:rPr>
              <w:footnoteReference w:id="55"/>
            </w:r>
            <w:r>
              <w:t xml:space="preserve"> (45,2 %). Silně se zvyšovaly i ceny vývozu chemikálií (10,4 %). Podstatně rostly i ceny polotovarů</w:t>
            </w:r>
            <w:r>
              <w:rPr>
                <w:rStyle w:val="Znakapoznpodarou"/>
              </w:rPr>
              <w:footnoteReference w:id="56"/>
            </w:r>
            <w:r>
              <w:t xml:space="preserve"> (9,1 %) nebo potravin a živých zvířat (4,6 %). Nižší byly loni ceny nápojů a tabáku (–3,2 %) a průmyslového spotřebního zboží (–0,5 %). Meziroční růst cen vývozu v průběhu roku posiloval a v samotném 4. čtvrtletí 2021 dosáhl 9,8 %. Nejvíce meziročně rostly ceny vývozu minerálních paliv (119,2 %) a ostatních surovin (55,6 %). Ceny polotovarů byly vyšší o 16,2 %, chemikálií o 15,7 % a potravin a živých zvířat o 8,9 %. Mírně rostly i ceny vývozu strojů a dopravních prostředků (0,9 %) a průmyslového spotřebního zboží (0,9 %). Klesaly jen ceny nápojů a tabáku (–3,6 %).</w:t>
            </w:r>
          </w:p>
        </w:tc>
      </w:tr>
      <w:tr w:rsidR="009B553D" w:rsidRPr="009110F7" w14:paraId="451B1298" w14:textId="77777777" w:rsidTr="00913237">
        <w:trPr>
          <w:trHeight w:val="145"/>
        </w:trPr>
        <w:tc>
          <w:tcPr>
            <w:tcW w:w="1805" w:type="dxa"/>
            <w:shd w:val="clear" w:color="auto" w:fill="auto"/>
            <w:tcMar>
              <w:left w:w="0" w:type="dxa"/>
            </w:tcMar>
          </w:tcPr>
          <w:p w14:paraId="0ABB8A7B" w14:textId="77777777" w:rsidR="009B553D" w:rsidRPr="00793D78" w:rsidRDefault="009B553D" w:rsidP="00913237">
            <w:pPr>
              <w:pStyle w:val="Marginlie"/>
              <w:rPr>
                <w:spacing w:val="0"/>
              </w:rPr>
            </w:pPr>
            <w:r>
              <w:rPr>
                <w:spacing w:val="0"/>
              </w:rPr>
              <w:t>Ceny dovozu byly také výrazně vyšší.</w:t>
            </w:r>
          </w:p>
        </w:tc>
        <w:tc>
          <w:tcPr>
            <w:tcW w:w="224" w:type="dxa"/>
            <w:shd w:val="clear" w:color="auto" w:fill="auto"/>
            <w:tcMar>
              <w:left w:w="0" w:type="dxa"/>
            </w:tcMar>
          </w:tcPr>
          <w:p w14:paraId="57BC3E50" w14:textId="77777777" w:rsidR="009B553D" w:rsidRPr="00793D78" w:rsidRDefault="009B553D" w:rsidP="00913237">
            <w:pPr>
              <w:pStyle w:val="Textpoznpodarou1"/>
              <w:jc w:val="both"/>
            </w:pPr>
          </w:p>
        </w:tc>
        <w:tc>
          <w:tcPr>
            <w:tcW w:w="7610" w:type="dxa"/>
            <w:shd w:val="clear" w:color="auto" w:fill="auto"/>
            <w:tcMar>
              <w:left w:w="0" w:type="dxa"/>
            </w:tcMar>
          </w:tcPr>
          <w:p w14:paraId="6BAF74A7" w14:textId="77777777" w:rsidR="009B553D" w:rsidRDefault="009B553D" w:rsidP="00913237">
            <w:r>
              <w:t>Ceny dovozu v roce 2021 vzrostly o 6,1 %. Nejvíce rostly ceny importu minerálních paliv (68,8 %), ostatních surovin (24,5 %), polotovarů (9,0 %) a chemikálií (8,3 %). Mírně vyšší byly i ceny nápojů a tabáku (0,4 %). Naopak loni klesly ceny dovozu průmyslového spotřebního zboží (–2,3 %), potravin a živých zvířat (–1,7 %) a strojů a dopravních prostředků (–1,6 %). Ve 4. čtvrtletí 2021 se ceny dovozu meziročně zvýšily o 12,2 %. Ceny importu minerálních paliv meziročně vzrostly o 123,1 % a ostatních surovin o 23,1 %. Ceny polotovarů byly vyšší o 14,6 % a chemikálií o 14,3 %. Mírně rostly ceny potravin a živých zvířat a nápojů a tabáku (shodně o 0,5 %). Naopak meziročně nižší byly ceny dovozu průmyslového spotřebního zboží (–1,4 %) a strojů a dopravních prostředků (–0,1 %).</w:t>
            </w:r>
          </w:p>
        </w:tc>
      </w:tr>
      <w:tr w:rsidR="009B553D" w:rsidRPr="009110F7" w14:paraId="4CDDC47B" w14:textId="77777777" w:rsidTr="00913237">
        <w:trPr>
          <w:trHeight w:val="145"/>
        </w:trPr>
        <w:tc>
          <w:tcPr>
            <w:tcW w:w="1805" w:type="dxa"/>
            <w:shd w:val="clear" w:color="auto" w:fill="auto"/>
            <w:tcMar>
              <w:left w:w="0" w:type="dxa"/>
            </w:tcMar>
          </w:tcPr>
          <w:p w14:paraId="3AA528A9" w14:textId="77777777" w:rsidR="009B553D" w:rsidRDefault="009B553D" w:rsidP="00913237">
            <w:pPr>
              <w:pStyle w:val="Marginlie"/>
              <w:rPr>
                <w:spacing w:val="0"/>
              </w:rPr>
            </w:pPr>
            <w:r>
              <w:rPr>
                <w:spacing w:val="0"/>
              </w:rPr>
              <w:t>Směnné relace byly loni záporné.</w:t>
            </w:r>
          </w:p>
        </w:tc>
        <w:tc>
          <w:tcPr>
            <w:tcW w:w="224" w:type="dxa"/>
            <w:shd w:val="clear" w:color="auto" w:fill="auto"/>
            <w:tcMar>
              <w:left w:w="0" w:type="dxa"/>
            </w:tcMar>
          </w:tcPr>
          <w:p w14:paraId="6D15B442" w14:textId="77777777" w:rsidR="009B553D" w:rsidRPr="00793D78" w:rsidRDefault="009B553D" w:rsidP="00913237">
            <w:pPr>
              <w:pStyle w:val="Textpoznpodarou1"/>
              <w:jc w:val="both"/>
            </w:pPr>
          </w:p>
        </w:tc>
        <w:tc>
          <w:tcPr>
            <w:tcW w:w="7610" w:type="dxa"/>
            <w:shd w:val="clear" w:color="auto" w:fill="auto"/>
            <w:tcMar>
              <w:left w:w="0" w:type="dxa"/>
            </w:tcMar>
          </w:tcPr>
          <w:p w14:paraId="74B13226" w14:textId="77777777" w:rsidR="009B553D" w:rsidRDefault="009B553D" w:rsidP="00913237">
            <w:r>
              <w:t>Směnné relace v roce 2021 dosáhly 99,7 % (v roce 2020 byly kladné). Výrazně záporné byly směnné relace obchodu s minerálními palivy (93,5 %), nápoji a tabákem (96,4 %). Naopak kladné byly směnné relace obchodu s ostatními surovinami (116,6 %), potravinami a živými zvířaty (106,4 %), stroji a dopravními prostředky (102,8 %), chemikáliemi (101,9 %), průmyslovým spotřebním zbožím (101,8 %) a polotovary (100,1 %). Ve 4. čtvrtletí směnné relace činily 97,9 %. Záporné byly směnné relace obchodu s nápoji a tabákem (95,9 %) a minerálními palivy (98,3 %). Kladné byly směnné relace u ostatních surovin (126,4 %), potravin a živých zvířat (108,4 %), průmyslového spotřebního zboží (102,3 %), polotovarů (101,4 %), chemikálií (101,2 %) a strojů a dopravních prostředků (101,0 %).</w:t>
            </w:r>
          </w:p>
        </w:tc>
      </w:tr>
    </w:tbl>
    <w:p w14:paraId="72C77314" w14:textId="77777777" w:rsidR="009B553D" w:rsidRDefault="009B553D" w:rsidP="009B553D">
      <w:pPr>
        <w:spacing w:after="0" w:line="240" w:lineRule="auto"/>
        <w:jc w:val="left"/>
        <w:rPr>
          <w:rFonts w:eastAsia="MS Gothic"/>
          <w:b/>
          <w:bCs/>
          <w:color w:val="71818C"/>
          <w:sz w:val="32"/>
          <w:szCs w:val="28"/>
          <w:highlight w:val="yellow"/>
        </w:rPr>
      </w:pPr>
    </w:p>
    <w:p w14:paraId="6896C2A5" w14:textId="77777777" w:rsidR="009B553D" w:rsidRPr="00E42054" w:rsidRDefault="009B553D" w:rsidP="009B553D">
      <w:pPr>
        <w:pStyle w:val="Nadpis11"/>
        <w:rPr>
          <w:b w:val="0"/>
          <w:sz w:val="2"/>
          <w:szCs w:val="2"/>
        </w:rPr>
      </w:pPr>
    </w:p>
    <w:p w14:paraId="7AB621DC" w14:textId="77777777" w:rsidR="009B553D" w:rsidRPr="00E42054" w:rsidRDefault="009B553D" w:rsidP="009B553D">
      <w:pPr>
        <w:pStyle w:val="Nadpis11"/>
        <w:rPr>
          <w:b w:val="0"/>
          <w:sz w:val="2"/>
          <w:szCs w:val="2"/>
        </w:rPr>
      </w:pPr>
    </w:p>
    <w:p w14:paraId="20EC669C" w14:textId="77777777" w:rsidR="006C3336" w:rsidRDefault="006C3336">
      <w:pPr>
        <w:spacing w:after="0" w:line="240" w:lineRule="auto"/>
        <w:jc w:val="left"/>
        <w:rPr>
          <w:rFonts w:eastAsia="MS Gothic"/>
          <w:b/>
          <w:bCs/>
          <w:color w:val="71818C"/>
          <w:sz w:val="32"/>
          <w:szCs w:val="28"/>
          <w:highlight w:val="yellow"/>
        </w:rPr>
      </w:pPr>
      <w:r>
        <w:rPr>
          <w:rFonts w:eastAsia="MS Gothic"/>
          <w:b/>
          <w:bCs/>
          <w:color w:val="71818C"/>
          <w:sz w:val="32"/>
          <w:szCs w:val="28"/>
          <w:highlight w:val="yellow"/>
        </w:rPr>
        <w:br w:type="page"/>
      </w:r>
    </w:p>
    <w:p w14:paraId="6118D074" w14:textId="77777777" w:rsidR="00B01D0F" w:rsidRDefault="00B01D0F" w:rsidP="00B01D0F">
      <w:pPr>
        <w:pStyle w:val="Nadpis11"/>
        <w:spacing w:after="120"/>
      </w:pPr>
      <w:bookmarkStart w:id="33" w:name="_Toc82508189"/>
      <w:bookmarkStart w:id="34" w:name="_Toc98756082"/>
      <w:bookmarkEnd w:id="20"/>
      <w:bookmarkEnd w:id="21"/>
      <w:bookmarkEnd w:id="22"/>
      <w:bookmarkEnd w:id="23"/>
      <w:bookmarkEnd w:id="24"/>
      <w:bookmarkEnd w:id="25"/>
      <w:r w:rsidRPr="00B43216">
        <w:lastRenderedPageBreak/>
        <w:t>6. Trh práce</w:t>
      </w:r>
      <w:bookmarkEnd w:id="33"/>
      <w:bookmarkEnd w:id="34"/>
    </w:p>
    <w:tbl>
      <w:tblPr>
        <w:tblW w:w="9669" w:type="dxa"/>
        <w:tblInd w:w="-30" w:type="dxa"/>
        <w:tblCellMar>
          <w:left w:w="0" w:type="dxa"/>
          <w:right w:w="0" w:type="dxa"/>
        </w:tblCellMar>
        <w:tblLook w:val="00A0" w:firstRow="1" w:lastRow="0" w:firstColumn="1" w:lastColumn="0" w:noHBand="0" w:noVBand="0"/>
      </w:tblPr>
      <w:tblGrid>
        <w:gridCol w:w="1600"/>
        <w:gridCol w:w="189"/>
        <w:gridCol w:w="7880"/>
      </w:tblGrid>
      <w:tr w:rsidR="00B01D0F" w:rsidRPr="006237E6" w14:paraId="00FA3749" w14:textId="77777777" w:rsidTr="008E039E">
        <w:trPr>
          <w:trHeight w:val="155"/>
        </w:trPr>
        <w:tc>
          <w:tcPr>
            <w:tcW w:w="1600" w:type="dxa"/>
            <w:shd w:val="clear" w:color="auto" w:fill="auto"/>
            <w:tcMar>
              <w:left w:w="0" w:type="dxa"/>
            </w:tcMar>
          </w:tcPr>
          <w:p w14:paraId="1001E682" w14:textId="77777777" w:rsidR="00B01D0F" w:rsidRDefault="00B01D0F" w:rsidP="008E039E">
            <w:pPr>
              <w:pStyle w:val="Marginlie"/>
              <w:spacing w:after="120"/>
              <w:rPr>
                <w:spacing w:val="-4"/>
              </w:rPr>
            </w:pPr>
            <w:r>
              <w:rPr>
                <w:spacing w:val="-4"/>
              </w:rPr>
              <w:t>Trh práce v Česku těžil během roku 2021 z obnoveného hospodářského růstu, zastavení většiny podpůrných programů se negativně neprojevilo.</w:t>
            </w:r>
          </w:p>
        </w:tc>
        <w:tc>
          <w:tcPr>
            <w:tcW w:w="189" w:type="dxa"/>
            <w:shd w:val="clear" w:color="auto" w:fill="auto"/>
            <w:tcMar>
              <w:left w:w="0" w:type="dxa"/>
            </w:tcMar>
          </w:tcPr>
          <w:p w14:paraId="33F4C013" w14:textId="77777777" w:rsidR="00B01D0F" w:rsidRPr="003B1401" w:rsidRDefault="00B01D0F" w:rsidP="008E039E">
            <w:pPr>
              <w:pStyle w:val="Textpoznpodarou"/>
              <w:spacing w:after="120"/>
              <w:jc w:val="both"/>
              <w:rPr>
                <w:spacing w:val="-4"/>
              </w:rPr>
            </w:pPr>
          </w:p>
        </w:tc>
        <w:tc>
          <w:tcPr>
            <w:tcW w:w="7880" w:type="dxa"/>
            <w:shd w:val="clear" w:color="auto" w:fill="auto"/>
            <w:tcMar>
              <w:left w:w="0" w:type="dxa"/>
            </w:tcMar>
          </w:tcPr>
          <w:p w14:paraId="4F79713E" w14:textId="77777777" w:rsidR="00B01D0F" w:rsidRDefault="00B01D0F" w:rsidP="008E039E">
            <w:pPr>
              <w:rPr>
                <w:spacing w:val="-4"/>
              </w:rPr>
            </w:pPr>
            <w:r>
              <w:rPr>
                <w:spacing w:val="-4"/>
              </w:rPr>
              <w:t>Trh práce v Česku se během roku 2021 postupně vracel do stavu z období předpandemické konjunktury charakterizované silným napětím mezi poptávkou po práci ze strany podniků a citelně omezenými tuzemskými zdroji potenciální pracovní síly. V návaznosti na loňské jarní rozvolnění protipandemických opatření došlo k postupnému ukončení rozhodující části vládních podpůrných programů cílených na stabilizaci zaměstnanosti i celkové finanční situace podniků. Efekt zastavení této podpory byl převážen pozitivními vlivy vyplývajícími z nastartování hospodářského růstu syceného vyšší soukromou i veřejnou spotřebou a také zotavující se investiční aktivitou. Oživení na trhu práce pokračovalo i ve 4. čtvrtletí 2021, neboť zhoršení epidemické situace umocněné eskalací dodavatelských problémů v průmyslu se v oblasti zaměstnanosti (reálné i z pohledu krátkodobých očekávání) významně nepromítlo. To do značné míry platí i pro oblast průměrných mezd v tržních odvětvích. Vinou výrazné akcelerace spotřebitelských cen na konci roku však průměrné zaměstnanecké výdělky ve většině odvětví reálně meziročně poklesly, v některých dokonce i v úhrnu za celý rok 2021.</w:t>
            </w:r>
          </w:p>
        </w:tc>
      </w:tr>
      <w:tr w:rsidR="00B01D0F" w:rsidRPr="006237E6" w14:paraId="35EEB909" w14:textId="77777777" w:rsidTr="008E039E">
        <w:trPr>
          <w:trHeight w:val="155"/>
        </w:trPr>
        <w:tc>
          <w:tcPr>
            <w:tcW w:w="1600" w:type="dxa"/>
            <w:shd w:val="clear" w:color="auto" w:fill="auto"/>
            <w:tcMar>
              <w:left w:w="0" w:type="dxa"/>
            </w:tcMar>
          </w:tcPr>
          <w:p w14:paraId="1A27A43E" w14:textId="77777777" w:rsidR="00B01D0F" w:rsidRDefault="00B01D0F" w:rsidP="008E039E">
            <w:pPr>
              <w:pStyle w:val="Marginlie"/>
              <w:spacing w:after="120"/>
              <w:rPr>
                <w:spacing w:val="-4"/>
              </w:rPr>
            </w:pPr>
            <w:r>
              <w:rPr>
                <w:spacing w:val="-4"/>
              </w:rPr>
              <w:t>Počet zaměstnanců již téměř dorovnal úroveň z roku 2019. Úbytek podnikatelů se naopak prohluboval.</w:t>
            </w:r>
          </w:p>
        </w:tc>
        <w:tc>
          <w:tcPr>
            <w:tcW w:w="189" w:type="dxa"/>
            <w:shd w:val="clear" w:color="auto" w:fill="auto"/>
            <w:tcMar>
              <w:left w:w="0" w:type="dxa"/>
            </w:tcMar>
          </w:tcPr>
          <w:p w14:paraId="7DD4A541" w14:textId="77777777" w:rsidR="00B01D0F" w:rsidRPr="003B1401" w:rsidRDefault="00B01D0F" w:rsidP="008E039E">
            <w:pPr>
              <w:pStyle w:val="Textpoznpodarou"/>
              <w:spacing w:after="120"/>
              <w:jc w:val="both"/>
              <w:rPr>
                <w:spacing w:val="-4"/>
              </w:rPr>
            </w:pPr>
          </w:p>
        </w:tc>
        <w:tc>
          <w:tcPr>
            <w:tcW w:w="7880" w:type="dxa"/>
            <w:shd w:val="clear" w:color="auto" w:fill="auto"/>
            <w:tcMar>
              <w:left w:w="0" w:type="dxa"/>
            </w:tcMar>
          </w:tcPr>
          <w:p w14:paraId="61D4A5EF" w14:textId="77777777" w:rsidR="00B01D0F" w:rsidRDefault="00B01D0F" w:rsidP="008E039E">
            <w:pPr>
              <w:rPr>
                <w:spacing w:val="-4"/>
              </w:rPr>
            </w:pPr>
            <w:r>
              <w:rPr>
                <w:spacing w:val="-4"/>
              </w:rPr>
              <w:t>Celková zaměstnanost</w:t>
            </w:r>
            <w:r w:rsidRPr="00B908AF">
              <w:rPr>
                <w:color w:val="0D0D0D" w:themeColor="text1" w:themeTint="F2"/>
                <w:spacing w:val="-4"/>
                <w:vertAlign w:val="superscript"/>
              </w:rPr>
              <w:footnoteReference w:id="57"/>
            </w:r>
            <w:r>
              <w:rPr>
                <w:spacing w:val="-4"/>
              </w:rPr>
              <w:t xml:space="preserve"> se mezikvartálně mírně zvyšovala po celý loňský rok. Ve 2. pololetí růstové tempo vlivem situace v průmyslu lehce oslabovalo (až na +0,1 % v posledním kvartále), drtivá většina hlavních odvětví přesto vykázala alespoň mírný růst. Ve 4. čtvrtletí tak v tuzemské ekonomice pracovalo celkem 5,37 mil. osob, meziročně o 1,3 % více (proti vrcholu z předpandemického období ale stále počet zaměstnaných o bezmála 80 tis. osob zaostával). Na meziročním růstu se</w:t>
            </w:r>
            <w:r w:rsidRPr="002272C7">
              <w:rPr>
                <w:spacing w:val="-4"/>
              </w:rPr>
              <w:t xml:space="preserve"> podíleli </w:t>
            </w:r>
            <w:r>
              <w:rPr>
                <w:spacing w:val="-4"/>
              </w:rPr>
              <w:t>výhradně zaměstnanci, jejichž stav</w:t>
            </w:r>
            <w:r w:rsidRPr="002272C7">
              <w:rPr>
                <w:spacing w:val="-4"/>
              </w:rPr>
              <w:t xml:space="preserve">y </w:t>
            </w:r>
            <w:r>
              <w:rPr>
                <w:spacing w:val="-4"/>
              </w:rPr>
              <w:t xml:space="preserve">se ve 4. čtvrtletí rozšířily o 107 tis. (2,3 %) a rekordní výši z roku 2019 se již téměř dorovnaly. Naopak pokles počtu </w:t>
            </w:r>
            <w:r w:rsidRPr="002272C7">
              <w:rPr>
                <w:spacing w:val="-4"/>
              </w:rPr>
              <w:t>podni</w:t>
            </w:r>
            <w:r>
              <w:rPr>
                <w:spacing w:val="-4"/>
              </w:rPr>
              <w:t>katelů</w:t>
            </w:r>
            <w:r>
              <w:rPr>
                <w:rStyle w:val="Znakapoznpodarou"/>
                <w:spacing w:val="-4"/>
              </w:rPr>
              <w:footnoteReference w:id="58"/>
            </w:r>
            <w:r>
              <w:rPr>
                <w:spacing w:val="-4"/>
              </w:rPr>
              <w:t xml:space="preserve"> se prohloubil na 40 tis. (5,4 %) a méně jich bylo i ve srovnání se 3. čtvrtletím 2021 (o 0,2 %). K meziročnímu poklesu došlo primárně vlivem vývoje ve zpracovatelském průmyslu, sebezaměstnaných ale ubylo takřka ve všech hlavních odvětvích. Nelze vyloučit, že část úbytku sebezaměstnaných souvisela s jejich přesunem do zaměstnaneckého stavu</w:t>
            </w:r>
            <w:r>
              <w:rPr>
                <w:rStyle w:val="Znakapoznpodarou"/>
                <w:spacing w:val="-4"/>
              </w:rPr>
              <w:footnoteReference w:id="59"/>
            </w:r>
            <w:r>
              <w:rPr>
                <w:spacing w:val="-4"/>
              </w:rPr>
              <w:t>.</w:t>
            </w:r>
          </w:p>
        </w:tc>
      </w:tr>
      <w:tr w:rsidR="00B01D0F" w:rsidRPr="006237E6" w14:paraId="094C9323" w14:textId="77777777" w:rsidTr="008E039E">
        <w:trPr>
          <w:trHeight w:val="155"/>
        </w:trPr>
        <w:tc>
          <w:tcPr>
            <w:tcW w:w="1600" w:type="dxa"/>
            <w:shd w:val="clear" w:color="auto" w:fill="auto"/>
            <w:tcMar>
              <w:left w:w="0" w:type="dxa"/>
            </w:tcMar>
          </w:tcPr>
          <w:p w14:paraId="223D67BC" w14:textId="77777777" w:rsidR="00B01D0F" w:rsidRDefault="00B01D0F" w:rsidP="008E039E">
            <w:pPr>
              <w:pStyle w:val="Marginlie"/>
              <w:spacing w:after="120"/>
              <w:rPr>
                <w:spacing w:val="-4"/>
              </w:rPr>
            </w:pPr>
            <w:r>
              <w:rPr>
                <w:spacing w:val="-4"/>
              </w:rPr>
              <w:t>Prorůstově působily na celkovou zaměstnanost ve 4. čtvrtletí 2021 i po celé pandemické období nejvíce veřejné služby.</w:t>
            </w:r>
          </w:p>
        </w:tc>
        <w:tc>
          <w:tcPr>
            <w:tcW w:w="189" w:type="dxa"/>
            <w:shd w:val="clear" w:color="auto" w:fill="auto"/>
            <w:tcMar>
              <w:left w:w="0" w:type="dxa"/>
            </w:tcMar>
          </w:tcPr>
          <w:p w14:paraId="28C16C7E" w14:textId="77777777" w:rsidR="00B01D0F" w:rsidRPr="003B1401" w:rsidRDefault="00B01D0F" w:rsidP="008E039E">
            <w:pPr>
              <w:pStyle w:val="Textpoznpodarou"/>
              <w:spacing w:after="120"/>
              <w:jc w:val="both"/>
              <w:rPr>
                <w:spacing w:val="-4"/>
              </w:rPr>
            </w:pPr>
          </w:p>
        </w:tc>
        <w:tc>
          <w:tcPr>
            <w:tcW w:w="7880" w:type="dxa"/>
            <w:shd w:val="clear" w:color="auto" w:fill="auto"/>
            <w:tcMar>
              <w:left w:w="0" w:type="dxa"/>
            </w:tcMar>
          </w:tcPr>
          <w:p w14:paraId="1F6BE568" w14:textId="77777777" w:rsidR="00B01D0F" w:rsidRPr="007517F0" w:rsidRDefault="00B01D0F" w:rsidP="008E039E">
            <w:pPr>
              <w:spacing w:after="0"/>
              <w:rPr>
                <w:spacing w:val="-4"/>
              </w:rPr>
            </w:pPr>
            <w:r>
              <w:rPr>
                <w:spacing w:val="-4"/>
              </w:rPr>
              <w:t>Pro meziroční růst zaměstnanosti byly ve druhé půli loňského roku určující pohyby ve službách. V celém terciárním sektoru ve 4. čtvrtletí přibylo 1,8 % pracovníků (58 tis.). Ačkoli nejvyšší dynamiku vykázaly činnosti v oblasti nemovitostí (+4,3 %), k</w:t>
            </w:r>
            <w:r>
              <w:rPr>
                <w:rFonts w:cs="Arial"/>
                <w:bCs/>
                <w:color w:val="0D0D0D" w:themeColor="text1" w:themeTint="F2"/>
                <w:spacing w:val="-4"/>
                <w:szCs w:val="20"/>
              </w:rPr>
              <w:t> růstu zaměstnanosti v celé ekonomice</w:t>
            </w:r>
            <w:r>
              <w:rPr>
                <w:spacing w:val="-4"/>
              </w:rPr>
              <w:t xml:space="preserve"> přispěly nejvíce veřejné služby</w:t>
            </w:r>
            <w:r>
              <w:rPr>
                <w:rStyle w:val="Znakapoznpodarou"/>
                <w:spacing w:val="-4"/>
              </w:rPr>
              <w:footnoteReference w:id="60"/>
            </w:r>
            <w:r>
              <w:rPr>
                <w:spacing w:val="-4"/>
              </w:rPr>
              <w:t xml:space="preserve"> (+32 tis. osob), hlavně díky rozvíjejícímu se vzdělávání a také zdravotní a sociální péči, během pandemie silně zatížené. Významný byl i příspěvek uskupení o</w:t>
            </w:r>
            <w:r w:rsidRPr="00CB568C">
              <w:rPr>
                <w:spacing w:val="-4"/>
              </w:rPr>
              <w:t>bchod, doprava, ubytování a</w:t>
            </w:r>
            <w:r>
              <w:rPr>
                <w:spacing w:val="-4"/>
              </w:rPr>
              <w:t> </w:t>
            </w:r>
            <w:r w:rsidRPr="00CB568C">
              <w:rPr>
                <w:spacing w:val="-4"/>
              </w:rPr>
              <w:t>pohostinství</w:t>
            </w:r>
            <w:r>
              <w:rPr>
                <w:spacing w:val="-4"/>
              </w:rPr>
              <w:t xml:space="preserve"> (14 tis.), kde zaměstnanost meziročně vzrostla poprvé od poloviny roku 2019</w:t>
            </w:r>
            <w:r>
              <w:rPr>
                <w:rStyle w:val="Znakapoznpodarou"/>
                <w:spacing w:val="-4"/>
              </w:rPr>
              <w:footnoteReference w:id="61"/>
            </w:r>
            <w:r>
              <w:rPr>
                <w:spacing w:val="-4"/>
              </w:rPr>
              <w:t>. Pomalé pokrizové oživení bylo patrné i</w:t>
            </w:r>
            <w:r>
              <w:rPr>
                <w:rFonts w:cs="Arial"/>
                <w:bCs/>
                <w:color w:val="0D0D0D" w:themeColor="text1" w:themeTint="F2"/>
                <w:spacing w:val="-4"/>
                <w:szCs w:val="20"/>
              </w:rPr>
              <w:t> </w:t>
            </w:r>
            <w:r>
              <w:rPr>
                <w:spacing w:val="-4"/>
              </w:rPr>
              <w:t>v odvětví ostatní činnosti služeb</w:t>
            </w:r>
            <w:r>
              <w:rPr>
                <w:rStyle w:val="Znakapoznpodarou"/>
                <w:spacing w:val="-4"/>
              </w:rPr>
              <w:footnoteReference w:id="62"/>
            </w:r>
            <w:r>
              <w:rPr>
                <w:spacing w:val="-4"/>
              </w:rPr>
              <w:t xml:space="preserve">, zahrnujícím především kulturu, zábavní a rekreační činnosti či osobní služby zejména pro domácnosti. V peněžnictví a pojišťovnictví pokračoval ve vazbě na rozvoj digitalizace trend mírného úbytku zaměstnanosti, a to již pátý rok v řadě. Naopak </w:t>
            </w:r>
            <w:r w:rsidRPr="006F75E1">
              <w:rPr>
                <w:spacing w:val="-6"/>
              </w:rPr>
              <w:t>dlouhodobě růstové zůstaly informační a</w:t>
            </w:r>
            <w:r>
              <w:rPr>
                <w:spacing w:val="-6"/>
              </w:rPr>
              <w:t> </w:t>
            </w:r>
            <w:r w:rsidRPr="006F75E1">
              <w:rPr>
                <w:spacing w:val="-6"/>
              </w:rPr>
              <w:t>komunikační služby, dynamika celkové zaměstnanosti</w:t>
            </w:r>
            <w:r>
              <w:rPr>
                <w:spacing w:val="-4"/>
              </w:rPr>
              <w:t xml:space="preserve"> zde ale vlivem úbytku podnikajících osob během roku 2021 slábla. V průmyslu, podobně jako ve stavebnictví, nepřesahoval loni ve 4. čtvrtletí meziroční růst zaměstnanosti 1 %. Svižněji rostl počet zaměstnaneckých míst, což souviselo i s náborem osob ze zahraničí</w:t>
            </w:r>
            <w:r>
              <w:rPr>
                <w:rStyle w:val="Znakapoznpodarou"/>
                <w:spacing w:val="-4"/>
              </w:rPr>
              <w:footnoteReference w:id="63"/>
            </w:r>
            <w:r>
              <w:rPr>
                <w:spacing w:val="-4"/>
              </w:rPr>
              <w:t>.</w:t>
            </w:r>
          </w:p>
        </w:tc>
      </w:tr>
      <w:tr w:rsidR="00B01D0F" w:rsidRPr="006237E6" w14:paraId="2ECBFB17" w14:textId="77777777" w:rsidTr="008E039E">
        <w:trPr>
          <w:trHeight w:val="155"/>
        </w:trPr>
        <w:tc>
          <w:tcPr>
            <w:tcW w:w="1600" w:type="dxa"/>
            <w:shd w:val="clear" w:color="auto" w:fill="auto"/>
            <w:tcMar>
              <w:left w:w="0" w:type="dxa"/>
            </w:tcMar>
          </w:tcPr>
          <w:p w14:paraId="59B55CB6" w14:textId="77777777" w:rsidR="00B01D0F" w:rsidRDefault="00B01D0F" w:rsidP="008E039E">
            <w:pPr>
              <w:pStyle w:val="Marginlie"/>
              <w:spacing w:after="120"/>
              <w:rPr>
                <w:spacing w:val="-4"/>
              </w:rPr>
            </w:pPr>
            <w:r>
              <w:rPr>
                <w:spacing w:val="-4"/>
              </w:rPr>
              <w:lastRenderedPageBreak/>
              <w:t>V úhrnu za rok 2021 zaměstnanost stagnovala. Počet odpracovaných hodin se po předchozím propadu zvýšil o 2,9 %.</w:t>
            </w:r>
          </w:p>
        </w:tc>
        <w:tc>
          <w:tcPr>
            <w:tcW w:w="189" w:type="dxa"/>
            <w:shd w:val="clear" w:color="auto" w:fill="auto"/>
            <w:tcMar>
              <w:left w:w="0" w:type="dxa"/>
            </w:tcMar>
          </w:tcPr>
          <w:p w14:paraId="1DB29866" w14:textId="77777777" w:rsidR="00B01D0F" w:rsidRPr="003B1401" w:rsidRDefault="00B01D0F" w:rsidP="008E039E">
            <w:pPr>
              <w:pStyle w:val="Textpoznpodarou"/>
              <w:spacing w:after="120"/>
              <w:jc w:val="both"/>
              <w:rPr>
                <w:spacing w:val="-4"/>
              </w:rPr>
            </w:pPr>
          </w:p>
        </w:tc>
        <w:tc>
          <w:tcPr>
            <w:tcW w:w="7880" w:type="dxa"/>
            <w:shd w:val="clear" w:color="auto" w:fill="auto"/>
            <w:tcMar>
              <w:left w:w="0" w:type="dxa"/>
            </w:tcMar>
          </w:tcPr>
          <w:p w14:paraId="678D3235" w14:textId="77777777" w:rsidR="00B01D0F" w:rsidRPr="007517F0" w:rsidRDefault="00B01D0F" w:rsidP="008E039E">
            <w:pPr>
              <w:spacing w:after="200"/>
              <w:rPr>
                <w:spacing w:val="-4"/>
              </w:rPr>
            </w:pPr>
            <w:r>
              <w:rPr>
                <w:spacing w:val="-4"/>
              </w:rPr>
              <w:t>V úhrnu za rok 2021 celková zaměstnanost stagnovala. Pokračující úbytek počtu pracovníků v uskupení o</w:t>
            </w:r>
            <w:r w:rsidRPr="00053FFD">
              <w:rPr>
                <w:spacing w:val="-4"/>
              </w:rPr>
              <w:t>bchod, doprava, ubytování a</w:t>
            </w:r>
            <w:r>
              <w:rPr>
                <w:spacing w:val="-4"/>
              </w:rPr>
              <w:t> </w:t>
            </w:r>
            <w:r w:rsidRPr="00053FFD">
              <w:rPr>
                <w:spacing w:val="-4"/>
              </w:rPr>
              <w:t>pohostinství</w:t>
            </w:r>
            <w:r>
              <w:rPr>
                <w:spacing w:val="-4"/>
              </w:rPr>
              <w:t xml:space="preserve"> (–1,7 %) a v průmyslu (–0,5 %) byl kompenzován jejich přírůstkem v i</w:t>
            </w:r>
            <w:r w:rsidRPr="00001671">
              <w:rPr>
                <w:spacing w:val="-4"/>
              </w:rPr>
              <w:t>nformační</w:t>
            </w:r>
            <w:r>
              <w:rPr>
                <w:spacing w:val="-4"/>
              </w:rPr>
              <w:t>ch</w:t>
            </w:r>
            <w:r w:rsidRPr="00001671">
              <w:rPr>
                <w:spacing w:val="-4"/>
              </w:rPr>
              <w:t xml:space="preserve"> a</w:t>
            </w:r>
            <w:r>
              <w:rPr>
                <w:spacing w:val="-4"/>
              </w:rPr>
              <w:t> </w:t>
            </w:r>
            <w:r w:rsidRPr="00001671">
              <w:rPr>
                <w:spacing w:val="-4"/>
              </w:rPr>
              <w:t>komunikační</w:t>
            </w:r>
            <w:r>
              <w:rPr>
                <w:spacing w:val="-4"/>
              </w:rPr>
              <w:t>ch činnostech (+3,4 %) a ve veřejných službách (+2,8 %, nejvíce v historii samostatné ČR). Počet odpracovaných hodin v celé ekonomice za loňský rok vzrostl o 2,9 % (po rekordním propadu o 6,3 % v roce 2020). Vyjma zemědělství a lesnictví se sice navýšil ve všech hlavních odvětvích, předpandemickou úroveň ale překonal jen ve veřejných službách, v oblasti ICT a nemovitostech a ve stavebnictví. Citelně naopak zaostával v o</w:t>
            </w:r>
            <w:r w:rsidRPr="00CB568C">
              <w:rPr>
                <w:spacing w:val="-4"/>
              </w:rPr>
              <w:t>bchod</w:t>
            </w:r>
            <w:r>
              <w:rPr>
                <w:spacing w:val="-4"/>
              </w:rPr>
              <w:t>u, dopravě</w:t>
            </w:r>
            <w:r w:rsidRPr="00CB568C">
              <w:rPr>
                <w:spacing w:val="-4"/>
              </w:rPr>
              <w:t>, ubytování a</w:t>
            </w:r>
            <w:r>
              <w:rPr>
                <w:spacing w:val="-4"/>
              </w:rPr>
              <w:t> </w:t>
            </w:r>
            <w:r w:rsidRPr="00CB568C">
              <w:rPr>
                <w:spacing w:val="-4"/>
              </w:rPr>
              <w:t>pohostinství</w:t>
            </w:r>
            <w:r>
              <w:rPr>
                <w:spacing w:val="-4"/>
              </w:rPr>
              <w:t xml:space="preserve"> (o 10 %) a v odvětví ostatní činnosti služeb (14 %).</w:t>
            </w:r>
          </w:p>
        </w:tc>
      </w:tr>
      <w:tr w:rsidR="00B01D0F" w:rsidRPr="006237E6" w14:paraId="65B75CCF" w14:textId="77777777" w:rsidTr="008E039E">
        <w:trPr>
          <w:trHeight w:val="155"/>
        </w:trPr>
        <w:tc>
          <w:tcPr>
            <w:tcW w:w="1600" w:type="dxa"/>
            <w:shd w:val="clear" w:color="auto" w:fill="auto"/>
            <w:tcMar>
              <w:left w:w="0" w:type="dxa"/>
            </w:tcMar>
          </w:tcPr>
          <w:p w14:paraId="626C610B" w14:textId="77777777" w:rsidR="00B01D0F" w:rsidRDefault="00B01D0F" w:rsidP="008E039E">
            <w:pPr>
              <w:pStyle w:val="Marginlie"/>
              <w:spacing w:after="120"/>
              <w:rPr>
                <w:spacing w:val="-4"/>
              </w:rPr>
            </w:pPr>
            <w:r>
              <w:rPr>
                <w:spacing w:val="-4"/>
              </w:rPr>
              <w:t>Míra zaměstnanosti osob ve věku 15 až 64 let vystoupala na rekordní úroveň.</w:t>
            </w:r>
          </w:p>
        </w:tc>
        <w:tc>
          <w:tcPr>
            <w:tcW w:w="189" w:type="dxa"/>
            <w:shd w:val="clear" w:color="auto" w:fill="auto"/>
            <w:tcMar>
              <w:left w:w="0" w:type="dxa"/>
            </w:tcMar>
          </w:tcPr>
          <w:p w14:paraId="72D3CBF8" w14:textId="77777777" w:rsidR="00B01D0F" w:rsidRPr="003B1401" w:rsidRDefault="00B01D0F" w:rsidP="008E039E">
            <w:pPr>
              <w:pStyle w:val="Textpoznpodarou"/>
              <w:spacing w:after="120"/>
              <w:jc w:val="both"/>
              <w:rPr>
                <w:spacing w:val="-4"/>
              </w:rPr>
            </w:pPr>
          </w:p>
        </w:tc>
        <w:tc>
          <w:tcPr>
            <w:tcW w:w="7880" w:type="dxa"/>
            <w:shd w:val="clear" w:color="auto" w:fill="auto"/>
            <w:tcMar>
              <w:left w:w="0" w:type="dxa"/>
            </w:tcMar>
          </w:tcPr>
          <w:p w14:paraId="4244D54A" w14:textId="77777777" w:rsidR="00B01D0F" w:rsidRPr="004B230E" w:rsidRDefault="00B01D0F" w:rsidP="008E039E">
            <w:pPr>
              <w:spacing w:after="200"/>
              <w:rPr>
                <w:spacing w:val="2"/>
                <w:szCs w:val="20"/>
              </w:rPr>
            </w:pPr>
            <w:r>
              <w:rPr>
                <w:spacing w:val="-4"/>
              </w:rPr>
              <w:t xml:space="preserve">Ze sta osob ve věku 15 až 64 let jich ve 4. čtvrtletí pracovalo již 75,4. Míra zaměstnanosti tak poprvé překonala dosud rekordní hodnotu z konce roku 2019. </w:t>
            </w:r>
            <w:r w:rsidRPr="0090252A">
              <w:rPr>
                <w:spacing w:val="2"/>
                <w:szCs w:val="20"/>
              </w:rPr>
              <w:t xml:space="preserve">U mužů </w:t>
            </w:r>
            <w:r>
              <w:rPr>
                <w:spacing w:val="2"/>
                <w:szCs w:val="20"/>
              </w:rPr>
              <w:t xml:space="preserve">činila 82,1 % (při meziročním růstu </w:t>
            </w:r>
            <w:r w:rsidRPr="0090252A">
              <w:rPr>
                <w:spacing w:val="2"/>
                <w:szCs w:val="20"/>
              </w:rPr>
              <w:t>o 0,8 p. b.</w:t>
            </w:r>
            <w:r>
              <w:rPr>
                <w:spacing w:val="2"/>
                <w:szCs w:val="20"/>
              </w:rPr>
              <w:t>), u žen 68,3 % (+</w:t>
            </w:r>
            <w:r w:rsidRPr="0090252A">
              <w:rPr>
                <w:spacing w:val="2"/>
                <w:szCs w:val="20"/>
              </w:rPr>
              <w:t>1,3 p. b.</w:t>
            </w:r>
            <w:r>
              <w:rPr>
                <w:spacing w:val="2"/>
                <w:szCs w:val="20"/>
              </w:rPr>
              <w:t>). Příznivější vývoj u žen je výsledkem svižného oživení poptávky po práci v některých pandemií silně zasažených odvětvích služeb. Dlouhodobě se projevuje také rychlejší zvyšování důchodového věku u</w:t>
            </w:r>
            <w:r>
              <w:rPr>
                <w:spacing w:val="-4"/>
              </w:rPr>
              <w:t> </w:t>
            </w:r>
            <w:r>
              <w:rPr>
                <w:spacing w:val="2"/>
                <w:szCs w:val="20"/>
              </w:rPr>
              <w:t>žen než u mužů. Dle aktuálních údajů ze 3. čtvrtletí 2021 činila míra zaměstnanosti mužů v EU 74,3 % a žen 64,3 %</w:t>
            </w:r>
            <w:r>
              <w:rPr>
                <w:rStyle w:val="Znakapoznpodarou"/>
                <w:spacing w:val="2"/>
                <w:szCs w:val="20"/>
              </w:rPr>
              <w:footnoteReference w:id="64"/>
            </w:r>
            <w:r>
              <w:rPr>
                <w:spacing w:val="2"/>
                <w:szCs w:val="20"/>
              </w:rPr>
              <w:t>.</w:t>
            </w:r>
          </w:p>
        </w:tc>
      </w:tr>
      <w:tr w:rsidR="00B01D0F" w:rsidRPr="009F2A8A" w14:paraId="2D7BF859" w14:textId="77777777" w:rsidTr="008E039E">
        <w:trPr>
          <w:trHeight w:val="155"/>
        </w:trPr>
        <w:tc>
          <w:tcPr>
            <w:tcW w:w="1600" w:type="dxa"/>
            <w:vMerge w:val="restart"/>
            <w:shd w:val="clear" w:color="auto" w:fill="auto"/>
            <w:tcMar>
              <w:left w:w="0" w:type="dxa"/>
            </w:tcMar>
          </w:tcPr>
          <w:p w14:paraId="467064BD" w14:textId="77777777" w:rsidR="00B01D0F" w:rsidRPr="00B43216" w:rsidRDefault="00B01D0F" w:rsidP="008E039E">
            <w:pPr>
              <w:pStyle w:val="Marginlie"/>
              <w:spacing w:after="120"/>
              <w:rPr>
                <w:spacing w:val="-4"/>
              </w:rPr>
            </w:pPr>
          </w:p>
        </w:tc>
        <w:tc>
          <w:tcPr>
            <w:tcW w:w="189" w:type="dxa"/>
            <w:vMerge w:val="restart"/>
            <w:shd w:val="clear" w:color="auto" w:fill="auto"/>
            <w:tcMar>
              <w:left w:w="0" w:type="dxa"/>
            </w:tcMar>
          </w:tcPr>
          <w:p w14:paraId="60D583F2" w14:textId="77777777" w:rsidR="00B01D0F" w:rsidRPr="00B43216" w:rsidRDefault="00B01D0F" w:rsidP="008E039E">
            <w:pPr>
              <w:pStyle w:val="Textpoznpodarou"/>
              <w:spacing w:after="120"/>
              <w:jc w:val="both"/>
              <w:rPr>
                <w:spacing w:val="-4"/>
              </w:rPr>
            </w:pPr>
          </w:p>
        </w:tc>
        <w:tc>
          <w:tcPr>
            <w:tcW w:w="7880" w:type="dxa"/>
            <w:shd w:val="clear" w:color="auto" w:fill="auto"/>
            <w:tcMar>
              <w:left w:w="0" w:type="dxa"/>
            </w:tcMar>
          </w:tcPr>
          <w:p w14:paraId="7A33BA38" w14:textId="1B70BD47" w:rsidR="00B01D0F" w:rsidRPr="00CA5850" w:rsidRDefault="001C3794" w:rsidP="00A02E8B">
            <w:pPr>
              <w:spacing w:after="0"/>
              <w:rPr>
                <w:spacing w:val="-2"/>
              </w:rPr>
            </w:pPr>
            <w:r>
              <w:rPr>
                <w:rFonts w:cs="Arial"/>
                <w:b/>
                <w:bCs/>
                <w:color w:val="000000"/>
                <w:szCs w:val="20"/>
              </w:rPr>
              <w:t>Graf č. 1</w:t>
            </w:r>
            <w:r w:rsidR="00A02E8B">
              <w:rPr>
                <w:rFonts w:cs="Arial"/>
                <w:b/>
                <w:bCs/>
                <w:color w:val="000000"/>
                <w:szCs w:val="20"/>
              </w:rPr>
              <w:t>4</w:t>
            </w:r>
            <w:r w:rsidR="00B01D0F" w:rsidRPr="0068569E">
              <w:rPr>
                <w:rFonts w:cs="Arial"/>
                <w:b/>
                <w:bCs/>
                <w:color w:val="000000"/>
                <w:sz w:val="18"/>
                <w:szCs w:val="18"/>
              </w:rPr>
              <w:t xml:space="preserve">  </w:t>
            </w:r>
            <w:r w:rsidR="00B01D0F" w:rsidRPr="0068569E">
              <w:rPr>
                <w:b/>
                <w:bCs/>
                <w:lang w:eastAsia="en-US"/>
              </w:rPr>
              <w:t xml:space="preserve">Celková zaměstnanost </w:t>
            </w:r>
            <w:r w:rsidR="00B01D0F" w:rsidRPr="0068569E">
              <w:rPr>
                <w:lang w:eastAsia="en-US"/>
              </w:rPr>
              <w:t>(</w:t>
            </w:r>
            <w:r w:rsidR="00B01D0F" w:rsidRPr="0068569E">
              <w:rPr>
                <w:spacing w:val="-2"/>
              </w:rPr>
              <w:t>meziročně v</w:t>
            </w:r>
            <w:r w:rsidR="00B01D0F">
              <w:rPr>
                <w:spacing w:val="-2"/>
              </w:rPr>
              <w:t> %</w:t>
            </w:r>
            <w:r w:rsidR="00B01D0F" w:rsidRPr="0068569E">
              <w:rPr>
                <w:spacing w:val="-2"/>
              </w:rPr>
              <w:t>)</w:t>
            </w:r>
            <w:r w:rsidR="00B01D0F" w:rsidRPr="0068569E">
              <w:rPr>
                <w:b/>
                <w:bCs/>
                <w:spacing w:val="-2"/>
              </w:rPr>
              <w:t xml:space="preserve">, </w:t>
            </w:r>
            <w:r w:rsidR="00B01D0F">
              <w:rPr>
                <w:b/>
                <w:bCs/>
                <w:spacing w:val="-2"/>
              </w:rPr>
              <w:t xml:space="preserve">příspěvky </w:t>
            </w:r>
            <w:r w:rsidR="00B01D0F" w:rsidRPr="0068569E">
              <w:rPr>
                <w:b/>
                <w:bCs/>
                <w:spacing w:val="-2"/>
              </w:rPr>
              <w:t xml:space="preserve">odvětví k meziroční změně zaměstnanosti </w:t>
            </w:r>
            <w:r w:rsidR="00B01D0F" w:rsidRPr="0068569E">
              <w:rPr>
                <w:spacing w:val="-2"/>
              </w:rPr>
              <w:t>(v</w:t>
            </w:r>
            <w:r w:rsidR="00B01D0F">
              <w:rPr>
                <w:spacing w:val="-2"/>
              </w:rPr>
              <w:t> p. b.</w:t>
            </w:r>
            <w:r w:rsidR="00B01D0F" w:rsidRPr="0068569E">
              <w:rPr>
                <w:spacing w:val="-2"/>
              </w:rPr>
              <w:t>)</w:t>
            </w:r>
            <w:r w:rsidR="00B01D0F" w:rsidRPr="0068569E">
              <w:rPr>
                <w:b/>
                <w:bCs/>
                <w:spacing w:val="-2"/>
              </w:rPr>
              <w:t xml:space="preserve"> a očekávání vývoje zaměst</w:t>
            </w:r>
            <w:r w:rsidR="00B01D0F">
              <w:rPr>
                <w:b/>
                <w:bCs/>
                <w:spacing w:val="-2"/>
              </w:rPr>
              <w:t>nanosti</w:t>
            </w:r>
            <w:r w:rsidR="00B01D0F" w:rsidRPr="0068569E">
              <w:rPr>
                <w:b/>
                <w:bCs/>
                <w:spacing w:val="-2"/>
              </w:rPr>
              <w:t xml:space="preserve"> </w:t>
            </w:r>
            <w:r w:rsidR="00B01D0F" w:rsidRPr="0068569E">
              <w:rPr>
                <w:spacing w:val="-2"/>
              </w:rPr>
              <w:t>(saldo v</w:t>
            </w:r>
            <w:r w:rsidR="00B01D0F">
              <w:rPr>
                <w:spacing w:val="-2"/>
              </w:rPr>
              <w:t> p. b.)</w:t>
            </w:r>
          </w:p>
        </w:tc>
      </w:tr>
      <w:tr w:rsidR="00B01D0F" w:rsidRPr="00B43216" w14:paraId="7C9B6C0D" w14:textId="77777777" w:rsidTr="008E039E">
        <w:tblPrEx>
          <w:tblCellMar>
            <w:left w:w="70" w:type="dxa"/>
            <w:right w:w="70" w:type="dxa"/>
          </w:tblCellMar>
        </w:tblPrEx>
        <w:trPr>
          <w:trHeight w:val="155"/>
        </w:trPr>
        <w:tc>
          <w:tcPr>
            <w:tcW w:w="1600" w:type="dxa"/>
            <w:vMerge/>
            <w:shd w:val="clear" w:color="auto" w:fill="auto"/>
          </w:tcPr>
          <w:p w14:paraId="07F32782" w14:textId="77777777" w:rsidR="00B01D0F" w:rsidRPr="00B43216" w:rsidRDefault="00B01D0F" w:rsidP="008E039E">
            <w:pPr>
              <w:pStyle w:val="Marginlie"/>
              <w:spacing w:after="120"/>
              <w:rPr>
                <w:spacing w:val="-4"/>
              </w:rPr>
            </w:pPr>
          </w:p>
        </w:tc>
        <w:tc>
          <w:tcPr>
            <w:tcW w:w="189" w:type="dxa"/>
            <w:vMerge/>
            <w:shd w:val="clear" w:color="auto" w:fill="auto"/>
          </w:tcPr>
          <w:p w14:paraId="163F4A0C" w14:textId="77777777" w:rsidR="00B01D0F" w:rsidRPr="00B43216" w:rsidRDefault="00B01D0F" w:rsidP="008E039E">
            <w:pPr>
              <w:pStyle w:val="Textpoznpodarou"/>
              <w:spacing w:after="120"/>
              <w:jc w:val="both"/>
              <w:rPr>
                <w:spacing w:val="-4"/>
              </w:rPr>
            </w:pPr>
          </w:p>
        </w:tc>
        <w:tc>
          <w:tcPr>
            <w:tcW w:w="7880" w:type="dxa"/>
            <w:shd w:val="clear" w:color="auto" w:fill="auto"/>
          </w:tcPr>
          <w:p w14:paraId="15085B18" w14:textId="77777777" w:rsidR="00B01D0F" w:rsidRPr="00B43216" w:rsidRDefault="00B01D0F" w:rsidP="008E039E">
            <w:pPr>
              <w:spacing w:after="0"/>
              <w:rPr>
                <w:spacing w:val="-4"/>
              </w:rPr>
            </w:pPr>
            <w:r>
              <w:rPr>
                <w:noProof/>
              </w:rPr>
              <w:drawing>
                <wp:inline distT="0" distB="0" distL="0" distR="0" wp14:anchorId="3DD397DD" wp14:editId="46DA6DF9">
                  <wp:extent cx="4714875" cy="3540557"/>
                  <wp:effectExtent l="0" t="0" r="0" b="317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B01D0F" w:rsidRPr="00485ED5" w14:paraId="013B9A75" w14:textId="77777777" w:rsidTr="008E039E">
        <w:trPr>
          <w:trHeight w:val="671"/>
        </w:trPr>
        <w:tc>
          <w:tcPr>
            <w:tcW w:w="1600" w:type="dxa"/>
            <w:vMerge/>
            <w:shd w:val="clear" w:color="auto" w:fill="auto"/>
            <w:tcMar>
              <w:left w:w="0" w:type="dxa"/>
            </w:tcMar>
          </w:tcPr>
          <w:p w14:paraId="718D21BC" w14:textId="77777777" w:rsidR="00B01D0F" w:rsidRPr="00B43216" w:rsidRDefault="00B01D0F" w:rsidP="008E039E">
            <w:pPr>
              <w:pStyle w:val="Marginlie"/>
              <w:spacing w:after="120"/>
              <w:rPr>
                <w:spacing w:val="-4"/>
              </w:rPr>
            </w:pPr>
          </w:p>
        </w:tc>
        <w:tc>
          <w:tcPr>
            <w:tcW w:w="189" w:type="dxa"/>
            <w:vMerge/>
            <w:shd w:val="clear" w:color="auto" w:fill="auto"/>
            <w:tcMar>
              <w:left w:w="0" w:type="dxa"/>
            </w:tcMar>
          </w:tcPr>
          <w:p w14:paraId="4E54229B" w14:textId="77777777" w:rsidR="00B01D0F" w:rsidRPr="00B43216" w:rsidRDefault="00B01D0F" w:rsidP="008E039E">
            <w:pPr>
              <w:pStyle w:val="Textpoznpodarou"/>
              <w:spacing w:after="120"/>
              <w:jc w:val="both"/>
              <w:rPr>
                <w:spacing w:val="-4"/>
              </w:rPr>
            </w:pPr>
          </w:p>
        </w:tc>
        <w:tc>
          <w:tcPr>
            <w:tcW w:w="7880" w:type="dxa"/>
            <w:shd w:val="clear" w:color="auto" w:fill="auto"/>
            <w:tcMar>
              <w:left w:w="0" w:type="dxa"/>
            </w:tcMar>
          </w:tcPr>
          <w:p w14:paraId="0CC07126" w14:textId="77777777" w:rsidR="00B01D0F" w:rsidRDefault="00B01D0F" w:rsidP="008E039E">
            <w:pPr>
              <w:spacing w:after="0" w:line="240" w:lineRule="auto"/>
              <w:rPr>
                <w:rFonts w:cs="Arial"/>
                <w:sz w:val="14"/>
                <w:szCs w:val="14"/>
              </w:rPr>
            </w:pPr>
            <w:r>
              <w:rPr>
                <w:rFonts w:cs="Arial"/>
                <w:color w:val="0D0D0D" w:themeColor="text1" w:themeTint="F2"/>
                <w:spacing w:val="-2"/>
                <w:sz w:val="14"/>
                <w:szCs w:val="14"/>
              </w:rPr>
              <w:t>*</w:t>
            </w:r>
            <w:r w:rsidRPr="00862F17">
              <w:rPr>
                <w:rFonts w:cs="Arial"/>
                <w:sz w:val="14"/>
                <w:szCs w:val="14"/>
              </w:rPr>
              <w:t xml:space="preserve"> Těžba a</w:t>
            </w:r>
            <w:r>
              <w:rPr>
                <w:rFonts w:cs="Arial"/>
                <w:sz w:val="14"/>
                <w:szCs w:val="14"/>
              </w:rPr>
              <w:t> </w:t>
            </w:r>
            <w:r w:rsidRPr="00862F17">
              <w:rPr>
                <w:rFonts w:cs="Arial"/>
                <w:sz w:val="14"/>
                <w:szCs w:val="14"/>
              </w:rPr>
              <w:t>energetika</w:t>
            </w:r>
            <w:r>
              <w:rPr>
                <w:rFonts w:cs="Arial"/>
                <w:sz w:val="14"/>
                <w:szCs w:val="14"/>
              </w:rPr>
              <w:t>;</w:t>
            </w:r>
            <w:r w:rsidRPr="00862F17">
              <w:rPr>
                <w:rFonts w:cs="Arial"/>
                <w:sz w:val="14"/>
                <w:szCs w:val="14"/>
              </w:rPr>
              <w:t xml:space="preserve"> Peněžnictví a</w:t>
            </w:r>
            <w:r>
              <w:rPr>
                <w:rFonts w:cs="Arial"/>
                <w:sz w:val="14"/>
                <w:szCs w:val="14"/>
              </w:rPr>
              <w:t> </w:t>
            </w:r>
            <w:r w:rsidRPr="00862F17">
              <w:rPr>
                <w:rFonts w:cs="Arial"/>
                <w:sz w:val="14"/>
                <w:szCs w:val="14"/>
              </w:rPr>
              <w:t>pojišťovnictví</w:t>
            </w:r>
            <w:r>
              <w:rPr>
                <w:rFonts w:cs="Arial"/>
                <w:sz w:val="14"/>
                <w:szCs w:val="14"/>
              </w:rPr>
              <w:t>;</w:t>
            </w:r>
            <w:r w:rsidRPr="00862F17">
              <w:rPr>
                <w:rFonts w:cs="Arial"/>
                <w:sz w:val="14"/>
                <w:szCs w:val="14"/>
              </w:rPr>
              <w:t xml:space="preserve"> Činnosti v</w:t>
            </w:r>
            <w:r>
              <w:rPr>
                <w:rFonts w:cs="Arial"/>
                <w:sz w:val="14"/>
                <w:szCs w:val="14"/>
              </w:rPr>
              <w:t> </w:t>
            </w:r>
            <w:r w:rsidRPr="00862F17">
              <w:rPr>
                <w:rFonts w:cs="Arial"/>
                <w:sz w:val="14"/>
                <w:szCs w:val="14"/>
              </w:rPr>
              <w:t>oblasti nemovitostí</w:t>
            </w:r>
            <w:r>
              <w:rPr>
                <w:rFonts w:cs="Arial"/>
                <w:sz w:val="14"/>
                <w:szCs w:val="14"/>
              </w:rPr>
              <w:t>;</w:t>
            </w:r>
            <w:r w:rsidRPr="00862F17">
              <w:rPr>
                <w:rFonts w:cs="Arial"/>
                <w:sz w:val="14"/>
                <w:szCs w:val="14"/>
              </w:rPr>
              <w:t xml:space="preserve"> Kulturní, zábavní a</w:t>
            </w:r>
            <w:r w:rsidRPr="00D47653">
              <w:rPr>
                <w:sz w:val="14"/>
                <w:szCs w:val="14"/>
              </w:rPr>
              <w:t> </w:t>
            </w:r>
            <w:r w:rsidRPr="00862F17">
              <w:rPr>
                <w:rFonts w:cs="Arial"/>
                <w:sz w:val="14"/>
                <w:szCs w:val="14"/>
              </w:rPr>
              <w:t>rekreační činnosti</w:t>
            </w:r>
            <w:r>
              <w:rPr>
                <w:rFonts w:cs="Arial"/>
                <w:sz w:val="14"/>
                <w:szCs w:val="14"/>
              </w:rPr>
              <w:t>.</w:t>
            </w:r>
          </w:p>
          <w:p w14:paraId="4DC1744E" w14:textId="77777777" w:rsidR="00B01D0F" w:rsidRDefault="00B01D0F" w:rsidP="008E039E">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očekávání vyjadřuje rozdíl v p. b. mezi kategoriemi růst versus pokles zaměstnanosti v nejbližších třech měsících. Údaje jsou sezónně očištěny a vztahují se k druhému měsíci daného čtvrtletí.</w:t>
            </w:r>
          </w:p>
          <w:p w14:paraId="1197A257" w14:textId="77777777" w:rsidR="00B01D0F" w:rsidRPr="00485ED5" w:rsidRDefault="00B01D0F" w:rsidP="008E039E">
            <w:pPr>
              <w:spacing w:after="200" w:line="240" w:lineRule="auto"/>
              <w:rPr>
                <w:rFonts w:cs="Arial"/>
                <w:color w:val="0D0D0D" w:themeColor="text1" w:themeTint="F2"/>
                <w:spacing w:val="-2"/>
                <w:sz w:val="14"/>
                <w:szCs w:val="14"/>
              </w:rPr>
            </w:pPr>
            <w:r>
              <w:rPr>
                <w:rFonts w:cs="Arial"/>
                <w:sz w:val="14"/>
                <w:szCs w:val="14"/>
              </w:rPr>
              <w:t>Zdroj: ČSÚ (VŠPS, konjunkturální průzkumy)</w:t>
            </w:r>
          </w:p>
        </w:tc>
      </w:tr>
      <w:tr w:rsidR="00B01D0F" w:rsidRPr="00D82DBD" w14:paraId="2CE1C1A9" w14:textId="77777777" w:rsidTr="008E039E">
        <w:trPr>
          <w:trHeight w:val="145"/>
        </w:trPr>
        <w:tc>
          <w:tcPr>
            <w:tcW w:w="1600" w:type="dxa"/>
            <w:shd w:val="clear" w:color="auto" w:fill="auto"/>
            <w:tcMar>
              <w:left w:w="0" w:type="dxa"/>
            </w:tcMar>
          </w:tcPr>
          <w:p w14:paraId="66A12C7B" w14:textId="77777777" w:rsidR="00B01D0F" w:rsidRDefault="00B01D0F" w:rsidP="008E039E">
            <w:pPr>
              <w:pStyle w:val="Marginlie"/>
              <w:rPr>
                <w:color w:val="0D0D0D" w:themeColor="text1" w:themeTint="F2"/>
                <w:spacing w:val="-5"/>
              </w:rPr>
            </w:pPr>
            <w:r>
              <w:rPr>
                <w:color w:val="0D0D0D" w:themeColor="text1" w:themeTint="F2"/>
                <w:spacing w:val="-5"/>
              </w:rPr>
              <w:t xml:space="preserve">S výjimkou průmyslu očekávání podniků v oblasti zaměstnanosti po většinu loňského roku posilovala. Mírný </w:t>
            </w:r>
            <w:r>
              <w:rPr>
                <w:color w:val="0D0D0D" w:themeColor="text1" w:themeTint="F2"/>
                <w:spacing w:val="-5"/>
              </w:rPr>
              <w:lastRenderedPageBreak/>
              <w:t>pesimismus přetrvával na začátku roku 2022 jen v některých oblastech služeb.</w:t>
            </w:r>
          </w:p>
        </w:tc>
        <w:tc>
          <w:tcPr>
            <w:tcW w:w="189" w:type="dxa"/>
            <w:shd w:val="clear" w:color="auto" w:fill="auto"/>
            <w:tcMar>
              <w:left w:w="0" w:type="dxa"/>
            </w:tcMar>
          </w:tcPr>
          <w:p w14:paraId="50344A71" w14:textId="77777777" w:rsidR="00B01D0F" w:rsidRPr="00EA508C" w:rsidRDefault="00B01D0F" w:rsidP="008E039E">
            <w:pPr>
              <w:pStyle w:val="Textpoznpodarou"/>
              <w:spacing w:after="120"/>
              <w:jc w:val="both"/>
              <w:rPr>
                <w:color w:val="0D0D0D" w:themeColor="text1" w:themeTint="F2"/>
                <w:spacing w:val="-4"/>
              </w:rPr>
            </w:pPr>
          </w:p>
        </w:tc>
        <w:tc>
          <w:tcPr>
            <w:tcW w:w="7880" w:type="dxa"/>
            <w:shd w:val="clear" w:color="auto" w:fill="auto"/>
            <w:tcMar>
              <w:left w:w="0" w:type="dxa"/>
            </w:tcMar>
          </w:tcPr>
          <w:p w14:paraId="0118BB9A" w14:textId="4EFADF3D" w:rsidR="00B01D0F" w:rsidRPr="00264D48" w:rsidRDefault="00B01D0F" w:rsidP="008E039E">
            <w:pPr>
              <w:spacing w:after="200"/>
              <w:rPr>
                <w:spacing w:val="-4"/>
              </w:rPr>
            </w:pPr>
            <w:r w:rsidRPr="007517F0">
              <w:rPr>
                <w:spacing w:val="-4"/>
              </w:rPr>
              <w:t>Dle konjunkturáln</w:t>
            </w:r>
            <w:r>
              <w:rPr>
                <w:spacing w:val="-4"/>
              </w:rPr>
              <w:t>ích průzkumů vystoupala v září</w:t>
            </w:r>
            <w:r w:rsidRPr="007517F0">
              <w:rPr>
                <w:spacing w:val="-4"/>
              </w:rPr>
              <w:t xml:space="preserve"> 2021 krátkodobá </w:t>
            </w:r>
            <w:r w:rsidR="001C3794">
              <w:rPr>
                <w:spacing w:val="-4"/>
              </w:rPr>
              <w:t xml:space="preserve">pozitivní </w:t>
            </w:r>
            <w:r w:rsidRPr="001653E3">
              <w:rPr>
                <w:spacing w:val="-4"/>
              </w:rPr>
              <w:t>očekávání podniků v oblasti zaměstnanosti nejvýše od podzimu 2019.</w:t>
            </w:r>
            <w:r>
              <w:rPr>
                <w:spacing w:val="-4"/>
              </w:rPr>
              <w:t xml:space="preserve"> Během 4. čtvrtletí sice došlo zejména vinou problémů ve zpracovatelském průmyslu k mírnému ochlazení, na počátku roku 2022 ale optimismus opět posílil. </w:t>
            </w:r>
            <w:r w:rsidRPr="007517F0">
              <w:rPr>
                <w:spacing w:val="-4"/>
              </w:rPr>
              <w:t>Pozitivní b</w:t>
            </w:r>
            <w:r>
              <w:rPr>
                <w:spacing w:val="-4"/>
              </w:rPr>
              <w:t xml:space="preserve">yla očekávání především v obchodu </w:t>
            </w:r>
            <w:r>
              <w:rPr>
                <w:spacing w:val="-4"/>
              </w:rPr>
              <w:lastRenderedPageBreak/>
              <w:t xml:space="preserve">a stavebnictví, ale i v průmyslu. Ve službách sice stále mírně převažovaly podniky plánující propouštění lidí, to ovšem platilo i v období těsně před nástupem pandemie. Negativní očekávání přetrvávala např. v letecké dopravě a ve finančním sektoru. Současně ale </w:t>
            </w:r>
            <w:r w:rsidRPr="001653E3">
              <w:rPr>
                <w:spacing w:val="-4"/>
              </w:rPr>
              <w:t>dále mírně rostl i</w:t>
            </w:r>
            <w:r>
              <w:rPr>
                <w:spacing w:val="-4"/>
              </w:rPr>
              <w:t> </w:t>
            </w:r>
            <w:r w:rsidRPr="001653E3">
              <w:rPr>
                <w:spacing w:val="-4"/>
              </w:rPr>
              <w:t>podíl pod</w:t>
            </w:r>
            <w:r>
              <w:rPr>
                <w:spacing w:val="-4"/>
              </w:rPr>
              <w:t>niků, pro něž představoval nedostatek</w:t>
            </w:r>
            <w:r w:rsidRPr="001653E3">
              <w:rPr>
                <w:spacing w:val="-4"/>
              </w:rPr>
              <w:t xml:space="preserve"> pracovníků</w:t>
            </w:r>
            <w:r>
              <w:rPr>
                <w:spacing w:val="-4"/>
              </w:rPr>
              <w:t xml:space="preserve"> jednu z růstových bariér – ve stavebnictví šlo v únoru 2022 již o 45 % firem (nejvýznamnější bariérou to zde bylo skoro čtvrtý rok v řadě), v průmyslu i ve službách zhruba o 20 %</w:t>
            </w:r>
            <w:r>
              <w:rPr>
                <w:rStyle w:val="Znakapoznpodarou"/>
                <w:spacing w:val="-4"/>
              </w:rPr>
              <w:footnoteReference w:id="65"/>
            </w:r>
            <w:r>
              <w:rPr>
                <w:spacing w:val="-4"/>
              </w:rPr>
              <w:t>. S výjimkou průmyslu již problémy s pracovní silou vystoupaly na úroveň z roku 2019 a dokládají tak silné napětí na pracovním trhu.</w:t>
            </w:r>
          </w:p>
        </w:tc>
      </w:tr>
      <w:tr w:rsidR="00B01D0F" w:rsidRPr="00B43216" w14:paraId="3585EDB3" w14:textId="77777777" w:rsidTr="008E039E">
        <w:trPr>
          <w:trHeight w:val="155"/>
        </w:trPr>
        <w:tc>
          <w:tcPr>
            <w:tcW w:w="1600" w:type="dxa"/>
            <w:vMerge w:val="restart"/>
            <w:shd w:val="clear" w:color="auto" w:fill="auto"/>
            <w:tcMar>
              <w:left w:w="0" w:type="dxa"/>
            </w:tcMar>
          </w:tcPr>
          <w:p w14:paraId="29D17993" w14:textId="77777777" w:rsidR="00B01D0F" w:rsidRPr="00B43216" w:rsidRDefault="00B01D0F" w:rsidP="008E039E">
            <w:pPr>
              <w:pStyle w:val="Marginlie"/>
              <w:spacing w:after="120"/>
              <w:rPr>
                <w:spacing w:val="-4"/>
              </w:rPr>
            </w:pPr>
          </w:p>
        </w:tc>
        <w:tc>
          <w:tcPr>
            <w:tcW w:w="189" w:type="dxa"/>
            <w:vMerge w:val="restart"/>
            <w:shd w:val="clear" w:color="auto" w:fill="auto"/>
            <w:tcMar>
              <w:left w:w="0" w:type="dxa"/>
            </w:tcMar>
          </w:tcPr>
          <w:p w14:paraId="6431C036" w14:textId="77777777" w:rsidR="00B01D0F" w:rsidRPr="00B43216" w:rsidRDefault="00B01D0F" w:rsidP="008E039E">
            <w:pPr>
              <w:pStyle w:val="Textpoznpodarou"/>
              <w:spacing w:after="120"/>
              <w:jc w:val="both"/>
              <w:rPr>
                <w:spacing w:val="-4"/>
              </w:rPr>
            </w:pPr>
          </w:p>
        </w:tc>
        <w:tc>
          <w:tcPr>
            <w:tcW w:w="7880" w:type="dxa"/>
            <w:shd w:val="clear" w:color="auto" w:fill="auto"/>
            <w:tcMar>
              <w:left w:w="0" w:type="dxa"/>
            </w:tcMar>
          </w:tcPr>
          <w:p w14:paraId="63A7C037" w14:textId="46CEF390" w:rsidR="00B01D0F" w:rsidRPr="009C410C" w:rsidRDefault="001C3794" w:rsidP="00A02E8B">
            <w:pPr>
              <w:spacing w:after="0"/>
              <w:rPr>
                <w:b/>
                <w:spacing w:val="-4"/>
              </w:rPr>
            </w:pPr>
            <w:r>
              <w:rPr>
                <w:b/>
                <w:spacing w:val="-4"/>
              </w:rPr>
              <w:t>Graf č. 1</w:t>
            </w:r>
            <w:r w:rsidR="00A02E8B">
              <w:rPr>
                <w:b/>
                <w:spacing w:val="-4"/>
              </w:rPr>
              <w:t>5</w:t>
            </w:r>
            <w:r w:rsidR="00B01D0F" w:rsidRPr="009C410C">
              <w:rPr>
                <w:b/>
                <w:spacing w:val="-4"/>
              </w:rPr>
              <w:t xml:space="preserve">  </w:t>
            </w:r>
            <w:r w:rsidR="00B01D0F" w:rsidRPr="009C410C">
              <w:rPr>
                <w:rFonts w:cs="Arial"/>
                <w:b/>
                <w:spacing w:val="-4"/>
              </w:rPr>
              <w:t xml:space="preserve">Obecná míra nezaměstnanosti </w:t>
            </w:r>
            <w:r w:rsidR="00B01D0F" w:rsidRPr="009C410C">
              <w:rPr>
                <w:rFonts w:cs="Arial"/>
                <w:bCs/>
                <w:spacing w:val="-4"/>
              </w:rPr>
              <w:t>(v %)</w:t>
            </w:r>
            <w:r w:rsidR="00B01D0F" w:rsidRPr="009C410C">
              <w:rPr>
                <w:rFonts w:cs="Arial"/>
                <w:b/>
                <w:spacing w:val="-4"/>
              </w:rPr>
              <w:t xml:space="preserve">, podíl dlouhodobě nezaměstnaných a osob ve věku do 25 a nad 50 let mezi nezaměstnanými </w:t>
            </w:r>
            <w:r w:rsidR="00B01D0F" w:rsidRPr="009C410C">
              <w:rPr>
                <w:rFonts w:cs="Arial"/>
                <w:bCs/>
                <w:spacing w:val="-4"/>
              </w:rPr>
              <w:t>(v %)</w:t>
            </w:r>
            <w:r w:rsidR="00B01D0F" w:rsidRPr="009C410C">
              <w:rPr>
                <w:rFonts w:cs="Arial"/>
                <w:b/>
                <w:spacing w:val="-4"/>
              </w:rPr>
              <w:t xml:space="preserve">, ekonomicky neaktivní chtějící pracovat </w:t>
            </w:r>
            <w:r w:rsidR="00B01D0F" w:rsidRPr="009C410C">
              <w:rPr>
                <w:rFonts w:cs="Arial"/>
                <w:bCs/>
                <w:spacing w:val="-4"/>
              </w:rPr>
              <w:t xml:space="preserve">(v tis.)* </w:t>
            </w:r>
            <w:r w:rsidR="00B01D0F" w:rsidRPr="009C410C">
              <w:rPr>
                <w:rFonts w:cs="Arial"/>
                <w:b/>
                <w:bCs/>
                <w:spacing w:val="-4"/>
              </w:rPr>
              <w:t>a očekávání nezaměstnanosti u domácností</w:t>
            </w:r>
            <w:r w:rsidR="00B01D0F" w:rsidRPr="009C410C">
              <w:rPr>
                <w:rFonts w:cs="Arial"/>
                <w:bCs/>
                <w:spacing w:val="-4"/>
              </w:rPr>
              <w:t xml:space="preserve"> (v p. b.)**</w:t>
            </w:r>
          </w:p>
        </w:tc>
      </w:tr>
      <w:tr w:rsidR="00B01D0F" w:rsidRPr="00B43216" w14:paraId="4F2786C3" w14:textId="77777777" w:rsidTr="008E039E">
        <w:tblPrEx>
          <w:tblCellMar>
            <w:left w:w="70" w:type="dxa"/>
            <w:right w:w="70" w:type="dxa"/>
          </w:tblCellMar>
        </w:tblPrEx>
        <w:trPr>
          <w:trHeight w:val="155"/>
        </w:trPr>
        <w:tc>
          <w:tcPr>
            <w:tcW w:w="1600" w:type="dxa"/>
            <w:vMerge/>
            <w:shd w:val="clear" w:color="auto" w:fill="auto"/>
          </w:tcPr>
          <w:p w14:paraId="6DFCBF32" w14:textId="77777777" w:rsidR="00B01D0F" w:rsidRPr="00B43216" w:rsidRDefault="00B01D0F" w:rsidP="008E039E">
            <w:pPr>
              <w:pStyle w:val="Marginlie"/>
              <w:spacing w:after="120"/>
              <w:rPr>
                <w:spacing w:val="-4"/>
              </w:rPr>
            </w:pPr>
          </w:p>
        </w:tc>
        <w:tc>
          <w:tcPr>
            <w:tcW w:w="189" w:type="dxa"/>
            <w:vMerge/>
            <w:shd w:val="clear" w:color="auto" w:fill="auto"/>
          </w:tcPr>
          <w:p w14:paraId="143FD2D5" w14:textId="77777777" w:rsidR="00B01D0F" w:rsidRPr="00B43216" w:rsidRDefault="00B01D0F" w:rsidP="008E039E">
            <w:pPr>
              <w:pStyle w:val="Textpoznpodarou"/>
              <w:spacing w:after="120"/>
              <w:jc w:val="both"/>
              <w:rPr>
                <w:spacing w:val="-4"/>
              </w:rPr>
            </w:pPr>
          </w:p>
        </w:tc>
        <w:tc>
          <w:tcPr>
            <w:tcW w:w="7880" w:type="dxa"/>
            <w:shd w:val="clear" w:color="auto" w:fill="auto"/>
          </w:tcPr>
          <w:p w14:paraId="6F87FDFB" w14:textId="77777777" w:rsidR="00B01D0F" w:rsidRPr="00B43216" w:rsidRDefault="00B01D0F" w:rsidP="008E039E">
            <w:pPr>
              <w:spacing w:after="0"/>
              <w:rPr>
                <w:spacing w:val="-4"/>
              </w:rPr>
            </w:pPr>
            <w:r>
              <w:rPr>
                <w:noProof/>
              </w:rPr>
              <w:drawing>
                <wp:inline distT="0" distB="0" distL="0" distR="0" wp14:anchorId="37486EC6" wp14:editId="14B32FA0">
                  <wp:extent cx="4691380" cy="3284524"/>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B01D0F" w:rsidRPr="00B43216" w14:paraId="0E752125" w14:textId="77777777" w:rsidTr="008E039E">
        <w:trPr>
          <w:trHeight w:val="671"/>
        </w:trPr>
        <w:tc>
          <w:tcPr>
            <w:tcW w:w="1600" w:type="dxa"/>
            <w:vMerge/>
            <w:shd w:val="clear" w:color="auto" w:fill="auto"/>
            <w:tcMar>
              <w:left w:w="0" w:type="dxa"/>
            </w:tcMar>
          </w:tcPr>
          <w:p w14:paraId="3A69B4FE" w14:textId="77777777" w:rsidR="00B01D0F" w:rsidRPr="00B43216" w:rsidRDefault="00B01D0F" w:rsidP="008E039E">
            <w:pPr>
              <w:pStyle w:val="Marginlie"/>
              <w:rPr>
                <w:spacing w:val="-4"/>
              </w:rPr>
            </w:pPr>
          </w:p>
        </w:tc>
        <w:tc>
          <w:tcPr>
            <w:tcW w:w="189" w:type="dxa"/>
            <w:vMerge/>
            <w:shd w:val="clear" w:color="auto" w:fill="auto"/>
            <w:tcMar>
              <w:left w:w="0" w:type="dxa"/>
            </w:tcMar>
          </w:tcPr>
          <w:p w14:paraId="04513910" w14:textId="77777777" w:rsidR="00B01D0F" w:rsidRPr="00B43216" w:rsidRDefault="00B01D0F" w:rsidP="008E039E">
            <w:pPr>
              <w:pStyle w:val="Textpoznpodarou"/>
              <w:jc w:val="both"/>
              <w:rPr>
                <w:spacing w:val="-4"/>
              </w:rPr>
            </w:pPr>
          </w:p>
        </w:tc>
        <w:tc>
          <w:tcPr>
            <w:tcW w:w="7880" w:type="dxa"/>
            <w:shd w:val="clear" w:color="auto" w:fill="auto"/>
            <w:tcMar>
              <w:left w:w="0" w:type="dxa"/>
            </w:tcMar>
          </w:tcPr>
          <w:p w14:paraId="3B06C48C" w14:textId="77777777" w:rsidR="00B01D0F" w:rsidRPr="004E68B1" w:rsidRDefault="00B01D0F" w:rsidP="008E039E">
            <w:pPr>
              <w:spacing w:after="0" w:line="240" w:lineRule="auto"/>
              <w:rPr>
                <w:rFonts w:cs="Arial"/>
                <w:color w:val="0D0D0D" w:themeColor="text1" w:themeTint="F2"/>
                <w:spacing w:val="-2"/>
                <w:sz w:val="14"/>
                <w:szCs w:val="14"/>
              </w:rPr>
            </w:pPr>
            <w:r w:rsidRPr="004E68B1">
              <w:rPr>
                <w:rFonts w:cs="Arial"/>
                <w:color w:val="0D0D0D" w:themeColor="text1" w:themeTint="F2"/>
                <w:spacing w:val="-2"/>
                <w:sz w:val="14"/>
                <w:szCs w:val="14"/>
              </w:rPr>
              <w:t>Pozn.: Údaje o míře nezaměstnanosti jsou po sezónním oči</w:t>
            </w:r>
            <w:r>
              <w:rPr>
                <w:rFonts w:cs="Arial"/>
                <w:color w:val="0D0D0D" w:themeColor="text1" w:themeTint="F2"/>
                <w:spacing w:val="-2"/>
                <w:sz w:val="14"/>
                <w:szCs w:val="14"/>
              </w:rPr>
              <w:t>štění, ostatní ukazatele nikoli</w:t>
            </w:r>
            <w:r w:rsidRPr="004E68B1">
              <w:rPr>
                <w:rFonts w:cs="Arial"/>
                <w:color w:val="0D0D0D" w:themeColor="text1" w:themeTint="F2"/>
                <w:spacing w:val="-2"/>
                <w:sz w:val="14"/>
                <w:szCs w:val="14"/>
              </w:rPr>
              <w:t>.</w:t>
            </w:r>
          </w:p>
          <w:p w14:paraId="0DAF0F5F" w14:textId="77777777" w:rsidR="00B01D0F" w:rsidRDefault="00B01D0F" w:rsidP="008E039E">
            <w:pPr>
              <w:spacing w:after="0" w:line="240" w:lineRule="auto"/>
              <w:rPr>
                <w:rFonts w:cs="Arial"/>
                <w:color w:val="0D0D0D" w:themeColor="text1" w:themeTint="F2"/>
                <w:spacing w:val="-2"/>
                <w:sz w:val="14"/>
                <w:szCs w:val="14"/>
              </w:rPr>
            </w:pPr>
            <w:r>
              <w:rPr>
                <w:rFonts w:cs="Arial"/>
                <w:bCs/>
                <w:color w:val="0D0D0D" w:themeColor="text1" w:themeTint="F2"/>
                <w:spacing w:val="-2"/>
                <w:sz w:val="14"/>
                <w:szCs w:val="14"/>
              </w:rPr>
              <w:t>*</w:t>
            </w:r>
            <w:r w:rsidRPr="004E68B1">
              <w:rPr>
                <w:rFonts w:cs="Arial"/>
                <w:bCs/>
                <w:color w:val="0D0D0D" w:themeColor="text1" w:themeTint="F2"/>
                <w:spacing w:val="-2"/>
                <w:sz w:val="14"/>
                <w:szCs w:val="14"/>
              </w:rPr>
              <w:t>Jde o osoby, které nepracují, aktivně práci nehledají,</w:t>
            </w:r>
            <w:r w:rsidRPr="004E68B1">
              <w:rPr>
                <w:rFonts w:cs="Arial"/>
                <w:color w:val="0D0D0D" w:themeColor="text1" w:themeTint="F2"/>
                <w:spacing w:val="-2"/>
                <w:sz w:val="14"/>
                <w:szCs w:val="14"/>
              </w:rPr>
              <w:t xml:space="preserve"> ale přitom uvádějí, že by chtěly pracovat.</w:t>
            </w:r>
          </w:p>
          <w:p w14:paraId="0FED6131" w14:textId="77777777" w:rsidR="00B01D0F" w:rsidRDefault="00B01D0F" w:rsidP="008E039E">
            <w:pPr>
              <w:spacing w:after="0" w:line="240" w:lineRule="auto"/>
              <w:rPr>
                <w:rFonts w:cs="Arial"/>
                <w:color w:val="0D0D0D" w:themeColor="text1" w:themeTint="F2"/>
                <w:spacing w:val="-2"/>
                <w:sz w:val="14"/>
                <w:szCs w:val="14"/>
              </w:rPr>
            </w:pPr>
            <w:r>
              <w:rPr>
                <w:rFonts w:cs="Arial"/>
                <w:color w:val="0D0D0D" w:themeColor="text1" w:themeTint="F2"/>
                <w:spacing w:val="-2"/>
                <w:sz w:val="14"/>
                <w:szCs w:val="14"/>
              </w:rPr>
              <w:t>**Sezónně očištěné saldo očekávání nezaměstnanosti v nejbližších 12 měsících (rozdíl mezi procentuální četností odpovědí domácností růst a pokles vyjádřený v procentních bodech). Vztahuje se k prostřednímu měsíci daného čtvrtletí.</w:t>
            </w:r>
          </w:p>
          <w:p w14:paraId="20B658B0" w14:textId="77777777" w:rsidR="00B01D0F" w:rsidRPr="00485ED5" w:rsidRDefault="00B01D0F" w:rsidP="002438DC">
            <w:pPr>
              <w:spacing w:after="200" w:line="240" w:lineRule="auto"/>
              <w:rPr>
                <w:rFonts w:cs="Arial"/>
                <w:color w:val="0D0D0D" w:themeColor="text1" w:themeTint="F2"/>
                <w:spacing w:val="-2"/>
                <w:sz w:val="14"/>
                <w:szCs w:val="14"/>
              </w:rPr>
            </w:pPr>
            <w:r>
              <w:rPr>
                <w:rFonts w:cs="Arial"/>
                <w:color w:val="0D0D0D" w:themeColor="text1" w:themeTint="F2"/>
                <w:spacing w:val="-2"/>
                <w:sz w:val="14"/>
                <w:szCs w:val="14"/>
              </w:rPr>
              <w:t>Zdroj: ČSÚ (VŠPS, konjunkturální průzkum)</w:t>
            </w:r>
          </w:p>
        </w:tc>
      </w:tr>
      <w:tr w:rsidR="002438DC" w:rsidRPr="00B43216" w14:paraId="675EF485" w14:textId="77777777" w:rsidTr="008E039E">
        <w:trPr>
          <w:trHeight w:val="671"/>
        </w:trPr>
        <w:tc>
          <w:tcPr>
            <w:tcW w:w="1600" w:type="dxa"/>
            <w:shd w:val="clear" w:color="auto" w:fill="auto"/>
            <w:tcMar>
              <w:left w:w="0" w:type="dxa"/>
            </w:tcMar>
          </w:tcPr>
          <w:p w14:paraId="5A423F37" w14:textId="77777777" w:rsidR="002438DC" w:rsidRDefault="002438DC" w:rsidP="002438DC">
            <w:pPr>
              <w:pStyle w:val="Marginlie"/>
              <w:rPr>
                <w:color w:val="0D0D0D" w:themeColor="text1" w:themeTint="F2"/>
                <w:spacing w:val="-5"/>
              </w:rPr>
            </w:pPr>
            <w:r>
              <w:rPr>
                <w:color w:val="0D0D0D" w:themeColor="text1" w:themeTint="F2"/>
                <w:spacing w:val="-5"/>
              </w:rPr>
              <w:t>Obecná míra nezaměstnanosti se po většinu loňského roku snižovala, primárně zásluhou žen.</w:t>
            </w:r>
          </w:p>
          <w:p w14:paraId="3A800ADB" w14:textId="77777777" w:rsidR="002438DC" w:rsidRDefault="002438DC" w:rsidP="002438DC">
            <w:pPr>
              <w:pStyle w:val="Marginlie"/>
              <w:rPr>
                <w:color w:val="0D0D0D" w:themeColor="text1" w:themeTint="F2"/>
                <w:spacing w:val="-5"/>
              </w:rPr>
            </w:pPr>
          </w:p>
          <w:p w14:paraId="5D2D4049" w14:textId="77777777" w:rsidR="002438DC" w:rsidRDefault="002438DC" w:rsidP="002438DC">
            <w:pPr>
              <w:pStyle w:val="Marginlie"/>
              <w:rPr>
                <w:color w:val="0D0D0D" w:themeColor="text1" w:themeTint="F2"/>
                <w:spacing w:val="-5"/>
              </w:rPr>
            </w:pPr>
          </w:p>
          <w:p w14:paraId="2C080A5C" w14:textId="77777777" w:rsidR="002438DC" w:rsidRDefault="002438DC" w:rsidP="002438DC">
            <w:pPr>
              <w:pStyle w:val="Marginlie"/>
              <w:rPr>
                <w:color w:val="0D0D0D" w:themeColor="text1" w:themeTint="F2"/>
                <w:spacing w:val="-5"/>
              </w:rPr>
            </w:pPr>
          </w:p>
          <w:p w14:paraId="4B823D18" w14:textId="77777777" w:rsidR="002438DC" w:rsidRDefault="002438DC" w:rsidP="002438DC">
            <w:pPr>
              <w:pStyle w:val="Marginlie"/>
              <w:rPr>
                <w:color w:val="0D0D0D" w:themeColor="text1" w:themeTint="F2"/>
                <w:spacing w:val="-5"/>
              </w:rPr>
            </w:pPr>
          </w:p>
          <w:p w14:paraId="5E6E9B1B" w14:textId="77777777" w:rsidR="002438DC" w:rsidRDefault="002438DC" w:rsidP="002438DC">
            <w:pPr>
              <w:pStyle w:val="Marginlie"/>
              <w:rPr>
                <w:color w:val="0D0D0D" w:themeColor="text1" w:themeTint="F2"/>
                <w:spacing w:val="-5"/>
              </w:rPr>
            </w:pPr>
          </w:p>
          <w:p w14:paraId="54414F65" w14:textId="77777777" w:rsidR="002438DC" w:rsidRDefault="002438DC" w:rsidP="002438DC">
            <w:pPr>
              <w:pStyle w:val="Marginlie"/>
              <w:rPr>
                <w:color w:val="0D0D0D" w:themeColor="text1" w:themeTint="F2"/>
                <w:spacing w:val="-5"/>
              </w:rPr>
            </w:pPr>
          </w:p>
          <w:p w14:paraId="4FCE64D2" w14:textId="688FC7CE" w:rsidR="002438DC" w:rsidRDefault="002438DC" w:rsidP="002438DC">
            <w:pPr>
              <w:pStyle w:val="Marginlie"/>
              <w:rPr>
                <w:color w:val="0D0D0D" w:themeColor="text1" w:themeTint="F2"/>
                <w:spacing w:val="-5"/>
              </w:rPr>
            </w:pPr>
            <w:r>
              <w:rPr>
                <w:color w:val="0D0D0D" w:themeColor="text1" w:themeTint="F2"/>
                <w:spacing w:val="-5"/>
              </w:rPr>
              <w:t>Dlouhodobě nezaměstnaných však ve druhé půli roku přibývalo.</w:t>
            </w:r>
          </w:p>
        </w:tc>
        <w:tc>
          <w:tcPr>
            <w:tcW w:w="189" w:type="dxa"/>
            <w:shd w:val="clear" w:color="auto" w:fill="auto"/>
            <w:tcMar>
              <w:left w:w="0" w:type="dxa"/>
            </w:tcMar>
          </w:tcPr>
          <w:p w14:paraId="3BFEADD9" w14:textId="77777777" w:rsidR="002438DC" w:rsidRPr="00B43216" w:rsidRDefault="002438DC" w:rsidP="002438DC">
            <w:pPr>
              <w:pStyle w:val="Textpoznpodarou"/>
              <w:spacing w:line="276" w:lineRule="auto"/>
              <w:jc w:val="both"/>
              <w:rPr>
                <w:spacing w:val="-4"/>
              </w:rPr>
            </w:pPr>
          </w:p>
        </w:tc>
        <w:tc>
          <w:tcPr>
            <w:tcW w:w="7880" w:type="dxa"/>
            <w:shd w:val="clear" w:color="auto" w:fill="auto"/>
            <w:tcMar>
              <w:left w:w="0" w:type="dxa"/>
            </w:tcMar>
          </w:tcPr>
          <w:p w14:paraId="34602457" w14:textId="3B234997" w:rsidR="002438DC" w:rsidRPr="00431E91" w:rsidRDefault="002438DC" w:rsidP="002438DC">
            <w:pPr>
              <w:spacing w:after="200"/>
              <w:rPr>
                <w:color w:val="0D0D0D" w:themeColor="text1" w:themeTint="F2"/>
                <w:spacing w:val="-4"/>
              </w:rPr>
            </w:pPr>
            <w:r w:rsidRPr="00431E91">
              <w:rPr>
                <w:color w:val="0D0D0D" w:themeColor="text1" w:themeTint="F2"/>
                <w:spacing w:val="-4"/>
              </w:rPr>
              <w:t>Obecná míra nezaměstnanosti</w:t>
            </w:r>
            <w:r w:rsidRPr="00431E91">
              <w:rPr>
                <w:rStyle w:val="Znakapoznpodarou"/>
                <w:color w:val="0D0D0D" w:themeColor="text1" w:themeTint="F2"/>
                <w:spacing w:val="-4"/>
              </w:rPr>
              <w:footnoteReference w:id="66"/>
            </w:r>
            <w:r>
              <w:rPr>
                <w:color w:val="0D0D0D" w:themeColor="text1" w:themeTint="F2"/>
                <w:spacing w:val="-4"/>
              </w:rPr>
              <w:t xml:space="preserve"> (ve věku 15 až 64 let) kulminovala během pandemického období loni v březnu, kdy dosáhla čtyřletého maxima (3,4 %). Příznivý vývoj ve zbylé části roku byl dovršen v prosinci 2021, kdy se nezaměstnanost těsně přiblížila 2 %, tedy úrovni z</w:t>
            </w:r>
            <w:r w:rsidR="001C3794">
              <w:rPr>
                <w:color w:val="0D0D0D" w:themeColor="text1" w:themeTint="F2"/>
                <w:spacing w:val="-4"/>
              </w:rPr>
              <w:t> </w:t>
            </w:r>
            <w:r>
              <w:rPr>
                <w:color w:val="0D0D0D" w:themeColor="text1" w:themeTint="F2"/>
                <w:spacing w:val="-4"/>
              </w:rPr>
              <w:t>poslední</w:t>
            </w:r>
            <w:r w:rsidR="001C3794">
              <w:rPr>
                <w:color w:val="0D0D0D" w:themeColor="text1" w:themeTint="F2"/>
                <w:spacing w:val="-4"/>
              </w:rPr>
              <w:t>ho období</w:t>
            </w:r>
            <w:r>
              <w:rPr>
                <w:color w:val="0D0D0D" w:themeColor="text1" w:themeTint="F2"/>
                <w:spacing w:val="-4"/>
              </w:rPr>
              <w:t xml:space="preserve"> konjunktury. Efekt v</w:t>
            </w:r>
            <w:r w:rsidRPr="00431E91">
              <w:rPr>
                <w:color w:val="0D0D0D" w:themeColor="text1" w:themeTint="F2"/>
                <w:spacing w:val="-4"/>
              </w:rPr>
              <w:t>ýrazné</w:t>
            </w:r>
            <w:r>
              <w:rPr>
                <w:color w:val="0D0D0D" w:themeColor="text1" w:themeTint="F2"/>
                <w:spacing w:val="-4"/>
              </w:rPr>
              <w:t>ho</w:t>
            </w:r>
            <w:r w:rsidRPr="00431E91">
              <w:rPr>
                <w:color w:val="0D0D0D" w:themeColor="text1" w:themeTint="F2"/>
                <w:spacing w:val="-4"/>
              </w:rPr>
              <w:t xml:space="preserve"> </w:t>
            </w:r>
            <w:r>
              <w:rPr>
                <w:color w:val="0D0D0D" w:themeColor="text1" w:themeTint="F2"/>
                <w:spacing w:val="-4"/>
              </w:rPr>
              <w:t xml:space="preserve">loňského </w:t>
            </w:r>
            <w:r w:rsidRPr="00431E91">
              <w:rPr>
                <w:color w:val="0D0D0D" w:themeColor="text1" w:themeTint="F2"/>
                <w:spacing w:val="-4"/>
              </w:rPr>
              <w:t xml:space="preserve">utlumení vládních stabilizačních programů </w:t>
            </w:r>
            <w:r>
              <w:rPr>
                <w:color w:val="0D0D0D" w:themeColor="text1" w:themeTint="F2"/>
                <w:spacing w:val="-4"/>
              </w:rPr>
              <w:t>(Antivirus, ošetřovné) byl kompenzován pozitivními dopady spojenými s plným „otevřením“ ekonomiky. Nezaměstnanost žen klesla svižněji (na 2,5 %), přesto hladinu z přelomu let 2019 a 2020 stále mírně převyšovala. N</w:t>
            </w:r>
            <w:r w:rsidRPr="00431E91">
              <w:rPr>
                <w:color w:val="0D0D0D" w:themeColor="text1" w:themeTint="F2"/>
                <w:spacing w:val="-4"/>
              </w:rPr>
              <w:t>abídka zkrácených pracovních úvazků</w:t>
            </w:r>
            <w:r>
              <w:rPr>
                <w:color w:val="0D0D0D" w:themeColor="text1" w:themeTint="F2"/>
                <w:spacing w:val="-4"/>
              </w:rPr>
              <w:t xml:space="preserve">, která by „vtáhla“ na pracovní trh ještě větší počet žen, </w:t>
            </w:r>
            <w:r w:rsidRPr="00431E91">
              <w:rPr>
                <w:color w:val="0D0D0D" w:themeColor="text1" w:themeTint="F2"/>
                <w:spacing w:val="-4"/>
              </w:rPr>
              <w:t>patrně zatím úrovně z roku 2019 nedosáhla</w:t>
            </w:r>
            <w:r w:rsidRPr="00431E91">
              <w:rPr>
                <w:rStyle w:val="Znakapoznpodarou"/>
                <w:color w:val="0D0D0D" w:themeColor="text1" w:themeTint="F2"/>
                <w:spacing w:val="-4"/>
              </w:rPr>
              <w:footnoteReference w:id="67"/>
            </w:r>
            <w:r w:rsidRPr="00431E91">
              <w:rPr>
                <w:color w:val="0D0D0D" w:themeColor="text1" w:themeTint="F2"/>
                <w:spacing w:val="-4"/>
              </w:rPr>
              <w:t>.</w:t>
            </w:r>
            <w:r>
              <w:rPr>
                <w:color w:val="0D0D0D" w:themeColor="text1" w:themeTint="F2"/>
                <w:spacing w:val="-4"/>
              </w:rPr>
              <w:t xml:space="preserve"> Loni se zlepšovala i pozice uchazečů o práci mladších 25 let, opět především žen – pokles míry </w:t>
            </w:r>
            <w:r w:rsidRPr="002804FF">
              <w:rPr>
                <w:color w:val="0D0D0D" w:themeColor="text1" w:themeTint="F2"/>
                <w:spacing w:val="-2"/>
              </w:rPr>
              <w:t>nezaměstnanosti z</w:t>
            </w:r>
            <w:r>
              <w:rPr>
                <w:color w:val="0D0D0D" w:themeColor="text1" w:themeTint="F2"/>
                <w:spacing w:val="-2"/>
              </w:rPr>
              <w:t> </w:t>
            </w:r>
            <w:r w:rsidRPr="002804FF">
              <w:rPr>
                <w:color w:val="0D0D0D" w:themeColor="text1" w:themeTint="F2"/>
                <w:spacing w:val="-2"/>
              </w:rPr>
              <w:t>15,6</w:t>
            </w:r>
            <w:r>
              <w:rPr>
                <w:color w:val="0D0D0D" w:themeColor="text1" w:themeTint="F2"/>
                <w:spacing w:val="-2"/>
              </w:rPr>
              <w:t> % (leden) na</w:t>
            </w:r>
            <w:r w:rsidRPr="002804FF">
              <w:rPr>
                <w:color w:val="0D0D0D" w:themeColor="text1" w:themeTint="F2"/>
                <w:spacing w:val="-2"/>
              </w:rPr>
              <w:t xml:space="preserve"> 6,6</w:t>
            </w:r>
            <w:r>
              <w:rPr>
                <w:color w:val="0D0D0D" w:themeColor="text1" w:themeTint="F2"/>
                <w:spacing w:val="-2"/>
              </w:rPr>
              <w:t> % (prosinec</w:t>
            </w:r>
            <w:r w:rsidRPr="002804FF">
              <w:rPr>
                <w:color w:val="0D0D0D" w:themeColor="text1" w:themeTint="F2"/>
                <w:spacing w:val="-2"/>
              </w:rPr>
              <w:t xml:space="preserve">). </w:t>
            </w:r>
            <w:r>
              <w:rPr>
                <w:color w:val="0D0D0D" w:themeColor="text1" w:themeTint="F2"/>
                <w:spacing w:val="-2"/>
              </w:rPr>
              <w:t xml:space="preserve">Zato </w:t>
            </w:r>
            <w:r w:rsidRPr="002804FF">
              <w:rPr>
                <w:color w:val="0D0D0D" w:themeColor="text1" w:themeTint="F2"/>
                <w:spacing w:val="-2"/>
              </w:rPr>
              <w:t xml:space="preserve">dlouhodobě </w:t>
            </w:r>
            <w:r w:rsidRPr="002804FF">
              <w:rPr>
                <w:color w:val="0D0D0D" w:themeColor="text1" w:themeTint="F2"/>
                <w:spacing w:val="-4"/>
              </w:rPr>
              <w:t>nezaměstnaných</w:t>
            </w:r>
            <w:r>
              <w:rPr>
                <w:color w:val="0D0D0D" w:themeColor="text1" w:themeTint="F2"/>
                <w:spacing w:val="-4"/>
              </w:rPr>
              <w:t xml:space="preserve"> ve druhé půli roku 2021 meziročně přibylo. Ti ve 4. čtvrtletí tvořili již 45 % všech nezaměstnaných. Regionální rozpětí měr celkové nezaměstnanosti (bez sezónního </w:t>
            </w:r>
            <w:r>
              <w:rPr>
                <w:color w:val="0D0D0D" w:themeColor="text1" w:themeTint="F2"/>
                <w:spacing w:val="-4"/>
              </w:rPr>
              <w:lastRenderedPageBreak/>
              <w:t>očištění) bylo loni ve 4. čtvrtletí poměrně úzké (od 1,1 % v Jihočeském kraji po rovná 4 % v kraji Moravskoslezském). Nejvyšší meziroční pokles nezaměstnanosti vykázaly Praha (o 1,8 p. b.) a Karlovarský kraj (2,4 p. b.). Šlo o regiony v Česku nejvýrazněji specializované na cestovní ruch (a v jeho rámci na zahraniční klientelu).</w:t>
            </w:r>
          </w:p>
        </w:tc>
      </w:tr>
      <w:tr w:rsidR="002438DC" w:rsidRPr="00B43216" w14:paraId="19EE3F40" w14:textId="77777777" w:rsidTr="008E039E">
        <w:trPr>
          <w:trHeight w:val="671"/>
        </w:trPr>
        <w:tc>
          <w:tcPr>
            <w:tcW w:w="1600" w:type="dxa"/>
            <w:shd w:val="clear" w:color="auto" w:fill="auto"/>
            <w:tcMar>
              <w:left w:w="0" w:type="dxa"/>
            </w:tcMar>
          </w:tcPr>
          <w:p w14:paraId="3E854DAD" w14:textId="77777777" w:rsidR="002438DC" w:rsidRDefault="002438DC" w:rsidP="002438DC">
            <w:pPr>
              <w:pStyle w:val="Marginlie"/>
              <w:rPr>
                <w:spacing w:val="-4"/>
              </w:rPr>
            </w:pPr>
            <w:r>
              <w:rPr>
                <w:color w:val="0D0D0D" w:themeColor="text1" w:themeTint="F2"/>
                <w:spacing w:val="-5"/>
              </w:rPr>
              <w:lastRenderedPageBreak/>
              <w:t>Obavy domácností z nezaměstnanosti klesaly, volných pracovních míst přibývalo.</w:t>
            </w:r>
          </w:p>
        </w:tc>
        <w:tc>
          <w:tcPr>
            <w:tcW w:w="189" w:type="dxa"/>
            <w:shd w:val="clear" w:color="auto" w:fill="auto"/>
            <w:tcMar>
              <w:left w:w="0" w:type="dxa"/>
            </w:tcMar>
          </w:tcPr>
          <w:p w14:paraId="1B01B965" w14:textId="77777777" w:rsidR="002438DC" w:rsidRPr="00B43216" w:rsidRDefault="002438DC" w:rsidP="002438DC">
            <w:pPr>
              <w:pStyle w:val="Textpoznpodarou"/>
              <w:spacing w:line="276" w:lineRule="auto"/>
              <w:jc w:val="both"/>
              <w:rPr>
                <w:spacing w:val="-4"/>
              </w:rPr>
            </w:pPr>
          </w:p>
        </w:tc>
        <w:tc>
          <w:tcPr>
            <w:tcW w:w="7880" w:type="dxa"/>
            <w:shd w:val="clear" w:color="auto" w:fill="auto"/>
            <w:tcMar>
              <w:left w:w="0" w:type="dxa"/>
            </w:tcMar>
          </w:tcPr>
          <w:p w14:paraId="2C321F79" w14:textId="77777777" w:rsidR="002438DC" w:rsidRDefault="002438DC" w:rsidP="002438DC">
            <w:pPr>
              <w:spacing w:after="200"/>
              <w:rPr>
                <w:spacing w:val="-4"/>
              </w:rPr>
            </w:pPr>
            <w:r w:rsidRPr="00431E91">
              <w:rPr>
                <w:color w:val="0D0D0D" w:themeColor="text1" w:themeTint="F2"/>
                <w:spacing w:val="-4"/>
              </w:rPr>
              <w:t>Obavy domácností z růstu nezaměstnanosti (v nejbližších dvanácti měsících) během 2. čtvrtletí prudce oslabily a </w:t>
            </w:r>
            <w:r>
              <w:rPr>
                <w:color w:val="0D0D0D" w:themeColor="text1" w:themeTint="F2"/>
                <w:spacing w:val="-4"/>
              </w:rPr>
              <w:t xml:space="preserve">vrátily se na nízkou úroveň z druhé </w:t>
            </w:r>
            <w:r w:rsidRPr="00431E91">
              <w:rPr>
                <w:color w:val="0D0D0D" w:themeColor="text1" w:themeTint="F2"/>
                <w:spacing w:val="-4"/>
              </w:rPr>
              <w:t>poloviny roku 2019</w:t>
            </w:r>
            <w:r w:rsidRPr="007C08FB">
              <w:rPr>
                <w:rStyle w:val="Znakapoznpodarou"/>
                <w:color w:val="0D0D0D" w:themeColor="text1" w:themeTint="F2"/>
                <w:spacing w:val="-4"/>
              </w:rPr>
              <w:footnoteReference w:id="68"/>
            </w:r>
            <w:r w:rsidRPr="007C08FB">
              <w:rPr>
                <w:color w:val="0D0D0D" w:themeColor="text1" w:themeTint="F2"/>
                <w:spacing w:val="-4"/>
              </w:rPr>
              <w:t>. Počet volných pracovních míst v nabí</w:t>
            </w:r>
            <w:r>
              <w:rPr>
                <w:color w:val="0D0D0D" w:themeColor="text1" w:themeTint="F2"/>
                <w:spacing w:val="-4"/>
              </w:rPr>
              <w:t>dce úřadů práce činil loni v prosinci 343 </w:t>
            </w:r>
            <w:r w:rsidRPr="007C08FB">
              <w:rPr>
                <w:color w:val="0D0D0D" w:themeColor="text1" w:themeTint="F2"/>
                <w:spacing w:val="-4"/>
              </w:rPr>
              <w:t>tis</w:t>
            </w:r>
            <w:r>
              <w:rPr>
                <w:color w:val="0D0D0D" w:themeColor="text1" w:themeTint="F2"/>
                <w:spacing w:val="-4"/>
              </w:rPr>
              <w:t>.</w:t>
            </w:r>
            <w:r>
              <w:rPr>
                <w:rStyle w:val="Znakapoznpodarou"/>
                <w:color w:val="0D0D0D" w:themeColor="text1" w:themeTint="F2"/>
                <w:spacing w:val="-4"/>
              </w:rPr>
              <w:footnoteReference w:id="69"/>
            </w:r>
            <w:r>
              <w:rPr>
                <w:color w:val="0D0D0D" w:themeColor="text1" w:themeTint="F2"/>
                <w:spacing w:val="-4"/>
              </w:rPr>
              <w:t xml:space="preserve"> Byl tak srovnatelný s koncem roku 2019.</w:t>
            </w:r>
            <w:r w:rsidRPr="007C08FB">
              <w:rPr>
                <w:color w:val="0D0D0D" w:themeColor="text1" w:themeTint="F2"/>
                <w:spacing w:val="-4"/>
              </w:rPr>
              <w:t xml:space="preserve"> </w:t>
            </w:r>
            <w:r>
              <w:rPr>
                <w:color w:val="0D0D0D" w:themeColor="text1" w:themeTint="F2"/>
                <w:spacing w:val="-4"/>
              </w:rPr>
              <w:t>Na jedno volné místo připadalo 0,8 uchazeče o práci. Převis počtu míst nad registrovanými uchazeči signalizovalo zhruba 60 % okresů</w:t>
            </w:r>
            <w:r>
              <w:rPr>
                <w:rStyle w:val="Znakapoznpodarou"/>
                <w:color w:val="0D0D0D" w:themeColor="text1" w:themeTint="F2"/>
                <w:spacing w:val="-4"/>
              </w:rPr>
              <w:footnoteReference w:id="70"/>
            </w:r>
            <w:r>
              <w:rPr>
                <w:color w:val="0D0D0D" w:themeColor="text1" w:themeTint="F2"/>
                <w:spacing w:val="-4"/>
              </w:rPr>
              <w:t xml:space="preserve"> i krajů ČR. Skoro dvě třetiny z celkového meziročního přírůstku míst připadaly na pozice s velmi </w:t>
            </w:r>
            <w:r w:rsidRPr="007C08FB">
              <w:rPr>
                <w:color w:val="0D0D0D" w:themeColor="text1" w:themeTint="F2"/>
                <w:spacing w:val="-4"/>
              </w:rPr>
              <w:t xml:space="preserve">nízkými </w:t>
            </w:r>
            <w:r>
              <w:rPr>
                <w:color w:val="0D0D0D" w:themeColor="text1" w:themeTint="F2"/>
                <w:spacing w:val="-4"/>
              </w:rPr>
              <w:t>kvalifikačními nároky. Mírněji ovšem vzrostla</w:t>
            </w:r>
            <w:r w:rsidRPr="007C08FB">
              <w:rPr>
                <w:color w:val="0D0D0D" w:themeColor="text1" w:themeTint="F2"/>
                <w:spacing w:val="-4"/>
              </w:rPr>
              <w:t xml:space="preserve"> i</w:t>
            </w:r>
            <w:r>
              <w:rPr>
                <w:color w:val="0D0D0D" w:themeColor="text1" w:themeTint="F2"/>
                <w:spacing w:val="-4"/>
              </w:rPr>
              <w:t> </w:t>
            </w:r>
            <w:r w:rsidRPr="007C08FB">
              <w:rPr>
                <w:color w:val="0D0D0D" w:themeColor="text1" w:themeTint="F2"/>
                <w:spacing w:val="-4"/>
              </w:rPr>
              <w:t>nabídka pro uchazeče s alespoň maturitním vzděláním.</w:t>
            </w:r>
            <w:r>
              <w:rPr>
                <w:color w:val="0D0D0D" w:themeColor="text1" w:themeTint="F2"/>
                <w:spacing w:val="-4"/>
              </w:rPr>
              <w:t xml:space="preserve"> Celková nabídka míst v ČR rostla loni především v Praze a v Plzeňském kraji.</w:t>
            </w:r>
          </w:p>
        </w:tc>
      </w:tr>
      <w:tr w:rsidR="002438DC" w:rsidRPr="00191C35" w14:paraId="3E5DFF42" w14:textId="77777777" w:rsidTr="008E039E">
        <w:trPr>
          <w:trHeight w:val="145"/>
        </w:trPr>
        <w:tc>
          <w:tcPr>
            <w:tcW w:w="1600" w:type="dxa"/>
            <w:shd w:val="clear" w:color="auto" w:fill="auto"/>
            <w:tcMar>
              <w:left w:w="0" w:type="dxa"/>
            </w:tcMar>
          </w:tcPr>
          <w:p w14:paraId="63FD2901" w14:textId="77777777" w:rsidR="002438DC" w:rsidRDefault="002438DC" w:rsidP="002438DC">
            <w:pPr>
              <w:pStyle w:val="Marginlie"/>
              <w:rPr>
                <w:color w:val="0D0D0D" w:themeColor="text1" w:themeTint="F2"/>
                <w:spacing w:val="-5"/>
              </w:rPr>
            </w:pPr>
            <w:r>
              <w:rPr>
                <w:color w:val="0D0D0D" w:themeColor="text1" w:themeTint="F2"/>
                <w:spacing w:val="-5"/>
              </w:rPr>
              <w:t>Průměrná hrubá měsíční mzda prolomila ve 4. čtvrtletí hranici 40 tis. korun.</w:t>
            </w:r>
          </w:p>
          <w:p w14:paraId="021AF265" w14:textId="77777777" w:rsidR="002438DC" w:rsidRDefault="002438DC" w:rsidP="002438DC">
            <w:pPr>
              <w:pStyle w:val="Marginlie"/>
              <w:rPr>
                <w:color w:val="0D0D0D" w:themeColor="text1" w:themeTint="F2"/>
                <w:spacing w:val="-5"/>
              </w:rPr>
            </w:pPr>
          </w:p>
          <w:p w14:paraId="5ED1B6CD" w14:textId="77777777" w:rsidR="002438DC" w:rsidRDefault="002438DC" w:rsidP="002438DC">
            <w:pPr>
              <w:pStyle w:val="Marginlie"/>
              <w:rPr>
                <w:color w:val="0D0D0D" w:themeColor="text1" w:themeTint="F2"/>
                <w:spacing w:val="-5"/>
              </w:rPr>
            </w:pPr>
          </w:p>
          <w:p w14:paraId="2E5EB376" w14:textId="77777777" w:rsidR="002438DC" w:rsidRDefault="002438DC" w:rsidP="002438DC">
            <w:pPr>
              <w:pStyle w:val="Marginlie"/>
              <w:rPr>
                <w:color w:val="0D0D0D" w:themeColor="text1" w:themeTint="F2"/>
                <w:spacing w:val="-5"/>
              </w:rPr>
            </w:pPr>
          </w:p>
          <w:p w14:paraId="0217904F" w14:textId="77777777" w:rsidR="002438DC" w:rsidRDefault="002438DC" w:rsidP="002438DC">
            <w:pPr>
              <w:pStyle w:val="Marginlie"/>
              <w:rPr>
                <w:color w:val="0D0D0D" w:themeColor="text1" w:themeTint="F2"/>
                <w:spacing w:val="-5"/>
              </w:rPr>
            </w:pPr>
          </w:p>
          <w:p w14:paraId="5D07E364" w14:textId="77777777" w:rsidR="002438DC" w:rsidRDefault="002438DC" w:rsidP="002438DC">
            <w:pPr>
              <w:pStyle w:val="Marginlie"/>
              <w:rPr>
                <w:color w:val="0D0D0D" w:themeColor="text1" w:themeTint="F2"/>
                <w:spacing w:val="-5"/>
              </w:rPr>
            </w:pPr>
          </w:p>
          <w:p w14:paraId="12AB521E" w14:textId="77777777" w:rsidR="002438DC" w:rsidRDefault="002438DC" w:rsidP="002438DC">
            <w:pPr>
              <w:pStyle w:val="Marginlie"/>
              <w:spacing w:after="120"/>
              <w:rPr>
                <w:color w:val="0D0D0D" w:themeColor="text1" w:themeTint="F2"/>
                <w:spacing w:val="-5"/>
              </w:rPr>
            </w:pPr>
            <w:r>
              <w:t>Mzdové tempo loni ovlivňovala směs protisměrně působících faktorů.</w:t>
            </w:r>
          </w:p>
        </w:tc>
        <w:tc>
          <w:tcPr>
            <w:tcW w:w="189" w:type="dxa"/>
            <w:shd w:val="clear" w:color="auto" w:fill="auto"/>
            <w:tcMar>
              <w:left w:w="0" w:type="dxa"/>
            </w:tcMar>
          </w:tcPr>
          <w:p w14:paraId="517A0AC2" w14:textId="77777777" w:rsidR="002438DC" w:rsidRPr="00EA508C" w:rsidRDefault="002438DC" w:rsidP="002438DC">
            <w:pPr>
              <w:pStyle w:val="Textpoznpodarou"/>
              <w:spacing w:after="120"/>
              <w:jc w:val="both"/>
              <w:rPr>
                <w:color w:val="0D0D0D" w:themeColor="text1" w:themeTint="F2"/>
                <w:spacing w:val="-4"/>
              </w:rPr>
            </w:pPr>
          </w:p>
        </w:tc>
        <w:tc>
          <w:tcPr>
            <w:tcW w:w="7880" w:type="dxa"/>
            <w:shd w:val="clear" w:color="auto" w:fill="auto"/>
            <w:tcMar>
              <w:left w:w="0" w:type="dxa"/>
            </w:tcMar>
          </w:tcPr>
          <w:p w14:paraId="51FBA7B7" w14:textId="77777777" w:rsidR="002438DC" w:rsidRPr="00A01519" w:rsidRDefault="002438DC" w:rsidP="002438DC">
            <w:pPr>
              <w:spacing w:after="220"/>
              <w:rPr>
                <w:spacing w:val="-4"/>
              </w:rPr>
            </w:pPr>
            <w:r w:rsidRPr="00A01519">
              <w:rPr>
                <w:spacing w:val="-4"/>
              </w:rPr>
              <w:t xml:space="preserve">Průměrná hrubá měsíční </w:t>
            </w:r>
            <w:r>
              <w:rPr>
                <w:spacing w:val="-4"/>
              </w:rPr>
              <w:t xml:space="preserve">nominální </w:t>
            </w:r>
            <w:r w:rsidRPr="00A01519">
              <w:rPr>
                <w:spacing w:val="-4"/>
              </w:rPr>
              <w:t xml:space="preserve">mzda </w:t>
            </w:r>
            <w:r>
              <w:rPr>
                <w:spacing w:val="-4"/>
              </w:rPr>
              <w:t xml:space="preserve">(na zaměstnance při zohlednění délky úvazku) se loni ve 4. čtvrtletí </w:t>
            </w:r>
            <w:r w:rsidRPr="00A01519">
              <w:rPr>
                <w:spacing w:val="-4"/>
              </w:rPr>
              <w:t xml:space="preserve">meziročně </w:t>
            </w:r>
            <w:r>
              <w:rPr>
                <w:spacing w:val="-4"/>
              </w:rPr>
              <w:t>navýšila o rovná 4 % a poprvé v historii překročila hranici 40 tis. korun. M</w:t>
            </w:r>
            <w:r w:rsidRPr="00A01519">
              <w:rPr>
                <w:spacing w:val="-4"/>
              </w:rPr>
              <w:t>zda po očištění od sezónních vlivů (</w:t>
            </w:r>
            <w:r>
              <w:rPr>
                <w:spacing w:val="-4"/>
              </w:rPr>
              <w:t>např. i</w:t>
            </w:r>
            <w:r w:rsidRPr="009E7043">
              <w:rPr>
                <w:rFonts w:cs="Arial"/>
                <w:spacing w:val="-4"/>
              </w:rPr>
              <w:t> </w:t>
            </w:r>
            <w:r w:rsidRPr="00A01519">
              <w:rPr>
                <w:spacing w:val="-4"/>
              </w:rPr>
              <w:t xml:space="preserve">vyplacených </w:t>
            </w:r>
            <w:r>
              <w:rPr>
                <w:spacing w:val="-4"/>
              </w:rPr>
              <w:t xml:space="preserve">pravidelných odměn) se mezikvartálně zvýšila o 0,9 %, tedy mírně nižším tempem než ve 2. a 3. čtvrtletí 2021. Po většinu loňského roku působilo </w:t>
            </w:r>
            <w:r w:rsidRPr="00FB0AE4">
              <w:rPr>
                <w:spacing w:val="-4"/>
              </w:rPr>
              <w:t xml:space="preserve">na výši mezd </w:t>
            </w:r>
            <w:r>
              <w:rPr>
                <w:spacing w:val="-4"/>
              </w:rPr>
              <w:t xml:space="preserve">prorůstově </w:t>
            </w:r>
            <w:r w:rsidRPr="00FB0AE4">
              <w:rPr>
                <w:spacing w:val="-4"/>
              </w:rPr>
              <w:t>zvyšující se napětí na pracovním trhu spojené jak s nízkou nezaměstnaností, tak s</w:t>
            </w:r>
            <w:r>
              <w:rPr>
                <w:spacing w:val="-4"/>
              </w:rPr>
              <w:t> </w:t>
            </w:r>
            <w:r w:rsidRPr="00FB0AE4">
              <w:rPr>
                <w:spacing w:val="-4"/>
              </w:rPr>
              <w:t>vysokým a</w:t>
            </w:r>
            <w:r>
              <w:rPr>
                <w:spacing w:val="-4"/>
              </w:rPr>
              <w:t> </w:t>
            </w:r>
            <w:r w:rsidRPr="00FB0AE4">
              <w:rPr>
                <w:spacing w:val="-4"/>
              </w:rPr>
              <w:t>dále rostoucím počtem volných pracovních míst. Nedostatek zaměstnanců limitoval produkci ve většině významných odvětví.</w:t>
            </w:r>
            <w:r>
              <w:rPr>
                <w:spacing w:val="-4"/>
              </w:rPr>
              <w:t xml:space="preserve"> Určitý, byť protisměrný vliv měla i vládní opatření. Zatímco pokračující navyšování minimální mzdy (a z ní odvozené soustavy zaručených mezd) působilo zejména v odvětvích s nízkou úrovní výdělků stimulačně, opačný dopad</w:t>
            </w:r>
            <w:r w:rsidRPr="00FB0AE4">
              <w:rPr>
                <w:spacing w:val="-4"/>
              </w:rPr>
              <w:t xml:space="preserve"> mělo patrně snížení efektivního zdanění u pracovníků, jež firmám umožnilo udržet vysokou zaměstnanost při nižším tlaku na růst nákladů práce. Část zaměstnavatelů zejména v</w:t>
            </w:r>
            <w:r>
              <w:rPr>
                <w:spacing w:val="-4"/>
              </w:rPr>
              <w:t> </w:t>
            </w:r>
            <w:r w:rsidRPr="00FB0AE4">
              <w:rPr>
                <w:spacing w:val="-4"/>
              </w:rPr>
              <w:t>tržních odvětvích tak zohlednila fakt, že lidem stoupnou čisté výdělky i</w:t>
            </w:r>
            <w:r>
              <w:rPr>
                <w:spacing w:val="-4"/>
              </w:rPr>
              <w:t> </w:t>
            </w:r>
            <w:r w:rsidRPr="00FB0AE4">
              <w:rPr>
                <w:spacing w:val="-4"/>
              </w:rPr>
              <w:t>bez zvyšování hrubých</w:t>
            </w:r>
            <w:r>
              <w:rPr>
                <w:spacing w:val="-4"/>
              </w:rPr>
              <w:t xml:space="preserve"> </w:t>
            </w:r>
            <w:r w:rsidRPr="00FB0AE4">
              <w:rPr>
                <w:spacing w:val="-4"/>
              </w:rPr>
              <w:t xml:space="preserve">mezd. Kromě toho se mnohé firmy v odvětvích silně zasažených pandemií navzdory vládním stabilizačním programům potýkaly s finančními problémy, což jim snižovalo možnosti </w:t>
            </w:r>
            <w:r>
              <w:rPr>
                <w:spacing w:val="-4"/>
              </w:rPr>
              <w:t>lepšího</w:t>
            </w:r>
            <w:r w:rsidRPr="00FB0AE4">
              <w:rPr>
                <w:spacing w:val="-4"/>
              </w:rPr>
              <w:t xml:space="preserve"> ohodnocení nových i</w:t>
            </w:r>
            <w:r>
              <w:rPr>
                <w:spacing w:val="-4"/>
              </w:rPr>
              <w:t> </w:t>
            </w:r>
            <w:r w:rsidRPr="00FB0AE4">
              <w:rPr>
                <w:spacing w:val="-4"/>
              </w:rPr>
              <w:t>stávajících pracovníků.</w:t>
            </w:r>
          </w:p>
        </w:tc>
      </w:tr>
      <w:tr w:rsidR="002438DC" w:rsidRPr="00191C35" w14:paraId="2B3ACB6E" w14:textId="77777777" w:rsidTr="008E039E">
        <w:trPr>
          <w:trHeight w:val="145"/>
        </w:trPr>
        <w:tc>
          <w:tcPr>
            <w:tcW w:w="1600" w:type="dxa"/>
            <w:shd w:val="clear" w:color="auto" w:fill="auto"/>
            <w:tcMar>
              <w:left w:w="0" w:type="dxa"/>
            </w:tcMar>
          </w:tcPr>
          <w:p w14:paraId="37165068" w14:textId="77777777" w:rsidR="002438DC" w:rsidRDefault="002438DC" w:rsidP="002438DC">
            <w:pPr>
              <w:pStyle w:val="Marginlie"/>
              <w:spacing w:after="120"/>
            </w:pPr>
            <w:r>
              <w:t>Ve zpracovatelském průmyslu i stavebnictví byl mzdový růst po celý rok podprůměrný.</w:t>
            </w:r>
          </w:p>
        </w:tc>
        <w:tc>
          <w:tcPr>
            <w:tcW w:w="189" w:type="dxa"/>
            <w:shd w:val="clear" w:color="auto" w:fill="auto"/>
            <w:tcMar>
              <w:left w:w="0" w:type="dxa"/>
            </w:tcMar>
          </w:tcPr>
          <w:p w14:paraId="6E177FEB" w14:textId="77777777" w:rsidR="002438DC" w:rsidRPr="00B43216" w:rsidRDefault="002438DC" w:rsidP="002438DC">
            <w:pPr>
              <w:pStyle w:val="Textpoznpodarou"/>
              <w:spacing w:after="120"/>
              <w:jc w:val="both"/>
              <w:rPr>
                <w:spacing w:val="-4"/>
              </w:rPr>
            </w:pPr>
          </w:p>
        </w:tc>
        <w:tc>
          <w:tcPr>
            <w:tcW w:w="7880" w:type="dxa"/>
            <w:shd w:val="clear" w:color="auto" w:fill="auto"/>
            <w:tcMar>
              <w:left w:w="0" w:type="dxa"/>
            </w:tcMar>
          </w:tcPr>
          <w:p w14:paraId="169347EB" w14:textId="77777777" w:rsidR="002438DC" w:rsidRDefault="002438DC" w:rsidP="002438DC">
            <w:pPr>
              <w:spacing w:after="220"/>
              <w:rPr>
                <w:spacing w:val="-4"/>
              </w:rPr>
            </w:pPr>
            <w:r>
              <w:rPr>
                <w:spacing w:val="-4"/>
              </w:rPr>
              <w:t xml:space="preserve">Ve váhově nejvýznamnějším </w:t>
            </w:r>
            <w:r w:rsidRPr="005F1893">
              <w:rPr>
                <w:spacing w:val="-6"/>
              </w:rPr>
              <w:t>odvětví zpracovatelského průmyslu</w:t>
            </w:r>
            <w:r>
              <w:rPr>
                <w:spacing w:val="-6"/>
              </w:rPr>
              <w:t xml:space="preserve"> se ve 4. čtvrtletí 2021 průměrné mzdy meziročně zvýšily o 3,9 % (podprůměrné tempo vykázaly dvanáctý kvartál v řadě). V samotném automobilovém průmyslu mzdy pouze stagnovaly, což mohlo souviset s nižším počtem odpracovaných hodin vlivem neplánované výrobní odstávky v říjnu (mzdový růst zde loni za celým průmyslem mírně zaostal i v celoročním pohledu). V nezpracovatelských průmyslových odvětvích rostly výdělky vyšším tempem. V případě těžby a dobývání (+9,1 %) to však bylo doprovázeno nebývale prudkým poklesem zaměstnanosti. Ve stavebnictví mzdy ve 4. čtvrtletí (shodně jako za celý rok 2021) vzrostly jen o 3,7 %, a to navzdory silné poptávce po práci doprovázené obtížemi při hledání nových zaměstnanců.</w:t>
            </w:r>
          </w:p>
        </w:tc>
      </w:tr>
      <w:tr w:rsidR="002438DC" w:rsidRPr="00191C35" w14:paraId="7EFF5E20" w14:textId="77777777" w:rsidTr="008E039E">
        <w:trPr>
          <w:trHeight w:val="145"/>
        </w:trPr>
        <w:tc>
          <w:tcPr>
            <w:tcW w:w="1600" w:type="dxa"/>
            <w:shd w:val="clear" w:color="auto" w:fill="auto"/>
            <w:tcMar>
              <w:left w:w="0" w:type="dxa"/>
            </w:tcMar>
          </w:tcPr>
          <w:p w14:paraId="099AF243" w14:textId="77777777" w:rsidR="002438DC" w:rsidRDefault="002438DC" w:rsidP="002438DC">
            <w:pPr>
              <w:pStyle w:val="Marginlie"/>
              <w:spacing w:after="120"/>
            </w:pPr>
            <w:r>
              <w:t>Mzdový růst ve veřejných službách byl nadále výrazně diferencovaný.</w:t>
            </w:r>
          </w:p>
        </w:tc>
        <w:tc>
          <w:tcPr>
            <w:tcW w:w="189" w:type="dxa"/>
            <w:shd w:val="clear" w:color="auto" w:fill="auto"/>
            <w:tcMar>
              <w:left w:w="0" w:type="dxa"/>
            </w:tcMar>
          </w:tcPr>
          <w:p w14:paraId="184CA9C4" w14:textId="77777777" w:rsidR="002438DC" w:rsidRPr="00B43216" w:rsidRDefault="002438DC" w:rsidP="002438DC">
            <w:pPr>
              <w:pStyle w:val="Textpoznpodarou"/>
              <w:spacing w:after="120"/>
              <w:jc w:val="both"/>
              <w:rPr>
                <w:spacing w:val="-4"/>
              </w:rPr>
            </w:pPr>
          </w:p>
        </w:tc>
        <w:tc>
          <w:tcPr>
            <w:tcW w:w="7880" w:type="dxa"/>
            <w:shd w:val="clear" w:color="auto" w:fill="auto"/>
            <w:tcMar>
              <w:left w:w="0" w:type="dxa"/>
            </w:tcMar>
          </w:tcPr>
          <w:p w14:paraId="50198B3C" w14:textId="77777777" w:rsidR="002438DC" w:rsidRPr="00FB0AE4" w:rsidRDefault="002438DC" w:rsidP="002438DC">
            <w:pPr>
              <w:spacing w:after="220"/>
              <w:rPr>
                <w:spacing w:val="-4"/>
              </w:rPr>
            </w:pPr>
            <w:r>
              <w:rPr>
                <w:spacing w:val="-6"/>
              </w:rPr>
              <w:t>V celém sektoru služeb rostla ve 4. čtvrtletí 2021 průměrná mzda obdobným tempem jako ve zpracovatelském průmyslu, svou hodnotou (41,6 tis. korun měsíčně) ovšem toto odvětví skoro o desetinu převyšovala. V rámci služeb byl vývoj nebývale různorodý a během roku značně rozkolísaný. Dobře to ilustruje segment služeb s významnou rolí státu. Jestliže ve vzdělávání činil díky navýšení platových tarifů a vyplacených odměn mzdový růst 6,2 %, ve zdravotní a sociální péči průměrné mzdy vlivem vysoké základny z konce předloňského roku</w:t>
            </w:r>
            <w:r>
              <w:rPr>
                <w:rStyle w:val="Znakapoznpodarou"/>
                <w:spacing w:val="-6"/>
              </w:rPr>
              <w:footnoteReference w:id="71"/>
            </w:r>
            <w:r>
              <w:rPr>
                <w:spacing w:val="-6"/>
              </w:rPr>
              <w:t xml:space="preserve"> propadly o 8,1 % (za celý loňský rok se ale navýšily o 12,2 %, převážně díky mimořádným jarním </w:t>
            </w:r>
            <w:r>
              <w:rPr>
                <w:spacing w:val="-6"/>
              </w:rPr>
              <w:lastRenderedPageBreak/>
              <w:t xml:space="preserve">odměnám). </w:t>
            </w:r>
            <w:r>
              <w:rPr>
                <w:spacing w:val="-4"/>
              </w:rPr>
              <w:t>V</w:t>
            </w:r>
            <w:r w:rsidRPr="00FB0AE4">
              <w:rPr>
                <w:spacing w:val="-4"/>
              </w:rPr>
              <w:t>e veřejné správě, obraně a</w:t>
            </w:r>
            <w:r>
              <w:rPr>
                <w:spacing w:val="-4"/>
              </w:rPr>
              <w:t> </w:t>
            </w:r>
            <w:r w:rsidRPr="00FB0AE4">
              <w:rPr>
                <w:spacing w:val="-4"/>
              </w:rPr>
              <w:t>sociálním zabezpečení</w:t>
            </w:r>
            <w:r>
              <w:rPr>
                <w:spacing w:val="-4"/>
              </w:rPr>
              <w:t xml:space="preserve"> se mzdy zvýšily o 1,4 %, nejméně za posledních osm let.</w:t>
            </w:r>
          </w:p>
        </w:tc>
      </w:tr>
      <w:tr w:rsidR="002438DC" w:rsidRPr="00191C35" w14:paraId="6BE6939A" w14:textId="77777777" w:rsidTr="008E039E">
        <w:trPr>
          <w:trHeight w:val="145"/>
        </w:trPr>
        <w:tc>
          <w:tcPr>
            <w:tcW w:w="1600" w:type="dxa"/>
            <w:shd w:val="clear" w:color="auto" w:fill="auto"/>
            <w:tcMar>
              <w:left w:w="0" w:type="dxa"/>
            </w:tcMar>
          </w:tcPr>
          <w:p w14:paraId="25CAEFF5" w14:textId="77777777" w:rsidR="002438DC" w:rsidRDefault="002438DC" w:rsidP="002438DC">
            <w:pPr>
              <w:pStyle w:val="Marginlie"/>
              <w:spacing w:after="120"/>
            </w:pPr>
            <w:r>
              <w:lastRenderedPageBreak/>
              <w:t>Mzdy v obchodu i v </w:t>
            </w:r>
            <w:r>
              <w:rPr>
                <w:spacing w:val="-5"/>
              </w:rPr>
              <w:t>u</w:t>
            </w:r>
            <w:r w:rsidRPr="005F1893">
              <w:rPr>
                <w:spacing w:val="-5"/>
              </w:rPr>
              <w:t>bytování, stravování a</w:t>
            </w:r>
            <w:r>
              <w:rPr>
                <w:spacing w:val="-5"/>
              </w:rPr>
              <w:t> </w:t>
            </w:r>
            <w:r w:rsidRPr="005F1893">
              <w:rPr>
                <w:spacing w:val="-5"/>
              </w:rPr>
              <w:t>pohostinství</w:t>
            </w:r>
            <w:r>
              <w:rPr>
                <w:spacing w:val="-5"/>
              </w:rPr>
              <w:t xml:space="preserve"> po poklesu v prvním roce pandemie loni výrazně posílily.</w:t>
            </w:r>
          </w:p>
        </w:tc>
        <w:tc>
          <w:tcPr>
            <w:tcW w:w="189" w:type="dxa"/>
            <w:shd w:val="clear" w:color="auto" w:fill="auto"/>
            <w:tcMar>
              <w:left w:w="0" w:type="dxa"/>
            </w:tcMar>
          </w:tcPr>
          <w:p w14:paraId="75644711" w14:textId="77777777" w:rsidR="002438DC" w:rsidRPr="00B43216" w:rsidRDefault="002438DC" w:rsidP="002438DC">
            <w:pPr>
              <w:pStyle w:val="Textpoznpodarou"/>
              <w:spacing w:after="120"/>
              <w:jc w:val="both"/>
              <w:rPr>
                <w:spacing w:val="-4"/>
              </w:rPr>
            </w:pPr>
          </w:p>
        </w:tc>
        <w:tc>
          <w:tcPr>
            <w:tcW w:w="7880" w:type="dxa"/>
            <w:shd w:val="clear" w:color="auto" w:fill="auto"/>
            <w:tcMar>
              <w:left w:w="0" w:type="dxa"/>
            </w:tcMar>
          </w:tcPr>
          <w:p w14:paraId="230758CE" w14:textId="77777777" w:rsidR="002438DC" w:rsidRPr="00FB0AE4" w:rsidRDefault="002438DC" w:rsidP="002438DC">
            <w:pPr>
              <w:rPr>
                <w:spacing w:val="-4"/>
              </w:rPr>
            </w:pPr>
            <w:r>
              <w:rPr>
                <w:spacing w:val="-4"/>
              </w:rPr>
              <w:t>Mezi tržními odvětvími služeb vyčnívaly ve 4. čtvrtletí (i po celý loňský rok)</w:t>
            </w:r>
            <w:r>
              <w:rPr>
                <w:spacing w:val="-5"/>
              </w:rPr>
              <w:t xml:space="preserve"> činnosti v oblasti nemovitostí, kde meziroční růst tržeb dosahoval dvouciferných hodnot</w:t>
            </w:r>
            <w:r>
              <w:rPr>
                <w:rStyle w:val="Znakapoznpodarou"/>
                <w:spacing w:val="-5"/>
              </w:rPr>
              <w:footnoteReference w:id="72"/>
            </w:r>
            <w:r>
              <w:rPr>
                <w:spacing w:val="-5"/>
              </w:rPr>
              <w:t>. Svižný mzdový růst v klíčovém odvětví obchodu (+8,9 %)</w:t>
            </w:r>
            <w:r w:rsidRPr="005F1893">
              <w:rPr>
                <w:spacing w:val="-5"/>
              </w:rPr>
              <w:t xml:space="preserve"> </w:t>
            </w:r>
            <w:r>
              <w:rPr>
                <w:spacing w:val="-5"/>
              </w:rPr>
              <w:t>souvisel se sníženou základnou roku 2020 v důsledku citelného omezení prodeje vlivem vládních restrikcí. Efekt pokrizového oživení byl ještě více patrný v </w:t>
            </w:r>
            <w:r w:rsidRPr="005F1893">
              <w:rPr>
                <w:spacing w:val="-5"/>
              </w:rPr>
              <w:t>ubytování, stravování a</w:t>
            </w:r>
            <w:r>
              <w:rPr>
                <w:spacing w:val="-5"/>
              </w:rPr>
              <w:t> </w:t>
            </w:r>
            <w:r w:rsidRPr="005F1893">
              <w:rPr>
                <w:spacing w:val="-5"/>
              </w:rPr>
              <w:t>pohostinství</w:t>
            </w:r>
            <w:r>
              <w:rPr>
                <w:spacing w:val="-5"/>
              </w:rPr>
              <w:t xml:space="preserve"> (+9,7 %), úroveň průměrných mezd zde byla nejnižší ze všech odvětví, když dosahovala jen třetiny výše výdělků odvětví </w:t>
            </w:r>
            <w:r w:rsidRPr="005F1893">
              <w:rPr>
                <w:spacing w:val="-5"/>
              </w:rPr>
              <w:t>informa</w:t>
            </w:r>
            <w:r>
              <w:rPr>
                <w:spacing w:val="-5"/>
              </w:rPr>
              <w:t>čních a komunikačních činností (kde činila 66 tis.</w:t>
            </w:r>
            <w:r w:rsidRPr="005F1893">
              <w:rPr>
                <w:spacing w:val="-5"/>
              </w:rPr>
              <w:t xml:space="preserve"> korun měsíčně</w:t>
            </w:r>
            <w:r>
              <w:rPr>
                <w:spacing w:val="-5"/>
              </w:rPr>
              <w:t>). Těsně pod 60 tis. korunami zůstaly na konci roku mzdy v peněžnictví a pojišťovnictví. Obzvlášť v celoročním pohledu je patrné, že jak úrovní výdělků, tak zejména tvorbou nových pracovních míst toto odvětví za dynamicky se rozvíjející oblastí ICT poněkud zaostává. O 8,5 % si na mzdě v průměru meziročně polepšili zaměstnanci v administrativních a podpůrných činnostech, výše jejich výdělků dosahovala ale pouze dvou třetin úrovně národního hospodářství.</w:t>
            </w:r>
          </w:p>
        </w:tc>
      </w:tr>
      <w:tr w:rsidR="002438DC" w:rsidRPr="00191C35" w14:paraId="7DA68FB2" w14:textId="77777777" w:rsidTr="008E039E">
        <w:trPr>
          <w:trHeight w:val="145"/>
        </w:trPr>
        <w:tc>
          <w:tcPr>
            <w:tcW w:w="1600" w:type="dxa"/>
            <w:shd w:val="clear" w:color="auto" w:fill="auto"/>
            <w:tcMar>
              <w:left w:w="0" w:type="dxa"/>
            </w:tcMar>
          </w:tcPr>
          <w:p w14:paraId="07B960B4" w14:textId="77777777" w:rsidR="002438DC" w:rsidRDefault="002438DC" w:rsidP="002438DC">
            <w:pPr>
              <w:pStyle w:val="Marginlie"/>
              <w:spacing w:after="120"/>
            </w:pPr>
            <w:r>
              <w:t>Reálná mzda se ve 4.</w:t>
            </w:r>
            <w:r>
              <w:rPr>
                <w:spacing w:val="-5"/>
              </w:rPr>
              <w:t> </w:t>
            </w:r>
            <w:r>
              <w:t>čtvrtletí ve většině významných odvětví snížila.</w:t>
            </w:r>
          </w:p>
        </w:tc>
        <w:tc>
          <w:tcPr>
            <w:tcW w:w="189" w:type="dxa"/>
            <w:shd w:val="clear" w:color="auto" w:fill="auto"/>
            <w:tcMar>
              <w:left w:w="0" w:type="dxa"/>
            </w:tcMar>
          </w:tcPr>
          <w:p w14:paraId="6DBF8047" w14:textId="77777777" w:rsidR="002438DC" w:rsidRPr="00B43216" w:rsidRDefault="002438DC" w:rsidP="002438DC">
            <w:pPr>
              <w:pStyle w:val="Textpoznpodarou"/>
              <w:spacing w:after="120"/>
              <w:jc w:val="both"/>
              <w:rPr>
                <w:spacing w:val="-4"/>
              </w:rPr>
            </w:pPr>
          </w:p>
        </w:tc>
        <w:tc>
          <w:tcPr>
            <w:tcW w:w="7880" w:type="dxa"/>
            <w:shd w:val="clear" w:color="auto" w:fill="auto"/>
            <w:tcMar>
              <w:left w:w="0" w:type="dxa"/>
            </w:tcMar>
          </w:tcPr>
          <w:p w14:paraId="66A9080C" w14:textId="3F368096" w:rsidR="002438DC" w:rsidRPr="00E82A42" w:rsidRDefault="002438DC" w:rsidP="002438DC">
            <w:pPr>
              <w:rPr>
                <w:spacing w:val="-4"/>
              </w:rPr>
            </w:pPr>
            <w:r w:rsidRPr="00E82A42">
              <w:rPr>
                <w:spacing w:val="-4"/>
              </w:rPr>
              <w:t xml:space="preserve">Průměrná mzda se v úhrnu za loňský rok nominálně zvýšila o 6,1 % (dvojnásobně ve srovnání s prvním rokem pandemie), což stačilo k návratu k jejímu reálnému růstu. </w:t>
            </w:r>
            <w:r w:rsidR="00A16A9F">
              <w:rPr>
                <w:spacing w:val="-4"/>
              </w:rPr>
              <w:t>V</w:t>
            </w:r>
            <w:r w:rsidRPr="00E82A42">
              <w:rPr>
                <w:spacing w:val="-4"/>
              </w:rPr>
              <w:t xml:space="preserve">inou zrychlující spotřebitelské inflace </w:t>
            </w:r>
            <w:r w:rsidR="00F77A50">
              <w:rPr>
                <w:spacing w:val="-4"/>
              </w:rPr>
              <w:t>byl</w:t>
            </w:r>
            <w:r w:rsidR="00A16A9F">
              <w:rPr>
                <w:spacing w:val="-4"/>
              </w:rPr>
              <w:t xml:space="preserve"> ale loňský reálný růst </w:t>
            </w:r>
            <w:r w:rsidRPr="00E82A42">
              <w:rPr>
                <w:spacing w:val="-4"/>
              </w:rPr>
              <w:t xml:space="preserve">druhý nejnižší </w:t>
            </w:r>
            <w:r w:rsidR="00A16A9F">
              <w:rPr>
                <w:spacing w:val="-4"/>
              </w:rPr>
              <w:t>po roce 2013</w:t>
            </w:r>
            <w:r w:rsidRPr="00E82A42">
              <w:rPr>
                <w:spacing w:val="-4"/>
              </w:rPr>
              <w:t xml:space="preserve">. V samotném 4. čtvrtletí 2021 se ale koupěschopnost </w:t>
            </w:r>
            <w:r w:rsidR="00A16A9F" w:rsidRPr="00E82A42">
              <w:rPr>
                <w:spacing w:val="-4"/>
              </w:rPr>
              <w:t xml:space="preserve">průměrných </w:t>
            </w:r>
            <w:r w:rsidRPr="00E82A42">
              <w:rPr>
                <w:spacing w:val="-4"/>
              </w:rPr>
              <w:t>zaměstnaneckých výdělků meziročně snížila o rovná 2 %. Z významnějších odvětví</w:t>
            </w:r>
            <w:r w:rsidRPr="00E82A42">
              <w:rPr>
                <w:rStyle w:val="Znakapoznpodarou"/>
                <w:spacing w:val="-4"/>
              </w:rPr>
              <w:footnoteReference w:id="73"/>
            </w:r>
            <w:r w:rsidRPr="00E82A42">
              <w:rPr>
                <w:spacing w:val="-4"/>
              </w:rPr>
              <w:t xml:space="preserve"> tak disponovali vyšší kupní sílou pouze zaměstnanci v obchodě, dopravě a skladování a také ve vzdělávání.</w:t>
            </w:r>
          </w:p>
        </w:tc>
      </w:tr>
      <w:tr w:rsidR="002438DC" w:rsidRPr="00191C35" w14:paraId="4185725E" w14:textId="77777777" w:rsidTr="008E039E">
        <w:trPr>
          <w:trHeight w:val="145"/>
        </w:trPr>
        <w:tc>
          <w:tcPr>
            <w:tcW w:w="1600" w:type="dxa"/>
            <w:shd w:val="clear" w:color="auto" w:fill="auto"/>
            <w:tcMar>
              <w:left w:w="0" w:type="dxa"/>
            </w:tcMar>
          </w:tcPr>
          <w:p w14:paraId="79E3899C" w14:textId="77777777" w:rsidR="002438DC" w:rsidRDefault="002438DC" w:rsidP="002438DC">
            <w:pPr>
              <w:pStyle w:val="Marginlie"/>
              <w:spacing w:after="120"/>
            </w:pPr>
            <w:r>
              <w:t>Medián mzdy vzrostl ve 4. čtvrtletí svižněji než průměrná mzda.</w:t>
            </w:r>
          </w:p>
        </w:tc>
        <w:tc>
          <w:tcPr>
            <w:tcW w:w="189" w:type="dxa"/>
            <w:shd w:val="clear" w:color="auto" w:fill="auto"/>
            <w:tcMar>
              <w:left w:w="0" w:type="dxa"/>
            </w:tcMar>
          </w:tcPr>
          <w:p w14:paraId="29231FE2" w14:textId="77777777" w:rsidR="002438DC" w:rsidRPr="00B43216" w:rsidRDefault="002438DC" w:rsidP="002438DC">
            <w:pPr>
              <w:pStyle w:val="Textpoznpodarou"/>
              <w:spacing w:after="120"/>
              <w:jc w:val="both"/>
              <w:rPr>
                <w:spacing w:val="-4"/>
              </w:rPr>
            </w:pPr>
          </w:p>
        </w:tc>
        <w:tc>
          <w:tcPr>
            <w:tcW w:w="7880" w:type="dxa"/>
            <w:shd w:val="clear" w:color="auto" w:fill="auto"/>
            <w:tcMar>
              <w:left w:w="0" w:type="dxa"/>
            </w:tcMar>
          </w:tcPr>
          <w:p w14:paraId="438ADE78" w14:textId="6550FA12" w:rsidR="002438DC" w:rsidRPr="00A0187B" w:rsidRDefault="002438DC" w:rsidP="002438DC">
            <w:pPr>
              <w:rPr>
                <w:spacing w:val="-4"/>
              </w:rPr>
            </w:pPr>
            <w:r w:rsidRPr="00A0187B">
              <w:rPr>
                <w:bCs/>
                <w:spacing w:val="-4"/>
              </w:rPr>
              <w:t>Medián mezd ve 4. čtvrtletí dosáhl u mužů 36,8 tis. korun, u žen 31,7 tis. korun. Na rozdíl od předchozí části loňského roku se meziročně zvýšil více u mužů (5,4 %) než u žen (4,6</w:t>
            </w:r>
            <w:r w:rsidRPr="00A0187B">
              <w:rPr>
                <w:spacing w:val="-4"/>
              </w:rPr>
              <w:t> </w:t>
            </w:r>
            <w:r w:rsidRPr="00A0187B">
              <w:rPr>
                <w:bCs/>
                <w:spacing w:val="-4"/>
              </w:rPr>
              <w:t xml:space="preserve">%). Mírný nárůst mzdové diferenciace signalizovaný v předchozí části roku se </w:t>
            </w:r>
            <w:r w:rsidR="00A0187B" w:rsidRPr="00A0187B">
              <w:rPr>
                <w:bCs/>
                <w:spacing w:val="-4"/>
              </w:rPr>
              <w:t xml:space="preserve">tak patrně </w:t>
            </w:r>
            <w:r w:rsidRPr="00A0187B">
              <w:rPr>
                <w:bCs/>
                <w:spacing w:val="-4"/>
              </w:rPr>
              <w:t>zastavil.</w:t>
            </w:r>
          </w:p>
        </w:tc>
      </w:tr>
      <w:tr w:rsidR="002438DC" w:rsidRPr="00191C35" w14:paraId="3E51F1BF" w14:textId="77777777" w:rsidTr="008E039E">
        <w:trPr>
          <w:trHeight w:val="145"/>
        </w:trPr>
        <w:tc>
          <w:tcPr>
            <w:tcW w:w="1600" w:type="dxa"/>
            <w:shd w:val="clear" w:color="auto" w:fill="auto"/>
            <w:tcMar>
              <w:left w:w="0" w:type="dxa"/>
            </w:tcMar>
          </w:tcPr>
          <w:p w14:paraId="378152A5" w14:textId="77777777" w:rsidR="002438DC" w:rsidRDefault="002438DC" w:rsidP="002438DC">
            <w:pPr>
              <w:pStyle w:val="Marginlie"/>
              <w:spacing w:after="120"/>
            </w:pPr>
          </w:p>
        </w:tc>
        <w:tc>
          <w:tcPr>
            <w:tcW w:w="189" w:type="dxa"/>
            <w:shd w:val="clear" w:color="auto" w:fill="auto"/>
            <w:tcMar>
              <w:left w:w="0" w:type="dxa"/>
            </w:tcMar>
          </w:tcPr>
          <w:p w14:paraId="774C5D41" w14:textId="77777777" w:rsidR="002438DC" w:rsidRPr="00B43216" w:rsidRDefault="002438DC" w:rsidP="002438DC">
            <w:pPr>
              <w:pStyle w:val="Textpoznpodarou"/>
              <w:spacing w:after="120"/>
              <w:jc w:val="both"/>
              <w:rPr>
                <w:spacing w:val="-4"/>
              </w:rPr>
            </w:pPr>
          </w:p>
        </w:tc>
        <w:tc>
          <w:tcPr>
            <w:tcW w:w="7880" w:type="dxa"/>
            <w:shd w:val="clear" w:color="auto" w:fill="auto"/>
            <w:tcMar>
              <w:left w:w="0" w:type="dxa"/>
            </w:tcMar>
          </w:tcPr>
          <w:p w14:paraId="47A2743C" w14:textId="542BFC95" w:rsidR="002438DC" w:rsidRPr="00716203" w:rsidRDefault="001C3794" w:rsidP="00A02E8B">
            <w:pPr>
              <w:spacing w:after="0"/>
              <w:rPr>
                <w:spacing w:val="-4"/>
              </w:rPr>
            </w:pPr>
            <w:r>
              <w:rPr>
                <w:b/>
                <w:spacing w:val="-4"/>
              </w:rPr>
              <w:t>Graf č. 1</w:t>
            </w:r>
            <w:r w:rsidR="00A02E8B">
              <w:rPr>
                <w:b/>
                <w:spacing w:val="-4"/>
              </w:rPr>
              <w:t>6</w:t>
            </w:r>
            <w:r w:rsidR="002438DC" w:rsidRPr="003E01D3">
              <w:rPr>
                <w:b/>
                <w:spacing w:val="-4"/>
              </w:rPr>
              <w:t xml:space="preserve">  Průměrná nominální</w:t>
            </w:r>
            <w:r w:rsidR="002438DC">
              <w:rPr>
                <w:b/>
                <w:spacing w:val="-4"/>
              </w:rPr>
              <w:t xml:space="preserve"> a </w:t>
            </w:r>
            <w:r w:rsidR="002438DC" w:rsidRPr="003E01D3">
              <w:rPr>
                <w:b/>
                <w:spacing w:val="-4"/>
              </w:rPr>
              <w:t>reálná mzda a</w:t>
            </w:r>
            <w:r w:rsidR="002438DC">
              <w:rPr>
                <w:b/>
                <w:spacing w:val="-4"/>
              </w:rPr>
              <w:t> </w:t>
            </w:r>
            <w:r w:rsidR="002438DC" w:rsidRPr="003E01D3">
              <w:rPr>
                <w:b/>
                <w:spacing w:val="-4"/>
              </w:rPr>
              <w:t>mzdový medián</w:t>
            </w:r>
            <w:r w:rsidR="002438DC">
              <w:rPr>
                <w:spacing w:val="-4"/>
              </w:rPr>
              <w:t xml:space="preserve"> </w:t>
            </w:r>
            <w:r w:rsidR="002438DC" w:rsidRPr="003E01D3">
              <w:rPr>
                <w:spacing w:val="-4"/>
              </w:rPr>
              <w:t>(meziročně, v %)</w:t>
            </w:r>
          </w:p>
        </w:tc>
      </w:tr>
      <w:tr w:rsidR="002438DC" w:rsidRPr="00191C35" w14:paraId="20724711" w14:textId="77777777" w:rsidTr="008E039E">
        <w:tblPrEx>
          <w:tblCellMar>
            <w:left w:w="70" w:type="dxa"/>
            <w:right w:w="70" w:type="dxa"/>
          </w:tblCellMar>
        </w:tblPrEx>
        <w:trPr>
          <w:trHeight w:val="145"/>
        </w:trPr>
        <w:tc>
          <w:tcPr>
            <w:tcW w:w="1600" w:type="dxa"/>
            <w:shd w:val="clear" w:color="auto" w:fill="auto"/>
          </w:tcPr>
          <w:p w14:paraId="68B3FEF5" w14:textId="77777777" w:rsidR="002438DC" w:rsidRDefault="002438DC" w:rsidP="002438DC">
            <w:pPr>
              <w:pStyle w:val="Marginlie"/>
              <w:spacing w:after="120"/>
            </w:pPr>
          </w:p>
        </w:tc>
        <w:tc>
          <w:tcPr>
            <w:tcW w:w="189" w:type="dxa"/>
            <w:shd w:val="clear" w:color="auto" w:fill="auto"/>
          </w:tcPr>
          <w:p w14:paraId="5C48DD49" w14:textId="77777777" w:rsidR="002438DC" w:rsidRPr="00B43216" w:rsidRDefault="002438DC" w:rsidP="002438DC">
            <w:pPr>
              <w:pStyle w:val="Textpoznpodarou"/>
              <w:spacing w:after="120"/>
              <w:jc w:val="both"/>
              <w:rPr>
                <w:spacing w:val="-4"/>
              </w:rPr>
            </w:pPr>
          </w:p>
        </w:tc>
        <w:tc>
          <w:tcPr>
            <w:tcW w:w="7880" w:type="dxa"/>
            <w:shd w:val="clear" w:color="auto" w:fill="auto"/>
          </w:tcPr>
          <w:p w14:paraId="725E2304" w14:textId="77777777" w:rsidR="002438DC" w:rsidRPr="003E01D3" w:rsidRDefault="002438DC" w:rsidP="002438DC">
            <w:pPr>
              <w:spacing w:after="0"/>
              <w:rPr>
                <w:b/>
                <w:spacing w:val="-4"/>
              </w:rPr>
            </w:pPr>
            <w:r>
              <w:rPr>
                <w:noProof/>
              </w:rPr>
              <w:drawing>
                <wp:inline distT="0" distB="0" distL="0" distR="0" wp14:anchorId="3AA8DAAC" wp14:editId="7AD9D0D2">
                  <wp:extent cx="4910594" cy="3532892"/>
                  <wp:effectExtent l="0" t="0" r="4445"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438DC" w:rsidRPr="00191C35" w14:paraId="77FC60D3" w14:textId="77777777" w:rsidTr="008E039E">
        <w:trPr>
          <w:trHeight w:val="145"/>
        </w:trPr>
        <w:tc>
          <w:tcPr>
            <w:tcW w:w="1600" w:type="dxa"/>
            <w:shd w:val="clear" w:color="auto" w:fill="auto"/>
            <w:tcMar>
              <w:left w:w="0" w:type="dxa"/>
            </w:tcMar>
          </w:tcPr>
          <w:p w14:paraId="5B1D1F55" w14:textId="77777777" w:rsidR="002438DC" w:rsidRDefault="002438DC" w:rsidP="002438DC">
            <w:pPr>
              <w:pStyle w:val="Marginlie"/>
              <w:spacing w:after="120"/>
            </w:pPr>
          </w:p>
        </w:tc>
        <w:tc>
          <w:tcPr>
            <w:tcW w:w="189" w:type="dxa"/>
            <w:shd w:val="clear" w:color="auto" w:fill="auto"/>
            <w:tcMar>
              <w:left w:w="0" w:type="dxa"/>
            </w:tcMar>
          </w:tcPr>
          <w:p w14:paraId="0747D6A6" w14:textId="77777777" w:rsidR="002438DC" w:rsidRPr="00B43216" w:rsidRDefault="002438DC" w:rsidP="002438DC">
            <w:pPr>
              <w:pStyle w:val="Textpoznpodarou"/>
              <w:spacing w:after="120"/>
              <w:jc w:val="both"/>
              <w:rPr>
                <w:spacing w:val="-4"/>
              </w:rPr>
            </w:pPr>
          </w:p>
        </w:tc>
        <w:tc>
          <w:tcPr>
            <w:tcW w:w="7880" w:type="dxa"/>
            <w:shd w:val="clear" w:color="auto" w:fill="auto"/>
            <w:tcMar>
              <w:left w:w="0" w:type="dxa"/>
            </w:tcMar>
          </w:tcPr>
          <w:p w14:paraId="6A025ED1" w14:textId="77777777" w:rsidR="002438DC" w:rsidRPr="00F6560A" w:rsidRDefault="002438DC" w:rsidP="002438DC">
            <w:pPr>
              <w:tabs>
                <w:tab w:val="right" w:pos="7683"/>
              </w:tabs>
              <w:rPr>
                <w:noProof/>
                <w:sz w:val="14"/>
                <w:szCs w:val="14"/>
              </w:rPr>
            </w:pPr>
            <w:r w:rsidRPr="00F6560A">
              <w:rPr>
                <w:bCs/>
                <w:sz w:val="14"/>
                <w:szCs w:val="14"/>
              </w:rPr>
              <w:t>*Zahrnuje odvětví s významnou rolí státu: Veřejná správa a obrana, povinné sociální zabezpečení; Vzdělávání; Zdravotní a sociální péče; Kulturní, zábavní a rekreační činnosti.</w:t>
            </w:r>
            <w:r w:rsidRPr="00F6560A">
              <w:rPr>
                <w:bCs/>
                <w:sz w:val="14"/>
                <w:szCs w:val="14"/>
              </w:rPr>
              <w:tab/>
            </w:r>
            <w:r w:rsidRPr="00F6560A">
              <w:rPr>
                <w:rFonts w:cs="Arial"/>
                <w:color w:val="0D0D0D" w:themeColor="text1" w:themeTint="F2"/>
                <w:spacing w:val="-2"/>
                <w:sz w:val="14"/>
                <w:szCs w:val="14"/>
              </w:rPr>
              <w:t>Zdroj: ČSÚ</w:t>
            </w:r>
          </w:p>
        </w:tc>
      </w:tr>
    </w:tbl>
    <w:p w14:paraId="11D5C339" w14:textId="77777777" w:rsidR="000200BE" w:rsidRDefault="000200BE" w:rsidP="000200BE">
      <w:pPr>
        <w:pStyle w:val="Nadpis11"/>
        <w:spacing w:after="120"/>
      </w:pPr>
      <w:bookmarkStart w:id="35" w:name="_Toc74643859"/>
      <w:bookmarkStart w:id="36" w:name="_Toc90395915"/>
      <w:bookmarkStart w:id="37" w:name="_Toc74643860"/>
      <w:bookmarkStart w:id="38" w:name="_Toc98756083"/>
      <w:r>
        <w:lastRenderedPageBreak/>
        <w:t>7. Měnové podmínky</w:t>
      </w:r>
      <w:bookmarkEnd w:id="35"/>
      <w:bookmarkEnd w:id="36"/>
      <w:bookmarkEnd w:id="38"/>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0200BE" w:rsidRPr="0037004A" w14:paraId="0D5B1090" w14:textId="77777777" w:rsidTr="00913237">
        <w:trPr>
          <w:trHeight w:val="145"/>
        </w:trPr>
        <w:tc>
          <w:tcPr>
            <w:tcW w:w="1802" w:type="dxa"/>
          </w:tcPr>
          <w:p w14:paraId="50AF164E" w14:textId="77777777" w:rsidR="000200BE" w:rsidRDefault="000200BE" w:rsidP="00913237">
            <w:pPr>
              <w:pStyle w:val="Marginlie"/>
              <w:rPr>
                <w:lang w:eastAsia="en-US"/>
              </w:rPr>
            </w:pPr>
            <w:r>
              <w:rPr>
                <w:lang w:eastAsia="en-US"/>
              </w:rPr>
              <w:t>V závěru roku 2021 došlo k několikanásobnému zvýšení měnověpolitických úrokových sazeb.</w:t>
            </w:r>
          </w:p>
        </w:tc>
        <w:tc>
          <w:tcPr>
            <w:tcW w:w="229" w:type="dxa"/>
          </w:tcPr>
          <w:p w14:paraId="67F79BCE" w14:textId="77777777" w:rsidR="000200BE" w:rsidRDefault="000200BE" w:rsidP="00913237">
            <w:pPr>
              <w:pStyle w:val="Textpoznpodarou"/>
              <w:jc w:val="both"/>
              <w:rPr>
                <w:spacing w:val="-4"/>
                <w:lang w:eastAsia="en-US"/>
              </w:rPr>
            </w:pPr>
          </w:p>
        </w:tc>
        <w:tc>
          <w:tcPr>
            <w:tcW w:w="7610" w:type="dxa"/>
          </w:tcPr>
          <w:p w14:paraId="21211623" w14:textId="77777777" w:rsidR="000200BE" w:rsidRPr="0037004A" w:rsidRDefault="000200BE" w:rsidP="00913237">
            <w:pPr>
              <w:rPr>
                <w:spacing w:val="-2"/>
                <w:lang w:eastAsia="en-US"/>
              </w:rPr>
            </w:pPr>
            <w:r w:rsidRPr="0037004A">
              <w:rPr>
                <w:spacing w:val="-2"/>
                <w:lang w:eastAsia="en-US"/>
              </w:rPr>
              <w:t>V</w:t>
            </w:r>
            <w:r>
              <w:rPr>
                <w:spacing w:val="-2"/>
                <w:lang w:eastAsia="en-US"/>
              </w:rPr>
              <w:t> </w:t>
            </w:r>
            <w:r w:rsidRPr="0037004A">
              <w:rPr>
                <w:spacing w:val="-2"/>
                <w:lang w:eastAsia="en-US"/>
              </w:rPr>
              <w:t>průběhu 4.</w:t>
            </w:r>
            <w:r>
              <w:rPr>
                <w:spacing w:val="-2"/>
                <w:lang w:eastAsia="en-US"/>
              </w:rPr>
              <w:t> čtvrtlet</w:t>
            </w:r>
            <w:r w:rsidRPr="0037004A">
              <w:rPr>
                <w:spacing w:val="-2"/>
                <w:lang w:eastAsia="en-US"/>
              </w:rPr>
              <w:t>í 2021 došlo v reakci na zrychlování cenového růstu k významnému navýšení základních měnověpolitických sazeb. První navýšení přišlo již na začátku října (dvoutýdenní repo sazba byla zvýšena o</w:t>
            </w:r>
            <w:r>
              <w:rPr>
                <w:spacing w:val="-2"/>
                <w:lang w:eastAsia="en-US"/>
              </w:rPr>
              <w:t> </w:t>
            </w:r>
            <w:r w:rsidRPr="0037004A">
              <w:rPr>
                <w:spacing w:val="-2"/>
                <w:lang w:eastAsia="en-US"/>
              </w:rPr>
              <w:t>0,75</w:t>
            </w:r>
            <w:r>
              <w:rPr>
                <w:spacing w:val="-2"/>
                <w:lang w:eastAsia="en-US"/>
              </w:rPr>
              <w:t> p. </w:t>
            </w:r>
            <w:r w:rsidRPr="0037004A">
              <w:rPr>
                <w:spacing w:val="-2"/>
                <w:lang w:eastAsia="en-US"/>
              </w:rPr>
              <w:t>b. na 1,50</w:t>
            </w:r>
            <w:r>
              <w:rPr>
                <w:spacing w:val="-2"/>
                <w:lang w:eastAsia="en-US"/>
              </w:rPr>
              <w:t> %</w:t>
            </w:r>
            <w:r w:rsidRPr="0037004A">
              <w:rPr>
                <w:rStyle w:val="Znakapoznpodarou"/>
                <w:spacing w:val="-2"/>
                <w:lang w:eastAsia="en-US"/>
              </w:rPr>
              <w:footnoteReference w:id="74"/>
            </w:r>
            <w:r w:rsidRPr="0037004A">
              <w:rPr>
                <w:spacing w:val="-2"/>
                <w:lang w:eastAsia="en-US"/>
              </w:rPr>
              <w:t>) a</w:t>
            </w:r>
            <w:r>
              <w:rPr>
                <w:spacing w:val="-2"/>
                <w:lang w:eastAsia="en-US"/>
              </w:rPr>
              <w:t> </w:t>
            </w:r>
            <w:r w:rsidRPr="0037004A">
              <w:rPr>
                <w:spacing w:val="-2"/>
                <w:lang w:eastAsia="en-US"/>
              </w:rPr>
              <w:t>další následovalo v listopadu (+1,25</w:t>
            </w:r>
            <w:r>
              <w:rPr>
                <w:spacing w:val="-2"/>
                <w:lang w:eastAsia="en-US"/>
              </w:rPr>
              <w:t> p. </w:t>
            </w:r>
            <w:r w:rsidRPr="0037004A">
              <w:rPr>
                <w:spacing w:val="-2"/>
                <w:lang w:eastAsia="en-US"/>
              </w:rPr>
              <w:t>b. na 2,75</w:t>
            </w:r>
            <w:r>
              <w:rPr>
                <w:spacing w:val="-2"/>
                <w:lang w:eastAsia="en-US"/>
              </w:rPr>
              <w:t> %</w:t>
            </w:r>
            <w:r w:rsidRPr="0037004A">
              <w:rPr>
                <w:spacing w:val="-2"/>
                <w:lang w:eastAsia="en-US"/>
              </w:rPr>
              <w:t>). V závěru roku se repo sazba navýšila ještě o</w:t>
            </w:r>
            <w:r>
              <w:rPr>
                <w:spacing w:val="-2"/>
                <w:lang w:eastAsia="en-US"/>
              </w:rPr>
              <w:t> </w:t>
            </w:r>
            <w:r w:rsidRPr="0037004A">
              <w:rPr>
                <w:spacing w:val="-2"/>
                <w:lang w:eastAsia="en-US"/>
              </w:rPr>
              <w:t>1</w:t>
            </w:r>
            <w:r>
              <w:rPr>
                <w:spacing w:val="-2"/>
                <w:lang w:eastAsia="en-US"/>
              </w:rPr>
              <w:t> </w:t>
            </w:r>
            <w:r w:rsidRPr="0037004A">
              <w:rPr>
                <w:spacing w:val="-2"/>
                <w:lang w:eastAsia="en-US"/>
              </w:rPr>
              <w:t>p. b. na 3,75</w:t>
            </w:r>
            <w:r>
              <w:rPr>
                <w:spacing w:val="-2"/>
                <w:lang w:eastAsia="en-US"/>
              </w:rPr>
              <w:t> %</w:t>
            </w:r>
            <w:r w:rsidRPr="0037004A">
              <w:rPr>
                <w:spacing w:val="-2"/>
                <w:lang w:eastAsia="en-US"/>
              </w:rPr>
              <w:t>, což bylo nejvíce od roku 2008. Za celý rok 2021 dvoutýdenní repo sazba vzrostla o</w:t>
            </w:r>
            <w:r>
              <w:rPr>
                <w:spacing w:val="-2"/>
                <w:lang w:eastAsia="en-US"/>
              </w:rPr>
              <w:t> </w:t>
            </w:r>
            <w:r w:rsidRPr="0037004A">
              <w:rPr>
                <w:spacing w:val="-2"/>
                <w:lang w:eastAsia="en-US"/>
              </w:rPr>
              <w:t>3,25</w:t>
            </w:r>
            <w:r>
              <w:rPr>
                <w:spacing w:val="-2"/>
                <w:lang w:eastAsia="en-US"/>
              </w:rPr>
              <w:t> p. </w:t>
            </w:r>
            <w:r w:rsidRPr="0037004A">
              <w:rPr>
                <w:spacing w:val="-2"/>
                <w:lang w:eastAsia="en-US"/>
              </w:rPr>
              <w:t>b. Diskontní sazba ke konci roku 2021 činila 2,75 % a</w:t>
            </w:r>
            <w:r>
              <w:rPr>
                <w:spacing w:val="-2"/>
                <w:lang w:eastAsia="en-US"/>
              </w:rPr>
              <w:t> </w:t>
            </w:r>
            <w:r w:rsidRPr="0037004A">
              <w:rPr>
                <w:spacing w:val="-2"/>
                <w:lang w:eastAsia="en-US"/>
              </w:rPr>
              <w:t>lombardní 4,75</w:t>
            </w:r>
            <w:r>
              <w:rPr>
                <w:spacing w:val="-2"/>
                <w:lang w:eastAsia="en-US"/>
              </w:rPr>
              <w:t> %</w:t>
            </w:r>
            <w:r w:rsidRPr="0037004A">
              <w:rPr>
                <w:spacing w:val="-2"/>
                <w:lang w:eastAsia="en-US"/>
              </w:rPr>
              <w:t>. Kurz koruny vůči euru ve 4.</w:t>
            </w:r>
            <w:r>
              <w:rPr>
                <w:spacing w:val="-2"/>
                <w:lang w:eastAsia="en-US"/>
              </w:rPr>
              <w:t> čtvrtlet</w:t>
            </w:r>
            <w:r w:rsidRPr="0037004A">
              <w:rPr>
                <w:spacing w:val="-2"/>
                <w:lang w:eastAsia="en-US"/>
              </w:rPr>
              <w:t>í dosáhl průměru 25,38</w:t>
            </w:r>
            <w:r>
              <w:rPr>
                <w:spacing w:val="-2"/>
                <w:lang w:eastAsia="en-US"/>
              </w:rPr>
              <w:t> </w:t>
            </w:r>
            <w:r w:rsidRPr="0037004A">
              <w:rPr>
                <w:spacing w:val="-2"/>
                <w:lang w:eastAsia="en-US"/>
              </w:rPr>
              <w:t>CZK/EUR a</w:t>
            </w:r>
            <w:r>
              <w:rPr>
                <w:spacing w:val="-2"/>
                <w:lang w:eastAsia="en-US"/>
              </w:rPr>
              <w:t> </w:t>
            </w:r>
            <w:r w:rsidRPr="0037004A">
              <w:rPr>
                <w:spacing w:val="-2"/>
                <w:lang w:eastAsia="en-US"/>
              </w:rPr>
              <w:t>meziročně posílil o</w:t>
            </w:r>
            <w:r>
              <w:rPr>
                <w:spacing w:val="-2"/>
                <w:lang w:eastAsia="en-US"/>
              </w:rPr>
              <w:t> </w:t>
            </w:r>
            <w:r w:rsidRPr="0037004A">
              <w:rPr>
                <w:spacing w:val="-2"/>
                <w:lang w:eastAsia="en-US"/>
              </w:rPr>
              <w:t>4,8</w:t>
            </w:r>
            <w:r>
              <w:rPr>
                <w:spacing w:val="-2"/>
                <w:lang w:eastAsia="en-US"/>
              </w:rPr>
              <w:t> %</w:t>
            </w:r>
            <w:r w:rsidRPr="0037004A">
              <w:rPr>
                <w:spacing w:val="-2"/>
                <w:lang w:eastAsia="en-US"/>
              </w:rPr>
              <w:t xml:space="preserve"> (to odpovídá 1,29</w:t>
            </w:r>
            <w:r>
              <w:rPr>
                <w:spacing w:val="-2"/>
                <w:lang w:eastAsia="en-US"/>
              </w:rPr>
              <w:t> </w:t>
            </w:r>
            <w:r w:rsidRPr="0037004A">
              <w:rPr>
                <w:spacing w:val="-2"/>
                <w:lang w:eastAsia="en-US"/>
              </w:rPr>
              <w:t>korun</w:t>
            </w:r>
            <w:r>
              <w:rPr>
                <w:spacing w:val="-2"/>
                <w:lang w:eastAsia="en-US"/>
              </w:rPr>
              <w:t>y</w:t>
            </w:r>
            <w:r w:rsidRPr="0037004A">
              <w:rPr>
                <w:spacing w:val="-2"/>
                <w:lang w:eastAsia="en-US"/>
              </w:rPr>
              <w:t>). Oproti 3.</w:t>
            </w:r>
            <w:r>
              <w:rPr>
                <w:spacing w:val="-2"/>
                <w:lang w:eastAsia="en-US"/>
              </w:rPr>
              <w:t> čtvrtlet</w:t>
            </w:r>
            <w:r w:rsidRPr="0037004A">
              <w:rPr>
                <w:spacing w:val="-2"/>
                <w:lang w:eastAsia="en-US"/>
              </w:rPr>
              <w:t>í byl kurz silnější o</w:t>
            </w:r>
            <w:r>
              <w:rPr>
                <w:spacing w:val="-2"/>
                <w:lang w:eastAsia="en-US"/>
              </w:rPr>
              <w:t> </w:t>
            </w:r>
            <w:r w:rsidRPr="0037004A">
              <w:rPr>
                <w:spacing w:val="-2"/>
                <w:lang w:eastAsia="en-US"/>
              </w:rPr>
              <w:t>0,5</w:t>
            </w:r>
            <w:r>
              <w:rPr>
                <w:spacing w:val="-2"/>
                <w:lang w:eastAsia="en-US"/>
              </w:rPr>
              <w:t> %</w:t>
            </w:r>
            <w:r w:rsidRPr="0037004A">
              <w:rPr>
                <w:spacing w:val="-2"/>
                <w:lang w:eastAsia="en-US"/>
              </w:rPr>
              <w:t xml:space="preserve"> (0,12</w:t>
            </w:r>
            <w:r>
              <w:rPr>
                <w:spacing w:val="-2"/>
                <w:lang w:eastAsia="en-US"/>
              </w:rPr>
              <w:t> </w:t>
            </w:r>
            <w:r w:rsidRPr="0037004A">
              <w:rPr>
                <w:spacing w:val="-2"/>
                <w:lang w:eastAsia="en-US"/>
              </w:rPr>
              <w:t>korun</w:t>
            </w:r>
            <w:r>
              <w:rPr>
                <w:spacing w:val="-2"/>
                <w:lang w:eastAsia="en-US"/>
              </w:rPr>
              <w:t>y</w:t>
            </w:r>
            <w:r w:rsidRPr="0037004A">
              <w:rPr>
                <w:spacing w:val="-2"/>
                <w:lang w:eastAsia="en-US"/>
              </w:rPr>
              <w:t>). Kurz posiloval zejména v průběhu prosince 2021 a</w:t>
            </w:r>
            <w:r>
              <w:rPr>
                <w:spacing w:val="-2"/>
                <w:lang w:eastAsia="en-US"/>
              </w:rPr>
              <w:t> </w:t>
            </w:r>
            <w:r w:rsidRPr="0037004A">
              <w:rPr>
                <w:spacing w:val="-2"/>
                <w:lang w:eastAsia="en-US"/>
              </w:rPr>
              <w:t>tehdy také poprvé od února 2020 prolomil hranici 25</w:t>
            </w:r>
            <w:r>
              <w:rPr>
                <w:spacing w:val="-2"/>
                <w:lang w:eastAsia="en-US"/>
              </w:rPr>
              <w:t> </w:t>
            </w:r>
            <w:r w:rsidRPr="0037004A">
              <w:rPr>
                <w:spacing w:val="-2"/>
                <w:lang w:eastAsia="en-US"/>
              </w:rPr>
              <w:t>korun. Rok 2021 uzavíral kurz koruny vůči euru na 24,86</w:t>
            </w:r>
            <w:r>
              <w:rPr>
                <w:spacing w:val="-2"/>
                <w:lang w:eastAsia="en-US"/>
              </w:rPr>
              <w:t> </w:t>
            </w:r>
            <w:r w:rsidRPr="0037004A">
              <w:rPr>
                <w:spacing w:val="-2"/>
                <w:lang w:eastAsia="en-US"/>
              </w:rPr>
              <w:t>CZK/EUR. Kurz vůči dolaru ve 4.</w:t>
            </w:r>
            <w:r>
              <w:rPr>
                <w:spacing w:val="-2"/>
                <w:lang w:eastAsia="en-US"/>
              </w:rPr>
              <w:t> čtvrtlet</w:t>
            </w:r>
            <w:r w:rsidRPr="0037004A">
              <w:rPr>
                <w:spacing w:val="-2"/>
                <w:lang w:eastAsia="en-US"/>
              </w:rPr>
              <w:t>í dosáhl průměru 22,19</w:t>
            </w:r>
            <w:r>
              <w:rPr>
                <w:spacing w:val="-2"/>
                <w:lang w:eastAsia="en-US"/>
              </w:rPr>
              <w:t> </w:t>
            </w:r>
            <w:r w:rsidRPr="0037004A">
              <w:rPr>
                <w:spacing w:val="-2"/>
                <w:lang w:eastAsia="en-US"/>
              </w:rPr>
              <w:t>CZK/USD a</w:t>
            </w:r>
            <w:r>
              <w:rPr>
                <w:spacing w:val="-2"/>
                <w:lang w:eastAsia="en-US"/>
              </w:rPr>
              <w:t> </w:t>
            </w:r>
            <w:r w:rsidRPr="0037004A">
              <w:rPr>
                <w:spacing w:val="-2"/>
                <w:lang w:eastAsia="en-US"/>
              </w:rPr>
              <w:t>meziročně byl silnější o</w:t>
            </w:r>
            <w:r>
              <w:rPr>
                <w:spacing w:val="-2"/>
                <w:lang w:eastAsia="en-US"/>
              </w:rPr>
              <w:t> </w:t>
            </w:r>
            <w:r w:rsidRPr="0037004A">
              <w:rPr>
                <w:spacing w:val="-2"/>
                <w:lang w:eastAsia="en-US"/>
              </w:rPr>
              <w:t>0,8</w:t>
            </w:r>
            <w:r>
              <w:rPr>
                <w:spacing w:val="-2"/>
                <w:lang w:eastAsia="en-US"/>
              </w:rPr>
              <w:t> %</w:t>
            </w:r>
            <w:r w:rsidRPr="0037004A">
              <w:rPr>
                <w:spacing w:val="-2"/>
                <w:lang w:eastAsia="en-US"/>
              </w:rPr>
              <w:t xml:space="preserve"> (0,17</w:t>
            </w:r>
            <w:r>
              <w:rPr>
                <w:spacing w:val="-2"/>
                <w:lang w:eastAsia="en-US"/>
              </w:rPr>
              <w:t> </w:t>
            </w:r>
            <w:r w:rsidRPr="0037004A">
              <w:rPr>
                <w:spacing w:val="-2"/>
                <w:lang w:eastAsia="en-US"/>
              </w:rPr>
              <w:t>korun</w:t>
            </w:r>
            <w:r>
              <w:rPr>
                <w:spacing w:val="-2"/>
                <w:lang w:eastAsia="en-US"/>
              </w:rPr>
              <w:t>y</w:t>
            </w:r>
            <w:r w:rsidRPr="0037004A">
              <w:rPr>
                <w:spacing w:val="-2"/>
                <w:lang w:eastAsia="en-US"/>
              </w:rPr>
              <w:t>). Ve srovnání se 3.</w:t>
            </w:r>
            <w:r>
              <w:rPr>
                <w:spacing w:val="-2"/>
                <w:lang w:eastAsia="en-US"/>
              </w:rPr>
              <w:t> čtvrtlet</w:t>
            </w:r>
            <w:r w:rsidRPr="0037004A">
              <w:rPr>
                <w:spacing w:val="-2"/>
                <w:lang w:eastAsia="en-US"/>
              </w:rPr>
              <w:t>ím 2021 kurz vůči dolaru oslabil o</w:t>
            </w:r>
            <w:r>
              <w:rPr>
                <w:spacing w:val="-2"/>
                <w:lang w:eastAsia="en-US"/>
              </w:rPr>
              <w:t> </w:t>
            </w:r>
            <w:r w:rsidRPr="0037004A">
              <w:rPr>
                <w:spacing w:val="-2"/>
                <w:lang w:eastAsia="en-US"/>
              </w:rPr>
              <w:t>2,6</w:t>
            </w:r>
            <w:r>
              <w:rPr>
                <w:spacing w:val="-2"/>
                <w:lang w:eastAsia="en-US"/>
              </w:rPr>
              <w:t> %</w:t>
            </w:r>
            <w:r w:rsidRPr="0037004A">
              <w:rPr>
                <w:spacing w:val="-2"/>
                <w:lang w:eastAsia="en-US"/>
              </w:rPr>
              <w:t xml:space="preserve"> (0,56</w:t>
            </w:r>
            <w:r>
              <w:rPr>
                <w:spacing w:val="-2"/>
                <w:lang w:eastAsia="en-US"/>
              </w:rPr>
              <w:t> </w:t>
            </w:r>
            <w:r w:rsidRPr="0037004A">
              <w:rPr>
                <w:spacing w:val="-2"/>
                <w:lang w:eastAsia="en-US"/>
              </w:rPr>
              <w:t>korun</w:t>
            </w:r>
            <w:r>
              <w:rPr>
                <w:spacing w:val="-2"/>
                <w:lang w:eastAsia="en-US"/>
              </w:rPr>
              <w:t>y</w:t>
            </w:r>
            <w:r w:rsidRPr="0037004A">
              <w:rPr>
                <w:spacing w:val="-2"/>
                <w:lang w:eastAsia="en-US"/>
              </w:rPr>
              <w:t>). Také vůči dolaru koruna v průběhu prosince posilovala. Ke 31</w:t>
            </w:r>
            <w:r>
              <w:rPr>
                <w:spacing w:val="-2"/>
                <w:lang w:eastAsia="en-US"/>
              </w:rPr>
              <w:t>. </w:t>
            </w:r>
            <w:r w:rsidRPr="0037004A">
              <w:rPr>
                <w:spacing w:val="-2"/>
                <w:lang w:eastAsia="en-US"/>
              </w:rPr>
              <w:t>12</w:t>
            </w:r>
            <w:r>
              <w:rPr>
                <w:spacing w:val="-2"/>
                <w:lang w:eastAsia="en-US"/>
              </w:rPr>
              <w:t>. </w:t>
            </w:r>
            <w:r w:rsidRPr="0037004A">
              <w:rPr>
                <w:spacing w:val="-2"/>
                <w:lang w:eastAsia="en-US"/>
              </w:rPr>
              <w:t>2021 kurz koruny vůči dolaru dosahoval 21,95</w:t>
            </w:r>
            <w:r>
              <w:rPr>
                <w:spacing w:val="-2"/>
                <w:lang w:eastAsia="en-US"/>
              </w:rPr>
              <w:t> </w:t>
            </w:r>
            <w:r w:rsidRPr="0037004A">
              <w:rPr>
                <w:spacing w:val="-2"/>
                <w:lang w:eastAsia="en-US"/>
              </w:rPr>
              <w:t>CZK/USD.</w:t>
            </w:r>
          </w:p>
        </w:tc>
      </w:tr>
      <w:tr w:rsidR="000200BE" w14:paraId="04446CFC" w14:textId="77777777" w:rsidTr="00913237">
        <w:trPr>
          <w:trHeight w:val="145"/>
        </w:trPr>
        <w:tc>
          <w:tcPr>
            <w:tcW w:w="1802" w:type="dxa"/>
          </w:tcPr>
          <w:p w14:paraId="7997219A" w14:textId="77777777" w:rsidR="000200BE" w:rsidRDefault="000200BE" w:rsidP="00913237">
            <w:pPr>
              <w:pStyle w:val="Marginlie"/>
              <w:rPr>
                <w:lang w:eastAsia="en-US"/>
              </w:rPr>
            </w:pPr>
            <w:r>
              <w:rPr>
                <w:lang w:eastAsia="en-US"/>
              </w:rPr>
              <w:t>Prudce narostly i sazby mezibankovního trhu a výnosy vládních dluhopisů.</w:t>
            </w:r>
          </w:p>
        </w:tc>
        <w:tc>
          <w:tcPr>
            <w:tcW w:w="229" w:type="dxa"/>
          </w:tcPr>
          <w:p w14:paraId="35F1011D" w14:textId="77777777" w:rsidR="000200BE" w:rsidRDefault="000200BE" w:rsidP="00913237">
            <w:pPr>
              <w:pStyle w:val="Textpoznpodarou"/>
              <w:jc w:val="both"/>
              <w:rPr>
                <w:spacing w:val="-4"/>
                <w:lang w:eastAsia="en-US"/>
              </w:rPr>
            </w:pPr>
          </w:p>
        </w:tc>
        <w:tc>
          <w:tcPr>
            <w:tcW w:w="7610" w:type="dxa"/>
          </w:tcPr>
          <w:p w14:paraId="79C48C39" w14:textId="77777777" w:rsidR="000200BE" w:rsidRDefault="000200BE" w:rsidP="00913237">
            <w:pPr>
              <w:rPr>
                <w:spacing w:val="-1"/>
                <w:lang w:eastAsia="en-US"/>
              </w:rPr>
            </w:pPr>
            <w:r>
              <w:rPr>
                <w:spacing w:val="-1"/>
                <w:lang w:eastAsia="en-US"/>
              </w:rPr>
              <w:t>Úrokové sazby mezibankovního trhu reagovaly na prudké zvýšení měnověpolitických sazeb silnými nárůsty. Tříměsíční sazba PRIBOR v průběhu 4. čtvrtletí narostla o 2,39 p. b.</w:t>
            </w:r>
            <w:r>
              <w:rPr>
                <w:rStyle w:val="Znakapoznpodarou"/>
                <w:spacing w:val="-1"/>
                <w:lang w:eastAsia="en-US"/>
              </w:rPr>
              <w:footnoteReference w:id="75"/>
            </w:r>
            <w:r>
              <w:rPr>
                <w:spacing w:val="-1"/>
                <w:lang w:eastAsia="en-US"/>
              </w:rPr>
              <w:t xml:space="preserve"> a ke konci roku 2021 dosahovala 3,5 %. Dál pokračovalo také navyšování výnosů na domácích vládních dluhopisech všech splatností. K 31. 12. dosahovala úroková sazba na dluhopisech s krátkodobou splatností 3,07 % (nárůst o 1,47 p. b.), což je nejvíce od dubna 2009. Výnosy střednědobých dluhopisů stouply o 0,97 p. b. na 2,84 % a těch dlouhodobých o 0,72 p. b. na 2,62 %. Mírně se zvyšovaly i výnosy dluhopisů v eurozóně. Ty s desetiletou splatností byly ke konci roku 2021 úročeny 0,28 % (+0,</w:t>
            </w:r>
            <w:r w:rsidRPr="007E7DB5">
              <w:t>08</w:t>
            </w:r>
            <w:r>
              <w:t> </w:t>
            </w:r>
            <w:r w:rsidRPr="007E7DB5">
              <w:t>p</w:t>
            </w:r>
            <w:r>
              <w:rPr>
                <w:spacing w:val="-1"/>
                <w:lang w:eastAsia="en-US"/>
              </w:rPr>
              <w:t>. b.).</w:t>
            </w:r>
          </w:p>
        </w:tc>
      </w:tr>
      <w:tr w:rsidR="000200BE" w14:paraId="641836CF" w14:textId="77777777" w:rsidTr="00913237">
        <w:trPr>
          <w:trHeight w:val="145"/>
        </w:trPr>
        <w:tc>
          <w:tcPr>
            <w:tcW w:w="1802" w:type="dxa"/>
            <w:hideMark/>
          </w:tcPr>
          <w:p w14:paraId="50159FD7" w14:textId="77777777" w:rsidR="000200BE" w:rsidRDefault="000200BE" w:rsidP="00913237">
            <w:pPr>
              <w:pStyle w:val="Marginlie"/>
              <w:rPr>
                <w:lang w:eastAsia="en-US"/>
              </w:rPr>
            </w:pPr>
            <w:r>
              <w:rPr>
                <w:lang w:eastAsia="en-US"/>
              </w:rPr>
              <w:t>Domácnostem a nefinančním podnikům rostlo úročení termínovaných vkladů.</w:t>
            </w:r>
          </w:p>
        </w:tc>
        <w:tc>
          <w:tcPr>
            <w:tcW w:w="229" w:type="dxa"/>
          </w:tcPr>
          <w:p w14:paraId="68A1DFF5" w14:textId="77777777" w:rsidR="000200BE" w:rsidRDefault="000200BE" w:rsidP="00913237">
            <w:pPr>
              <w:pStyle w:val="Textpoznpodarou"/>
              <w:jc w:val="both"/>
              <w:rPr>
                <w:spacing w:val="-4"/>
                <w:lang w:eastAsia="en-US"/>
              </w:rPr>
            </w:pPr>
          </w:p>
        </w:tc>
        <w:tc>
          <w:tcPr>
            <w:tcW w:w="7610" w:type="dxa"/>
          </w:tcPr>
          <w:p w14:paraId="2519A694" w14:textId="77777777" w:rsidR="000200BE" w:rsidRDefault="000200BE" w:rsidP="00913237">
            <w:pPr>
              <w:rPr>
                <w:spacing w:val="-3"/>
                <w:lang w:eastAsia="en-US"/>
              </w:rPr>
            </w:pPr>
            <w:r>
              <w:rPr>
                <w:spacing w:val="-3"/>
                <w:lang w:eastAsia="en-US"/>
              </w:rPr>
              <w:t>Průměrné úročení běžných účtů domácností se velmi drobně zvýšilo, ale ke konci roku 2021 bylo stále na prakticky nulové úrovni (0,06 %). Jiná byla situace v případě vkladů s dohodnutou splatností. U těch se úrokové sazby postupně zvyšovaly v průběhu celého roku a nejvíce to bylo právě ve 4. čtvrtletí. Ke konci roku 2021 průměrné úročení vkladů domácností s dohodnutou splatností činilo 2,32 % (navýšení od 30. září o 1,59 %). Úročení běžných účtů nefinančních podniků se ve 4. čtvrtletí zvýšilo o 0,15 p. b. na 0,2 %. Průměrné úrokové sazby vkladů s dohodnutou splatností nefinančních podniků ke konci roku činily 2,47 %, což bylo o 1,91 p. b. více než na konci září. Celkový objem netermínovaných vkladů klientů byl na konci roku 2021 meziročně vyšší o 5,9 %, což znamenalo výrazné zpomalení růstu. Oproti konci 3. čtvrtletí klesl o 202,1 mld. korun, což je u netermínovaných vkladů poměrně netypické. Na tomto poklesu se podílely zejména netermínované vklady domácností</w:t>
            </w:r>
            <w:r>
              <w:rPr>
                <w:rStyle w:val="Znakapoznpodarou"/>
                <w:spacing w:val="-3"/>
                <w:lang w:eastAsia="en-US"/>
              </w:rPr>
              <w:footnoteReference w:id="76"/>
            </w:r>
            <w:r>
              <w:rPr>
                <w:spacing w:val="-3"/>
                <w:lang w:eastAsia="en-US"/>
              </w:rPr>
              <w:t xml:space="preserve"> (–59,6 mld. korun) a vlády (–110,5 mld.). Objem termínovaných vkladů byl na konci roku meziročně vyšší o 10,1 %, především díky nárůstu krátkodobých a dlouhodobých vkladů.</w:t>
            </w:r>
          </w:p>
        </w:tc>
      </w:tr>
      <w:tr w:rsidR="000200BE" w14:paraId="0749CA96" w14:textId="77777777" w:rsidTr="00913237">
        <w:trPr>
          <w:trHeight w:val="145"/>
        </w:trPr>
        <w:tc>
          <w:tcPr>
            <w:tcW w:w="1802" w:type="dxa"/>
          </w:tcPr>
          <w:p w14:paraId="0FFB8223" w14:textId="77777777" w:rsidR="000200BE" w:rsidRDefault="000200BE" w:rsidP="00913237">
            <w:pPr>
              <w:pStyle w:val="Marginlie"/>
              <w:rPr>
                <w:lang w:eastAsia="en-US"/>
              </w:rPr>
            </w:pPr>
            <w:r>
              <w:rPr>
                <w:lang w:eastAsia="en-US"/>
              </w:rPr>
              <w:t>Domácnostem se zdražilo úvěrové financování spotřeby i bydlení.</w:t>
            </w:r>
          </w:p>
        </w:tc>
        <w:tc>
          <w:tcPr>
            <w:tcW w:w="229" w:type="dxa"/>
          </w:tcPr>
          <w:p w14:paraId="3EBC3183" w14:textId="77777777" w:rsidR="000200BE" w:rsidRDefault="000200BE" w:rsidP="00913237">
            <w:pPr>
              <w:pStyle w:val="Textpoznpodarou"/>
              <w:jc w:val="both"/>
              <w:rPr>
                <w:spacing w:val="-4"/>
                <w:lang w:eastAsia="en-US"/>
              </w:rPr>
            </w:pPr>
          </w:p>
        </w:tc>
        <w:tc>
          <w:tcPr>
            <w:tcW w:w="7610" w:type="dxa"/>
          </w:tcPr>
          <w:p w14:paraId="54C43C4A" w14:textId="77777777" w:rsidR="000200BE" w:rsidRDefault="000200BE" w:rsidP="00913237">
            <w:pPr>
              <w:rPr>
                <w:lang w:eastAsia="en-US"/>
              </w:rPr>
            </w:pPr>
            <w:r>
              <w:rPr>
                <w:lang w:eastAsia="en-US"/>
              </w:rPr>
              <w:t xml:space="preserve">Úrokové sazby na úvěrech pro domácnosti také reagovaly na všeobecný růst úroků v ekonomice. Průměrné úročení úvěrů na spotřebu k 31. 12. dosahovalo 7,91 %, což bylo o 0,32 p. b. více než na konci září. Pokračoval tak postupný nárůst sazeb, který trval po celý loňský rok. Vyšší bylo také průměrné úročení úvěrů na bydlení. To se ve 4. čtvrtletí zvýšilo o 0,47 p. b. na 2,92 %. Nejvíce narostlo úročení úvěrů s nejkratší fixací (do 1 roku). Během loňského roku postupně zrychloval meziroční růst objemu poskytnutých úvěrů na spotřebu. Těch bylo ke konci roku 2021 více o 6,5 %. Jejich růst v roce 2020 zastavilo především omezení maloobchodu a následný propad spotřeby </w:t>
            </w:r>
            <w:r>
              <w:rPr>
                <w:lang w:eastAsia="en-US"/>
              </w:rPr>
              <w:lastRenderedPageBreak/>
              <w:t>domácností. Naopak dál akceleroval růst úvěrů na bydlení. Na konci roku 2021 meziroční přírůstek jejich objemu dosáhl rekordních 11,1 %. Co se týká nových hypoték</w:t>
            </w:r>
            <w:r>
              <w:rPr>
                <w:rStyle w:val="Znakapoznpodarou"/>
                <w:lang w:eastAsia="en-US"/>
              </w:rPr>
              <w:footnoteReference w:id="77"/>
            </w:r>
            <w:r>
              <w:rPr>
                <w:lang w:eastAsia="en-US"/>
              </w:rPr>
              <w:t>, po předchozím propadu objemu čistých nových úvěrů došlo k dalšímu růstu. Vyšší byl i objem refinancovaných úvěrů a ostatních nových ujednání. Zadlužení domácností dosáhlo ke konci prosince 2 108,8 mld. korun a meziročně se zvýšilo o 9,5 %, nejvíce od září 2009.</w:t>
            </w:r>
          </w:p>
        </w:tc>
      </w:tr>
      <w:tr w:rsidR="000200BE" w14:paraId="545173FF" w14:textId="77777777" w:rsidTr="00913237">
        <w:trPr>
          <w:trHeight w:val="145"/>
        </w:trPr>
        <w:tc>
          <w:tcPr>
            <w:tcW w:w="1802" w:type="dxa"/>
          </w:tcPr>
          <w:p w14:paraId="34ED9EF4" w14:textId="77777777" w:rsidR="000200BE" w:rsidRDefault="000200BE" w:rsidP="00913237">
            <w:pPr>
              <w:pStyle w:val="Marginlie"/>
              <w:rPr>
                <w:lang w:eastAsia="en-US"/>
              </w:rPr>
            </w:pPr>
            <w:r>
              <w:rPr>
                <w:lang w:eastAsia="en-US"/>
              </w:rPr>
              <w:lastRenderedPageBreak/>
              <w:t>Prudké zvýšení úrokových sazeb se týkalo i úvěrů pro podniky.</w:t>
            </w:r>
          </w:p>
        </w:tc>
        <w:tc>
          <w:tcPr>
            <w:tcW w:w="229" w:type="dxa"/>
          </w:tcPr>
          <w:p w14:paraId="1AF7D4E7" w14:textId="77777777" w:rsidR="000200BE" w:rsidRDefault="000200BE" w:rsidP="00913237">
            <w:pPr>
              <w:pStyle w:val="Textpoznpodarou"/>
              <w:jc w:val="both"/>
              <w:rPr>
                <w:spacing w:val="-4"/>
                <w:lang w:eastAsia="en-US"/>
              </w:rPr>
            </w:pPr>
          </w:p>
        </w:tc>
        <w:tc>
          <w:tcPr>
            <w:tcW w:w="7610" w:type="dxa"/>
          </w:tcPr>
          <w:p w14:paraId="30AF68BA" w14:textId="0E60C579" w:rsidR="000200BE" w:rsidRDefault="000200BE" w:rsidP="000200BE">
            <w:pPr>
              <w:rPr>
                <w:lang w:eastAsia="en-US"/>
              </w:rPr>
            </w:pPr>
            <w:r>
              <w:rPr>
                <w:lang w:eastAsia="en-US"/>
              </w:rPr>
              <w:t>Nefinančním podnikům se náklady na úvěrové financování také prudce zvýšily. Průměrné úročení úvěrů s objemem do 7,5 mil. korun se ve 4. čtvrtletí zvýšilo o 1,09 p.</w:t>
            </w:r>
            <w:r>
              <w:t> </w:t>
            </w:r>
            <w:r>
              <w:rPr>
                <w:lang w:eastAsia="en-US"/>
              </w:rPr>
              <w:t xml:space="preserve">b. na 4,86 %. U střední kategorie úvěrů s objemem mezi 7,5 a 30 miliony korun došlo k navýšení úrokových sazeb o 1,77 p. b. na 4,71 %. Nejvíce (o 2,61 p. b.) se zvýšily sazby na úvěrech nad 30 milionů korun, které dosáhly 4,35 %. Meziroční růst objemu úvěrů poskytnutých nefinančním podnikům v závěru roku prudce zrychlil na 6,0 %. Nejvíce přitom narostl objem krátkodobých úvěrů (13,9 %), zejména těch denominovaných v cizí měně. Posílil ale také přírůstek objemu úvěrů střednědobých (6,7 %) a dlouhodobých (2,9 %). Nejvíce se meziročně zvyšoval objem poskytnutých půjček v dopravě a skladování (34,2 %; 30% úroveň přírůstky překonaly i ve 2. a 3. čtvrtletí), profesních, vědeckých, technických a administrativních činnostech (15,2 %) a velkoobchodě, maloobchodě, opravách a údržbě motorových vozidel (11,1 %). Meziročně se kromě dlouhodobě ubývajících úvěrů v těžbě a dobývání </w:t>
            </w:r>
            <w:r>
              <w:rPr>
                <w:lang w:eastAsia="en-US"/>
              </w:rPr>
              <w:br/>
              <w:t xml:space="preserve">(–20,3 %) propadl objem půjček pro ubytování, stravování a pohostinství (–10,3 %, vliv mělo především srovnání s prudkými nárůsty v roce 2020), zpracovatelský průmysl </w:t>
            </w:r>
            <w:r>
              <w:rPr>
                <w:lang w:eastAsia="en-US"/>
              </w:rPr>
              <w:br/>
              <w:t>(–3,8 %), pro výrobu a rozvod elektřiny, plynu, tepla, vzduchu a služby související s odpadními vodami (–3,1 %) a informační a komunikační činnosti (–2,5 %).</w:t>
            </w:r>
          </w:p>
        </w:tc>
      </w:tr>
      <w:tr w:rsidR="000200BE" w14:paraId="59199D5E" w14:textId="77777777" w:rsidTr="00913237">
        <w:trPr>
          <w:trHeight w:val="304"/>
        </w:trPr>
        <w:tc>
          <w:tcPr>
            <w:tcW w:w="1802" w:type="dxa"/>
            <w:vMerge w:val="restart"/>
          </w:tcPr>
          <w:p w14:paraId="53DBE1F7" w14:textId="77777777" w:rsidR="000200BE" w:rsidRDefault="000200BE" w:rsidP="00913237">
            <w:pPr>
              <w:pStyle w:val="Marginlie"/>
              <w:rPr>
                <w:lang w:eastAsia="en-US"/>
              </w:rPr>
            </w:pPr>
          </w:p>
        </w:tc>
        <w:tc>
          <w:tcPr>
            <w:tcW w:w="229" w:type="dxa"/>
            <w:vMerge w:val="restart"/>
          </w:tcPr>
          <w:p w14:paraId="3578A2E3" w14:textId="77777777" w:rsidR="000200BE" w:rsidRDefault="000200BE" w:rsidP="00913237">
            <w:pPr>
              <w:pStyle w:val="Textpoznpodarou"/>
              <w:jc w:val="both"/>
              <w:rPr>
                <w:spacing w:val="-4"/>
                <w:lang w:eastAsia="en-US"/>
              </w:rPr>
            </w:pPr>
          </w:p>
        </w:tc>
        <w:tc>
          <w:tcPr>
            <w:tcW w:w="7610" w:type="dxa"/>
            <w:hideMark/>
          </w:tcPr>
          <w:p w14:paraId="700DB65A" w14:textId="374CA604" w:rsidR="000200BE" w:rsidRPr="00D721B4" w:rsidRDefault="00A02E8B" w:rsidP="00913237">
            <w:pPr>
              <w:spacing w:after="0"/>
              <w:rPr>
                <w:szCs w:val="20"/>
                <w:lang w:eastAsia="en-US"/>
              </w:rPr>
            </w:pPr>
            <w:r>
              <w:rPr>
                <w:rFonts w:cs="Arial"/>
                <w:b/>
                <w:bCs/>
                <w:color w:val="000000"/>
                <w:szCs w:val="20"/>
                <w:lang w:eastAsia="en-US"/>
              </w:rPr>
              <w:t>Graf č. 17</w:t>
            </w:r>
            <w:r w:rsidR="000200BE" w:rsidRPr="00D721B4">
              <w:rPr>
                <w:rFonts w:cs="Arial"/>
                <w:b/>
                <w:bCs/>
                <w:color w:val="000000"/>
                <w:szCs w:val="20"/>
                <w:lang w:eastAsia="en-US"/>
              </w:rPr>
              <w:t xml:space="preserve">  </w:t>
            </w:r>
            <w:r w:rsidR="000200BE" w:rsidRPr="00D721B4">
              <w:rPr>
                <w:b/>
                <w:spacing w:val="-4"/>
                <w:szCs w:val="20"/>
                <w:lang w:eastAsia="en-US"/>
              </w:rPr>
              <w:t xml:space="preserve">Tržní úrokové sazby </w:t>
            </w:r>
            <w:r w:rsidR="000200BE" w:rsidRPr="00D721B4">
              <w:rPr>
                <w:bCs/>
                <w:spacing w:val="-4"/>
                <w:szCs w:val="20"/>
                <w:lang w:eastAsia="en-US"/>
              </w:rPr>
              <w:t>(v</w:t>
            </w:r>
            <w:r w:rsidR="000200BE">
              <w:rPr>
                <w:bCs/>
                <w:spacing w:val="-4"/>
                <w:szCs w:val="20"/>
                <w:lang w:eastAsia="en-US"/>
              </w:rPr>
              <w:t> %</w:t>
            </w:r>
            <w:r w:rsidR="000200BE" w:rsidRPr="00D721B4">
              <w:rPr>
                <w:bCs/>
                <w:spacing w:val="-4"/>
                <w:szCs w:val="20"/>
                <w:lang w:eastAsia="en-US"/>
              </w:rPr>
              <w:t>)</w:t>
            </w:r>
          </w:p>
        </w:tc>
      </w:tr>
      <w:tr w:rsidR="000200BE" w14:paraId="660A11B9" w14:textId="77777777" w:rsidTr="00913237">
        <w:tblPrEx>
          <w:tblCellMar>
            <w:left w:w="70" w:type="dxa"/>
            <w:right w:w="70" w:type="dxa"/>
          </w:tblCellMar>
        </w:tblPrEx>
        <w:trPr>
          <w:trHeight w:val="170"/>
        </w:trPr>
        <w:tc>
          <w:tcPr>
            <w:tcW w:w="1802" w:type="dxa"/>
            <w:vMerge/>
            <w:vAlign w:val="center"/>
            <w:hideMark/>
          </w:tcPr>
          <w:p w14:paraId="46B716F5" w14:textId="77777777" w:rsidR="000200BE" w:rsidRDefault="000200BE" w:rsidP="00913237">
            <w:pPr>
              <w:spacing w:after="0" w:line="240" w:lineRule="auto"/>
              <w:jc w:val="left"/>
              <w:rPr>
                <w:spacing w:val="-2"/>
                <w:sz w:val="16"/>
                <w:szCs w:val="16"/>
                <w:lang w:eastAsia="en-US"/>
              </w:rPr>
            </w:pPr>
          </w:p>
        </w:tc>
        <w:tc>
          <w:tcPr>
            <w:tcW w:w="229" w:type="dxa"/>
            <w:vMerge/>
            <w:vAlign w:val="center"/>
            <w:hideMark/>
          </w:tcPr>
          <w:p w14:paraId="78F89FD9" w14:textId="77777777" w:rsidR="000200BE" w:rsidRDefault="000200BE" w:rsidP="00913237">
            <w:pPr>
              <w:spacing w:after="0" w:line="240" w:lineRule="auto"/>
              <w:jc w:val="left"/>
              <w:rPr>
                <w:rFonts w:eastAsia="Calibri"/>
                <w:spacing w:val="-4"/>
                <w:szCs w:val="20"/>
                <w:lang w:eastAsia="en-US"/>
              </w:rPr>
            </w:pPr>
          </w:p>
        </w:tc>
        <w:tc>
          <w:tcPr>
            <w:tcW w:w="7610" w:type="dxa"/>
            <w:hideMark/>
          </w:tcPr>
          <w:p w14:paraId="751948C8" w14:textId="77777777" w:rsidR="000200BE" w:rsidRDefault="000200BE" w:rsidP="00913237">
            <w:pPr>
              <w:spacing w:after="0"/>
              <w:rPr>
                <w:sz w:val="14"/>
                <w:szCs w:val="14"/>
                <w:lang w:eastAsia="en-US"/>
              </w:rPr>
            </w:pPr>
            <w:r>
              <w:rPr>
                <w:noProof/>
              </w:rPr>
              <w:drawing>
                <wp:inline distT="0" distB="0" distL="0" distR="0" wp14:anchorId="69DB6140" wp14:editId="202EC4CB">
                  <wp:extent cx="4734425" cy="3375400"/>
                  <wp:effectExtent l="0" t="0" r="0" b="0"/>
                  <wp:docPr id="3" name="Graf 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200BE" w14:paraId="73B405F8" w14:textId="77777777" w:rsidTr="00913237">
        <w:trPr>
          <w:trHeight w:val="170"/>
        </w:trPr>
        <w:tc>
          <w:tcPr>
            <w:tcW w:w="0" w:type="auto"/>
            <w:vMerge/>
            <w:vAlign w:val="center"/>
            <w:hideMark/>
          </w:tcPr>
          <w:p w14:paraId="2B56C3CB" w14:textId="77777777" w:rsidR="000200BE" w:rsidRDefault="000200BE" w:rsidP="00913237">
            <w:pPr>
              <w:spacing w:after="0" w:line="240" w:lineRule="auto"/>
              <w:jc w:val="left"/>
              <w:rPr>
                <w:spacing w:val="-2"/>
                <w:sz w:val="16"/>
                <w:szCs w:val="16"/>
                <w:lang w:eastAsia="en-US"/>
              </w:rPr>
            </w:pPr>
          </w:p>
        </w:tc>
        <w:tc>
          <w:tcPr>
            <w:tcW w:w="0" w:type="auto"/>
            <w:vMerge/>
            <w:vAlign w:val="center"/>
            <w:hideMark/>
          </w:tcPr>
          <w:p w14:paraId="3AA21791" w14:textId="77777777" w:rsidR="000200BE" w:rsidRDefault="000200BE" w:rsidP="00913237">
            <w:pPr>
              <w:spacing w:after="0" w:line="240" w:lineRule="auto"/>
              <w:jc w:val="left"/>
              <w:rPr>
                <w:rFonts w:eastAsia="Calibri"/>
                <w:spacing w:val="-4"/>
                <w:szCs w:val="20"/>
                <w:lang w:eastAsia="en-US"/>
              </w:rPr>
            </w:pPr>
          </w:p>
        </w:tc>
        <w:tc>
          <w:tcPr>
            <w:tcW w:w="7610" w:type="dxa"/>
            <w:hideMark/>
          </w:tcPr>
          <w:p w14:paraId="776EE0D3" w14:textId="77777777" w:rsidR="000200BE" w:rsidRDefault="000200BE" w:rsidP="00913237">
            <w:pPr>
              <w:rPr>
                <w:sz w:val="14"/>
                <w:szCs w:val="14"/>
                <w:lang w:eastAsia="en-US"/>
              </w:rPr>
            </w:pPr>
            <w:r>
              <w:rPr>
                <w:sz w:val="14"/>
                <w:szCs w:val="14"/>
                <w:lang w:eastAsia="en-US"/>
              </w:rPr>
              <w:t>Zdroj: ČNB</w:t>
            </w:r>
          </w:p>
        </w:tc>
      </w:tr>
      <w:bookmarkEnd w:id="37"/>
    </w:tbl>
    <w:p w14:paraId="1CC0B2DD" w14:textId="77777777" w:rsidR="00F00535" w:rsidRPr="00E42054" w:rsidRDefault="00F00535" w:rsidP="00F00535">
      <w:pPr>
        <w:pStyle w:val="Nadpis11"/>
        <w:rPr>
          <w:b w:val="0"/>
          <w:sz w:val="2"/>
          <w:szCs w:val="2"/>
        </w:rPr>
      </w:pPr>
    </w:p>
    <w:p w14:paraId="39E9959F" w14:textId="3F347CFB" w:rsidR="002438DC" w:rsidRDefault="002438DC" w:rsidP="00AB3BA7">
      <w:pPr>
        <w:pStyle w:val="Nadpis11"/>
        <w:rPr>
          <w:b w:val="0"/>
          <w:sz w:val="2"/>
          <w:szCs w:val="2"/>
        </w:rPr>
      </w:pPr>
      <w:r>
        <w:rPr>
          <w:b w:val="0"/>
          <w:sz w:val="2"/>
          <w:szCs w:val="2"/>
        </w:rPr>
        <w:br w:type="page"/>
      </w:r>
    </w:p>
    <w:p w14:paraId="18CA6ED5" w14:textId="77777777" w:rsidR="00144108" w:rsidRDefault="00144108" w:rsidP="00144108">
      <w:pPr>
        <w:pStyle w:val="Nadpis11"/>
      </w:pPr>
      <w:bookmarkStart w:id="39" w:name="_Toc98756084"/>
      <w:r w:rsidRPr="00787441">
        <w:rPr>
          <w:szCs w:val="32"/>
        </w:rPr>
        <w:lastRenderedPageBreak/>
        <w:t>8</w:t>
      </w:r>
      <w:r>
        <w:t>. St</w:t>
      </w:r>
      <w:r w:rsidRPr="009110F7">
        <w:t>átní rozpočet</w:t>
      </w:r>
      <w:bookmarkEnd w:id="39"/>
    </w:p>
    <w:tbl>
      <w:tblPr>
        <w:tblW w:w="9669" w:type="dxa"/>
        <w:tblInd w:w="-20" w:type="dxa"/>
        <w:tblCellMar>
          <w:left w:w="0" w:type="dxa"/>
          <w:right w:w="0" w:type="dxa"/>
        </w:tblCellMar>
        <w:tblLook w:val="00A0" w:firstRow="1" w:lastRow="0" w:firstColumn="1" w:lastColumn="0" w:noHBand="0" w:noVBand="0"/>
      </w:tblPr>
      <w:tblGrid>
        <w:gridCol w:w="1732"/>
        <w:gridCol w:w="217"/>
        <w:gridCol w:w="7720"/>
      </w:tblGrid>
      <w:tr w:rsidR="00144108" w:rsidRPr="003C07E6" w14:paraId="45B8425E" w14:textId="77777777" w:rsidTr="008E039E">
        <w:trPr>
          <w:trHeight w:val="145"/>
        </w:trPr>
        <w:tc>
          <w:tcPr>
            <w:tcW w:w="1732" w:type="dxa"/>
            <w:shd w:val="clear" w:color="auto" w:fill="auto"/>
            <w:tcMar>
              <w:left w:w="0" w:type="dxa"/>
            </w:tcMar>
          </w:tcPr>
          <w:p w14:paraId="290A9741" w14:textId="77777777" w:rsidR="00144108" w:rsidRPr="00D033C0" w:rsidRDefault="00144108" w:rsidP="008E039E">
            <w:pPr>
              <w:pStyle w:val="Marginlie"/>
              <w:rPr>
                <w:spacing w:val="-3"/>
              </w:rPr>
            </w:pPr>
            <w:r>
              <w:rPr>
                <w:spacing w:val="-3"/>
              </w:rPr>
              <w:t>Státní rozpočet hospodařil v roce 2021 s rekordním deficitem, který byl však nižší než rozpočtové očekávání.</w:t>
            </w:r>
          </w:p>
        </w:tc>
        <w:tc>
          <w:tcPr>
            <w:tcW w:w="217" w:type="dxa"/>
            <w:shd w:val="clear" w:color="auto" w:fill="auto"/>
            <w:tcMar>
              <w:left w:w="0" w:type="dxa"/>
            </w:tcMar>
          </w:tcPr>
          <w:p w14:paraId="16596318" w14:textId="77777777" w:rsidR="00144108" w:rsidRDefault="00144108" w:rsidP="008E039E">
            <w:pPr>
              <w:pStyle w:val="Textpoznpodarou"/>
              <w:jc w:val="both"/>
              <w:rPr>
                <w:spacing w:val="-4"/>
              </w:rPr>
            </w:pPr>
          </w:p>
        </w:tc>
        <w:tc>
          <w:tcPr>
            <w:tcW w:w="7720" w:type="dxa"/>
            <w:shd w:val="clear" w:color="auto" w:fill="auto"/>
            <w:tcMar>
              <w:left w:w="0" w:type="dxa"/>
            </w:tcMar>
          </w:tcPr>
          <w:p w14:paraId="7E3B5852" w14:textId="0FEE06A3" w:rsidR="00144108" w:rsidRDefault="00144108" w:rsidP="008E039E">
            <w:pPr>
              <w:spacing w:after="200"/>
              <w:rPr>
                <w:spacing w:val="-2"/>
              </w:rPr>
            </w:pPr>
            <w:r>
              <w:rPr>
                <w:spacing w:val="-2"/>
              </w:rPr>
              <w:t>Hospodaření</w:t>
            </w:r>
            <w:r w:rsidRPr="009B277E">
              <w:rPr>
                <w:spacing w:val="-2"/>
              </w:rPr>
              <w:t xml:space="preserve"> státní</w:t>
            </w:r>
            <w:r>
              <w:rPr>
                <w:spacing w:val="-2"/>
              </w:rPr>
              <w:t>ho</w:t>
            </w:r>
            <w:r w:rsidRPr="009B277E">
              <w:rPr>
                <w:spacing w:val="-2"/>
              </w:rPr>
              <w:t xml:space="preserve"> </w:t>
            </w:r>
            <w:r>
              <w:rPr>
                <w:spacing w:val="-2"/>
              </w:rPr>
              <w:t>rozpoč</w:t>
            </w:r>
            <w:r w:rsidRPr="009B277E">
              <w:rPr>
                <w:spacing w:val="-2"/>
              </w:rPr>
              <w:t>t</w:t>
            </w:r>
            <w:r>
              <w:rPr>
                <w:spacing w:val="-2"/>
              </w:rPr>
              <w:t>u</w:t>
            </w:r>
            <w:r w:rsidRPr="009B277E">
              <w:rPr>
                <w:spacing w:val="-2"/>
              </w:rPr>
              <w:t xml:space="preserve"> (SR)</w:t>
            </w:r>
            <w:r w:rsidRPr="00F96252">
              <w:rPr>
                <w:spacing w:val="-2"/>
                <w:vertAlign w:val="superscript"/>
              </w:rPr>
              <w:footnoteReference w:id="78"/>
            </w:r>
            <w:r>
              <w:rPr>
                <w:spacing w:val="-2"/>
              </w:rPr>
              <w:t xml:space="preserve"> skončilo v roce 2021 hlubokým deficitem ve výši 419,7 mld. korun, který byl oproti </w:t>
            </w:r>
            <w:r w:rsidR="000671DB">
              <w:rPr>
                <w:spacing w:val="-2"/>
              </w:rPr>
              <w:t xml:space="preserve">dříve </w:t>
            </w:r>
            <w:r>
              <w:rPr>
                <w:spacing w:val="-2"/>
              </w:rPr>
              <w:t>rekordnímu schodku z roku 2020 o 52,2 mld. vyšší</w:t>
            </w:r>
            <w:r>
              <w:rPr>
                <w:rStyle w:val="Znakapoznpodarou"/>
                <w:spacing w:val="-2"/>
              </w:rPr>
              <w:footnoteReference w:id="79"/>
            </w:r>
            <w:r>
              <w:rPr>
                <w:spacing w:val="-2"/>
              </w:rPr>
              <w:t xml:space="preserve">. K prohloubení salda hospodaření přispěl zejména růst běžných výdajů. </w:t>
            </w:r>
            <w:r w:rsidRPr="00367B13">
              <w:rPr>
                <w:spacing w:val="-2"/>
              </w:rPr>
              <w:t xml:space="preserve">Přestože </w:t>
            </w:r>
            <w:r>
              <w:rPr>
                <w:spacing w:val="-2"/>
              </w:rPr>
              <w:t xml:space="preserve">rozpočtového </w:t>
            </w:r>
            <w:r w:rsidRPr="00367B13">
              <w:rPr>
                <w:spacing w:val="-2"/>
              </w:rPr>
              <w:t xml:space="preserve">deficitu </w:t>
            </w:r>
            <w:r>
              <w:rPr>
                <w:spacing w:val="-2"/>
              </w:rPr>
              <w:t xml:space="preserve">bylo dosaženo ve všech loňských </w:t>
            </w:r>
            <w:r w:rsidRPr="00367B13">
              <w:rPr>
                <w:spacing w:val="-2"/>
              </w:rPr>
              <w:t xml:space="preserve">měsících, na jeho celkové výši se </w:t>
            </w:r>
            <w:r>
              <w:rPr>
                <w:spacing w:val="-2"/>
              </w:rPr>
              <w:t xml:space="preserve">zásadně </w:t>
            </w:r>
            <w:r w:rsidRPr="00367B13">
              <w:rPr>
                <w:spacing w:val="-2"/>
              </w:rPr>
              <w:t>pod</w:t>
            </w:r>
            <w:r>
              <w:rPr>
                <w:spacing w:val="-2"/>
              </w:rPr>
              <w:t>ílela opatření realizovaná během jarní</w:t>
            </w:r>
            <w:r w:rsidRPr="00367B13">
              <w:rPr>
                <w:spacing w:val="-2"/>
              </w:rPr>
              <w:t xml:space="preserve"> </w:t>
            </w:r>
            <w:r>
              <w:rPr>
                <w:spacing w:val="-2"/>
              </w:rPr>
              <w:t xml:space="preserve">pandemické </w:t>
            </w:r>
            <w:r w:rsidRPr="00367B13">
              <w:rPr>
                <w:spacing w:val="-2"/>
              </w:rPr>
              <w:t>vlny</w:t>
            </w:r>
            <w:r>
              <w:rPr>
                <w:spacing w:val="-2"/>
              </w:rPr>
              <w:t>, která citelně zatížila rozpočtové výdaje</w:t>
            </w:r>
            <w:r>
              <w:rPr>
                <w:rStyle w:val="Znakapoznpodarou"/>
                <w:spacing w:val="-2"/>
              </w:rPr>
              <w:footnoteReference w:id="80"/>
            </w:r>
            <w:r>
              <w:rPr>
                <w:spacing w:val="-2"/>
              </w:rPr>
              <w:t>. Ve zbylé části roku došlo k částečnému uvolnění tlaku na některé běžné rozpočtové výdaje a postupné zotavování ekonomiky se začalo pozitivně odrážet v celkovém daňovém inkasu.</w:t>
            </w:r>
          </w:p>
        </w:tc>
      </w:tr>
      <w:tr w:rsidR="00144108" w:rsidRPr="003C07E6" w14:paraId="5E3395FC" w14:textId="77777777" w:rsidTr="008E039E">
        <w:trPr>
          <w:trHeight w:val="145"/>
        </w:trPr>
        <w:tc>
          <w:tcPr>
            <w:tcW w:w="1732" w:type="dxa"/>
            <w:shd w:val="clear" w:color="auto" w:fill="auto"/>
            <w:tcMar>
              <w:left w:w="0" w:type="dxa"/>
            </w:tcMar>
          </w:tcPr>
          <w:p w14:paraId="48D6DE4C" w14:textId="77777777" w:rsidR="00144108" w:rsidRPr="00D033C0" w:rsidRDefault="00144108" w:rsidP="008E039E">
            <w:pPr>
              <w:pStyle w:val="Marginlie"/>
              <w:rPr>
                <w:spacing w:val="-3"/>
              </w:rPr>
            </w:pPr>
            <w:r>
              <w:rPr>
                <w:spacing w:val="-3"/>
              </w:rPr>
              <w:t>Pokračující oživení ekonomiky i absence významnějších restrikcí během podzimní pandemické vlny vedly k tomu, že celostátní daňové inkaso na konci roku již dorovnalo předpandemickou úroveň.</w:t>
            </w:r>
          </w:p>
        </w:tc>
        <w:tc>
          <w:tcPr>
            <w:tcW w:w="217" w:type="dxa"/>
            <w:shd w:val="clear" w:color="auto" w:fill="auto"/>
            <w:tcMar>
              <w:left w:w="0" w:type="dxa"/>
            </w:tcMar>
          </w:tcPr>
          <w:p w14:paraId="761AF4C1" w14:textId="77777777" w:rsidR="00144108" w:rsidRDefault="00144108" w:rsidP="008E039E">
            <w:pPr>
              <w:pStyle w:val="Textpoznpodarou"/>
              <w:jc w:val="both"/>
              <w:rPr>
                <w:spacing w:val="-4"/>
              </w:rPr>
            </w:pPr>
          </w:p>
        </w:tc>
        <w:tc>
          <w:tcPr>
            <w:tcW w:w="7720" w:type="dxa"/>
            <w:shd w:val="clear" w:color="auto" w:fill="auto"/>
            <w:tcMar>
              <w:left w:w="0" w:type="dxa"/>
            </w:tcMar>
          </w:tcPr>
          <w:p w14:paraId="032C8694" w14:textId="77777777" w:rsidR="00144108" w:rsidRDefault="00144108" w:rsidP="008E039E">
            <w:pPr>
              <w:spacing w:after="200"/>
              <w:rPr>
                <w:spacing w:val="-2"/>
              </w:rPr>
            </w:pPr>
            <w:r w:rsidRPr="008B14C3">
              <w:rPr>
                <w:color w:val="0D0D0D" w:themeColor="text1" w:themeTint="F2"/>
                <w:spacing w:val="-2"/>
              </w:rPr>
              <w:t>Celkové příjmy</w:t>
            </w:r>
            <w:r>
              <w:rPr>
                <w:color w:val="0D0D0D" w:themeColor="text1" w:themeTint="F2"/>
                <w:spacing w:val="-2"/>
              </w:rPr>
              <w:t> </w:t>
            </w:r>
            <w:r>
              <w:rPr>
                <w:spacing w:val="-2"/>
              </w:rPr>
              <w:t>SR loni meziročně vzrostl</w:t>
            </w:r>
            <w:r w:rsidRPr="009B277E">
              <w:rPr>
                <w:spacing w:val="-2"/>
              </w:rPr>
              <w:t>y</w:t>
            </w:r>
            <w:r>
              <w:rPr>
                <w:spacing w:val="-2"/>
              </w:rPr>
              <w:t xml:space="preserve"> o 0,8 % (+11,8</w:t>
            </w:r>
            <w:r w:rsidRPr="009B277E">
              <w:rPr>
                <w:spacing w:val="-2"/>
              </w:rPr>
              <w:t> mld. korun).</w:t>
            </w:r>
            <w:r>
              <w:rPr>
                <w:spacing w:val="-2"/>
              </w:rPr>
              <w:t xml:space="preserve"> Mírné navýšení zde souviselo s vyššími daňovými příjmy (včetně pojistného), protože nedaňové i kapitálové příjmy a přijaté transfery úrovně roku 2020 nedosáhly. V posílení daňových příjmů (+35,4 mld. korun) se odrážela zejména nízká srovnávací základna, neboť ve 2. čtvrtletí 2020 došlo k mimořádnému odkladu zákonných termínů splatnosti váhově významných daní i pojistného na sociální zabezpečení (SZ). V příjmech SR za rok 2021 se </w:t>
            </w:r>
            <w:r w:rsidRPr="005E144F">
              <w:rPr>
                <w:color w:val="0D0D0D" w:themeColor="text1" w:themeTint="F2"/>
                <w:spacing w:val="-2"/>
              </w:rPr>
              <w:t xml:space="preserve">negativně </w:t>
            </w:r>
            <w:r>
              <w:rPr>
                <w:color w:val="0D0D0D" w:themeColor="text1" w:themeTint="F2"/>
                <w:spacing w:val="-2"/>
              </w:rPr>
              <w:t xml:space="preserve">projevilo </w:t>
            </w:r>
            <w:r>
              <w:rPr>
                <w:spacing w:val="-2"/>
              </w:rPr>
              <w:t>snížení</w:t>
            </w:r>
            <w:r w:rsidRPr="009B277E">
              <w:rPr>
                <w:spacing w:val="-2"/>
              </w:rPr>
              <w:t xml:space="preserve"> daňového zatížení práce</w:t>
            </w:r>
            <w:r>
              <w:rPr>
                <w:spacing w:val="-2"/>
              </w:rPr>
              <w:t xml:space="preserve"> i majetku a také změna rozpočtového určení daní </w:t>
            </w:r>
            <w:r w:rsidRPr="009B277E">
              <w:rPr>
                <w:spacing w:val="-2"/>
              </w:rPr>
              <w:t>ve prospěch</w:t>
            </w:r>
            <w:r w:rsidRPr="00641DA4">
              <w:rPr>
                <w:color w:val="0D0D0D" w:themeColor="text1" w:themeTint="F2"/>
                <w:spacing w:val="-2"/>
              </w:rPr>
              <w:t xml:space="preserve"> územních rozpočtů</w:t>
            </w:r>
            <w:r w:rsidRPr="00641DA4">
              <w:rPr>
                <w:rStyle w:val="Znakapoznpodarou"/>
                <w:color w:val="0D0D0D" w:themeColor="text1" w:themeTint="F2"/>
                <w:spacing w:val="-2"/>
              </w:rPr>
              <w:footnoteReference w:id="81"/>
            </w:r>
            <w:r w:rsidRPr="00641DA4">
              <w:rPr>
                <w:color w:val="0D0D0D" w:themeColor="text1" w:themeTint="F2"/>
                <w:spacing w:val="-2"/>
              </w:rPr>
              <w:t>. Souhrnný celostátní výběr daní (bez pojistného na</w:t>
            </w:r>
            <w:r>
              <w:rPr>
                <w:color w:val="0D0D0D" w:themeColor="text1" w:themeTint="F2"/>
                <w:spacing w:val="-2"/>
              </w:rPr>
              <w:t> </w:t>
            </w:r>
            <w:r w:rsidRPr="00641DA4">
              <w:rPr>
                <w:color w:val="0D0D0D" w:themeColor="text1" w:themeTint="F2"/>
                <w:spacing w:val="-2"/>
              </w:rPr>
              <w:t xml:space="preserve">SZ) na úrovni </w:t>
            </w:r>
            <w:r>
              <w:rPr>
                <w:spacing w:val="-2"/>
              </w:rPr>
              <w:t>všech veřejných rozpočtů sice</w:t>
            </w:r>
            <w:r w:rsidRPr="009B277E">
              <w:rPr>
                <w:spacing w:val="-2"/>
              </w:rPr>
              <w:t xml:space="preserve"> </w:t>
            </w:r>
            <w:r>
              <w:rPr>
                <w:spacing w:val="-2"/>
              </w:rPr>
              <w:t xml:space="preserve">vloni meziročně posílil o 1,2 %, za úrovní z roku 2019 ovšem stále zaostával (o 4,2 %). V průběhu loňského roku se ale výběr postupně zlepšoval. </w:t>
            </w:r>
            <w:r>
              <w:t>O</w:t>
            </w:r>
            <w:r w:rsidRPr="00FD41BE">
              <w:t xml:space="preserve">živení </w:t>
            </w:r>
            <w:r>
              <w:t>ekonomiky výrazně nenarušila ani podzimní pandemická vlna, která již nebyla doprovázena významnějším omezením ekonomické aktivity ve službách.</w:t>
            </w:r>
            <w:r w:rsidRPr="00641DA4">
              <w:rPr>
                <w:color w:val="0D0D0D" w:themeColor="text1" w:themeTint="F2"/>
                <w:spacing w:val="-2"/>
              </w:rPr>
              <w:t xml:space="preserve"> </w:t>
            </w:r>
            <w:r>
              <w:rPr>
                <w:color w:val="0D0D0D" w:themeColor="text1" w:themeTint="F2"/>
                <w:spacing w:val="-2"/>
              </w:rPr>
              <w:t>C</w:t>
            </w:r>
            <w:r w:rsidRPr="00641DA4">
              <w:rPr>
                <w:color w:val="0D0D0D" w:themeColor="text1" w:themeTint="F2"/>
                <w:spacing w:val="-2"/>
              </w:rPr>
              <w:t>elostátní výběr daní</w:t>
            </w:r>
            <w:r>
              <w:rPr>
                <w:color w:val="0D0D0D" w:themeColor="text1" w:themeTint="F2"/>
                <w:spacing w:val="-2"/>
              </w:rPr>
              <w:t xml:space="preserve"> tak ve </w:t>
            </w:r>
            <w:r>
              <w:rPr>
                <w:spacing w:val="-2"/>
              </w:rPr>
              <w:t>3. čtvrtletí za shodným obdobím roku 2019 zaostal již jen o 0,7 % a ve 4. čtvrtletí byl s touto úrovní srovnatelný.</w:t>
            </w:r>
          </w:p>
        </w:tc>
      </w:tr>
      <w:tr w:rsidR="00144108" w:rsidRPr="003C07E6" w14:paraId="30D0A5B3" w14:textId="77777777" w:rsidTr="008E039E">
        <w:trPr>
          <w:trHeight w:val="145"/>
        </w:trPr>
        <w:tc>
          <w:tcPr>
            <w:tcW w:w="1732" w:type="dxa"/>
            <w:shd w:val="clear" w:color="auto" w:fill="auto"/>
            <w:tcMar>
              <w:left w:w="0" w:type="dxa"/>
            </w:tcMar>
          </w:tcPr>
          <w:p w14:paraId="7C0DC38E" w14:textId="77777777" w:rsidR="00144108" w:rsidRPr="00D033C0" w:rsidRDefault="00144108" w:rsidP="008E039E">
            <w:pPr>
              <w:pStyle w:val="Marginlie"/>
              <w:rPr>
                <w:spacing w:val="-3"/>
              </w:rPr>
            </w:pPr>
            <w:r>
              <w:rPr>
                <w:spacing w:val="-3"/>
              </w:rPr>
              <w:t>Rostoucí výběr DPH odrážel dopad rychlého oživení soukromé spotřeby i akceleraci cen v ekonomice.</w:t>
            </w:r>
          </w:p>
        </w:tc>
        <w:tc>
          <w:tcPr>
            <w:tcW w:w="217" w:type="dxa"/>
            <w:shd w:val="clear" w:color="auto" w:fill="auto"/>
            <w:tcMar>
              <w:left w:w="0" w:type="dxa"/>
            </w:tcMar>
          </w:tcPr>
          <w:p w14:paraId="37141BB8" w14:textId="77777777" w:rsidR="00144108" w:rsidRDefault="00144108" w:rsidP="008E039E">
            <w:pPr>
              <w:pStyle w:val="Textpoznpodarou"/>
              <w:jc w:val="both"/>
              <w:rPr>
                <w:spacing w:val="-4"/>
              </w:rPr>
            </w:pPr>
          </w:p>
        </w:tc>
        <w:tc>
          <w:tcPr>
            <w:tcW w:w="7720" w:type="dxa"/>
            <w:shd w:val="clear" w:color="auto" w:fill="auto"/>
            <w:tcMar>
              <w:left w:w="0" w:type="dxa"/>
            </w:tcMar>
          </w:tcPr>
          <w:p w14:paraId="19782282" w14:textId="77777777" w:rsidR="00144108" w:rsidRPr="00144108" w:rsidRDefault="00144108" w:rsidP="008E039E">
            <w:pPr>
              <w:spacing w:after="200"/>
              <w:rPr>
                <w:spacing w:val="-5"/>
              </w:rPr>
            </w:pPr>
            <w:r w:rsidRPr="00144108">
              <w:rPr>
                <w:spacing w:val="-5"/>
              </w:rPr>
              <w:t>Z DPH, jež tradičně představuje váhově výrazně dominantní daň, plynulo loni do SR meziročně o 3,7 % (+10,7 mld. korun) více. Na úrovni všech veřejných rozpočtů posílilo inkaso o 8,7 % (za dva roky o 7,4 %). Efekt rychlého oživení soukromé spotřeby (podpořené svižným růstem objemu vyplacených mezd i platů v ekonomice) zastínil dopad snížení sazeb této daně u některých služeb</w:t>
            </w:r>
            <w:r w:rsidRPr="00144108">
              <w:rPr>
                <w:rStyle w:val="Znakapoznpodarou"/>
                <w:spacing w:val="-5"/>
              </w:rPr>
              <w:footnoteReference w:id="82"/>
            </w:r>
            <w:r w:rsidRPr="00144108">
              <w:rPr>
                <w:spacing w:val="-5"/>
              </w:rPr>
              <w:t>. Zejména na sklonku loňského roku se ve vyšším výběru daně stále více odrážel akcelerující cenový růst prostupující celou ekonomiku. Celostátní výběr DPH tak v listopadu i prosinci převýšil odpovídající úroveň z roku 2019 o více než 15 %.</w:t>
            </w:r>
          </w:p>
        </w:tc>
      </w:tr>
      <w:tr w:rsidR="00144108" w:rsidRPr="003C07E6" w14:paraId="3739E974" w14:textId="77777777" w:rsidTr="008E039E">
        <w:trPr>
          <w:trHeight w:val="145"/>
        </w:trPr>
        <w:tc>
          <w:tcPr>
            <w:tcW w:w="1732" w:type="dxa"/>
            <w:shd w:val="clear" w:color="auto" w:fill="auto"/>
            <w:tcMar>
              <w:left w:w="0" w:type="dxa"/>
            </w:tcMar>
          </w:tcPr>
          <w:p w14:paraId="4F71A103" w14:textId="77777777" w:rsidR="00144108" w:rsidRPr="00D033C0" w:rsidRDefault="00144108" w:rsidP="008E039E">
            <w:pPr>
              <w:pStyle w:val="Marginlie"/>
              <w:rPr>
                <w:spacing w:val="-3"/>
              </w:rPr>
            </w:pPr>
            <w:r>
              <w:rPr>
                <w:spacing w:val="-3"/>
              </w:rPr>
              <w:t>Inkaso spotřební daně z minerálních olejů i tabáku meziročně kleslo a rozpočtové očekávání nenaplnilo.</w:t>
            </w:r>
          </w:p>
        </w:tc>
        <w:tc>
          <w:tcPr>
            <w:tcW w:w="217" w:type="dxa"/>
            <w:shd w:val="clear" w:color="auto" w:fill="auto"/>
            <w:tcMar>
              <w:left w:w="0" w:type="dxa"/>
            </w:tcMar>
          </w:tcPr>
          <w:p w14:paraId="553AD9E3" w14:textId="77777777" w:rsidR="00144108" w:rsidRDefault="00144108" w:rsidP="008E039E">
            <w:pPr>
              <w:pStyle w:val="Textpoznpodarou"/>
              <w:jc w:val="both"/>
              <w:rPr>
                <w:spacing w:val="-4"/>
              </w:rPr>
            </w:pPr>
          </w:p>
        </w:tc>
        <w:tc>
          <w:tcPr>
            <w:tcW w:w="7720" w:type="dxa"/>
            <w:shd w:val="clear" w:color="auto" w:fill="auto"/>
            <w:tcMar>
              <w:left w:w="0" w:type="dxa"/>
            </w:tcMar>
          </w:tcPr>
          <w:p w14:paraId="4DC5C596" w14:textId="77777777" w:rsidR="00144108" w:rsidRPr="009B277E" w:rsidRDefault="00144108" w:rsidP="00144108">
            <w:pPr>
              <w:spacing w:after="0"/>
              <w:rPr>
                <w:spacing w:val="-2"/>
              </w:rPr>
            </w:pPr>
            <w:r>
              <w:rPr>
                <w:color w:val="0D0D0D" w:themeColor="text1" w:themeTint="F2"/>
                <w:spacing w:val="-5"/>
              </w:rPr>
              <w:t>P</w:t>
            </w:r>
            <w:r w:rsidRPr="00460F0F">
              <w:rPr>
                <w:color w:val="0D0D0D" w:themeColor="text1" w:themeTint="F2"/>
                <w:spacing w:val="-5"/>
              </w:rPr>
              <w:t>říjmy</w:t>
            </w:r>
            <w:r>
              <w:rPr>
                <w:color w:val="0D0D0D" w:themeColor="text1" w:themeTint="F2"/>
                <w:spacing w:val="-5"/>
              </w:rPr>
              <w:t> </w:t>
            </w:r>
            <w:r w:rsidRPr="0059184C">
              <w:rPr>
                <w:color w:val="0D0D0D" w:themeColor="text1" w:themeTint="F2"/>
                <w:spacing w:val="-5"/>
              </w:rPr>
              <w:t xml:space="preserve">SR ze </w:t>
            </w:r>
            <w:r>
              <w:rPr>
                <w:color w:val="0D0D0D" w:themeColor="text1" w:themeTint="F2"/>
                <w:spacing w:val="-5"/>
              </w:rPr>
              <w:t xml:space="preserve">všech </w:t>
            </w:r>
            <w:r w:rsidRPr="0059184C">
              <w:rPr>
                <w:color w:val="0D0D0D" w:themeColor="text1" w:themeTint="F2"/>
                <w:spacing w:val="-5"/>
              </w:rPr>
              <w:t>spotřebních daní</w:t>
            </w:r>
            <w:r w:rsidRPr="0059184C">
              <w:rPr>
                <w:color w:val="0D0D0D" w:themeColor="text1" w:themeTint="F2"/>
                <w:spacing w:val="-4"/>
              </w:rPr>
              <w:t xml:space="preserve"> </w:t>
            </w:r>
            <w:r>
              <w:rPr>
                <w:color w:val="0D0D0D" w:themeColor="text1" w:themeTint="F2"/>
                <w:spacing w:val="-4"/>
              </w:rPr>
              <w:t>se loni meziročně snížily o rovná 3 % a mírně prohloubily svůj pokles z prvního roku pandemie. Vloni se nejvíce projevil nižší výběr daně z tabákových výrobků (</w:t>
            </w:r>
            <w:r>
              <w:rPr>
                <w:spacing w:val="-4"/>
              </w:rPr>
              <w:t>–</w:t>
            </w:r>
            <w:r>
              <w:rPr>
                <w:color w:val="0D0D0D" w:themeColor="text1" w:themeTint="F2"/>
                <w:spacing w:val="-4"/>
              </w:rPr>
              <w:t>5,5 %), a to navzdory tomu, že došlo k </w:t>
            </w:r>
            <w:r>
              <w:rPr>
                <w:spacing w:val="-4"/>
              </w:rPr>
              <w:t xml:space="preserve">10% navýšení </w:t>
            </w:r>
            <w:r>
              <w:rPr>
                <w:color w:val="0D0D0D" w:themeColor="text1" w:themeTint="F2"/>
                <w:spacing w:val="-5"/>
              </w:rPr>
              <w:t>daňové sazby. Naproti tomu u minerálních olejů měl pokles daňové sazby (o 1 korunu u motorové nafty) viditelný dopad, neboť bez něj by výběr daně vzrostl</w:t>
            </w:r>
            <w:r>
              <w:rPr>
                <w:rStyle w:val="Znakapoznpodarou"/>
                <w:color w:val="0D0D0D" w:themeColor="text1" w:themeTint="F2"/>
                <w:spacing w:val="-5"/>
              </w:rPr>
              <w:footnoteReference w:id="83"/>
            </w:r>
            <w:r>
              <w:rPr>
                <w:color w:val="0D0D0D" w:themeColor="text1" w:themeTint="F2"/>
                <w:spacing w:val="-5"/>
              </w:rPr>
              <w:t>, což naznačují i (zatím neúplné) údaje o</w:t>
            </w:r>
            <w:r w:rsidRPr="009B7F92">
              <w:rPr>
                <w:spacing w:val="-4"/>
              </w:rPr>
              <w:t> </w:t>
            </w:r>
            <w:r>
              <w:rPr>
                <w:color w:val="0D0D0D" w:themeColor="text1" w:themeTint="F2"/>
                <w:spacing w:val="-5"/>
              </w:rPr>
              <w:t>spotřebě ropných produktů</w:t>
            </w:r>
            <w:r>
              <w:rPr>
                <w:rStyle w:val="Znakapoznpodarou"/>
                <w:spacing w:val="-4"/>
              </w:rPr>
              <w:footnoteReference w:id="84"/>
            </w:r>
            <w:r>
              <w:rPr>
                <w:spacing w:val="-4"/>
              </w:rPr>
              <w:t>. Ve 4. čtvrtletí již bylo inkaso této daně meziročně vyšší (+5,1 %), avšak za úrovní z předpandemického roku stále lehce zaostávalo. Navzdory oživení na konci loňského roku zůstalo inkaso obou výše uvedených spotřebních daní, na rozdíl od všech ostatních váhově významnějších daní, za rozpočtovým očekáváním.</w:t>
            </w:r>
          </w:p>
        </w:tc>
      </w:tr>
      <w:tr w:rsidR="00144108" w:rsidRPr="003C07E6" w14:paraId="3B8C0163" w14:textId="77777777" w:rsidTr="008E039E">
        <w:trPr>
          <w:trHeight w:val="145"/>
        </w:trPr>
        <w:tc>
          <w:tcPr>
            <w:tcW w:w="1732" w:type="dxa"/>
            <w:shd w:val="clear" w:color="auto" w:fill="auto"/>
            <w:tcMar>
              <w:left w:w="0" w:type="dxa"/>
            </w:tcMar>
          </w:tcPr>
          <w:p w14:paraId="43BDD870" w14:textId="77777777" w:rsidR="00144108" w:rsidRDefault="00144108" w:rsidP="008E039E">
            <w:pPr>
              <w:pStyle w:val="Marginlie"/>
            </w:pPr>
            <w:r>
              <w:lastRenderedPageBreak/>
              <w:t>Výběr spotřební daně z lihu rostl, z piva klesal.</w:t>
            </w:r>
          </w:p>
        </w:tc>
        <w:tc>
          <w:tcPr>
            <w:tcW w:w="217" w:type="dxa"/>
            <w:shd w:val="clear" w:color="auto" w:fill="auto"/>
            <w:tcMar>
              <w:left w:w="0" w:type="dxa"/>
            </w:tcMar>
          </w:tcPr>
          <w:p w14:paraId="65251D99" w14:textId="77777777" w:rsidR="00144108" w:rsidRDefault="00144108" w:rsidP="008E039E">
            <w:pPr>
              <w:pStyle w:val="Textpoznpodarou"/>
              <w:jc w:val="both"/>
              <w:rPr>
                <w:spacing w:val="-4"/>
              </w:rPr>
            </w:pPr>
          </w:p>
        </w:tc>
        <w:tc>
          <w:tcPr>
            <w:tcW w:w="7720" w:type="dxa"/>
            <w:shd w:val="clear" w:color="auto" w:fill="auto"/>
            <w:tcMar>
              <w:left w:w="0" w:type="dxa"/>
            </w:tcMar>
          </w:tcPr>
          <w:p w14:paraId="5BED5969" w14:textId="77777777" w:rsidR="00144108" w:rsidRPr="00095212" w:rsidRDefault="00144108" w:rsidP="008E039E">
            <w:pPr>
              <w:spacing w:after="200"/>
              <w:rPr>
                <w:color w:val="0D0D0D" w:themeColor="text1" w:themeTint="F2"/>
                <w:spacing w:val="-2"/>
              </w:rPr>
            </w:pPr>
            <w:r w:rsidRPr="00095212">
              <w:rPr>
                <w:color w:val="0D0D0D" w:themeColor="text1" w:themeTint="F2"/>
                <w:spacing w:val="-2"/>
              </w:rPr>
              <w:t>Inkaso ostatních, váhově méně významných spotřebních daní meziročně mírně rostlo, a</w:t>
            </w:r>
            <w:r>
              <w:rPr>
                <w:color w:val="0D0D0D" w:themeColor="text1" w:themeTint="F2"/>
                <w:spacing w:val="-2"/>
              </w:rPr>
              <w:t> </w:t>
            </w:r>
            <w:r w:rsidRPr="00095212">
              <w:rPr>
                <w:color w:val="0D0D0D" w:themeColor="text1" w:themeTint="F2"/>
                <w:spacing w:val="-2"/>
              </w:rPr>
              <w:t>to především vlivem nově zavedené daně z digitálních služeb a</w:t>
            </w:r>
            <w:r>
              <w:rPr>
                <w:color w:val="0D0D0D" w:themeColor="text1" w:themeTint="F2"/>
                <w:spacing w:val="-2"/>
              </w:rPr>
              <w:t> </w:t>
            </w:r>
            <w:r w:rsidRPr="00095212">
              <w:rPr>
                <w:color w:val="0D0D0D" w:themeColor="text1" w:themeTint="F2"/>
                <w:spacing w:val="-2"/>
              </w:rPr>
              <w:t>vyššího výběru daně z lihu (i</w:t>
            </w:r>
            <w:r w:rsidRPr="00095212">
              <w:rPr>
                <w:spacing w:val="-2"/>
              </w:rPr>
              <w:t> </w:t>
            </w:r>
            <w:r w:rsidRPr="00095212">
              <w:rPr>
                <w:color w:val="0D0D0D" w:themeColor="text1" w:themeTint="F2"/>
                <w:spacing w:val="-2"/>
              </w:rPr>
              <w:t>díky zvýšené sazbě). Klesl naopak výběr u daně z piva (o 5,5 %), neboť některá administrativní opatření mající vliv na návštěvnost restauračních zařízení i</w:t>
            </w:r>
            <w:r>
              <w:rPr>
                <w:color w:val="0D0D0D" w:themeColor="text1" w:themeTint="F2"/>
                <w:spacing w:val="-2"/>
              </w:rPr>
              <w:t> </w:t>
            </w:r>
            <w:r w:rsidRPr="00095212">
              <w:rPr>
                <w:color w:val="0D0D0D" w:themeColor="text1" w:themeTint="F2"/>
                <w:spacing w:val="-2"/>
              </w:rPr>
              <w:t>příjezdový cestovní ruch byla v platnosti i</w:t>
            </w:r>
            <w:r>
              <w:rPr>
                <w:color w:val="0D0D0D" w:themeColor="text1" w:themeTint="F2"/>
                <w:spacing w:val="-2"/>
              </w:rPr>
              <w:t> </w:t>
            </w:r>
            <w:r w:rsidRPr="00095212">
              <w:rPr>
                <w:color w:val="0D0D0D" w:themeColor="text1" w:themeTint="F2"/>
                <w:spacing w:val="-2"/>
              </w:rPr>
              <w:t>v posledních měsících roku 2021.</w:t>
            </w:r>
          </w:p>
        </w:tc>
      </w:tr>
      <w:tr w:rsidR="00144108" w:rsidRPr="003C07E6" w14:paraId="447615D6" w14:textId="77777777" w:rsidTr="008E039E">
        <w:trPr>
          <w:trHeight w:val="145"/>
        </w:trPr>
        <w:tc>
          <w:tcPr>
            <w:tcW w:w="1732" w:type="dxa"/>
            <w:shd w:val="clear" w:color="auto" w:fill="auto"/>
            <w:tcMar>
              <w:left w:w="0" w:type="dxa"/>
            </w:tcMar>
          </w:tcPr>
          <w:p w14:paraId="051E108E" w14:textId="77777777" w:rsidR="00144108" w:rsidRDefault="00144108" w:rsidP="008E039E">
            <w:pPr>
              <w:pStyle w:val="Marginlie"/>
            </w:pPr>
            <w:r>
              <w:t>Svižný růst výběru korporátní daně byl výrazně ovlivněn přesunutím části plateb z roku 2020 do roku 2021.</w:t>
            </w:r>
          </w:p>
        </w:tc>
        <w:tc>
          <w:tcPr>
            <w:tcW w:w="217" w:type="dxa"/>
            <w:shd w:val="clear" w:color="auto" w:fill="auto"/>
            <w:tcMar>
              <w:left w:w="0" w:type="dxa"/>
            </w:tcMar>
          </w:tcPr>
          <w:p w14:paraId="6D6DC60A" w14:textId="77777777" w:rsidR="00144108" w:rsidRDefault="00144108" w:rsidP="008E039E">
            <w:pPr>
              <w:pStyle w:val="Textpoznpodarou"/>
              <w:jc w:val="both"/>
              <w:rPr>
                <w:spacing w:val="-4"/>
              </w:rPr>
            </w:pPr>
          </w:p>
        </w:tc>
        <w:tc>
          <w:tcPr>
            <w:tcW w:w="7720" w:type="dxa"/>
            <w:shd w:val="clear" w:color="auto" w:fill="auto"/>
            <w:tcMar>
              <w:left w:w="0" w:type="dxa"/>
            </w:tcMar>
          </w:tcPr>
          <w:p w14:paraId="27535F27" w14:textId="77777777" w:rsidR="00144108" w:rsidRPr="00D4578E" w:rsidRDefault="00144108" w:rsidP="008E039E">
            <w:pPr>
              <w:spacing w:after="200"/>
              <w:rPr>
                <w:spacing w:val="-4"/>
              </w:rPr>
            </w:pPr>
            <w:r w:rsidRPr="00BA5FE7">
              <w:rPr>
                <w:color w:val="0D0D0D" w:themeColor="text1" w:themeTint="F2"/>
                <w:spacing w:val="-5"/>
              </w:rPr>
              <w:t xml:space="preserve">Na korporátní dani </w:t>
            </w:r>
            <w:r>
              <w:rPr>
                <w:spacing w:val="-5"/>
              </w:rPr>
              <w:t>získal SR loni</w:t>
            </w:r>
            <w:r w:rsidRPr="00A66749">
              <w:rPr>
                <w:spacing w:val="-5"/>
              </w:rPr>
              <w:t xml:space="preserve"> o</w:t>
            </w:r>
            <w:r>
              <w:rPr>
                <w:spacing w:val="-5"/>
              </w:rPr>
              <w:t> 19 % (20,8 mld.</w:t>
            </w:r>
            <w:r w:rsidRPr="00A66749">
              <w:rPr>
                <w:spacing w:val="-5"/>
              </w:rPr>
              <w:t xml:space="preserve"> korun) více</w:t>
            </w:r>
            <w:r>
              <w:rPr>
                <w:spacing w:val="-5"/>
              </w:rPr>
              <w:t>. Společně s vyšším inkasem pojistného na SZ (+55 mld.) šlo o položky, které přispěly k růstu celkových příjmů SR nejvíce. Svižný růst výběru korporátní daně byl výrazně ovlivněn přesunutím části plateb z roku 2020 do následujícího roku</w:t>
            </w:r>
            <w:r>
              <w:rPr>
                <w:rStyle w:val="Znakapoznpodarou"/>
                <w:spacing w:val="-5"/>
              </w:rPr>
              <w:footnoteReference w:id="85"/>
            </w:r>
            <w:r>
              <w:rPr>
                <w:spacing w:val="-5"/>
              </w:rPr>
              <w:t xml:space="preserve">. Inkaso této daně v obou pandemických letech negativně ovlivňovaly </w:t>
            </w:r>
            <w:r w:rsidRPr="00A66749">
              <w:rPr>
                <w:spacing w:val="-5"/>
              </w:rPr>
              <w:t>individuální žádost</w:t>
            </w:r>
            <w:r>
              <w:rPr>
                <w:spacing w:val="-5"/>
              </w:rPr>
              <w:t>i</w:t>
            </w:r>
            <w:r w:rsidRPr="00A66749">
              <w:rPr>
                <w:spacing w:val="-5"/>
              </w:rPr>
              <w:t xml:space="preserve"> firem o</w:t>
            </w:r>
            <w:r>
              <w:rPr>
                <w:spacing w:val="-5"/>
              </w:rPr>
              <w:t> úpravu záloh</w:t>
            </w:r>
            <w:r w:rsidRPr="00A66749">
              <w:rPr>
                <w:rStyle w:val="Znakapoznpodarou"/>
                <w:spacing w:val="-5"/>
              </w:rPr>
              <w:footnoteReference w:id="86"/>
            </w:r>
            <w:r>
              <w:rPr>
                <w:spacing w:val="-5"/>
              </w:rPr>
              <w:t>. Relativně nezkreslený obraz podává srovnání celostátního výběru korporátní daně (na úrovni všech veřejných rozpočtů) za 2. pololetí 2021 se stejným obdobím roku 2019 (+6,2 %).</w:t>
            </w:r>
          </w:p>
        </w:tc>
      </w:tr>
      <w:tr w:rsidR="00144108" w:rsidRPr="003C07E6" w14:paraId="200B754B" w14:textId="77777777" w:rsidTr="008E039E">
        <w:trPr>
          <w:trHeight w:val="145"/>
        </w:trPr>
        <w:tc>
          <w:tcPr>
            <w:tcW w:w="1732" w:type="dxa"/>
            <w:shd w:val="clear" w:color="auto" w:fill="auto"/>
            <w:tcMar>
              <w:left w:w="0" w:type="dxa"/>
            </w:tcMar>
          </w:tcPr>
          <w:p w14:paraId="01309534" w14:textId="77777777" w:rsidR="00144108" w:rsidRDefault="00144108" w:rsidP="008E039E">
            <w:pPr>
              <w:pStyle w:val="Marginlie"/>
            </w:pPr>
            <w:r>
              <w:t>Mimořádný rozpočtový propad u daně z příjmů fyzických osob šel zcela na vrub zákonným úpravám.</w:t>
            </w:r>
          </w:p>
        </w:tc>
        <w:tc>
          <w:tcPr>
            <w:tcW w:w="217" w:type="dxa"/>
            <w:shd w:val="clear" w:color="auto" w:fill="auto"/>
            <w:tcMar>
              <w:left w:w="0" w:type="dxa"/>
            </w:tcMar>
          </w:tcPr>
          <w:p w14:paraId="3FD892EE" w14:textId="77777777" w:rsidR="00144108" w:rsidRDefault="00144108" w:rsidP="008E039E">
            <w:pPr>
              <w:pStyle w:val="Textpoznpodarou"/>
              <w:jc w:val="both"/>
              <w:rPr>
                <w:spacing w:val="-4"/>
              </w:rPr>
            </w:pPr>
          </w:p>
        </w:tc>
        <w:tc>
          <w:tcPr>
            <w:tcW w:w="7720" w:type="dxa"/>
            <w:shd w:val="clear" w:color="auto" w:fill="auto"/>
            <w:tcMar>
              <w:left w:w="0" w:type="dxa"/>
            </w:tcMar>
          </w:tcPr>
          <w:p w14:paraId="72898049" w14:textId="77777777" w:rsidR="00144108" w:rsidRPr="00460F0F" w:rsidRDefault="00144108" w:rsidP="008E039E">
            <w:pPr>
              <w:spacing w:after="200"/>
              <w:rPr>
                <w:color w:val="0D0D0D" w:themeColor="text1" w:themeTint="F2"/>
                <w:spacing w:val="-5"/>
              </w:rPr>
            </w:pPr>
            <w:r>
              <w:rPr>
                <w:color w:val="0D0D0D" w:themeColor="text1" w:themeTint="F2"/>
                <w:spacing w:val="-5"/>
              </w:rPr>
              <w:t>V </w:t>
            </w:r>
            <w:r w:rsidRPr="00EA5553">
              <w:rPr>
                <w:spacing w:val="-5"/>
              </w:rPr>
              <w:t xml:space="preserve">mimořádném loňském </w:t>
            </w:r>
            <w:r>
              <w:rPr>
                <w:spacing w:val="-5"/>
              </w:rPr>
              <w:t>propadu příjmu SR z </w:t>
            </w:r>
            <w:r w:rsidRPr="00EA5553">
              <w:rPr>
                <w:spacing w:val="-5"/>
              </w:rPr>
              <w:t xml:space="preserve">daně </w:t>
            </w:r>
            <w:r>
              <w:rPr>
                <w:spacing w:val="-5"/>
              </w:rPr>
              <w:t xml:space="preserve">od </w:t>
            </w:r>
            <w:r w:rsidRPr="00EA5553">
              <w:rPr>
                <w:spacing w:val="-5"/>
              </w:rPr>
              <w:t>fyzických osob</w:t>
            </w:r>
            <w:r>
              <w:rPr>
                <w:spacing w:val="-5"/>
              </w:rPr>
              <w:t xml:space="preserve"> (o 29,2 %, resp. 45 mld. korun)</w:t>
            </w:r>
            <w:r>
              <w:rPr>
                <w:rStyle w:val="Znakapoznpodarou"/>
                <w:spacing w:val="-5"/>
              </w:rPr>
              <w:footnoteReference w:id="87"/>
            </w:r>
            <w:r>
              <w:rPr>
                <w:spacing w:val="-5"/>
              </w:rPr>
              <w:t xml:space="preserve"> se vedle změny rozpočtového určení daní nejvíce odráželo </w:t>
            </w:r>
            <w:r>
              <w:rPr>
                <w:spacing w:val="-4"/>
              </w:rPr>
              <w:t>s</w:t>
            </w:r>
            <w:r w:rsidRPr="0095443E">
              <w:rPr>
                <w:spacing w:val="-4"/>
              </w:rPr>
              <w:t>nížení daňového zatížení práce</w:t>
            </w:r>
            <w:r w:rsidRPr="00285F04">
              <w:rPr>
                <w:vertAlign w:val="superscript"/>
              </w:rPr>
              <w:footnoteReference w:id="88"/>
            </w:r>
            <w:r>
              <w:rPr>
                <w:spacing w:val="-4"/>
              </w:rPr>
              <w:t>. Na výši inkasa stále působily i záchranné programy (kompenzační bonusy – zejména OSVČ), jejich negativní rozpočtový dopad byl ale loni ve srovnání s rokem</w:t>
            </w:r>
            <w:r>
              <w:rPr>
                <w:spacing w:val="-5"/>
              </w:rPr>
              <w:t xml:space="preserve"> 2020</w:t>
            </w:r>
            <w:r>
              <w:rPr>
                <w:spacing w:val="-4"/>
              </w:rPr>
              <w:t xml:space="preserve"> slabší</w:t>
            </w:r>
            <w:r>
              <w:rPr>
                <w:rStyle w:val="Znakapoznpodarou"/>
                <w:spacing w:val="-4"/>
              </w:rPr>
              <w:footnoteReference w:id="89"/>
            </w:r>
            <w:r>
              <w:rPr>
                <w:spacing w:val="-4"/>
              </w:rPr>
              <w:t xml:space="preserve">. Propad inkasa byl tlumen </w:t>
            </w:r>
            <w:r w:rsidRPr="00CF0E31">
              <w:rPr>
                <w:spacing w:val="-6"/>
              </w:rPr>
              <w:t>rostoucí zaměstnaností, dalším navyšováním minimální mzdy, jakož i</w:t>
            </w:r>
            <w:r>
              <w:rPr>
                <w:spacing w:val="-6"/>
              </w:rPr>
              <w:t xml:space="preserve"> jarní </w:t>
            </w:r>
            <w:r w:rsidRPr="00CF0E31">
              <w:rPr>
                <w:spacing w:val="-6"/>
              </w:rPr>
              <w:t>výplatou mimořádných odměn pracovníkům veřejného sektoru stojící</w:t>
            </w:r>
            <w:r>
              <w:rPr>
                <w:spacing w:val="-6"/>
              </w:rPr>
              <w:t>m</w:t>
            </w:r>
            <w:r w:rsidRPr="00CF0E31">
              <w:rPr>
                <w:spacing w:val="-6"/>
              </w:rPr>
              <w:t xml:space="preserve"> v první linii </w:t>
            </w:r>
            <w:r>
              <w:rPr>
                <w:spacing w:val="-6"/>
              </w:rPr>
              <w:t>boje</w:t>
            </w:r>
            <w:r w:rsidRPr="00CF0E31">
              <w:rPr>
                <w:spacing w:val="-6"/>
              </w:rPr>
              <w:t xml:space="preserve"> proti pandemii.</w:t>
            </w:r>
          </w:p>
        </w:tc>
      </w:tr>
      <w:tr w:rsidR="00144108" w:rsidRPr="00F704D2" w14:paraId="43FED60F" w14:textId="77777777" w:rsidTr="008E039E">
        <w:trPr>
          <w:trHeight w:val="170"/>
        </w:trPr>
        <w:tc>
          <w:tcPr>
            <w:tcW w:w="1732" w:type="dxa"/>
            <w:vMerge w:val="restart"/>
            <w:shd w:val="clear" w:color="auto" w:fill="auto"/>
            <w:tcMar>
              <w:left w:w="0" w:type="dxa"/>
            </w:tcMar>
          </w:tcPr>
          <w:p w14:paraId="729F92FD" w14:textId="77777777" w:rsidR="00144108" w:rsidRDefault="00144108" w:rsidP="008E039E">
            <w:pPr>
              <w:pStyle w:val="Marginlie"/>
            </w:pPr>
          </w:p>
        </w:tc>
        <w:tc>
          <w:tcPr>
            <w:tcW w:w="217" w:type="dxa"/>
            <w:vMerge w:val="restart"/>
            <w:shd w:val="clear" w:color="auto" w:fill="auto"/>
            <w:tcMar>
              <w:left w:w="0" w:type="dxa"/>
            </w:tcMar>
          </w:tcPr>
          <w:p w14:paraId="6ED6DE75" w14:textId="77777777" w:rsidR="00144108" w:rsidRDefault="00144108" w:rsidP="008E039E">
            <w:pPr>
              <w:pStyle w:val="Textpoznpodarou"/>
              <w:jc w:val="both"/>
              <w:rPr>
                <w:spacing w:val="-4"/>
              </w:rPr>
            </w:pPr>
          </w:p>
        </w:tc>
        <w:tc>
          <w:tcPr>
            <w:tcW w:w="7720" w:type="dxa"/>
            <w:shd w:val="clear" w:color="auto" w:fill="auto"/>
            <w:tcMar>
              <w:left w:w="0" w:type="dxa"/>
            </w:tcMar>
          </w:tcPr>
          <w:p w14:paraId="442113BB" w14:textId="2FA4E6C6" w:rsidR="00144108" w:rsidRPr="001C3794" w:rsidRDefault="001C3794" w:rsidP="00A02E8B">
            <w:pPr>
              <w:spacing w:after="0" w:line="240" w:lineRule="auto"/>
              <w:rPr>
                <w:rFonts w:cs="Arial"/>
                <w:bCs/>
              </w:rPr>
            </w:pPr>
            <w:r w:rsidRPr="001C3794">
              <w:rPr>
                <w:rFonts w:cs="Arial"/>
                <w:b/>
                <w:bCs/>
                <w:color w:val="000000"/>
                <w:szCs w:val="20"/>
              </w:rPr>
              <w:t>Graf č. 1</w:t>
            </w:r>
            <w:r w:rsidR="00A02E8B">
              <w:rPr>
                <w:rFonts w:cs="Arial"/>
                <w:b/>
                <w:bCs/>
                <w:color w:val="000000"/>
                <w:szCs w:val="20"/>
              </w:rPr>
              <w:t>8</w:t>
            </w:r>
            <w:r w:rsidR="00144108" w:rsidRPr="001C3794">
              <w:rPr>
                <w:rFonts w:cs="Arial"/>
                <w:b/>
                <w:bCs/>
                <w:color w:val="000000"/>
                <w:szCs w:val="20"/>
              </w:rPr>
              <w:t xml:space="preserve">  </w:t>
            </w:r>
            <w:r w:rsidR="00144108" w:rsidRPr="001C3794">
              <w:rPr>
                <w:rFonts w:cs="Arial"/>
                <w:b/>
                <w:bCs/>
              </w:rPr>
              <w:t xml:space="preserve">Celostátní inkasa vybraných daňových příjmů </w:t>
            </w:r>
            <w:r w:rsidR="00144108" w:rsidRPr="001C3794">
              <w:rPr>
                <w:rFonts w:cs="Arial"/>
                <w:bCs/>
              </w:rPr>
              <w:t>(</w:t>
            </w:r>
            <w:r w:rsidR="00144108" w:rsidRPr="001C3794">
              <w:t>meziročně</w:t>
            </w:r>
            <w:r>
              <w:rPr>
                <w:bCs/>
              </w:rPr>
              <w:t xml:space="preserve"> v %) </w:t>
            </w:r>
            <w:r w:rsidR="00144108" w:rsidRPr="001C3794">
              <w:rPr>
                <w:rFonts w:cs="Arial"/>
                <w:b/>
                <w:bCs/>
              </w:rPr>
              <w:t>a saldo státního rozpočtu</w:t>
            </w:r>
            <w:r w:rsidR="00144108" w:rsidRPr="001C3794">
              <w:t xml:space="preserve"> </w:t>
            </w:r>
            <w:r w:rsidR="00144108" w:rsidRPr="001C3794">
              <w:rPr>
                <w:rFonts w:cs="Arial"/>
                <w:bCs/>
              </w:rPr>
              <w:t>(v mld. korun)</w:t>
            </w:r>
          </w:p>
        </w:tc>
      </w:tr>
      <w:tr w:rsidR="00144108" w14:paraId="3939DF9F" w14:textId="77777777" w:rsidTr="008E039E">
        <w:tblPrEx>
          <w:tblCellMar>
            <w:left w:w="70" w:type="dxa"/>
            <w:right w:w="70" w:type="dxa"/>
          </w:tblCellMar>
        </w:tblPrEx>
        <w:trPr>
          <w:trHeight w:val="170"/>
        </w:trPr>
        <w:tc>
          <w:tcPr>
            <w:tcW w:w="1732" w:type="dxa"/>
            <w:vMerge/>
            <w:shd w:val="clear" w:color="auto" w:fill="auto"/>
          </w:tcPr>
          <w:p w14:paraId="2266D139" w14:textId="77777777" w:rsidR="00144108" w:rsidRDefault="00144108" w:rsidP="008E039E">
            <w:pPr>
              <w:pStyle w:val="Marginlie"/>
            </w:pPr>
          </w:p>
        </w:tc>
        <w:tc>
          <w:tcPr>
            <w:tcW w:w="217" w:type="dxa"/>
            <w:vMerge/>
            <w:shd w:val="clear" w:color="auto" w:fill="auto"/>
          </w:tcPr>
          <w:p w14:paraId="5D752E07" w14:textId="77777777" w:rsidR="00144108" w:rsidRDefault="00144108" w:rsidP="008E039E">
            <w:pPr>
              <w:pStyle w:val="Textpoznpodarou"/>
              <w:jc w:val="both"/>
              <w:rPr>
                <w:spacing w:val="-4"/>
              </w:rPr>
            </w:pPr>
          </w:p>
        </w:tc>
        <w:tc>
          <w:tcPr>
            <w:tcW w:w="7720" w:type="dxa"/>
            <w:shd w:val="clear" w:color="auto" w:fill="auto"/>
          </w:tcPr>
          <w:p w14:paraId="7373B6D4" w14:textId="77777777" w:rsidR="00144108" w:rsidRPr="0067514E" w:rsidRDefault="00144108" w:rsidP="008E039E">
            <w:pPr>
              <w:spacing w:after="0"/>
              <w:rPr>
                <w:spacing w:val="-6"/>
              </w:rPr>
            </w:pPr>
            <w:r>
              <w:rPr>
                <w:noProof/>
              </w:rPr>
              <w:drawing>
                <wp:inline distT="0" distB="0" distL="0" distR="0" wp14:anchorId="77526364" wp14:editId="6CC68820">
                  <wp:extent cx="4734415" cy="3577091"/>
                  <wp:effectExtent l="0" t="0" r="0" b="4445"/>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144108" w:rsidRPr="007B3A78" w14:paraId="2B2C05BA" w14:textId="77777777" w:rsidTr="008E039E">
        <w:trPr>
          <w:trHeight w:val="170"/>
        </w:trPr>
        <w:tc>
          <w:tcPr>
            <w:tcW w:w="1732" w:type="dxa"/>
            <w:vMerge/>
            <w:shd w:val="clear" w:color="auto" w:fill="auto"/>
            <w:tcMar>
              <w:left w:w="0" w:type="dxa"/>
            </w:tcMar>
          </w:tcPr>
          <w:p w14:paraId="7C44B34B" w14:textId="77777777" w:rsidR="00144108" w:rsidRDefault="00144108" w:rsidP="008E039E">
            <w:pPr>
              <w:pStyle w:val="Marginlie"/>
            </w:pPr>
          </w:p>
        </w:tc>
        <w:tc>
          <w:tcPr>
            <w:tcW w:w="217" w:type="dxa"/>
            <w:vMerge/>
            <w:shd w:val="clear" w:color="auto" w:fill="auto"/>
            <w:tcMar>
              <w:left w:w="0" w:type="dxa"/>
            </w:tcMar>
          </w:tcPr>
          <w:p w14:paraId="729F50F5" w14:textId="77777777" w:rsidR="00144108" w:rsidRDefault="00144108" w:rsidP="008E039E">
            <w:pPr>
              <w:pStyle w:val="Textpoznpodarou"/>
              <w:jc w:val="both"/>
              <w:rPr>
                <w:spacing w:val="-4"/>
              </w:rPr>
            </w:pPr>
          </w:p>
        </w:tc>
        <w:tc>
          <w:tcPr>
            <w:tcW w:w="7720" w:type="dxa"/>
            <w:shd w:val="clear" w:color="auto" w:fill="auto"/>
            <w:tcMar>
              <w:left w:w="0" w:type="dxa"/>
            </w:tcMar>
          </w:tcPr>
          <w:p w14:paraId="64F1CC00" w14:textId="77777777" w:rsidR="00144108" w:rsidRPr="00A66749" w:rsidRDefault="00144108" w:rsidP="008E039E">
            <w:pPr>
              <w:tabs>
                <w:tab w:val="right" w:pos="7683"/>
              </w:tabs>
              <w:spacing w:after="180" w:line="240" w:lineRule="auto"/>
              <w:jc w:val="left"/>
              <w:rPr>
                <w:spacing w:val="-2"/>
                <w:sz w:val="14"/>
                <w:szCs w:val="14"/>
              </w:rPr>
            </w:pPr>
            <w:r w:rsidRPr="00A66749">
              <w:rPr>
                <w:spacing w:val="-2"/>
                <w:sz w:val="14"/>
                <w:szCs w:val="14"/>
              </w:rPr>
              <w:t>Zdroj: MF ČR</w:t>
            </w:r>
          </w:p>
        </w:tc>
      </w:tr>
      <w:tr w:rsidR="00144108" w:rsidRPr="008266F0" w14:paraId="5AB3DE73" w14:textId="77777777" w:rsidTr="008E039E">
        <w:trPr>
          <w:trHeight w:val="145"/>
        </w:trPr>
        <w:tc>
          <w:tcPr>
            <w:tcW w:w="1732" w:type="dxa"/>
            <w:shd w:val="clear" w:color="auto" w:fill="auto"/>
            <w:tcMar>
              <w:left w:w="0" w:type="dxa"/>
            </w:tcMar>
          </w:tcPr>
          <w:p w14:paraId="52E46F5C" w14:textId="77777777" w:rsidR="00144108" w:rsidRPr="00A87E3B" w:rsidRDefault="00144108" w:rsidP="008E039E">
            <w:pPr>
              <w:pStyle w:val="Marginlie"/>
              <w:rPr>
                <w:spacing w:val="-5"/>
              </w:rPr>
            </w:pPr>
            <w:r>
              <w:lastRenderedPageBreak/>
              <w:t>Meziroční růst příjmů z rozpočtu EU se v roce 2021 zastavil.</w:t>
            </w:r>
          </w:p>
        </w:tc>
        <w:tc>
          <w:tcPr>
            <w:tcW w:w="217" w:type="dxa"/>
            <w:shd w:val="clear" w:color="auto" w:fill="auto"/>
            <w:tcMar>
              <w:left w:w="0" w:type="dxa"/>
            </w:tcMar>
          </w:tcPr>
          <w:p w14:paraId="2090FE81" w14:textId="77777777" w:rsidR="00144108" w:rsidRDefault="00144108" w:rsidP="008E039E">
            <w:pPr>
              <w:pStyle w:val="Textpoznpodarou"/>
              <w:jc w:val="both"/>
              <w:rPr>
                <w:spacing w:val="-4"/>
              </w:rPr>
            </w:pPr>
          </w:p>
        </w:tc>
        <w:tc>
          <w:tcPr>
            <w:tcW w:w="7720" w:type="dxa"/>
            <w:shd w:val="clear" w:color="auto" w:fill="auto"/>
            <w:tcMar>
              <w:left w:w="0" w:type="dxa"/>
            </w:tcMar>
          </w:tcPr>
          <w:p w14:paraId="75806BC8" w14:textId="77777777" w:rsidR="00144108" w:rsidRDefault="00144108" w:rsidP="008E039E">
            <w:pPr>
              <w:spacing w:after="200"/>
              <w:rPr>
                <w:spacing w:val="-2"/>
              </w:rPr>
            </w:pPr>
            <w:r>
              <w:rPr>
                <w:color w:val="0D0D0D" w:themeColor="text1" w:themeTint="F2"/>
                <w:spacing w:val="-5"/>
              </w:rPr>
              <w:t xml:space="preserve">Svižný růst </w:t>
            </w:r>
            <w:r w:rsidRPr="00987E24">
              <w:rPr>
                <w:color w:val="0D0D0D" w:themeColor="text1" w:themeTint="F2"/>
                <w:spacing w:val="-2"/>
              </w:rPr>
              <w:t>nedaňových a kapitálových příjmů a transferů</w:t>
            </w:r>
            <w:r>
              <w:rPr>
                <w:color w:val="0D0D0D" w:themeColor="text1" w:themeTint="F2"/>
                <w:spacing w:val="-2"/>
              </w:rPr>
              <w:t> </w:t>
            </w:r>
            <w:r w:rsidRPr="00987E24">
              <w:rPr>
                <w:color w:val="0D0D0D" w:themeColor="text1" w:themeTint="F2"/>
                <w:spacing w:val="-2"/>
              </w:rPr>
              <w:t xml:space="preserve">SR </w:t>
            </w:r>
            <w:r>
              <w:rPr>
                <w:color w:val="0D0D0D" w:themeColor="text1" w:themeTint="F2"/>
                <w:spacing w:val="-2"/>
              </w:rPr>
              <w:t>po roce 2017 se loni zastavil. Jejich meziroční pokles</w:t>
            </w:r>
            <w:r>
              <w:rPr>
                <w:spacing w:val="-2"/>
              </w:rPr>
              <w:t xml:space="preserve"> (o 23,7 mld. korun) byl takřka z poloviny ovlivněn nižšími příjmy z rozpočtu EU (sloužícími ke krytí již státem dříve předfinancovaných výdajů)</w:t>
            </w:r>
            <w:r>
              <w:rPr>
                <w:rStyle w:val="Znakapoznpodarou"/>
                <w:spacing w:val="-2"/>
              </w:rPr>
              <w:footnoteReference w:id="90"/>
            </w:r>
            <w:r>
              <w:rPr>
                <w:spacing w:val="-2"/>
              </w:rPr>
              <w:t>. P</w:t>
            </w:r>
            <w:r w:rsidRPr="009B277E">
              <w:rPr>
                <w:spacing w:val="-2"/>
              </w:rPr>
              <w:t xml:space="preserve">lánovaný </w:t>
            </w:r>
            <w:r>
              <w:rPr>
                <w:spacing w:val="-2"/>
              </w:rPr>
              <w:t xml:space="preserve">meziroční pokles objemu </w:t>
            </w:r>
            <w:r w:rsidRPr="009B277E">
              <w:rPr>
                <w:spacing w:val="-2"/>
              </w:rPr>
              <w:t>převod</w:t>
            </w:r>
            <w:r>
              <w:rPr>
                <w:spacing w:val="-2"/>
              </w:rPr>
              <w:t>u</w:t>
            </w:r>
            <w:r w:rsidRPr="009B277E">
              <w:rPr>
                <w:spacing w:val="-2"/>
              </w:rPr>
              <w:t xml:space="preserve"> prostřed</w:t>
            </w:r>
            <w:r>
              <w:rPr>
                <w:spacing w:val="-2"/>
              </w:rPr>
              <w:t xml:space="preserve">ků privatizačního účtu do SR byl zhruba kompenzován mimořádnými loňskými </w:t>
            </w:r>
            <w:r w:rsidRPr="00444DB0">
              <w:rPr>
                <w:spacing w:val="-2"/>
              </w:rPr>
              <w:t xml:space="preserve">výnosy z aukce </w:t>
            </w:r>
            <w:r>
              <w:rPr>
                <w:spacing w:val="-2"/>
              </w:rPr>
              <w:t xml:space="preserve">rádiových </w:t>
            </w:r>
            <w:r w:rsidRPr="00444DB0">
              <w:rPr>
                <w:spacing w:val="-2"/>
              </w:rPr>
              <w:t>kmitočtů (+5,6 mld.).</w:t>
            </w:r>
          </w:p>
        </w:tc>
      </w:tr>
      <w:tr w:rsidR="00144108" w:rsidRPr="008266F0" w14:paraId="5D1765FB" w14:textId="77777777" w:rsidTr="008E039E">
        <w:trPr>
          <w:trHeight w:val="145"/>
        </w:trPr>
        <w:tc>
          <w:tcPr>
            <w:tcW w:w="1732" w:type="dxa"/>
            <w:shd w:val="clear" w:color="auto" w:fill="auto"/>
            <w:tcMar>
              <w:left w:w="0" w:type="dxa"/>
            </w:tcMar>
          </w:tcPr>
          <w:p w14:paraId="4169D94A" w14:textId="77777777" w:rsidR="00144108" w:rsidRPr="00A87E3B" w:rsidRDefault="00144108" w:rsidP="008E039E">
            <w:pPr>
              <w:pStyle w:val="Marginlie"/>
              <w:rPr>
                <w:spacing w:val="-5"/>
              </w:rPr>
            </w:pPr>
            <w:r w:rsidRPr="00A87E3B">
              <w:rPr>
                <w:spacing w:val="-5"/>
              </w:rPr>
              <w:t xml:space="preserve">Nižší potřeba podpůrných </w:t>
            </w:r>
            <w:r w:rsidRPr="00A87E3B">
              <w:rPr>
                <w:spacing w:val="-4"/>
              </w:rPr>
              <w:t>programů a</w:t>
            </w:r>
            <w:r>
              <w:rPr>
                <w:spacing w:val="-4"/>
              </w:rPr>
              <w:t> </w:t>
            </w:r>
            <w:r w:rsidRPr="00A87E3B">
              <w:rPr>
                <w:spacing w:val="-4"/>
              </w:rPr>
              <w:t>opatření</w:t>
            </w:r>
            <w:r w:rsidRPr="00A87E3B">
              <w:rPr>
                <w:spacing w:val="-5"/>
              </w:rPr>
              <w:t xml:space="preserve"> </w:t>
            </w:r>
            <w:r>
              <w:t>díky</w:t>
            </w:r>
            <w:r w:rsidRPr="00A87E3B">
              <w:t xml:space="preserve"> </w:t>
            </w:r>
            <w:r>
              <w:t>zlepšené epidemické situaci se ve 2. pololetí</w:t>
            </w:r>
            <w:r w:rsidRPr="00A87E3B">
              <w:t xml:space="preserve"> odrazila v</w:t>
            </w:r>
            <w:r>
              <w:t> </w:t>
            </w:r>
            <w:r w:rsidRPr="00A87E3B">
              <w:t xml:space="preserve">citelném </w:t>
            </w:r>
            <w:r>
              <w:t xml:space="preserve">zvolnění růstu běžných </w:t>
            </w:r>
            <w:r w:rsidRPr="00A87E3B">
              <w:t>výdajů</w:t>
            </w:r>
            <w:r>
              <w:t> </w:t>
            </w:r>
            <w:r w:rsidRPr="00A87E3B">
              <w:t>SR</w:t>
            </w:r>
            <w:r>
              <w:t>.</w:t>
            </w:r>
          </w:p>
        </w:tc>
        <w:tc>
          <w:tcPr>
            <w:tcW w:w="217" w:type="dxa"/>
            <w:shd w:val="clear" w:color="auto" w:fill="auto"/>
            <w:tcMar>
              <w:left w:w="0" w:type="dxa"/>
            </w:tcMar>
          </w:tcPr>
          <w:p w14:paraId="14C1BADC" w14:textId="77777777" w:rsidR="00144108" w:rsidRDefault="00144108" w:rsidP="008E039E">
            <w:pPr>
              <w:pStyle w:val="Textpoznpodarou"/>
              <w:jc w:val="both"/>
              <w:rPr>
                <w:spacing w:val="-4"/>
              </w:rPr>
            </w:pPr>
          </w:p>
        </w:tc>
        <w:tc>
          <w:tcPr>
            <w:tcW w:w="7720" w:type="dxa"/>
            <w:shd w:val="clear" w:color="auto" w:fill="auto"/>
            <w:tcMar>
              <w:left w:w="0" w:type="dxa"/>
            </w:tcMar>
          </w:tcPr>
          <w:p w14:paraId="672A4EA1" w14:textId="77777777" w:rsidR="00144108" w:rsidRDefault="00144108" w:rsidP="008E039E">
            <w:pPr>
              <w:spacing w:after="200"/>
              <w:rPr>
                <w:spacing w:val="-2"/>
              </w:rPr>
            </w:pPr>
            <w:r w:rsidRPr="00451427">
              <w:rPr>
                <w:color w:val="0D0D0D" w:themeColor="text1" w:themeTint="F2"/>
                <w:spacing w:val="-2"/>
              </w:rPr>
              <w:t>Celkové výdaje</w:t>
            </w:r>
            <w:r>
              <w:rPr>
                <w:color w:val="0D0D0D" w:themeColor="text1" w:themeTint="F2"/>
                <w:spacing w:val="-2"/>
              </w:rPr>
              <w:t> </w:t>
            </w:r>
            <w:r w:rsidRPr="00451427">
              <w:rPr>
                <w:color w:val="0D0D0D" w:themeColor="text1" w:themeTint="F2"/>
                <w:spacing w:val="-2"/>
              </w:rPr>
              <w:t xml:space="preserve">SR </w:t>
            </w:r>
            <w:r>
              <w:rPr>
                <w:color w:val="0D0D0D" w:themeColor="text1" w:themeTint="F2"/>
                <w:spacing w:val="-2"/>
              </w:rPr>
              <w:t xml:space="preserve">v roce 2021 v souladu s rozpočtovým očekáváním </w:t>
            </w:r>
            <w:r w:rsidRPr="00451427">
              <w:rPr>
                <w:color w:val="0D0D0D" w:themeColor="text1" w:themeTint="F2"/>
                <w:spacing w:val="-2"/>
              </w:rPr>
              <w:t xml:space="preserve">meziročně </w:t>
            </w:r>
            <w:r>
              <w:rPr>
                <w:color w:val="0D0D0D" w:themeColor="text1" w:themeTint="F2"/>
                <w:spacing w:val="-2"/>
              </w:rPr>
              <w:t xml:space="preserve">mírně vzrostly </w:t>
            </w:r>
            <w:r>
              <w:rPr>
                <w:spacing w:val="-2"/>
              </w:rPr>
              <w:t xml:space="preserve">o 3,5 % (+64 mld. korun). Ve srovnání s prudkým navýšením v prvním pandemickém roce (+291,2 mld.) šlo o citelné zmírnění fiskální expanze. Tempo výdajů zpomalovalo i v průběhu loňského roku – zatímco ve 2. čtvrtletí 2021 bylo oproti shodnému období „běžného“ roku 2019 vyšší o 31 %, ve 4. čtvrtletí již „jen“ o 17 %. To souviselo s rozvolňováním protipandemických opatření. </w:t>
            </w:r>
            <w:r w:rsidRPr="00AF5B4C">
              <w:rPr>
                <w:color w:val="0D0D0D" w:themeColor="text1" w:themeTint="F2"/>
                <w:spacing w:val="-2"/>
              </w:rPr>
              <w:t>Ze širokého spektra podpůrných programů a opatření</w:t>
            </w:r>
            <w:r w:rsidRPr="00AF5B4C">
              <w:rPr>
                <w:rStyle w:val="Znakapoznpodarou"/>
                <w:color w:val="0D0D0D" w:themeColor="text1" w:themeTint="F2"/>
                <w:spacing w:val="-5"/>
              </w:rPr>
              <w:footnoteReference w:id="91"/>
            </w:r>
            <w:r w:rsidRPr="00AF5B4C">
              <w:rPr>
                <w:color w:val="0D0D0D" w:themeColor="text1" w:themeTint="F2"/>
                <w:spacing w:val="-2"/>
              </w:rPr>
              <w:t xml:space="preserve"> tak byly </w:t>
            </w:r>
            <w:r>
              <w:rPr>
                <w:spacing w:val="-2"/>
              </w:rPr>
              <w:t xml:space="preserve">některé z nich na počátku léta fakticky pozastaveny, případně výrazně utlumeny (např. ošetřovné či program Antivirus). Ve 2. pololetí citelně kleslo také čerpání </w:t>
            </w:r>
            <w:r w:rsidRPr="0063225E">
              <w:rPr>
                <w:spacing w:val="-2"/>
              </w:rPr>
              <w:t>speciální</w:t>
            </w:r>
            <w:r>
              <w:rPr>
                <w:spacing w:val="-2"/>
              </w:rPr>
              <w:t>ch programů</w:t>
            </w:r>
            <w:r w:rsidRPr="0063225E">
              <w:rPr>
                <w:spacing w:val="-2"/>
              </w:rPr>
              <w:t xml:space="preserve"> na p</w:t>
            </w:r>
            <w:r>
              <w:rPr>
                <w:spacing w:val="-2"/>
              </w:rPr>
              <w:t>římou podporu zasažených odvětví</w:t>
            </w:r>
            <w:r w:rsidRPr="0063225E">
              <w:rPr>
                <w:spacing w:val="-2"/>
              </w:rPr>
              <w:t xml:space="preserve"> ekonomik</w:t>
            </w:r>
            <w:r>
              <w:rPr>
                <w:spacing w:val="-2"/>
              </w:rPr>
              <w:t>y. Rovnoměrně po celý loňský rok zatížily SR jen navýšené platby za státní</w:t>
            </w:r>
            <w:r w:rsidRPr="00AF5B4C">
              <w:rPr>
                <w:spacing w:val="-2"/>
              </w:rPr>
              <w:t xml:space="preserve"> pojištěnce</w:t>
            </w:r>
            <w:r>
              <w:rPr>
                <w:spacing w:val="-2"/>
              </w:rPr>
              <w:t xml:space="preserve"> a rovněž nákupy ochranných prostředků (např. vakcíny).</w:t>
            </w:r>
          </w:p>
        </w:tc>
      </w:tr>
      <w:tr w:rsidR="00144108" w:rsidRPr="008266F0" w14:paraId="37366BE8" w14:textId="77777777" w:rsidTr="008E039E">
        <w:trPr>
          <w:trHeight w:val="145"/>
        </w:trPr>
        <w:tc>
          <w:tcPr>
            <w:tcW w:w="1732" w:type="dxa"/>
            <w:shd w:val="clear" w:color="auto" w:fill="auto"/>
            <w:tcMar>
              <w:left w:w="0" w:type="dxa"/>
            </w:tcMar>
          </w:tcPr>
          <w:p w14:paraId="65B032CF" w14:textId="77777777" w:rsidR="00144108" w:rsidRDefault="00144108" w:rsidP="008E039E">
            <w:pPr>
              <w:pStyle w:val="Marginlie"/>
              <w:rPr>
                <w:spacing w:val="-3"/>
              </w:rPr>
            </w:pPr>
            <w:r w:rsidRPr="00A87E3B">
              <w:rPr>
                <w:spacing w:val="-3"/>
              </w:rPr>
              <w:t>Nárůst bě</w:t>
            </w:r>
            <w:r>
              <w:rPr>
                <w:spacing w:val="-3"/>
              </w:rPr>
              <w:t>žných výdajů SR odrážel především navýšení platby</w:t>
            </w:r>
            <w:r w:rsidRPr="00A87E3B">
              <w:rPr>
                <w:spacing w:val="-3"/>
              </w:rPr>
              <w:t xml:space="preserve"> </w:t>
            </w:r>
            <w:r>
              <w:rPr>
                <w:spacing w:val="-3"/>
              </w:rPr>
              <w:t xml:space="preserve">do zdravotnictví </w:t>
            </w:r>
            <w:r w:rsidRPr="00A87E3B">
              <w:rPr>
                <w:spacing w:val="-3"/>
              </w:rPr>
              <w:t>za státní pojištěnce</w:t>
            </w:r>
            <w:r>
              <w:rPr>
                <w:spacing w:val="-3"/>
              </w:rPr>
              <w:t xml:space="preserve"> a také vyšší </w:t>
            </w:r>
            <w:r w:rsidRPr="00A87E3B">
              <w:rPr>
                <w:spacing w:val="-3"/>
              </w:rPr>
              <w:t>transfery podnikatelským subjektům</w:t>
            </w:r>
            <w:r>
              <w:rPr>
                <w:spacing w:val="-3"/>
              </w:rPr>
              <w:t>.</w:t>
            </w:r>
          </w:p>
          <w:p w14:paraId="339A2D3B" w14:textId="77777777" w:rsidR="00144108" w:rsidRDefault="00144108" w:rsidP="008E039E">
            <w:pPr>
              <w:pStyle w:val="Marginlie"/>
              <w:rPr>
                <w:spacing w:val="-3"/>
              </w:rPr>
            </w:pPr>
          </w:p>
          <w:p w14:paraId="3CC5F7D7" w14:textId="77777777" w:rsidR="00144108" w:rsidRDefault="00144108" w:rsidP="008E039E">
            <w:pPr>
              <w:pStyle w:val="Marginlie"/>
              <w:rPr>
                <w:spacing w:val="-3"/>
              </w:rPr>
            </w:pPr>
          </w:p>
          <w:p w14:paraId="11C1D0EB" w14:textId="77777777" w:rsidR="00144108" w:rsidRDefault="00144108" w:rsidP="008E039E">
            <w:pPr>
              <w:pStyle w:val="Marginlie"/>
              <w:rPr>
                <w:spacing w:val="-3"/>
              </w:rPr>
            </w:pPr>
          </w:p>
          <w:p w14:paraId="53788ABB" w14:textId="77777777" w:rsidR="00144108" w:rsidRDefault="00144108" w:rsidP="008E039E">
            <w:pPr>
              <w:pStyle w:val="Marginlie"/>
              <w:rPr>
                <w:spacing w:val="-3"/>
              </w:rPr>
            </w:pPr>
          </w:p>
          <w:p w14:paraId="526F0D16" w14:textId="77777777" w:rsidR="00144108" w:rsidRDefault="00144108" w:rsidP="008E039E">
            <w:pPr>
              <w:pStyle w:val="Marginlie"/>
              <w:rPr>
                <w:spacing w:val="-3"/>
              </w:rPr>
            </w:pPr>
          </w:p>
          <w:p w14:paraId="0955E714" w14:textId="77777777" w:rsidR="00144108" w:rsidRDefault="00144108" w:rsidP="008E039E">
            <w:pPr>
              <w:pStyle w:val="Marginlie"/>
              <w:rPr>
                <w:spacing w:val="-3"/>
              </w:rPr>
            </w:pPr>
          </w:p>
          <w:p w14:paraId="3F8E94D3" w14:textId="77777777" w:rsidR="00144108" w:rsidRDefault="00144108" w:rsidP="008E039E">
            <w:pPr>
              <w:pStyle w:val="Marginlie"/>
              <w:rPr>
                <w:spacing w:val="-3"/>
              </w:rPr>
            </w:pPr>
          </w:p>
          <w:p w14:paraId="5BF04315" w14:textId="77777777" w:rsidR="00144108" w:rsidRPr="00A87E3B" w:rsidRDefault="00144108" w:rsidP="008E039E">
            <w:pPr>
              <w:pStyle w:val="Marginlie"/>
              <w:rPr>
                <w:spacing w:val="-5"/>
              </w:rPr>
            </w:pPr>
            <w:r>
              <w:rPr>
                <w:spacing w:val="-3"/>
              </w:rPr>
              <w:t>Prudký předloňský růst u neinvestičních nákupů se v roce 2021 výrazně ztlumil.</w:t>
            </w:r>
          </w:p>
        </w:tc>
        <w:tc>
          <w:tcPr>
            <w:tcW w:w="217" w:type="dxa"/>
            <w:shd w:val="clear" w:color="auto" w:fill="auto"/>
            <w:tcMar>
              <w:left w:w="0" w:type="dxa"/>
            </w:tcMar>
          </w:tcPr>
          <w:p w14:paraId="2B4A7411" w14:textId="77777777" w:rsidR="00144108" w:rsidRDefault="00144108" w:rsidP="008E039E">
            <w:pPr>
              <w:pStyle w:val="Textpoznpodarou"/>
              <w:jc w:val="both"/>
              <w:rPr>
                <w:spacing w:val="-4"/>
              </w:rPr>
            </w:pPr>
          </w:p>
        </w:tc>
        <w:tc>
          <w:tcPr>
            <w:tcW w:w="7720" w:type="dxa"/>
            <w:shd w:val="clear" w:color="auto" w:fill="auto"/>
            <w:tcMar>
              <w:left w:w="0" w:type="dxa"/>
            </w:tcMar>
          </w:tcPr>
          <w:p w14:paraId="6253782E" w14:textId="77777777" w:rsidR="00144108" w:rsidRDefault="00144108" w:rsidP="008E039E">
            <w:pPr>
              <w:spacing w:after="200"/>
              <w:rPr>
                <w:spacing w:val="-2"/>
              </w:rPr>
            </w:pPr>
            <w:r>
              <w:rPr>
                <w:spacing w:val="-2"/>
              </w:rPr>
              <w:t>K</w:t>
            </w:r>
            <w:r w:rsidRPr="00B522D7">
              <w:rPr>
                <w:color w:val="0D0D0D" w:themeColor="text1" w:themeTint="F2"/>
                <w:spacing w:val="-2"/>
              </w:rPr>
              <w:t> loňskému meziročnímu posílení běžných výdajů (+59,2 mld. korun) přispěly</w:t>
            </w:r>
            <w:r>
              <w:rPr>
                <w:color w:val="0D0D0D" w:themeColor="text1" w:themeTint="F2"/>
                <w:spacing w:val="-2"/>
              </w:rPr>
              <w:t xml:space="preserve"> navýšené platby za státní pojištěnce (s růstem o 30 %) a dále </w:t>
            </w:r>
            <w:r w:rsidRPr="00456B08">
              <w:rPr>
                <w:color w:val="0D0D0D" w:themeColor="text1" w:themeTint="F2"/>
                <w:spacing w:val="-5"/>
              </w:rPr>
              <w:t>neinvestiční trans</w:t>
            </w:r>
            <w:r>
              <w:rPr>
                <w:color w:val="0D0D0D" w:themeColor="text1" w:themeTint="F2"/>
                <w:spacing w:val="-5"/>
              </w:rPr>
              <w:t>fery podnikatelským subjektům (+18 %), jejichž čerpání významně překročilo rozpočtové očekávání (+19 mld. korun).</w:t>
            </w:r>
            <w:r>
              <w:rPr>
                <w:spacing w:val="-5"/>
              </w:rPr>
              <w:t xml:space="preserve"> Tyto transfery soustřeďují rozhodující část </w:t>
            </w:r>
            <w:r w:rsidRPr="00456B08">
              <w:rPr>
                <w:spacing w:val="-5"/>
              </w:rPr>
              <w:t>podpůrných opatření (program Antivirus, podpora firem v nejvíce</w:t>
            </w:r>
            <w:r>
              <w:rPr>
                <w:spacing w:val="-5"/>
              </w:rPr>
              <w:t xml:space="preserve"> zasažených odvětvích, ošetřovné pro OSVČ). I přes mírnější růst (+5,9 %) měly podstatný vliv i objemově významné běžné transfery územním rozpočtům, což</w:t>
            </w:r>
            <w:r>
              <w:rPr>
                <w:color w:val="0D0D0D" w:themeColor="text1" w:themeTint="F2"/>
                <w:spacing w:val="-2"/>
              </w:rPr>
              <w:t xml:space="preserve"> </w:t>
            </w:r>
            <w:r>
              <w:rPr>
                <w:spacing w:val="-5"/>
              </w:rPr>
              <w:t>souviselo s pokračujícím růstem platů v regionálním školství</w:t>
            </w:r>
            <w:r>
              <w:rPr>
                <w:rStyle w:val="Znakapoznpodarou"/>
                <w:spacing w:val="-5"/>
              </w:rPr>
              <w:footnoteReference w:id="92"/>
            </w:r>
            <w:r>
              <w:rPr>
                <w:spacing w:val="-5"/>
              </w:rPr>
              <w:t>, s navýšením financování sociálních služeb a v menší míře i s mimořádnými odměnami zaměstnancům v lůžkové péči. Tyto odměny se promítly i do transferů příspěvkovým organizacím, které ovšem celkově mírně klesly (o 3,5 %), neboť výdaje na oddlužení části nemocnic realizované v roce 2020 se loni neopakovaly. S pandemií souvisely i výdaje na neinvestiční nákupy</w:t>
            </w:r>
            <w:r>
              <w:rPr>
                <w:rStyle w:val="Znakapoznpodarou"/>
                <w:spacing w:val="-5"/>
              </w:rPr>
              <w:footnoteReference w:id="93"/>
            </w:r>
            <w:r>
              <w:rPr>
                <w:spacing w:val="-5"/>
              </w:rPr>
              <w:t>. Ty oproti rekordní výši z roku 2020 (77,9 mld. korun) vzrostly jen mírně (+1,6 %). Nižší potřeba ochranných pomůcek a zdravotnického materiálu byla z velké části nahrazena vyššími výdaji za nákupy vakcín. Tempo růstu výdajů na platy (a souvisejících výdajů) v organizačních složkách státu zvolňovalo třetí rok v řadě. Loni tyto výdaje meziročně vzrostly o 1,3 %, nejméně za posledních devět let. Většina růstu byla spojena s agendami intenzivněji zapojenými do boje s pandemií (např. policie, armáda, hygienické služby).</w:t>
            </w:r>
          </w:p>
        </w:tc>
      </w:tr>
      <w:tr w:rsidR="00144108" w:rsidRPr="008266F0" w14:paraId="41B376FA" w14:textId="77777777" w:rsidTr="008E039E">
        <w:trPr>
          <w:trHeight w:val="145"/>
        </w:trPr>
        <w:tc>
          <w:tcPr>
            <w:tcW w:w="1732" w:type="dxa"/>
            <w:shd w:val="clear" w:color="auto" w:fill="auto"/>
            <w:tcMar>
              <w:left w:w="0" w:type="dxa"/>
            </w:tcMar>
          </w:tcPr>
          <w:p w14:paraId="3DD66C09" w14:textId="77777777" w:rsidR="00144108" w:rsidRPr="00A87E3B" w:rsidRDefault="00144108" w:rsidP="008E039E">
            <w:pPr>
              <w:pStyle w:val="Marginlie"/>
              <w:rPr>
                <w:spacing w:val="-3"/>
              </w:rPr>
            </w:pPr>
            <w:r>
              <w:rPr>
                <w:spacing w:val="-3"/>
              </w:rPr>
              <w:t>Podíl výdajů SR alokovaných na sociální dávky dále klesal. Důchodový účet se vrátil do mírného přebytku.</w:t>
            </w:r>
          </w:p>
        </w:tc>
        <w:tc>
          <w:tcPr>
            <w:tcW w:w="217" w:type="dxa"/>
            <w:shd w:val="clear" w:color="auto" w:fill="auto"/>
            <w:tcMar>
              <w:left w:w="0" w:type="dxa"/>
            </w:tcMar>
          </w:tcPr>
          <w:p w14:paraId="65FB7D6B" w14:textId="77777777" w:rsidR="00144108" w:rsidRDefault="00144108" w:rsidP="008E039E">
            <w:pPr>
              <w:pStyle w:val="Textpoznpodarou"/>
              <w:jc w:val="both"/>
              <w:rPr>
                <w:spacing w:val="-4"/>
              </w:rPr>
            </w:pPr>
          </w:p>
        </w:tc>
        <w:tc>
          <w:tcPr>
            <w:tcW w:w="7720" w:type="dxa"/>
            <w:shd w:val="clear" w:color="auto" w:fill="auto"/>
            <w:tcMar>
              <w:left w:w="0" w:type="dxa"/>
            </w:tcMar>
          </w:tcPr>
          <w:p w14:paraId="7C075E24" w14:textId="77777777" w:rsidR="00144108" w:rsidRPr="008F5C08" w:rsidRDefault="00144108" w:rsidP="008E039E">
            <w:pPr>
              <w:spacing w:after="200"/>
              <w:rPr>
                <w:spacing w:val="-3"/>
              </w:rPr>
            </w:pPr>
            <w:r>
              <w:rPr>
                <w:spacing w:val="-3"/>
              </w:rPr>
              <w:t xml:space="preserve">Prostředky </w:t>
            </w:r>
            <w:r w:rsidRPr="00F414D7">
              <w:rPr>
                <w:color w:val="0D0D0D" w:themeColor="text1" w:themeTint="F2"/>
                <w:spacing w:val="-3"/>
              </w:rPr>
              <w:t xml:space="preserve">na sociální dávky, </w:t>
            </w:r>
            <w:r>
              <w:rPr>
                <w:spacing w:val="-3"/>
              </w:rPr>
              <w:t>které dlouhodobě představují</w:t>
            </w:r>
            <w:r w:rsidRPr="008E078C">
              <w:rPr>
                <w:spacing w:val="-3"/>
              </w:rPr>
              <w:t xml:space="preserve"> váhově dominantní výdaj</w:t>
            </w:r>
            <w:r>
              <w:rPr>
                <w:spacing w:val="-3"/>
              </w:rPr>
              <w:t> </w:t>
            </w:r>
            <w:r w:rsidRPr="008E078C">
              <w:rPr>
                <w:spacing w:val="-3"/>
              </w:rPr>
              <w:t>SR</w:t>
            </w:r>
            <w:r w:rsidRPr="008E078C">
              <w:rPr>
                <w:rStyle w:val="Znakapoznpodarou"/>
                <w:spacing w:val="-3"/>
              </w:rPr>
              <w:footnoteReference w:id="94"/>
            </w:r>
            <w:r w:rsidRPr="008E078C">
              <w:rPr>
                <w:spacing w:val="-3"/>
              </w:rPr>
              <w:t xml:space="preserve">, </w:t>
            </w:r>
            <w:r>
              <w:rPr>
                <w:spacing w:val="-3"/>
              </w:rPr>
              <w:t>vzrostly vloni meziročně o 0,8 %, když v roce 2020 eskalovaly na 14,2</w:t>
            </w:r>
            <w:r>
              <w:rPr>
                <w:spacing w:val="-5"/>
              </w:rPr>
              <w:t> </w:t>
            </w:r>
            <w:r>
              <w:rPr>
                <w:spacing w:val="-3"/>
              </w:rPr>
              <w:t>%</w:t>
            </w:r>
            <w:r>
              <w:rPr>
                <w:rStyle w:val="Znakapoznpodarou"/>
                <w:spacing w:val="-3"/>
              </w:rPr>
              <w:footnoteReference w:id="95"/>
            </w:r>
            <w:r>
              <w:rPr>
                <w:spacing w:val="-3"/>
              </w:rPr>
              <w:t xml:space="preserve">. Na rozdíl od roku 2020 byl loňský růst sycen výhradně vyššími výdaji na důchody (+2,1 %). Slabší tempo růstu důchodů souvisí s vyplacením jednorázového příspěvku všem důchodcům v prosinci </w:t>
            </w:r>
            <w:r>
              <w:rPr>
                <w:spacing w:val="-3"/>
              </w:rPr>
              <w:lastRenderedPageBreak/>
              <w:t>2020</w:t>
            </w:r>
            <w:r>
              <w:rPr>
                <w:rStyle w:val="Znakapoznpodarou"/>
                <w:spacing w:val="-3"/>
              </w:rPr>
              <w:footnoteReference w:id="96"/>
            </w:r>
            <w:r>
              <w:rPr>
                <w:spacing w:val="-3"/>
              </w:rPr>
              <w:t xml:space="preserve">. V menší míře se projevil i pokles počtu příjemců důchodů (o necelé 1 %). </w:t>
            </w:r>
            <w:r w:rsidRPr="00AC6ABB">
              <w:rPr>
                <w:spacing w:val="-5"/>
              </w:rPr>
              <w:t>P</w:t>
            </w:r>
            <w:r w:rsidRPr="00AC6ABB">
              <w:rPr>
                <w:rFonts w:cs="Arial"/>
                <w:color w:val="0D0D0D" w:themeColor="text1" w:themeTint="F2"/>
                <w:spacing w:val="-5"/>
              </w:rPr>
              <w:t>říjmy důchodového po</w:t>
            </w:r>
            <w:r>
              <w:rPr>
                <w:rFonts w:cs="Arial"/>
                <w:color w:val="0D0D0D" w:themeColor="text1" w:themeTint="F2"/>
                <w:spacing w:val="-5"/>
              </w:rPr>
              <w:t xml:space="preserve">jištění se oproti slabší </w:t>
            </w:r>
            <w:r w:rsidRPr="00AC6ABB">
              <w:rPr>
                <w:rFonts w:cs="Arial"/>
                <w:color w:val="0D0D0D" w:themeColor="text1" w:themeTint="F2"/>
                <w:spacing w:val="-5"/>
              </w:rPr>
              <w:t>základně</w:t>
            </w:r>
            <w:r>
              <w:rPr>
                <w:rFonts w:cs="Arial"/>
                <w:color w:val="0D0D0D" w:themeColor="text1" w:themeTint="F2"/>
                <w:spacing w:val="-5"/>
              </w:rPr>
              <w:t xml:space="preserve"> roku 2020</w:t>
            </w:r>
            <w:r w:rsidRPr="00AC6ABB">
              <w:rPr>
                <w:rStyle w:val="Znakapoznpodarou"/>
                <w:color w:val="0D0D0D" w:themeColor="text1" w:themeTint="F2"/>
                <w:spacing w:val="-5"/>
              </w:rPr>
              <w:footnoteReference w:id="97"/>
            </w:r>
            <w:r>
              <w:rPr>
                <w:rFonts w:cs="Arial"/>
                <w:color w:val="0D0D0D" w:themeColor="text1" w:themeTint="F2"/>
                <w:spacing w:val="-5"/>
              </w:rPr>
              <w:t xml:space="preserve"> loni navýšily o 9,8 %. S</w:t>
            </w:r>
            <w:r w:rsidRPr="00AC6ABB">
              <w:rPr>
                <w:rFonts w:cs="Arial"/>
                <w:color w:val="0D0D0D" w:themeColor="text1" w:themeTint="F2"/>
                <w:spacing w:val="-5"/>
              </w:rPr>
              <w:t>aldo důchodového účtu</w:t>
            </w:r>
            <w:r w:rsidRPr="00AC6ABB">
              <w:rPr>
                <w:rStyle w:val="Znakapoznpodarou"/>
                <w:color w:val="0D0D0D" w:themeColor="text1" w:themeTint="F2"/>
                <w:spacing w:val="-5"/>
              </w:rPr>
              <w:footnoteReference w:id="98"/>
            </w:r>
            <w:r>
              <w:rPr>
                <w:rFonts w:cs="Arial"/>
                <w:color w:val="0D0D0D" w:themeColor="text1" w:themeTint="F2"/>
                <w:spacing w:val="-5"/>
              </w:rPr>
              <w:t xml:space="preserve"> se</w:t>
            </w:r>
            <w:r w:rsidRPr="00AC6ABB">
              <w:rPr>
                <w:rFonts w:cs="Arial"/>
                <w:color w:val="0D0D0D" w:themeColor="text1" w:themeTint="F2"/>
                <w:spacing w:val="-5"/>
              </w:rPr>
              <w:t xml:space="preserve"> </w:t>
            </w:r>
            <w:r>
              <w:rPr>
                <w:rFonts w:cs="Arial"/>
                <w:color w:val="0D0D0D" w:themeColor="text1" w:themeTint="F2"/>
                <w:spacing w:val="-5"/>
              </w:rPr>
              <w:t>tak po mimořádném propadu v prvním roce pandemie (</w:t>
            </w:r>
            <w:r>
              <w:rPr>
                <w:spacing w:val="-4"/>
              </w:rPr>
              <w:t>–</w:t>
            </w:r>
            <w:r>
              <w:rPr>
                <w:rFonts w:cs="Arial"/>
                <w:color w:val="0D0D0D" w:themeColor="text1" w:themeTint="F2"/>
                <w:spacing w:val="-5"/>
              </w:rPr>
              <w:t>34 mld. korun) loni vrátilo do mírného přebytku (+2 mld.).</w:t>
            </w:r>
          </w:p>
        </w:tc>
      </w:tr>
      <w:tr w:rsidR="00144108" w:rsidRPr="008266F0" w14:paraId="61E6A1FE" w14:textId="77777777" w:rsidTr="008E039E">
        <w:trPr>
          <w:trHeight w:val="145"/>
        </w:trPr>
        <w:tc>
          <w:tcPr>
            <w:tcW w:w="1732" w:type="dxa"/>
            <w:shd w:val="clear" w:color="auto" w:fill="auto"/>
            <w:tcMar>
              <w:left w:w="0" w:type="dxa"/>
            </w:tcMar>
          </w:tcPr>
          <w:p w14:paraId="1CE81DE1" w14:textId="77777777" w:rsidR="00144108" w:rsidRDefault="00144108" w:rsidP="008E039E">
            <w:pPr>
              <w:pStyle w:val="Marginlie"/>
            </w:pPr>
            <w:r>
              <w:lastRenderedPageBreak/>
              <w:t>Čerpání většiny nedůchodových sociálních dávek díky oživení ekonomiky v roce 2021 kleslo.</w:t>
            </w:r>
          </w:p>
          <w:p w14:paraId="0FCEF80A" w14:textId="77777777" w:rsidR="00144108" w:rsidRDefault="00144108" w:rsidP="008E039E">
            <w:pPr>
              <w:pStyle w:val="Marginlie"/>
            </w:pPr>
          </w:p>
          <w:p w14:paraId="120E4D0F" w14:textId="77777777" w:rsidR="00144108" w:rsidRDefault="00144108" w:rsidP="008E039E">
            <w:pPr>
              <w:pStyle w:val="Marginlie"/>
            </w:pPr>
          </w:p>
          <w:p w14:paraId="49AEFF7B" w14:textId="77777777" w:rsidR="00144108" w:rsidRDefault="00144108" w:rsidP="008E039E">
            <w:pPr>
              <w:pStyle w:val="Marginlie"/>
            </w:pPr>
          </w:p>
          <w:p w14:paraId="598BF304" w14:textId="77777777" w:rsidR="00144108" w:rsidRDefault="00144108" w:rsidP="008E039E">
            <w:pPr>
              <w:pStyle w:val="Marginlie"/>
            </w:pPr>
          </w:p>
          <w:p w14:paraId="68F6B86B" w14:textId="77777777" w:rsidR="00144108" w:rsidRDefault="00144108" w:rsidP="008E039E">
            <w:pPr>
              <w:pStyle w:val="Marginlie"/>
            </w:pPr>
            <w:r>
              <w:t>Růst výdajů na nemocenské dávky, pomoc v mateřství i dávky hmotné nouze ale pokračoval.</w:t>
            </w:r>
          </w:p>
        </w:tc>
        <w:tc>
          <w:tcPr>
            <w:tcW w:w="217" w:type="dxa"/>
            <w:shd w:val="clear" w:color="auto" w:fill="auto"/>
            <w:tcMar>
              <w:left w:w="0" w:type="dxa"/>
            </w:tcMar>
          </w:tcPr>
          <w:p w14:paraId="5C0DC426" w14:textId="77777777" w:rsidR="00144108" w:rsidRDefault="00144108" w:rsidP="008E039E">
            <w:pPr>
              <w:pStyle w:val="Textpoznpodarou"/>
              <w:jc w:val="both"/>
              <w:rPr>
                <w:spacing w:val="-4"/>
              </w:rPr>
            </w:pPr>
          </w:p>
        </w:tc>
        <w:tc>
          <w:tcPr>
            <w:tcW w:w="7720" w:type="dxa"/>
            <w:shd w:val="clear" w:color="auto" w:fill="auto"/>
            <w:tcMar>
              <w:left w:w="0" w:type="dxa"/>
            </w:tcMar>
          </w:tcPr>
          <w:p w14:paraId="172AD97F" w14:textId="77777777" w:rsidR="00144108" w:rsidRPr="00144108" w:rsidRDefault="00144108" w:rsidP="008E039E">
            <w:pPr>
              <w:spacing w:after="200"/>
              <w:rPr>
                <w:spacing w:val="-5"/>
              </w:rPr>
            </w:pPr>
            <w:r w:rsidRPr="00144108">
              <w:rPr>
                <w:color w:val="0D0D0D" w:themeColor="text1" w:themeTint="F2"/>
                <w:spacing w:val="-5"/>
              </w:rPr>
              <w:t xml:space="preserve">Na nedůchodové sociální dávky směřovalo </w:t>
            </w:r>
            <w:r w:rsidRPr="00144108">
              <w:rPr>
                <w:spacing w:val="-5"/>
              </w:rPr>
              <w:t>loni 162 mld. korun, meziročně o 5,7 % méně (oproti roku 2019 ovšem výdaje stouply skoro o čtvrtinu). Projevilo se v nich primárně nižší čerpání ošetřovného, které ve srovnání s rekordní úrovní z roku 2020 (11,5 mld. korun) o více než polovinu propadlo. Peněžitá pomoc v mateřství (+6,9 %) i objemově významnější nemocenské dávky ale loni pokračovaly v růstu (+3,1</w:t>
            </w:r>
            <w:r w:rsidRPr="00144108">
              <w:rPr>
                <w:rFonts w:cs="Arial"/>
                <w:color w:val="0D0D0D" w:themeColor="text1" w:themeTint="F2"/>
                <w:spacing w:val="-5"/>
              </w:rPr>
              <w:t> </w:t>
            </w:r>
            <w:r w:rsidRPr="00144108">
              <w:rPr>
                <w:spacing w:val="-5"/>
              </w:rPr>
              <w:t xml:space="preserve">%), byť ve druhém případě podstatně slabším tempem než v předešlých letech. Růst objemu dávek státní sociální podpory se po </w:t>
            </w:r>
            <w:r w:rsidRPr="00144108">
              <w:rPr>
                <w:color w:val="0D0D0D" w:themeColor="text1" w:themeTint="F2"/>
                <w:spacing w:val="-5"/>
              </w:rPr>
              <w:t xml:space="preserve">předloňském skokovém </w:t>
            </w:r>
            <w:r w:rsidRPr="00144108">
              <w:rPr>
                <w:spacing w:val="-5"/>
              </w:rPr>
              <w:t>navýšení zastavil (–5,5 %), protože klesly klíčové výdaje na rodičovské příspěvky při současném vyšším čerpání přídavku na dítě (vlivem legislativní úpravy od 1. 7. 2021)</w:t>
            </w:r>
            <w:r w:rsidRPr="00144108">
              <w:rPr>
                <w:rStyle w:val="Znakapoznpodarou"/>
                <w:spacing w:val="-5"/>
              </w:rPr>
              <w:footnoteReference w:id="99"/>
            </w:r>
            <w:r w:rsidRPr="00144108">
              <w:rPr>
                <w:spacing w:val="-5"/>
              </w:rPr>
              <w:t>. Zlepšení situace na trhu práce díky ústupu pandemie vyústilo v nižší objem vyplacených podpor v nezaměstnanosti (–5,2 %). Zhoršenou příjmovou situaci některých domácností ale naznačuje vyšší čerpání dávek hmotné nouze, patrné po celé pandemické období. Za rok 2021 na ně směřovalo meziročně o desetinu více, k růstu zčásti přispěla i mimořádná pomoc osobám poškozeným živelní událostí (červnovým tornádem).</w:t>
            </w:r>
          </w:p>
        </w:tc>
      </w:tr>
      <w:tr w:rsidR="00144108" w:rsidRPr="00F704D2" w14:paraId="6DA2B77A" w14:textId="77777777" w:rsidTr="008E039E">
        <w:trPr>
          <w:trHeight w:val="170"/>
        </w:trPr>
        <w:tc>
          <w:tcPr>
            <w:tcW w:w="1732" w:type="dxa"/>
            <w:vMerge w:val="restart"/>
            <w:shd w:val="clear" w:color="auto" w:fill="auto"/>
            <w:tcMar>
              <w:left w:w="0" w:type="dxa"/>
            </w:tcMar>
          </w:tcPr>
          <w:p w14:paraId="67E18AB4" w14:textId="77777777" w:rsidR="00144108" w:rsidRDefault="00144108" w:rsidP="008E039E">
            <w:pPr>
              <w:pStyle w:val="Marginlie"/>
            </w:pPr>
          </w:p>
        </w:tc>
        <w:tc>
          <w:tcPr>
            <w:tcW w:w="217" w:type="dxa"/>
            <w:vMerge w:val="restart"/>
            <w:shd w:val="clear" w:color="auto" w:fill="auto"/>
            <w:tcMar>
              <w:left w:w="0" w:type="dxa"/>
            </w:tcMar>
          </w:tcPr>
          <w:p w14:paraId="5292F7C7" w14:textId="77777777" w:rsidR="00144108" w:rsidRDefault="00144108" w:rsidP="008E039E">
            <w:pPr>
              <w:pStyle w:val="Textpoznpodarou"/>
              <w:jc w:val="both"/>
              <w:rPr>
                <w:spacing w:val="-4"/>
              </w:rPr>
            </w:pPr>
          </w:p>
        </w:tc>
        <w:tc>
          <w:tcPr>
            <w:tcW w:w="7720" w:type="dxa"/>
            <w:shd w:val="clear" w:color="auto" w:fill="auto"/>
            <w:tcMar>
              <w:left w:w="0" w:type="dxa"/>
            </w:tcMar>
          </w:tcPr>
          <w:p w14:paraId="6B3865B5" w14:textId="1139A49B" w:rsidR="00144108" w:rsidRPr="009E555E" w:rsidRDefault="001C3794" w:rsidP="00A02E8B">
            <w:pPr>
              <w:spacing w:after="20" w:line="240" w:lineRule="auto"/>
              <w:jc w:val="left"/>
              <w:rPr>
                <w:rFonts w:cs="Arial"/>
                <w:bCs/>
                <w:spacing w:val="-2"/>
              </w:rPr>
            </w:pPr>
            <w:r>
              <w:rPr>
                <w:b/>
                <w:spacing w:val="-2"/>
              </w:rPr>
              <w:t>Graf č. 1</w:t>
            </w:r>
            <w:r w:rsidR="00A02E8B">
              <w:rPr>
                <w:b/>
                <w:spacing w:val="-2"/>
              </w:rPr>
              <w:t>9</w:t>
            </w:r>
            <w:r w:rsidR="00144108" w:rsidRPr="009E555E">
              <w:rPr>
                <w:b/>
                <w:spacing w:val="-2"/>
              </w:rPr>
              <w:t xml:space="preserve">  </w:t>
            </w:r>
            <w:r w:rsidR="00144108" w:rsidRPr="009E555E">
              <w:rPr>
                <w:rFonts w:cs="Arial"/>
                <w:b/>
                <w:bCs/>
                <w:spacing w:val="-2"/>
              </w:rPr>
              <w:t>Vybrané výdaje státního</w:t>
            </w:r>
            <w:r w:rsidR="00144108">
              <w:rPr>
                <w:rFonts w:cs="Arial"/>
                <w:b/>
                <w:bCs/>
                <w:spacing w:val="-2"/>
              </w:rPr>
              <w:t xml:space="preserve"> rozpočtu</w:t>
            </w:r>
            <w:r w:rsidR="00144108" w:rsidRPr="009E555E">
              <w:rPr>
                <w:rFonts w:cs="Arial"/>
                <w:spacing w:val="-2"/>
              </w:rPr>
              <w:t xml:space="preserve"> (v mld. korun)</w:t>
            </w:r>
          </w:p>
        </w:tc>
      </w:tr>
      <w:tr w:rsidR="00144108" w14:paraId="59682A5A" w14:textId="77777777" w:rsidTr="008E039E">
        <w:tblPrEx>
          <w:tblCellMar>
            <w:left w:w="70" w:type="dxa"/>
            <w:right w:w="70" w:type="dxa"/>
          </w:tblCellMar>
        </w:tblPrEx>
        <w:trPr>
          <w:trHeight w:val="170"/>
        </w:trPr>
        <w:tc>
          <w:tcPr>
            <w:tcW w:w="1732" w:type="dxa"/>
            <w:vMerge/>
            <w:shd w:val="clear" w:color="auto" w:fill="auto"/>
          </w:tcPr>
          <w:p w14:paraId="1665C4B9" w14:textId="77777777" w:rsidR="00144108" w:rsidRDefault="00144108" w:rsidP="008E039E">
            <w:pPr>
              <w:pStyle w:val="Marginlie"/>
            </w:pPr>
          </w:p>
        </w:tc>
        <w:tc>
          <w:tcPr>
            <w:tcW w:w="217" w:type="dxa"/>
            <w:vMerge/>
            <w:shd w:val="clear" w:color="auto" w:fill="auto"/>
          </w:tcPr>
          <w:p w14:paraId="5938BB5B" w14:textId="77777777" w:rsidR="00144108" w:rsidRDefault="00144108" w:rsidP="008E039E">
            <w:pPr>
              <w:pStyle w:val="Textpoznpodarou"/>
              <w:jc w:val="both"/>
              <w:rPr>
                <w:spacing w:val="-4"/>
              </w:rPr>
            </w:pPr>
          </w:p>
        </w:tc>
        <w:tc>
          <w:tcPr>
            <w:tcW w:w="7720" w:type="dxa"/>
            <w:shd w:val="clear" w:color="auto" w:fill="auto"/>
          </w:tcPr>
          <w:p w14:paraId="70787D34" w14:textId="77777777" w:rsidR="00144108" w:rsidRPr="0067514E" w:rsidRDefault="00144108" w:rsidP="008E039E">
            <w:pPr>
              <w:spacing w:after="0"/>
              <w:rPr>
                <w:spacing w:val="-6"/>
              </w:rPr>
            </w:pPr>
            <w:r>
              <w:rPr>
                <w:noProof/>
              </w:rPr>
              <w:drawing>
                <wp:inline distT="0" distB="0" distL="0" distR="0" wp14:anchorId="7A91A4B3" wp14:editId="7898D932">
                  <wp:extent cx="4769485" cy="3271755"/>
                  <wp:effectExtent l="0" t="0" r="0" b="508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144108" w:rsidRPr="00343AC1" w14:paraId="09A84D7F" w14:textId="77777777" w:rsidTr="008E039E">
        <w:trPr>
          <w:trHeight w:val="170"/>
        </w:trPr>
        <w:tc>
          <w:tcPr>
            <w:tcW w:w="1732" w:type="dxa"/>
            <w:vMerge/>
            <w:shd w:val="clear" w:color="auto" w:fill="auto"/>
            <w:tcMar>
              <w:left w:w="0" w:type="dxa"/>
            </w:tcMar>
          </w:tcPr>
          <w:p w14:paraId="0C2D9F48" w14:textId="77777777" w:rsidR="00144108" w:rsidRDefault="00144108" w:rsidP="008E039E">
            <w:pPr>
              <w:pStyle w:val="Marginlie"/>
            </w:pPr>
          </w:p>
        </w:tc>
        <w:tc>
          <w:tcPr>
            <w:tcW w:w="217" w:type="dxa"/>
            <w:vMerge/>
            <w:shd w:val="clear" w:color="auto" w:fill="auto"/>
            <w:tcMar>
              <w:left w:w="0" w:type="dxa"/>
            </w:tcMar>
          </w:tcPr>
          <w:p w14:paraId="4D4445CD" w14:textId="77777777" w:rsidR="00144108" w:rsidRDefault="00144108" w:rsidP="008E039E">
            <w:pPr>
              <w:pStyle w:val="Textpoznpodarou"/>
              <w:jc w:val="both"/>
              <w:rPr>
                <w:spacing w:val="-4"/>
              </w:rPr>
            </w:pPr>
          </w:p>
        </w:tc>
        <w:tc>
          <w:tcPr>
            <w:tcW w:w="7720" w:type="dxa"/>
            <w:shd w:val="clear" w:color="auto" w:fill="auto"/>
            <w:tcMar>
              <w:left w:w="0" w:type="dxa"/>
            </w:tcMar>
          </w:tcPr>
          <w:p w14:paraId="4F36AF99" w14:textId="77777777" w:rsidR="00144108" w:rsidRPr="008F2BE2" w:rsidRDefault="00144108" w:rsidP="008E039E">
            <w:pPr>
              <w:pStyle w:val="Textpoznpodarou"/>
              <w:rPr>
                <w:spacing w:val="-4"/>
                <w:sz w:val="14"/>
                <w:szCs w:val="14"/>
              </w:rPr>
            </w:pPr>
            <w:r w:rsidRPr="008F2BE2">
              <w:rPr>
                <w:spacing w:val="-4"/>
                <w:sz w:val="14"/>
                <w:szCs w:val="14"/>
              </w:rPr>
              <w:t>*Pokrývají výdaje na platy v organizačních složkách státu. Nezahrnují například mzdové výdaje na regionální školství.</w:t>
            </w:r>
          </w:p>
          <w:p w14:paraId="7FFB7085" w14:textId="77777777" w:rsidR="00144108" w:rsidRDefault="00144108" w:rsidP="008E039E">
            <w:pPr>
              <w:pStyle w:val="Textpoznpodarou"/>
              <w:tabs>
                <w:tab w:val="right" w:pos="7683"/>
              </w:tabs>
              <w:rPr>
                <w:spacing w:val="-6"/>
                <w:sz w:val="14"/>
                <w:szCs w:val="14"/>
              </w:rPr>
            </w:pPr>
            <w:r w:rsidRPr="008F2BE2">
              <w:rPr>
                <w:spacing w:val="-4"/>
                <w:sz w:val="14"/>
                <w:szCs w:val="14"/>
              </w:rPr>
              <w:t>**Zahrnuje i dávky pěstounské péče</w:t>
            </w:r>
            <w:r>
              <w:rPr>
                <w:spacing w:val="-4"/>
                <w:sz w:val="14"/>
                <w:szCs w:val="14"/>
              </w:rPr>
              <w:t xml:space="preserve"> a náhradní výživné</w:t>
            </w:r>
            <w:r w:rsidRPr="008F2BE2">
              <w:rPr>
                <w:spacing w:val="-4"/>
                <w:sz w:val="14"/>
                <w:szCs w:val="14"/>
              </w:rPr>
              <w:t>.</w:t>
            </w:r>
            <w:r>
              <w:rPr>
                <w:spacing w:val="-4"/>
                <w:sz w:val="14"/>
                <w:szCs w:val="14"/>
              </w:rPr>
              <w:t xml:space="preserve"> </w:t>
            </w:r>
            <w:r w:rsidRPr="008F2BE2">
              <w:rPr>
                <w:spacing w:val="-4"/>
                <w:sz w:val="14"/>
                <w:szCs w:val="14"/>
              </w:rPr>
              <w:t>***Zahrnují dávky pomoci v hmotné nouzi, dávky osobám se zdravotním postižením, příspěvek na péči dle zákona o soc. službách.</w:t>
            </w:r>
            <w:r>
              <w:rPr>
                <w:spacing w:val="-4"/>
                <w:sz w:val="14"/>
                <w:szCs w:val="14"/>
              </w:rPr>
              <w:t xml:space="preserve"> </w:t>
            </w:r>
            <w:r w:rsidRPr="008F2BE2">
              <w:rPr>
                <w:spacing w:val="-4"/>
                <w:sz w:val="14"/>
                <w:szCs w:val="14"/>
              </w:rPr>
              <w:t>****Obsahují zejména výdaje na nákup služeb, materiálu, energií či ostatních služeb (například výdaje na opravy a udržování).</w:t>
            </w:r>
            <w:r>
              <w:rPr>
                <w:spacing w:val="-4"/>
                <w:sz w:val="14"/>
                <w:szCs w:val="14"/>
              </w:rPr>
              <w:t xml:space="preserve"> </w:t>
            </w:r>
            <w:r w:rsidRPr="0067514E">
              <w:rPr>
                <w:spacing w:val="-6"/>
                <w:sz w:val="14"/>
                <w:szCs w:val="14"/>
              </w:rPr>
              <w:t>*****Odpovídá saldu rozpočtové kapitoly Státní dluh.</w:t>
            </w:r>
          </w:p>
          <w:p w14:paraId="6C18ACC1" w14:textId="77777777" w:rsidR="00144108" w:rsidRPr="008F2BE2" w:rsidRDefault="00144108" w:rsidP="008E039E">
            <w:pPr>
              <w:pStyle w:val="Textpoznpodarou"/>
              <w:tabs>
                <w:tab w:val="right" w:pos="7683"/>
              </w:tabs>
              <w:spacing w:after="200"/>
              <w:rPr>
                <w:spacing w:val="-4"/>
                <w:sz w:val="14"/>
                <w:szCs w:val="14"/>
              </w:rPr>
            </w:pPr>
            <w:r w:rsidRPr="0067514E">
              <w:rPr>
                <w:spacing w:val="-6"/>
                <w:sz w:val="14"/>
                <w:szCs w:val="14"/>
              </w:rPr>
              <w:t>Zdroj: MF ČR, MPSV</w:t>
            </w:r>
          </w:p>
        </w:tc>
      </w:tr>
      <w:tr w:rsidR="00144108" w:rsidRPr="00343AC1" w14:paraId="4DC93201" w14:textId="77777777" w:rsidTr="008E039E">
        <w:trPr>
          <w:trHeight w:val="170"/>
        </w:trPr>
        <w:tc>
          <w:tcPr>
            <w:tcW w:w="1732" w:type="dxa"/>
            <w:shd w:val="clear" w:color="auto" w:fill="auto"/>
            <w:tcMar>
              <w:left w:w="0" w:type="dxa"/>
            </w:tcMar>
          </w:tcPr>
          <w:p w14:paraId="18B1AB79" w14:textId="77777777" w:rsidR="00144108" w:rsidRDefault="00144108" w:rsidP="008E039E">
            <w:pPr>
              <w:pStyle w:val="Marginlie"/>
            </w:pPr>
            <w:r w:rsidRPr="0038388C">
              <w:rPr>
                <w:color w:val="0D0D0D" w:themeColor="text1" w:themeTint="F2"/>
              </w:rPr>
              <w:t>Investiční výdaje i</w:t>
            </w:r>
            <w:r>
              <w:rPr>
                <w:color w:val="0D0D0D" w:themeColor="text1" w:themeTint="F2"/>
              </w:rPr>
              <w:t> </w:t>
            </w:r>
            <w:r w:rsidRPr="0038388C">
              <w:rPr>
                <w:color w:val="0D0D0D" w:themeColor="text1" w:themeTint="F2"/>
              </w:rPr>
              <w:t>přes mírný meziroční růst za rozpočtovým očekáváním loni zaostaly.</w:t>
            </w:r>
          </w:p>
        </w:tc>
        <w:tc>
          <w:tcPr>
            <w:tcW w:w="217" w:type="dxa"/>
            <w:shd w:val="clear" w:color="auto" w:fill="auto"/>
            <w:tcMar>
              <w:left w:w="0" w:type="dxa"/>
            </w:tcMar>
          </w:tcPr>
          <w:p w14:paraId="730C0C7B" w14:textId="77777777" w:rsidR="00144108" w:rsidRDefault="00144108" w:rsidP="008E039E">
            <w:pPr>
              <w:pStyle w:val="Textpoznpodarou"/>
              <w:jc w:val="both"/>
              <w:rPr>
                <w:spacing w:val="-4"/>
              </w:rPr>
            </w:pPr>
          </w:p>
        </w:tc>
        <w:tc>
          <w:tcPr>
            <w:tcW w:w="7720" w:type="dxa"/>
            <w:shd w:val="clear" w:color="auto" w:fill="auto"/>
            <w:tcMar>
              <w:left w:w="0" w:type="dxa"/>
            </w:tcMar>
          </w:tcPr>
          <w:p w14:paraId="3047CE7C" w14:textId="77777777" w:rsidR="00144108" w:rsidRPr="0038388C" w:rsidRDefault="00144108" w:rsidP="008E039E">
            <w:pPr>
              <w:spacing w:after="180"/>
              <w:rPr>
                <w:color w:val="0D0D0D" w:themeColor="text1" w:themeTint="F2"/>
                <w:szCs w:val="20"/>
              </w:rPr>
            </w:pPr>
            <w:r w:rsidRPr="004D1FA4">
              <w:rPr>
                <w:bCs/>
                <w:color w:val="0D0D0D" w:themeColor="text1" w:themeTint="F2"/>
                <w:szCs w:val="20"/>
              </w:rPr>
              <w:t>Kapitálové výdaje</w:t>
            </w:r>
            <w:r>
              <w:rPr>
                <w:color w:val="0D0D0D" w:themeColor="text1" w:themeTint="F2"/>
                <w:szCs w:val="20"/>
              </w:rPr>
              <w:t xml:space="preserve"> </w:t>
            </w:r>
            <w:r w:rsidRPr="004D1FA4">
              <w:rPr>
                <w:color w:val="0D0D0D" w:themeColor="text1" w:themeTint="F2"/>
                <w:szCs w:val="20"/>
              </w:rPr>
              <w:t>dosáhly</w:t>
            </w:r>
            <w:r w:rsidRPr="00760059">
              <w:rPr>
                <w:color w:val="0D0D0D" w:themeColor="text1" w:themeTint="F2"/>
                <w:szCs w:val="20"/>
              </w:rPr>
              <w:t xml:space="preserve"> </w:t>
            </w:r>
            <w:r>
              <w:rPr>
                <w:color w:val="0D0D0D" w:themeColor="text1" w:themeTint="F2"/>
                <w:szCs w:val="20"/>
              </w:rPr>
              <w:t>loni rekordních 177,4 mld. korun a meziročně posílily o 2,8</w:t>
            </w:r>
            <w:r>
              <w:rPr>
                <w:color w:val="0D0D0D" w:themeColor="text1" w:themeTint="F2"/>
                <w:spacing w:val="-5"/>
              </w:rPr>
              <w:t> </w:t>
            </w:r>
            <w:r>
              <w:rPr>
                <w:color w:val="0D0D0D" w:themeColor="text1" w:themeTint="F2"/>
                <w:szCs w:val="20"/>
              </w:rPr>
              <w:t>%. I přes rychlé čerpání ke konci roku zůstaly okolo 6 % za rozpočtovým očekáváním. To souvisí s pomalejší realizací projektů v oblasti dopravy, územního rozvoje, sportu a </w:t>
            </w:r>
            <w:r w:rsidRPr="00760059">
              <w:rPr>
                <w:color w:val="0D0D0D" w:themeColor="text1" w:themeTint="F2"/>
                <w:szCs w:val="20"/>
              </w:rPr>
              <w:t>kultury</w:t>
            </w:r>
            <w:r>
              <w:rPr>
                <w:color w:val="0D0D0D" w:themeColor="text1" w:themeTint="F2"/>
                <w:szCs w:val="20"/>
              </w:rPr>
              <w:t xml:space="preserve">. Více než třetina investic směřovala do </w:t>
            </w:r>
            <w:r w:rsidRPr="00760059">
              <w:rPr>
                <w:color w:val="0D0D0D" w:themeColor="text1" w:themeTint="F2"/>
                <w:szCs w:val="20"/>
              </w:rPr>
              <w:t>Státní</w:t>
            </w:r>
            <w:r>
              <w:rPr>
                <w:color w:val="0D0D0D" w:themeColor="text1" w:themeTint="F2"/>
                <w:szCs w:val="20"/>
              </w:rPr>
              <w:t>ho</w:t>
            </w:r>
            <w:r w:rsidRPr="00760059">
              <w:rPr>
                <w:color w:val="0D0D0D" w:themeColor="text1" w:themeTint="F2"/>
                <w:szCs w:val="20"/>
              </w:rPr>
              <w:t xml:space="preserve"> fondu do</w:t>
            </w:r>
            <w:r>
              <w:rPr>
                <w:color w:val="0D0D0D" w:themeColor="text1" w:themeTint="F2"/>
                <w:szCs w:val="20"/>
              </w:rPr>
              <w:t xml:space="preserve">pravní infrastruktury. Jeho rozpočet byl touto formou meziročně posílen o 3,5 mld. korun, což společně </w:t>
            </w:r>
            <w:r>
              <w:rPr>
                <w:color w:val="0D0D0D" w:themeColor="text1" w:themeTint="F2"/>
                <w:szCs w:val="20"/>
              </w:rPr>
              <w:lastRenderedPageBreak/>
              <w:t xml:space="preserve">s vyššími vlastními příjmy (z výběru </w:t>
            </w:r>
            <w:r w:rsidRPr="009C284F">
              <w:rPr>
                <w:color w:val="0D0D0D" w:themeColor="text1" w:themeTint="F2"/>
                <w:szCs w:val="20"/>
              </w:rPr>
              <w:t xml:space="preserve">mýta) vedlo k mírnému </w:t>
            </w:r>
            <w:r>
              <w:rPr>
                <w:color w:val="0D0D0D" w:themeColor="text1" w:themeTint="F2"/>
                <w:szCs w:val="20"/>
              </w:rPr>
              <w:t>posílení výdajů Fondu na dopravu. Podíl investic na celkových výdajích SR zůstal loni na podobné výši jako v roce 2020 (9,3 %) a ani od dlouhodobého průměru se významně neodchyloval.</w:t>
            </w:r>
          </w:p>
        </w:tc>
      </w:tr>
      <w:tr w:rsidR="00144108" w:rsidRPr="00343AC1" w14:paraId="6BE8E008" w14:textId="77777777" w:rsidTr="008E039E">
        <w:trPr>
          <w:trHeight w:val="170"/>
        </w:trPr>
        <w:tc>
          <w:tcPr>
            <w:tcW w:w="1732" w:type="dxa"/>
            <w:shd w:val="clear" w:color="auto" w:fill="auto"/>
            <w:tcMar>
              <w:left w:w="0" w:type="dxa"/>
            </w:tcMar>
          </w:tcPr>
          <w:p w14:paraId="3A902ABA" w14:textId="77777777" w:rsidR="00144108" w:rsidRDefault="00144108" w:rsidP="008E039E">
            <w:pPr>
              <w:pStyle w:val="Marginlie"/>
            </w:pPr>
            <w:r w:rsidRPr="005C7C48">
              <w:lastRenderedPageBreak/>
              <w:t>Dynamický růst státního dluhu druhým rokem v řadě pokračoval. Výdaje na</w:t>
            </w:r>
            <w:r>
              <w:t xml:space="preserve"> obsluhu </w:t>
            </w:r>
            <w:r w:rsidRPr="005C7C48">
              <w:t xml:space="preserve">dluhu </w:t>
            </w:r>
            <w:r>
              <w:t xml:space="preserve">však </w:t>
            </w:r>
            <w:r w:rsidRPr="005C7C48">
              <w:t>zatím významně nerostly.</w:t>
            </w:r>
          </w:p>
        </w:tc>
        <w:tc>
          <w:tcPr>
            <w:tcW w:w="217" w:type="dxa"/>
            <w:shd w:val="clear" w:color="auto" w:fill="auto"/>
            <w:tcMar>
              <w:left w:w="0" w:type="dxa"/>
            </w:tcMar>
          </w:tcPr>
          <w:p w14:paraId="47C3FDA8" w14:textId="77777777" w:rsidR="00144108" w:rsidRPr="009C284F" w:rsidRDefault="00144108" w:rsidP="008E039E">
            <w:pPr>
              <w:pStyle w:val="Textpoznpodarou"/>
              <w:jc w:val="both"/>
              <w:rPr>
                <w:color w:val="0D0D0D" w:themeColor="text1" w:themeTint="F2"/>
                <w:spacing w:val="-4"/>
              </w:rPr>
            </w:pPr>
          </w:p>
        </w:tc>
        <w:tc>
          <w:tcPr>
            <w:tcW w:w="7720" w:type="dxa"/>
            <w:shd w:val="clear" w:color="auto" w:fill="auto"/>
            <w:tcMar>
              <w:left w:w="0" w:type="dxa"/>
            </w:tcMar>
          </w:tcPr>
          <w:p w14:paraId="44E6F8F0" w14:textId="77777777" w:rsidR="00144108" w:rsidRPr="0087093E" w:rsidRDefault="00144108" w:rsidP="008E039E">
            <w:pPr>
              <w:spacing w:after="180"/>
              <w:rPr>
                <w:color w:val="0D0D0D" w:themeColor="text1" w:themeTint="F2"/>
                <w:spacing w:val="-5"/>
              </w:rPr>
            </w:pPr>
            <w:r w:rsidRPr="0087093E">
              <w:rPr>
                <w:color w:val="0D0D0D" w:themeColor="text1" w:themeTint="F2"/>
                <w:spacing w:val="-5"/>
              </w:rPr>
              <w:t>Silně rostoucí potřeba financování vázaná na nutnost pokrytí krizového schodku SR vyústila během pandemického období v akceleraci státního dluhu. Ten činil na konci loňského prosince 2 466 mld. korun a od ledna 2021 vystoupal o 416 mld., tedy srovnatelně jako za rok 2020. Celkový nárůst dluhu za oba pandemické roky byl o necelých 40 mld. korun vyšší než rozpočtové schodky. Nárůst dluhu byl z drtivé části financován prostřednictvím domácích dluhopisů. Jejich celkový objem se za rok 2021 navýšil o 22 % (za dva roky o 60 %), na konci prosince činil 2 292 mld. korun. Mezi držiteli dluhopisů stále více dominovaly domácí finanční instituce, podíl nerezidentů se naopak mezi roky 2019 a 2021 snížil ze 40,6 % na 26,5 %. Podíl vnějšího dluhu na celkové zadluženosti dál klesal, především díky splátkám zahraničních dluhopisů. Čisté výdaje na obsluhu státního dluhu</w:t>
            </w:r>
            <w:r w:rsidRPr="0087093E">
              <w:rPr>
                <w:rStyle w:val="Znakapoznpodarou"/>
                <w:color w:val="0D0D0D" w:themeColor="text1" w:themeTint="F2"/>
                <w:spacing w:val="-5"/>
              </w:rPr>
              <w:footnoteReference w:id="100"/>
            </w:r>
            <w:r w:rsidRPr="0087093E">
              <w:rPr>
                <w:color w:val="0D0D0D" w:themeColor="text1" w:themeTint="F2"/>
                <w:spacing w:val="-5"/>
              </w:rPr>
              <w:t xml:space="preserve"> loni i vlivem zvyšujících se úrokových sazeb tuzemských státních dluhopisů meziročně mírně vzrostly (o 5,2 %) na 42,2 mld. korun. Výdaje v posledních šesti letech oscilovaly okolo 40 mld. korun.</w:t>
            </w:r>
          </w:p>
        </w:tc>
      </w:tr>
      <w:tr w:rsidR="00144108" w:rsidRPr="00E65CA0" w14:paraId="7CC43DE9" w14:textId="77777777" w:rsidTr="008E039E">
        <w:trPr>
          <w:trHeight w:val="170"/>
        </w:trPr>
        <w:tc>
          <w:tcPr>
            <w:tcW w:w="1732" w:type="dxa"/>
            <w:shd w:val="clear" w:color="auto" w:fill="auto"/>
            <w:tcMar>
              <w:left w:w="0" w:type="dxa"/>
            </w:tcMar>
          </w:tcPr>
          <w:p w14:paraId="5FE792BB" w14:textId="77777777" w:rsidR="00144108" w:rsidRDefault="00144108" w:rsidP="008E039E">
            <w:pPr>
              <w:pStyle w:val="Marginlie"/>
            </w:pPr>
            <w:r>
              <w:t>Hospodaření sektoru vládních institucí (VI) dosáhlo za tři čtvrtletí schodku 246 mld. korun.</w:t>
            </w:r>
          </w:p>
        </w:tc>
        <w:tc>
          <w:tcPr>
            <w:tcW w:w="217" w:type="dxa"/>
            <w:shd w:val="clear" w:color="auto" w:fill="auto"/>
            <w:tcMar>
              <w:left w:w="0" w:type="dxa"/>
            </w:tcMar>
          </w:tcPr>
          <w:p w14:paraId="51F50BA4" w14:textId="77777777" w:rsidR="00144108" w:rsidRDefault="00144108" w:rsidP="008E039E">
            <w:pPr>
              <w:pStyle w:val="Textpoznpodarou"/>
              <w:jc w:val="both"/>
              <w:rPr>
                <w:spacing w:val="-4"/>
              </w:rPr>
            </w:pPr>
          </w:p>
        </w:tc>
        <w:tc>
          <w:tcPr>
            <w:tcW w:w="7720" w:type="dxa"/>
            <w:shd w:val="clear" w:color="auto" w:fill="auto"/>
            <w:tcMar>
              <w:left w:w="0" w:type="dxa"/>
            </w:tcMar>
          </w:tcPr>
          <w:p w14:paraId="40CC6826" w14:textId="19B14AAB" w:rsidR="00144108" w:rsidRPr="00703403" w:rsidRDefault="00144108" w:rsidP="008E039E">
            <w:pPr>
              <w:spacing w:after="180"/>
              <w:rPr>
                <w:spacing w:val="-4"/>
              </w:rPr>
            </w:pPr>
            <w:r w:rsidRPr="00720F42">
              <w:rPr>
                <w:color w:val="0D0D0D" w:themeColor="text1" w:themeTint="F2"/>
                <w:spacing w:val="-4"/>
              </w:rPr>
              <w:t xml:space="preserve">Sektor vládních institucí (VI) v ČR hospodařil </w:t>
            </w:r>
            <w:r>
              <w:rPr>
                <w:color w:val="0D0D0D" w:themeColor="text1" w:themeTint="F2"/>
                <w:spacing w:val="-4"/>
              </w:rPr>
              <w:t xml:space="preserve">v úhrnu </w:t>
            </w:r>
            <w:r w:rsidRPr="00720F42">
              <w:rPr>
                <w:color w:val="0D0D0D" w:themeColor="text1" w:themeTint="F2"/>
                <w:spacing w:val="-4"/>
              </w:rPr>
              <w:t>za tři čtvrtletí 2021</w:t>
            </w:r>
            <w:r w:rsidRPr="00720F42">
              <w:rPr>
                <w:rStyle w:val="Znakapoznpodarou"/>
                <w:color w:val="0D0D0D" w:themeColor="text1" w:themeTint="F2"/>
                <w:spacing w:val="-4"/>
              </w:rPr>
              <w:footnoteReference w:id="101"/>
            </w:r>
            <w:r>
              <w:rPr>
                <w:color w:val="0D0D0D" w:themeColor="text1" w:themeTint="F2"/>
                <w:spacing w:val="-4"/>
              </w:rPr>
              <w:t xml:space="preserve"> se schodkem 245,9 mld. korun, meziročně o 61,7</w:t>
            </w:r>
            <w:r w:rsidRPr="00720F42">
              <w:rPr>
                <w:color w:val="0D0D0D" w:themeColor="text1" w:themeTint="F2"/>
                <w:spacing w:val="-4"/>
              </w:rPr>
              <w:t> mld. hlubším.</w:t>
            </w:r>
            <w:r>
              <w:rPr>
                <w:spacing w:val="-4"/>
              </w:rPr>
              <w:t xml:space="preserve"> Růst celkových příjmů VI (6,0</w:t>
            </w:r>
            <w:r w:rsidRPr="009D20C8">
              <w:rPr>
                <w:spacing w:val="-4"/>
              </w:rPr>
              <w:t xml:space="preserve"> %) byl </w:t>
            </w:r>
            <w:r w:rsidRPr="00D20663">
              <w:rPr>
                <w:color w:val="0D0D0D" w:themeColor="text1" w:themeTint="F2"/>
                <w:spacing w:val="-4"/>
              </w:rPr>
              <w:t>zásadně ovlivněn p</w:t>
            </w:r>
            <w:r w:rsidRPr="00D20663">
              <w:rPr>
                <w:color w:val="0D0D0D" w:themeColor="text1" w:themeTint="F2"/>
              </w:rPr>
              <w:t xml:space="preserve">řijatými </w:t>
            </w:r>
            <w:r>
              <w:t xml:space="preserve">čistými sociálními příspěvky (+89,5 mld. korun), </w:t>
            </w:r>
            <w:r>
              <w:rPr>
                <w:spacing w:val="-4"/>
              </w:rPr>
              <w:t>neboť díky vládní stabilizační podpoře ekonomiky během pandemie nedošlo k významnějšímu poklesu zaměstnanosti.</w:t>
            </w:r>
            <w:r>
              <w:rPr>
                <w:color w:val="0D0D0D" w:themeColor="text1" w:themeTint="F2"/>
                <w:spacing w:val="-4"/>
              </w:rPr>
              <w:t xml:space="preserve"> </w:t>
            </w:r>
            <w:r w:rsidRPr="003B7A7A">
              <w:rPr>
                <w:color w:val="0D0D0D" w:themeColor="text1" w:themeTint="F2"/>
                <w:spacing w:val="-4"/>
              </w:rPr>
              <w:t xml:space="preserve">Meziročně vzrostl </w:t>
            </w:r>
            <w:r>
              <w:rPr>
                <w:color w:val="0D0D0D" w:themeColor="text1" w:themeTint="F2"/>
                <w:spacing w:val="-4"/>
              </w:rPr>
              <w:t>i </w:t>
            </w:r>
            <w:r w:rsidRPr="003B7A7A">
              <w:rPr>
                <w:color w:val="0D0D0D" w:themeColor="text1" w:themeTint="F2"/>
                <w:spacing w:val="-4"/>
              </w:rPr>
              <w:t>příjem z daní z výroby a z dovozu (+6,1</w:t>
            </w:r>
            <w:r>
              <w:rPr>
                <w:color w:val="0D0D0D" w:themeColor="text1" w:themeTint="F2"/>
                <w:spacing w:val="-4"/>
              </w:rPr>
              <w:t> %</w:t>
            </w:r>
            <w:r w:rsidRPr="003B7A7A">
              <w:rPr>
                <w:color w:val="0D0D0D" w:themeColor="text1" w:themeTint="F2"/>
                <w:spacing w:val="-4"/>
              </w:rPr>
              <w:t>) a</w:t>
            </w:r>
            <w:r>
              <w:rPr>
                <w:color w:val="0D0D0D" w:themeColor="text1" w:themeTint="F2"/>
                <w:spacing w:val="-4"/>
              </w:rPr>
              <w:t> </w:t>
            </w:r>
            <w:r w:rsidRPr="003B7A7A">
              <w:rPr>
                <w:color w:val="0D0D0D" w:themeColor="text1" w:themeTint="F2"/>
                <w:spacing w:val="-4"/>
              </w:rPr>
              <w:t xml:space="preserve">dorovnal se </w:t>
            </w:r>
            <w:r>
              <w:rPr>
                <w:color w:val="0D0D0D" w:themeColor="text1" w:themeTint="F2"/>
                <w:spacing w:val="-4"/>
              </w:rPr>
              <w:t xml:space="preserve">již </w:t>
            </w:r>
            <w:r w:rsidRPr="003B7A7A">
              <w:rPr>
                <w:color w:val="0D0D0D" w:themeColor="text1" w:themeTint="F2"/>
                <w:spacing w:val="-4"/>
              </w:rPr>
              <w:t>úrovni z</w:t>
            </w:r>
            <w:r>
              <w:rPr>
                <w:color w:val="0D0D0D" w:themeColor="text1" w:themeTint="F2"/>
                <w:spacing w:val="-4"/>
              </w:rPr>
              <w:t> 1. až 3. čtvrtletí</w:t>
            </w:r>
            <w:r w:rsidRPr="003B7A7A">
              <w:rPr>
                <w:color w:val="0D0D0D" w:themeColor="text1" w:themeTint="F2"/>
                <w:spacing w:val="-4"/>
              </w:rPr>
              <w:t xml:space="preserve"> 2019. </w:t>
            </w:r>
            <w:r w:rsidRPr="003B7A7A">
              <w:rPr>
                <w:color w:val="0D0D0D" w:themeColor="text1" w:themeTint="F2"/>
              </w:rPr>
              <w:t xml:space="preserve">Meziroční </w:t>
            </w:r>
            <w:r w:rsidRPr="003B7A7A">
              <w:rPr>
                <w:color w:val="0D0D0D" w:themeColor="text1" w:themeTint="F2"/>
                <w:spacing w:val="-4"/>
              </w:rPr>
              <w:t>růst celkových výdajů VI byl</w:t>
            </w:r>
            <w:r>
              <w:rPr>
                <w:color w:val="0D0D0D" w:themeColor="text1" w:themeTint="F2"/>
                <w:spacing w:val="-4"/>
              </w:rPr>
              <w:t xml:space="preserve"> za tři loňská</w:t>
            </w:r>
            <w:r w:rsidRPr="003B7A7A">
              <w:rPr>
                <w:color w:val="0D0D0D" w:themeColor="text1" w:themeTint="F2"/>
                <w:spacing w:val="-4"/>
              </w:rPr>
              <w:t xml:space="preserve"> </w:t>
            </w:r>
            <w:r>
              <w:rPr>
                <w:color w:val="0D0D0D" w:themeColor="text1" w:themeTint="F2"/>
                <w:spacing w:val="-4"/>
              </w:rPr>
              <w:t>čtvrt</w:t>
            </w:r>
            <w:r w:rsidRPr="003B7A7A">
              <w:rPr>
                <w:color w:val="0D0D0D" w:themeColor="text1" w:themeTint="F2"/>
                <w:spacing w:val="-4"/>
              </w:rPr>
              <w:t>letí navzdory svižnému tempu (8,7 %) nejnižší za čtyři roky.</w:t>
            </w:r>
            <w:r>
              <w:rPr>
                <w:color w:val="0D0D0D" w:themeColor="text1" w:themeTint="F2"/>
                <w:spacing w:val="-4"/>
              </w:rPr>
              <w:t xml:space="preserve"> Loňský růst byl tažen zejména vyššími </w:t>
            </w:r>
            <w:r>
              <w:rPr>
                <w:spacing w:val="-4"/>
              </w:rPr>
              <w:t>sociálními dávkami a</w:t>
            </w:r>
            <w:r w:rsidRPr="009D20C8">
              <w:rPr>
                <w:spacing w:val="-4"/>
              </w:rPr>
              <w:t> </w:t>
            </w:r>
            <w:r>
              <w:rPr>
                <w:spacing w:val="-4"/>
              </w:rPr>
              <w:t xml:space="preserve">naturálními sociálními transfery (+57,5 mld. korun), </w:t>
            </w:r>
            <w:r w:rsidR="00AC78F1">
              <w:rPr>
                <w:spacing w:val="-4"/>
              </w:rPr>
              <w:t>byť jejich růst oproti tempu z 1. až 3. čtvrtletí 2020</w:t>
            </w:r>
            <w:r>
              <w:rPr>
                <w:spacing w:val="-4"/>
              </w:rPr>
              <w:t xml:space="preserve"> zvolnil (na 7,8 %). Významný byl i příspěvek vyplacených dotací (+40,0 mld., šlo hlavně o pomoc zasaženým podnikům během pandemie) a náhrad zaměstnancům (+43,1 mld.), v nichž se významně projevilo </w:t>
            </w:r>
            <w:r>
              <w:t>vyplacení odměn zdravotníkům a dalším složkám podílejícím se na řešení pandemie.</w:t>
            </w:r>
          </w:p>
        </w:tc>
      </w:tr>
      <w:tr w:rsidR="00144108" w:rsidRPr="000D151F" w14:paraId="3730028C" w14:textId="77777777" w:rsidTr="008E039E">
        <w:trPr>
          <w:trHeight w:val="170"/>
        </w:trPr>
        <w:tc>
          <w:tcPr>
            <w:tcW w:w="1732" w:type="dxa"/>
            <w:shd w:val="clear" w:color="auto" w:fill="auto"/>
            <w:tcMar>
              <w:left w:w="0" w:type="dxa"/>
            </w:tcMar>
          </w:tcPr>
          <w:p w14:paraId="0F88181F" w14:textId="77777777" w:rsidR="00144108" w:rsidRPr="00551AB1" w:rsidRDefault="00144108" w:rsidP="008E039E">
            <w:pPr>
              <w:pStyle w:val="Marginlie"/>
              <w:rPr>
                <w:spacing w:val="0"/>
              </w:rPr>
            </w:pPr>
            <w:r w:rsidRPr="00551AB1">
              <w:rPr>
                <w:spacing w:val="0"/>
              </w:rPr>
              <w:t>Schodek hospodaření VI v EU se na rozdíl od</w:t>
            </w:r>
            <w:r>
              <w:rPr>
                <w:spacing w:val="0"/>
              </w:rPr>
              <w:t> </w:t>
            </w:r>
            <w:r w:rsidRPr="00551AB1">
              <w:rPr>
                <w:spacing w:val="0"/>
              </w:rPr>
              <w:t>ČR ve 3.</w:t>
            </w:r>
            <w:r>
              <w:rPr>
                <w:spacing w:val="0"/>
              </w:rPr>
              <w:t> čt</w:t>
            </w:r>
            <w:r w:rsidRPr="00551AB1">
              <w:rPr>
                <w:spacing w:val="0"/>
              </w:rPr>
              <w:t>vrtletí meziročně i mezi</w:t>
            </w:r>
            <w:r>
              <w:rPr>
                <w:spacing w:val="0"/>
              </w:rPr>
              <w:t>-</w:t>
            </w:r>
            <w:r w:rsidRPr="00551AB1">
              <w:rPr>
                <w:spacing w:val="0"/>
              </w:rPr>
              <w:t>kvartálně snížil.</w:t>
            </w:r>
          </w:p>
        </w:tc>
        <w:tc>
          <w:tcPr>
            <w:tcW w:w="217" w:type="dxa"/>
            <w:shd w:val="clear" w:color="auto" w:fill="auto"/>
            <w:tcMar>
              <w:left w:w="0" w:type="dxa"/>
            </w:tcMar>
          </w:tcPr>
          <w:p w14:paraId="73121621" w14:textId="77777777" w:rsidR="00144108" w:rsidRDefault="00144108" w:rsidP="008E039E">
            <w:pPr>
              <w:pStyle w:val="Textpoznpodarou"/>
              <w:jc w:val="both"/>
              <w:rPr>
                <w:spacing w:val="-4"/>
              </w:rPr>
            </w:pPr>
          </w:p>
        </w:tc>
        <w:tc>
          <w:tcPr>
            <w:tcW w:w="7720" w:type="dxa"/>
            <w:shd w:val="clear" w:color="auto" w:fill="auto"/>
            <w:tcMar>
              <w:left w:w="0" w:type="dxa"/>
            </w:tcMar>
          </w:tcPr>
          <w:p w14:paraId="17E7EB06" w14:textId="77777777" w:rsidR="00144108" w:rsidRPr="00703403" w:rsidRDefault="00144108" w:rsidP="008E039E">
            <w:pPr>
              <w:spacing w:after="180"/>
              <w:rPr>
                <w:color w:val="0D0D0D" w:themeColor="text1" w:themeTint="F2"/>
                <w:spacing w:val="-4"/>
              </w:rPr>
            </w:pPr>
            <w:r w:rsidRPr="00703403">
              <w:rPr>
                <w:color w:val="0D0D0D" w:themeColor="text1" w:themeTint="F2"/>
                <w:spacing w:val="-4"/>
              </w:rPr>
              <w:t xml:space="preserve">Sezónně očištěné saldo hospodaření VI </w:t>
            </w:r>
            <w:r>
              <w:rPr>
                <w:color w:val="0D0D0D" w:themeColor="text1" w:themeTint="F2"/>
                <w:spacing w:val="-4"/>
              </w:rPr>
              <w:t xml:space="preserve">v ČR </w:t>
            </w:r>
            <w:r w:rsidRPr="00703403">
              <w:rPr>
                <w:color w:val="0D0D0D" w:themeColor="text1" w:themeTint="F2"/>
                <w:spacing w:val="-4"/>
              </w:rPr>
              <w:t>činilo</w:t>
            </w:r>
            <w:r>
              <w:rPr>
                <w:color w:val="0D0D0D" w:themeColor="text1" w:themeTint="F2"/>
                <w:spacing w:val="-4"/>
              </w:rPr>
              <w:t xml:space="preserve"> loni</w:t>
            </w:r>
            <w:r w:rsidRPr="00703403">
              <w:rPr>
                <w:color w:val="0D0D0D" w:themeColor="text1" w:themeTint="F2"/>
                <w:spacing w:val="-4"/>
              </w:rPr>
              <w:t xml:space="preserve"> </w:t>
            </w:r>
            <w:r>
              <w:rPr>
                <w:color w:val="0D0D0D" w:themeColor="text1" w:themeTint="F2"/>
                <w:spacing w:val="-4"/>
              </w:rPr>
              <w:t>ve 3</w:t>
            </w:r>
            <w:r w:rsidRPr="00703403">
              <w:rPr>
                <w:color w:val="0D0D0D" w:themeColor="text1" w:themeTint="F2"/>
                <w:spacing w:val="-4"/>
              </w:rPr>
              <w:t>. čtvrtletí –</w:t>
            </w:r>
            <w:r>
              <w:rPr>
                <w:color w:val="0D0D0D" w:themeColor="text1" w:themeTint="F2"/>
                <w:spacing w:val="-4"/>
              </w:rPr>
              <w:t>6,0</w:t>
            </w:r>
            <w:r w:rsidRPr="00703403">
              <w:rPr>
                <w:color w:val="0D0D0D" w:themeColor="text1" w:themeTint="F2"/>
                <w:spacing w:val="-4"/>
              </w:rPr>
              <w:t> %</w:t>
            </w:r>
            <w:r>
              <w:rPr>
                <w:color w:val="0D0D0D" w:themeColor="text1" w:themeTint="F2"/>
                <w:spacing w:val="-4"/>
              </w:rPr>
              <w:t> </w:t>
            </w:r>
            <w:r w:rsidRPr="00703403">
              <w:rPr>
                <w:color w:val="0D0D0D" w:themeColor="text1" w:themeTint="F2"/>
                <w:spacing w:val="-4"/>
              </w:rPr>
              <w:t>H</w:t>
            </w:r>
            <w:r>
              <w:rPr>
                <w:color w:val="0D0D0D" w:themeColor="text1" w:themeTint="F2"/>
                <w:spacing w:val="-4"/>
              </w:rPr>
              <w:t>DP, což znamenalo mírné zhoršení jak ve vztahu k předchozímu čtvrtletí, tak v meziročním srovnání (shodně o 0,6 p. b.). Naopak v EU se loňské zlepšení pandemické situace již promítlo do schodku VI pozitivně. Zatímco ten ve 4. čtvrtletí 2020 čítal 7,3 % HDP, ve 3.</w:t>
            </w:r>
            <w:r w:rsidRPr="00703403">
              <w:rPr>
                <w:color w:val="0D0D0D" w:themeColor="text1" w:themeTint="F2"/>
                <w:spacing w:val="-4"/>
              </w:rPr>
              <w:t> </w:t>
            </w:r>
            <w:r>
              <w:rPr>
                <w:color w:val="0D0D0D" w:themeColor="text1" w:themeTint="F2"/>
                <w:spacing w:val="-4"/>
              </w:rPr>
              <w:t>čtvrtletí následujícího roku „jen“ 3,7 % HDP, když hlubší schodek než Česko měly jen Belgie, Rumunsko, Španělsko a Malta (v rozmezí 6,6 % až 8,1 % HDP)</w:t>
            </w:r>
            <w:r>
              <w:rPr>
                <w:rStyle w:val="Znakapoznpodarou"/>
                <w:spacing w:val="-4"/>
              </w:rPr>
              <w:footnoteReference w:id="102"/>
            </w:r>
            <w:r>
              <w:rPr>
                <w:color w:val="0D0D0D" w:themeColor="text1" w:themeTint="F2"/>
                <w:spacing w:val="-4"/>
              </w:rPr>
              <w:t>.</w:t>
            </w:r>
            <w:r>
              <w:rPr>
                <w:spacing w:val="-4"/>
              </w:rPr>
              <w:t xml:space="preserve"> Naopak s přebytkem hospodařil loni ve </w:t>
            </w:r>
            <w:r>
              <w:rPr>
                <w:color w:val="0D0D0D" w:themeColor="text1" w:themeTint="F2"/>
                <w:spacing w:val="-4"/>
              </w:rPr>
              <w:t>3</w:t>
            </w:r>
            <w:r w:rsidRPr="00703403">
              <w:rPr>
                <w:color w:val="0D0D0D" w:themeColor="text1" w:themeTint="F2"/>
                <w:spacing w:val="-4"/>
              </w:rPr>
              <w:t xml:space="preserve">. čtvrtletí </w:t>
            </w:r>
            <w:r>
              <w:rPr>
                <w:spacing w:val="-4"/>
              </w:rPr>
              <w:t>vládní sektor jen v Dánsku (2,7 % HDP), kde však v předkrizovém roce 2019 vykazoval ještě významnější přebytky.</w:t>
            </w:r>
          </w:p>
        </w:tc>
      </w:tr>
      <w:tr w:rsidR="00144108" w:rsidRPr="000D151F" w14:paraId="1EB0950A" w14:textId="77777777" w:rsidTr="008E039E">
        <w:trPr>
          <w:trHeight w:val="170"/>
        </w:trPr>
        <w:tc>
          <w:tcPr>
            <w:tcW w:w="1732" w:type="dxa"/>
            <w:shd w:val="clear" w:color="auto" w:fill="auto"/>
            <w:tcMar>
              <w:left w:w="0" w:type="dxa"/>
            </w:tcMar>
          </w:tcPr>
          <w:p w14:paraId="47DE85A2" w14:textId="77777777" w:rsidR="00144108" w:rsidRDefault="00144108" w:rsidP="008E039E">
            <w:pPr>
              <w:pStyle w:val="Marginlie"/>
            </w:pPr>
            <w:r>
              <w:t>Meziroční růst míry zadlužení VI v ČR byl významně tlumen nominálním zvýšením HDP.</w:t>
            </w:r>
          </w:p>
          <w:p w14:paraId="3EB96A59" w14:textId="77777777" w:rsidR="00144108" w:rsidRDefault="00144108" w:rsidP="008E039E">
            <w:pPr>
              <w:pStyle w:val="Marginlie"/>
            </w:pPr>
          </w:p>
          <w:p w14:paraId="6A31B1A5" w14:textId="77777777" w:rsidR="00144108" w:rsidRDefault="00144108" w:rsidP="008E039E">
            <w:pPr>
              <w:pStyle w:val="Marginlie"/>
            </w:pPr>
          </w:p>
          <w:p w14:paraId="0F78F491" w14:textId="77777777" w:rsidR="00144108" w:rsidRDefault="00144108" w:rsidP="008E039E">
            <w:pPr>
              <w:pStyle w:val="Marginlie"/>
            </w:pPr>
            <w:r>
              <w:t>Oproti konci roku 2019 byl kumulativní nárůst zadlužení v ČR srovnatelný s Polskem či Německem.</w:t>
            </w:r>
          </w:p>
        </w:tc>
        <w:tc>
          <w:tcPr>
            <w:tcW w:w="217" w:type="dxa"/>
            <w:shd w:val="clear" w:color="auto" w:fill="auto"/>
            <w:tcMar>
              <w:left w:w="0" w:type="dxa"/>
            </w:tcMar>
          </w:tcPr>
          <w:p w14:paraId="2E4B0830" w14:textId="77777777" w:rsidR="00144108" w:rsidRDefault="00144108" w:rsidP="008E039E">
            <w:pPr>
              <w:pStyle w:val="Textpoznpodarou"/>
              <w:jc w:val="both"/>
              <w:rPr>
                <w:spacing w:val="-4"/>
              </w:rPr>
            </w:pPr>
          </w:p>
        </w:tc>
        <w:tc>
          <w:tcPr>
            <w:tcW w:w="7720" w:type="dxa"/>
            <w:shd w:val="clear" w:color="auto" w:fill="auto"/>
            <w:tcMar>
              <w:left w:w="0" w:type="dxa"/>
            </w:tcMar>
          </w:tcPr>
          <w:p w14:paraId="0F85E50B" w14:textId="77777777" w:rsidR="00144108" w:rsidRPr="00D1491B" w:rsidRDefault="00144108" w:rsidP="008E039E">
            <w:pPr>
              <w:spacing w:after="0"/>
              <w:rPr>
                <w:color w:val="0D0D0D" w:themeColor="text1" w:themeTint="F2"/>
                <w:spacing w:val="-5"/>
              </w:rPr>
            </w:pPr>
            <w:r w:rsidRPr="00D1491B">
              <w:rPr>
                <w:color w:val="0D0D0D" w:themeColor="text1" w:themeTint="F2"/>
                <w:spacing w:val="-5"/>
              </w:rPr>
              <w:t>Nominální dluh VI v ČR dosáhl loni na konci 3. čtvrtletí 2 432,9 mld. korun, meziročně o 260,0</w:t>
            </w:r>
            <w:r>
              <w:rPr>
                <w:color w:val="0D0D0D" w:themeColor="text1" w:themeTint="F2"/>
                <w:spacing w:val="-5"/>
              </w:rPr>
              <w:t> mld</w:t>
            </w:r>
            <w:r w:rsidRPr="00D1491B">
              <w:rPr>
                <w:color w:val="0D0D0D" w:themeColor="text1" w:themeTint="F2"/>
                <w:spacing w:val="-5"/>
              </w:rPr>
              <w:t>. více. Míra zadlužení za poslední rok analogicky narostla ze 38,1</w:t>
            </w:r>
            <w:r>
              <w:rPr>
                <w:color w:val="0D0D0D" w:themeColor="text1" w:themeTint="F2"/>
                <w:spacing w:val="-5"/>
              </w:rPr>
              <w:t> %</w:t>
            </w:r>
            <w:r w:rsidRPr="00D1491B">
              <w:rPr>
                <w:color w:val="0D0D0D" w:themeColor="text1" w:themeTint="F2"/>
                <w:spacing w:val="-5"/>
              </w:rPr>
              <w:t xml:space="preserve"> na 40,5</w:t>
            </w:r>
            <w:r>
              <w:rPr>
                <w:color w:val="0D0D0D" w:themeColor="text1" w:themeTint="F2"/>
                <w:spacing w:val="-5"/>
              </w:rPr>
              <w:t> % </w:t>
            </w:r>
            <w:r w:rsidRPr="00D1491B">
              <w:rPr>
                <w:color w:val="0D0D0D" w:themeColor="text1" w:themeTint="F2"/>
                <w:spacing w:val="-5"/>
              </w:rPr>
              <w:t xml:space="preserve">HDP. </w:t>
            </w:r>
            <w:r>
              <w:rPr>
                <w:color w:val="0D0D0D" w:themeColor="text1" w:themeTint="F2"/>
                <w:spacing w:val="-5"/>
              </w:rPr>
              <w:t>Růst zadluženosti byl</w:t>
            </w:r>
            <w:r w:rsidRPr="00D1491B">
              <w:rPr>
                <w:color w:val="0D0D0D" w:themeColor="text1" w:themeTint="F2"/>
                <w:spacing w:val="-5"/>
              </w:rPr>
              <w:t xml:space="preserve"> tlumen svižným nominálním posílením HDP (příspěvek </w:t>
            </w:r>
            <w:r>
              <w:rPr>
                <w:color w:val="0D0D0D" w:themeColor="text1" w:themeTint="F2"/>
                <w:spacing w:val="-5"/>
              </w:rPr>
              <w:br/>
            </w:r>
            <w:r w:rsidRPr="00D1491B">
              <w:rPr>
                <w:color w:val="0D0D0D" w:themeColor="text1" w:themeTint="F2"/>
                <w:spacing w:val="-5"/>
              </w:rPr>
              <w:t>–1,9 p. b.). Míra zadlužení</w:t>
            </w:r>
            <w:r>
              <w:rPr>
                <w:color w:val="0D0D0D" w:themeColor="text1" w:themeTint="F2"/>
                <w:spacing w:val="-5"/>
              </w:rPr>
              <w:t> </w:t>
            </w:r>
            <w:r w:rsidRPr="00D1491B">
              <w:rPr>
                <w:color w:val="0D0D0D" w:themeColor="text1" w:themeTint="F2"/>
                <w:spacing w:val="-5"/>
              </w:rPr>
              <w:t>VI v EU čítala ve 3.</w:t>
            </w:r>
            <w:r>
              <w:rPr>
                <w:color w:val="0D0D0D" w:themeColor="text1" w:themeTint="F2"/>
                <w:spacing w:val="-5"/>
              </w:rPr>
              <w:t> čt</w:t>
            </w:r>
            <w:r w:rsidRPr="00D1491B">
              <w:rPr>
                <w:color w:val="0D0D0D" w:themeColor="text1" w:themeTint="F2"/>
                <w:spacing w:val="-5"/>
              </w:rPr>
              <w:t>vrtletí 90,1</w:t>
            </w:r>
            <w:r>
              <w:rPr>
                <w:color w:val="0D0D0D" w:themeColor="text1" w:themeTint="F2"/>
                <w:spacing w:val="-5"/>
              </w:rPr>
              <w:t> </w:t>
            </w:r>
            <w:r w:rsidRPr="00D1491B">
              <w:rPr>
                <w:color w:val="0D0D0D" w:themeColor="text1" w:themeTint="F2"/>
                <w:spacing w:val="-5"/>
              </w:rPr>
              <w:t>%</w:t>
            </w:r>
            <w:r>
              <w:rPr>
                <w:color w:val="0D0D0D" w:themeColor="text1" w:themeTint="F2"/>
                <w:spacing w:val="-5"/>
              </w:rPr>
              <w:t> </w:t>
            </w:r>
            <w:r w:rsidRPr="00D1491B">
              <w:rPr>
                <w:color w:val="0D0D0D" w:themeColor="text1" w:themeTint="F2"/>
                <w:spacing w:val="-5"/>
              </w:rPr>
              <w:t>HDP, v mezikvartálním pohledu se ale podruhé v řadě mírně snížila. Oproti konci roku 2019 míra zadlužení narostla ve všech státech Unie, nejvíce v zemích jižního křídla eurozóny (např. ve Španělsku z 95,5</w:t>
            </w:r>
            <w:r>
              <w:rPr>
                <w:color w:val="0D0D0D" w:themeColor="text1" w:themeTint="F2"/>
                <w:spacing w:val="-5"/>
              </w:rPr>
              <w:t> %</w:t>
            </w:r>
            <w:r w:rsidRPr="00D1491B">
              <w:rPr>
                <w:color w:val="0D0D0D" w:themeColor="text1" w:themeTint="F2"/>
                <w:spacing w:val="-5"/>
              </w:rPr>
              <w:t xml:space="preserve"> na 121,8</w:t>
            </w:r>
            <w:r>
              <w:rPr>
                <w:color w:val="0D0D0D" w:themeColor="text1" w:themeTint="F2"/>
                <w:spacing w:val="-5"/>
              </w:rPr>
              <w:t> % </w:t>
            </w:r>
            <w:r w:rsidRPr="00D1491B">
              <w:rPr>
                <w:color w:val="0D0D0D" w:themeColor="text1" w:themeTint="F2"/>
                <w:spacing w:val="-5"/>
              </w:rPr>
              <w:t>HDP), které vyjma Malty patřily v tomto ohledu k nejpostiženějším ještě před vzplanutím pandemie. V</w:t>
            </w:r>
            <w:r>
              <w:rPr>
                <w:color w:val="0D0D0D" w:themeColor="text1" w:themeTint="F2"/>
                <w:spacing w:val="-5"/>
              </w:rPr>
              <w:t> </w:t>
            </w:r>
            <w:r w:rsidRPr="00D1491B">
              <w:rPr>
                <w:color w:val="0D0D0D" w:themeColor="text1" w:themeTint="F2"/>
                <w:spacing w:val="-5"/>
              </w:rPr>
              <w:t>celé</w:t>
            </w:r>
            <w:r>
              <w:rPr>
                <w:color w:val="0D0D0D" w:themeColor="text1" w:themeTint="F2"/>
                <w:spacing w:val="-5"/>
              </w:rPr>
              <w:t> </w:t>
            </w:r>
            <w:r w:rsidRPr="00D1491B">
              <w:rPr>
                <w:color w:val="0D0D0D" w:themeColor="text1" w:themeTint="F2"/>
                <w:spacing w:val="-5"/>
              </w:rPr>
              <w:t>EU činil tento nárůst 12,9</w:t>
            </w:r>
            <w:r>
              <w:rPr>
                <w:color w:val="0D0D0D" w:themeColor="text1" w:themeTint="F2"/>
                <w:spacing w:val="-5"/>
              </w:rPr>
              <w:t> p. </w:t>
            </w:r>
            <w:r w:rsidRPr="00D1491B">
              <w:rPr>
                <w:color w:val="0D0D0D" w:themeColor="text1" w:themeTint="F2"/>
                <w:spacing w:val="-5"/>
              </w:rPr>
              <w:t>b., v ČR o</w:t>
            </w:r>
            <w:r>
              <w:rPr>
                <w:color w:val="0D0D0D" w:themeColor="text1" w:themeTint="F2"/>
                <w:spacing w:val="-5"/>
              </w:rPr>
              <w:t> </w:t>
            </w:r>
            <w:r w:rsidRPr="00D1491B">
              <w:rPr>
                <w:color w:val="0D0D0D" w:themeColor="text1" w:themeTint="F2"/>
                <w:spacing w:val="-5"/>
              </w:rPr>
              <w:t>10,5</w:t>
            </w:r>
            <w:r>
              <w:rPr>
                <w:color w:val="0D0D0D" w:themeColor="text1" w:themeTint="F2"/>
                <w:spacing w:val="-5"/>
              </w:rPr>
              <w:t> p. </w:t>
            </w:r>
            <w:r w:rsidRPr="00D1491B">
              <w:rPr>
                <w:color w:val="0D0D0D" w:themeColor="text1" w:themeTint="F2"/>
                <w:spacing w:val="-5"/>
              </w:rPr>
              <w:t>b. – podobně jako v Německu či Polsku. Jen minimální zhoršení vykázal</w:t>
            </w:r>
            <w:r>
              <w:rPr>
                <w:color w:val="0D0D0D" w:themeColor="text1" w:themeTint="F2"/>
                <w:spacing w:val="-5"/>
              </w:rPr>
              <w:t>y</w:t>
            </w:r>
            <w:r w:rsidRPr="00D1491B">
              <w:rPr>
                <w:color w:val="0D0D0D" w:themeColor="text1" w:themeTint="F2"/>
                <w:spacing w:val="-5"/>
              </w:rPr>
              <w:t xml:space="preserve"> Irsko (o 0,4 p. b.) a</w:t>
            </w:r>
            <w:r>
              <w:rPr>
                <w:color w:val="0D0D0D" w:themeColor="text1" w:themeTint="F2"/>
                <w:spacing w:val="-5"/>
              </w:rPr>
              <w:t> </w:t>
            </w:r>
            <w:r w:rsidRPr="00D1491B">
              <w:rPr>
                <w:color w:val="0D0D0D" w:themeColor="text1" w:themeTint="F2"/>
                <w:spacing w:val="-5"/>
              </w:rPr>
              <w:t>Švédsko (</w:t>
            </w:r>
            <w:r>
              <w:rPr>
                <w:color w:val="0D0D0D" w:themeColor="text1" w:themeTint="F2"/>
                <w:spacing w:val="-5"/>
              </w:rPr>
              <w:t>o </w:t>
            </w:r>
            <w:r w:rsidRPr="00D1491B">
              <w:rPr>
                <w:color w:val="0D0D0D" w:themeColor="text1" w:themeTint="F2"/>
                <w:spacing w:val="-5"/>
              </w:rPr>
              <w:t>1,2</w:t>
            </w:r>
            <w:r>
              <w:rPr>
                <w:color w:val="0D0D0D" w:themeColor="text1" w:themeTint="F2"/>
                <w:spacing w:val="-5"/>
              </w:rPr>
              <w:t> p. </w:t>
            </w:r>
            <w:r w:rsidRPr="00D1491B">
              <w:rPr>
                <w:color w:val="0D0D0D" w:themeColor="text1" w:themeTint="F2"/>
                <w:spacing w:val="-5"/>
              </w:rPr>
              <w:t>b.) a spolu s da</w:t>
            </w:r>
            <w:r>
              <w:rPr>
                <w:color w:val="0D0D0D" w:themeColor="text1" w:themeTint="F2"/>
                <w:spacing w:val="-5"/>
              </w:rPr>
              <w:t>lšími jedenácti</w:t>
            </w:r>
            <w:r w:rsidRPr="00D1491B">
              <w:rPr>
                <w:color w:val="0D0D0D" w:themeColor="text1" w:themeTint="F2"/>
                <w:spacing w:val="-5"/>
              </w:rPr>
              <w:t xml:space="preserve"> státy EU držely </w:t>
            </w:r>
            <w:r>
              <w:rPr>
                <w:color w:val="0D0D0D" w:themeColor="text1" w:themeTint="F2"/>
                <w:spacing w:val="-5"/>
              </w:rPr>
              <w:t xml:space="preserve">svou </w:t>
            </w:r>
            <w:r w:rsidRPr="00D1491B">
              <w:rPr>
                <w:color w:val="0D0D0D" w:themeColor="text1" w:themeTint="F2"/>
                <w:spacing w:val="-5"/>
              </w:rPr>
              <w:t>zadluženost pod 60 % HDP.</w:t>
            </w:r>
          </w:p>
        </w:tc>
      </w:tr>
    </w:tbl>
    <w:p w14:paraId="5BAB8EA3" w14:textId="0FD9E887" w:rsidR="000663F0" w:rsidRPr="00E42054" w:rsidRDefault="000663F0" w:rsidP="00AB3BA7">
      <w:pPr>
        <w:pStyle w:val="Nadpis11"/>
        <w:rPr>
          <w:b w:val="0"/>
          <w:sz w:val="2"/>
          <w:szCs w:val="2"/>
        </w:rPr>
      </w:pPr>
    </w:p>
    <w:sectPr w:rsidR="000663F0" w:rsidRPr="00E42054" w:rsidSect="00A03B10">
      <w:headerReference w:type="even" r:id="rId28"/>
      <w:headerReference w:type="default" r:id="rId29"/>
      <w:footerReference w:type="even" r:id="rId30"/>
      <w:footerReference w:type="default" r:id="rId31"/>
      <w:pgSz w:w="11906" w:h="16838" w:code="9"/>
      <w:pgMar w:top="1134" w:right="1134" w:bottom="1418" w:left="1134" w:header="680" w:footer="7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05233" w16cex:dateUtc="2021-12-12T09:49:00Z"/>
  <w16cex:commentExtensible w16cex:durableId="25605965" w16cex:dateUtc="2021-12-12T10:20:00Z"/>
  <w16cex:commentExtensible w16cex:durableId="256059E5" w16cex:dateUtc="2021-12-12T10:22:00Z"/>
  <w16cex:commentExtensible w16cex:durableId="255E05D5" w16cex:dateUtc="2021-12-10T15:59:00Z"/>
  <w16cex:commentExtensible w16cex:durableId="2560964B" w16cex:dateUtc="2021-12-12T14:39:00Z"/>
  <w16cex:commentExtensible w16cex:durableId="255E068F" w16cex:dateUtc="2021-12-10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C02D9A" w16cid:durableId="25605233"/>
  <w16cid:commentId w16cid:paraId="47A2534C" w16cid:durableId="25605965"/>
  <w16cid:commentId w16cid:paraId="39626918" w16cid:durableId="256059E5"/>
  <w16cid:commentId w16cid:paraId="0F66996F" w16cid:durableId="255E05D5"/>
  <w16cid:commentId w16cid:paraId="6E18F763" w16cid:durableId="2560964B"/>
  <w16cid:commentId w16cid:paraId="3AE6BE9D" w16cid:durableId="255E06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1DE52" w14:textId="77777777" w:rsidR="00CD08BF" w:rsidRDefault="00CD08BF" w:rsidP="00E71A58">
      <w:r>
        <w:separator/>
      </w:r>
    </w:p>
  </w:endnote>
  <w:endnote w:type="continuationSeparator" w:id="0">
    <w:p w14:paraId="2A2D06AE" w14:textId="77777777" w:rsidR="00CD08BF" w:rsidRDefault="00CD08B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03AC8257" w:rsidR="00CD7E9E" w:rsidRPr="00932443" w:rsidRDefault="00CD7E9E"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3F3E76">
      <w:rPr>
        <w:szCs w:val="16"/>
      </w:rPr>
      <w:t>4</w:t>
    </w:r>
    <w:r w:rsidRPr="00932443">
      <w:rPr>
        <w:szCs w:val="16"/>
      </w:rPr>
      <w:fldChar w:fldCharType="end"/>
    </w:r>
    <w:r w:rsidRPr="00932443">
      <w:rPr>
        <w:szCs w:val="16"/>
      </w:rPr>
      <w:tab/>
    </w:r>
    <w:r>
      <w:rPr>
        <w:szCs w:val="16"/>
      </w:rPr>
      <w:t>rok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32827529" w:rsidR="00CD7E9E" w:rsidRPr="00932443" w:rsidRDefault="00CD7E9E" w:rsidP="00FA6CB6">
    <w:pPr>
      <w:pStyle w:val="Zpat"/>
      <w:rPr>
        <w:szCs w:val="16"/>
      </w:rPr>
    </w:pPr>
    <w:r w:rsidRPr="00FA6CB6">
      <w:rPr>
        <w:szCs w:val="16"/>
      </w:rPr>
      <w:tab/>
    </w:r>
    <w:r>
      <w:rPr>
        <w:szCs w:val="16"/>
      </w:rPr>
      <w:t>rok 2021</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3F3E76">
      <w:rPr>
        <w:rStyle w:val="ZpatChar"/>
        <w:szCs w:val="16"/>
      </w:rPr>
      <w:t>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7B83E" w14:textId="77777777" w:rsidR="00CD08BF" w:rsidRDefault="00CD08BF" w:rsidP="00A21B4D">
      <w:pPr>
        <w:spacing w:after="0"/>
      </w:pPr>
      <w:r>
        <w:separator/>
      </w:r>
    </w:p>
  </w:footnote>
  <w:footnote w:type="continuationSeparator" w:id="0">
    <w:p w14:paraId="3960EE0C" w14:textId="77777777" w:rsidR="00CD08BF" w:rsidRDefault="00CD08BF" w:rsidP="00E71A58">
      <w:r>
        <w:continuationSeparator/>
      </w:r>
    </w:p>
  </w:footnote>
  <w:footnote w:id="1">
    <w:p w14:paraId="64CAD912" w14:textId="77777777" w:rsidR="00CD7E9E" w:rsidRPr="00957140" w:rsidRDefault="00CD7E9E" w:rsidP="001777BA">
      <w:pPr>
        <w:pStyle w:val="Textpoznpodarou"/>
        <w:rPr>
          <w:spacing w:val="-2"/>
          <w:sz w:val="16"/>
          <w:szCs w:val="16"/>
        </w:rPr>
      </w:pPr>
      <w:r w:rsidRPr="00957140">
        <w:rPr>
          <w:rStyle w:val="Znakapoznpodarou"/>
          <w:spacing w:val="-2"/>
          <w:sz w:val="16"/>
          <w:szCs w:val="16"/>
        </w:rPr>
        <w:footnoteRef/>
      </w:r>
      <w:r w:rsidRPr="00957140">
        <w:rPr>
          <w:spacing w:val="-2"/>
          <w:sz w:val="16"/>
          <w:szCs w:val="16"/>
        </w:rPr>
        <w:t xml:space="preserve"> Data o HDP, hrubé přidané hodnotě a jejich složkách jsou vyjádřena ve stálých cenách a v očištění o sezónní a kalendářní vlivy.</w:t>
      </w:r>
    </w:p>
  </w:footnote>
  <w:footnote w:id="2">
    <w:p w14:paraId="54F685A5" w14:textId="77777777" w:rsidR="00CD7E9E" w:rsidRPr="00957140" w:rsidRDefault="00CD7E9E" w:rsidP="001777BA">
      <w:pPr>
        <w:pStyle w:val="Textpoznpodarou"/>
        <w:rPr>
          <w:sz w:val="16"/>
          <w:szCs w:val="16"/>
        </w:rPr>
      </w:pPr>
      <w:r w:rsidRPr="00957140">
        <w:rPr>
          <w:rStyle w:val="Znakapoznpodarou"/>
          <w:sz w:val="16"/>
          <w:szCs w:val="16"/>
        </w:rPr>
        <w:footnoteRef/>
      </w:r>
      <w:r w:rsidRPr="00957140">
        <w:rPr>
          <w:sz w:val="16"/>
          <w:szCs w:val="16"/>
        </w:rPr>
        <w:t xml:space="preserve"> Podle metodiky čtvrtletních národních účtů (vývoz a dovoz v ocenění FOB/FOB).</w:t>
      </w:r>
    </w:p>
  </w:footnote>
  <w:footnote w:id="3">
    <w:p w14:paraId="1071E7B5" w14:textId="77777777" w:rsidR="00CD7E9E" w:rsidRPr="00957140" w:rsidRDefault="00CD7E9E" w:rsidP="001777BA">
      <w:pPr>
        <w:pStyle w:val="Textpoznpodarou"/>
        <w:jc w:val="both"/>
        <w:rPr>
          <w:sz w:val="16"/>
          <w:szCs w:val="16"/>
        </w:rPr>
      </w:pPr>
      <w:r w:rsidRPr="00957140">
        <w:rPr>
          <w:rStyle w:val="Znakapoznpodarou"/>
          <w:spacing w:val="-2"/>
          <w:sz w:val="16"/>
          <w:szCs w:val="16"/>
        </w:rPr>
        <w:footnoteRef/>
      </w:r>
      <w:r w:rsidRPr="00957140">
        <w:rPr>
          <w:spacing w:val="-2"/>
          <w:sz w:val="16"/>
          <w:szCs w:val="16"/>
        </w:rPr>
        <w:t xml:space="preserve"> Údaje o zaměstnanosti jsou uvedeny v pojetí národních účtů a očištěny o sezónní vlivy.</w:t>
      </w:r>
    </w:p>
  </w:footnote>
  <w:footnote w:id="4">
    <w:p w14:paraId="72CC7700" w14:textId="77777777" w:rsidR="00CD7E9E" w:rsidRPr="000348AF" w:rsidRDefault="00CD7E9E" w:rsidP="00010A2C">
      <w:pPr>
        <w:pStyle w:val="Textpoznpodarou"/>
        <w:rPr>
          <w:sz w:val="16"/>
          <w:szCs w:val="16"/>
        </w:rPr>
      </w:pPr>
      <w:r w:rsidRPr="000348AF">
        <w:rPr>
          <w:rStyle w:val="Znakapoznpodarou"/>
          <w:sz w:val="16"/>
          <w:szCs w:val="16"/>
        </w:rPr>
        <w:footnoteRef/>
      </w:r>
      <w:r w:rsidRPr="000348AF">
        <w:rPr>
          <w:sz w:val="16"/>
          <w:szCs w:val="16"/>
        </w:rPr>
        <w:t xml:space="preserve"> Vývoj HDP, hrubé přidané hodnoty a jejich složek je vyjádřen prostřednictvím objemových indexů (tj. očištěn o vliv cen) a po očištění o sezónní a kalendářní vlivy. Údaje jsou platné k </w:t>
      </w:r>
      <w:r>
        <w:rPr>
          <w:sz w:val="16"/>
          <w:szCs w:val="16"/>
        </w:rPr>
        <w:t>1</w:t>
      </w:r>
      <w:r w:rsidRPr="000348AF">
        <w:rPr>
          <w:sz w:val="16"/>
          <w:szCs w:val="16"/>
        </w:rPr>
        <w:t>. </w:t>
      </w:r>
      <w:r>
        <w:rPr>
          <w:sz w:val="16"/>
          <w:szCs w:val="16"/>
        </w:rPr>
        <w:t>3</w:t>
      </w:r>
      <w:r w:rsidRPr="000348AF">
        <w:rPr>
          <w:sz w:val="16"/>
          <w:szCs w:val="16"/>
        </w:rPr>
        <w:t>. 202</w:t>
      </w:r>
      <w:r>
        <w:rPr>
          <w:sz w:val="16"/>
          <w:szCs w:val="16"/>
        </w:rPr>
        <w:t>2</w:t>
      </w:r>
      <w:r w:rsidRPr="000348AF">
        <w:rPr>
          <w:sz w:val="16"/>
          <w:szCs w:val="16"/>
        </w:rPr>
        <w:t>.</w:t>
      </w:r>
    </w:p>
  </w:footnote>
  <w:footnote w:id="5">
    <w:p w14:paraId="28FE3D14" w14:textId="77777777" w:rsidR="00CD7E9E" w:rsidRPr="007B6713" w:rsidRDefault="00CD7E9E" w:rsidP="00010A2C">
      <w:pPr>
        <w:pStyle w:val="Textpoznpodarou"/>
        <w:rPr>
          <w:sz w:val="16"/>
          <w:szCs w:val="16"/>
        </w:rPr>
      </w:pPr>
      <w:r w:rsidRPr="007B6713">
        <w:rPr>
          <w:rStyle w:val="Znakapoznpodarou"/>
          <w:sz w:val="16"/>
          <w:szCs w:val="16"/>
        </w:rPr>
        <w:footnoteRef/>
      </w:r>
      <w:r w:rsidRPr="007B6713">
        <w:rPr>
          <w:sz w:val="16"/>
          <w:szCs w:val="16"/>
        </w:rPr>
        <w:t xml:space="preserve"> </w:t>
      </w:r>
      <w:r>
        <w:rPr>
          <w:sz w:val="16"/>
          <w:szCs w:val="16"/>
        </w:rPr>
        <w:t>P</w:t>
      </w:r>
      <w:r w:rsidRPr="007B6713">
        <w:rPr>
          <w:spacing w:val="-2"/>
          <w:sz w:val="16"/>
          <w:szCs w:val="16"/>
        </w:rPr>
        <w:t>rovoz v</w:t>
      </w:r>
      <w:r>
        <w:rPr>
          <w:spacing w:val="-2"/>
          <w:sz w:val="16"/>
          <w:szCs w:val="16"/>
        </w:rPr>
        <w:t> </w:t>
      </w:r>
      <w:r w:rsidRPr="007B6713">
        <w:rPr>
          <w:spacing w:val="-2"/>
          <w:sz w:val="16"/>
          <w:szCs w:val="16"/>
        </w:rPr>
        <w:t>maloobchodě</w:t>
      </w:r>
      <w:r>
        <w:rPr>
          <w:spacing w:val="-2"/>
          <w:sz w:val="16"/>
          <w:szCs w:val="16"/>
        </w:rPr>
        <w:t xml:space="preserve"> zůstal zachován. V</w:t>
      </w:r>
      <w:r w:rsidRPr="007B6713">
        <w:rPr>
          <w:spacing w:val="-2"/>
          <w:sz w:val="16"/>
          <w:szCs w:val="16"/>
        </w:rPr>
        <w:t xml:space="preserve">e službách byl </w:t>
      </w:r>
      <w:r>
        <w:rPr>
          <w:spacing w:val="-2"/>
          <w:sz w:val="16"/>
          <w:szCs w:val="16"/>
        </w:rPr>
        <w:t xml:space="preserve">nejprve </w:t>
      </w:r>
      <w:r w:rsidRPr="007B6713">
        <w:rPr>
          <w:spacing w:val="-2"/>
          <w:sz w:val="16"/>
          <w:szCs w:val="16"/>
        </w:rPr>
        <w:t xml:space="preserve">omezen vstup </w:t>
      </w:r>
      <w:r>
        <w:rPr>
          <w:spacing w:val="-2"/>
          <w:sz w:val="16"/>
          <w:szCs w:val="16"/>
        </w:rPr>
        <w:t>do provozoven osobám, které neprokážou bezinfekčnost. Následně se zákaz změnil na osoby bez ukončeného očkování.</w:t>
      </w:r>
    </w:p>
  </w:footnote>
  <w:footnote w:id="6">
    <w:p w14:paraId="3C79E854" w14:textId="77777777" w:rsidR="00CD7E9E" w:rsidRPr="001E74E3" w:rsidRDefault="00CD7E9E" w:rsidP="00010A2C">
      <w:pPr>
        <w:pStyle w:val="Textpoznpodarou"/>
        <w:rPr>
          <w:sz w:val="16"/>
          <w:szCs w:val="16"/>
        </w:rPr>
      </w:pPr>
      <w:r w:rsidRPr="001E74E3">
        <w:rPr>
          <w:rStyle w:val="Znakapoznpodarou"/>
          <w:sz w:val="16"/>
          <w:szCs w:val="16"/>
        </w:rPr>
        <w:footnoteRef/>
      </w:r>
      <w:r w:rsidRPr="001E74E3">
        <w:rPr>
          <w:sz w:val="16"/>
          <w:szCs w:val="16"/>
        </w:rPr>
        <w:t xml:space="preserve"> Data za Bulharsko, Irsko, Řecko </w:t>
      </w:r>
      <w:r>
        <w:rPr>
          <w:sz w:val="16"/>
          <w:szCs w:val="16"/>
        </w:rPr>
        <w:t xml:space="preserve">a Maltu </w:t>
      </w:r>
      <w:r w:rsidRPr="001E74E3">
        <w:rPr>
          <w:sz w:val="16"/>
          <w:szCs w:val="16"/>
        </w:rPr>
        <w:t>nebyla dostupná.</w:t>
      </w:r>
    </w:p>
  </w:footnote>
  <w:footnote w:id="7">
    <w:p w14:paraId="2BD2C3F8" w14:textId="77777777" w:rsidR="00CD7E9E" w:rsidRPr="001E74E3" w:rsidRDefault="00CD7E9E" w:rsidP="00010A2C">
      <w:pPr>
        <w:pStyle w:val="Textpoznpodarou"/>
        <w:rPr>
          <w:sz w:val="16"/>
          <w:szCs w:val="16"/>
        </w:rPr>
      </w:pPr>
      <w:r w:rsidRPr="001E74E3">
        <w:rPr>
          <w:rStyle w:val="Znakapoznpodarou"/>
          <w:sz w:val="16"/>
          <w:szCs w:val="16"/>
        </w:rPr>
        <w:footnoteRef/>
      </w:r>
      <w:r w:rsidRPr="001E74E3">
        <w:rPr>
          <w:sz w:val="16"/>
          <w:szCs w:val="16"/>
        </w:rPr>
        <w:t xml:space="preserve"> Srovnání HDP v cenách roku 2015.</w:t>
      </w:r>
    </w:p>
  </w:footnote>
  <w:footnote w:id="8">
    <w:p w14:paraId="4FB4D8AF" w14:textId="77777777" w:rsidR="00CD7E9E" w:rsidRDefault="00CD7E9E" w:rsidP="00010A2C">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pojetí národních účtů</w:t>
      </w:r>
      <w:r>
        <w:rPr>
          <w:sz w:val="16"/>
          <w:szCs w:val="16"/>
        </w:rPr>
        <w:t xml:space="preserve"> (osoby)</w:t>
      </w:r>
      <w:r w:rsidRPr="009C6EA8">
        <w:rPr>
          <w:sz w:val="16"/>
          <w:szCs w:val="16"/>
        </w:rPr>
        <w:t xml:space="preserve">, </w:t>
      </w:r>
      <w:r>
        <w:rPr>
          <w:sz w:val="16"/>
          <w:szCs w:val="16"/>
        </w:rPr>
        <w:t xml:space="preserve">údaj je </w:t>
      </w:r>
      <w:r w:rsidRPr="009C6EA8">
        <w:rPr>
          <w:sz w:val="16"/>
          <w:szCs w:val="16"/>
        </w:rPr>
        <w:t>sezónně očištěn</w:t>
      </w:r>
      <w:r w:rsidRPr="00004BA8">
        <w:rPr>
          <w:sz w:val="16"/>
        </w:rPr>
        <w:t>.</w:t>
      </w:r>
      <w:r>
        <w:rPr>
          <w:sz w:val="16"/>
        </w:rPr>
        <w:t xml:space="preserve"> Objem odpracovaných hodin loni vzrostl o 2,9 %.</w:t>
      </w:r>
    </w:p>
  </w:footnote>
  <w:footnote w:id="9">
    <w:p w14:paraId="67E99860" w14:textId="77777777" w:rsidR="00CD7E9E" w:rsidRPr="005F75B1" w:rsidRDefault="00CD7E9E" w:rsidP="00010A2C">
      <w:pPr>
        <w:pStyle w:val="Textpoznpodarou"/>
        <w:rPr>
          <w:sz w:val="16"/>
          <w:szCs w:val="16"/>
        </w:rPr>
      </w:pPr>
      <w:r w:rsidRPr="005F75B1">
        <w:rPr>
          <w:rStyle w:val="Znakapoznpodarou"/>
          <w:sz w:val="16"/>
          <w:szCs w:val="16"/>
        </w:rPr>
        <w:footnoteRef/>
      </w:r>
      <w:r w:rsidRPr="005F75B1">
        <w:rPr>
          <w:sz w:val="16"/>
          <w:szCs w:val="16"/>
        </w:rPr>
        <w:t xml:space="preserve"> Do reálného vyjádření převedeno s pomocí deflátoru spotřeby domácností.</w:t>
      </w:r>
    </w:p>
  </w:footnote>
  <w:footnote w:id="10">
    <w:p w14:paraId="07877CCF" w14:textId="77777777" w:rsidR="00CD7E9E" w:rsidRPr="00771972" w:rsidRDefault="00CD7E9E" w:rsidP="00010A2C">
      <w:pPr>
        <w:pStyle w:val="Textpoznpodarou"/>
        <w:rPr>
          <w:sz w:val="16"/>
          <w:szCs w:val="16"/>
        </w:rPr>
      </w:pPr>
      <w:r w:rsidRPr="00771972">
        <w:rPr>
          <w:rStyle w:val="Znakapoznpodarou"/>
          <w:sz w:val="16"/>
          <w:szCs w:val="16"/>
        </w:rPr>
        <w:footnoteRef/>
      </w:r>
      <w:r w:rsidRPr="00771972">
        <w:rPr>
          <w:sz w:val="16"/>
          <w:szCs w:val="16"/>
        </w:rPr>
        <w:t xml:space="preserve"> Veřejná správa a</w:t>
      </w:r>
      <w:r>
        <w:rPr>
          <w:sz w:val="16"/>
          <w:szCs w:val="16"/>
        </w:rPr>
        <w:t> </w:t>
      </w:r>
      <w:r w:rsidRPr="00771972">
        <w:rPr>
          <w:sz w:val="16"/>
          <w:szCs w:val="16"/>
        </w:rPr>
        <w:t>obrana, vzdělávání, zdravotní a</w:t>
      </w:r>
      <w:r>
        <w:rPr>
          <w:sz w:val="16"/>
          <w:szCs w:val="16"/>
        </w:rPr>
        <w:t> </w:t>
      </w:r>
      <w:r w:rsidRPr="00771972">
        <w:rPr>
          <w:sz w:val="16"/>
          <w:szCs w:val="16"/>
        </w:rPr>
        <w:t>sociální péče.</w:t>
      </w:r>
    </w:p>
  </w:footnote>
  <w:footnote w:id="11">
    <w:p w14:paraId="73CBD42F" w14:textId="77777777" w:rsidR="00CD7E9E" w:rsidRPr="0050334B" w:rsidRDefault="00CD7E9E" w:rsidP="00010A2C">
      <w:pPr>
        <w:pStyle w:val="Textpoznpodarou"/>
        <w:rPr>
          <w:sz w:val="16"/>
          <w:szCs w:val="16"/>
        </w:rPr>
      </w:pPr>
      <w:r w:rsidRPr="0050334B">
        <w:rPr>
          <w:rStyle w:val="Znakapoznpodarou"/>
          <w:sz w:val="16"/>
          <w:szCs w:val="16"/>
        </w:rPr>
        <w:footnoteRef/>
      </w:r>
      <w:r w:rsidRPr="0050334B">
        <w:rPr>
          <w:sz w:val="16"/>
          <w:szCs w:val="16"/>
        </w:rPr>
        <w:t xml:space="preserve"> Zaměstnanost zde rostla desátým rokem </w:t>
      </w:r>
      <w:r>
        <w:rPr>
          <w:sz w:val="16"/>
          <w:szCs w:val="16"/>
        </w:rPr>
        <w:t xml:space="preserve">v řadě </w:t>
      </w:r>
      <w:r w:rsidRPr="0050334B">
        <w:rPr>
          <w:sz w:val="16"/>
          <w:szCs w:val="16"/>
        </w:rPr>
        <w:t>a</w:t>
      </w:r>
      <w:r>
        <w:rPr>
          <w:sz w:val="16"/>
          <w:szCs w:val="16"/>
        </w:rPr>
        <w:t> </w:t>
      </w:r>
      <w:r w:rsidRPr="0050334B">
        <w:rPr>
          <w:sz w:val="16"/>
          <w:szCs w:val="16"/>
        </w:rPr>
        <w:t>za tu dobu se zvýšila o</w:t>
      </w:r>
      <w:r>
        <w:rPr>
          <w:sz w:val="16"/>
          <w:szCs w:val="16"/>
        </w:rPr>
        <w:t> </w:t>
      </w:r>
      <w:r w:rsidRPr="0050334B">
        <w:rPr>
          <w:sz w:val="16"/>
          <w:szCs w:val="16"/>
        </w:rPr>
        <w:t>více než 40</w:t>
      </w:r>
      <w:r>
        <w:rPr>
          <w:sz w:val="16"/>
          <w:szCs w:val="16"/>
        </w:rPr>
        <w:t> % (více než 50 tisíc osob)</w:t>
      </w:r>
      <w:r w:rsidRPr="0050334B">
        <w:rPr>
          <w:sz w:val="16"/>
          <w:szCs w:val="16"/>
        </w:rPr>
        <w:t>.</w:t>
      </w:r>
    </w:p>
  </w:footnote>
  <w:footnote w:id="12">
    <w:p w14:paraId="6D97F7BF" w14:textId="77777777" w:rsidR="00CD7E9E" w:rsidRPr="003764DF" w:rsidRDefault="00CD7E9E" w:rsidP="00010A2C">
      <w:pPr>
        <w:pStyle w:val="Textpoznpodarou"/>
        <w:rPr>
          <w:sz w:val="16"/>
          <w:szCs w:val="16"/>
        </w:rPr>
      </w:pPr>
      <w:r w:rsidRPr="003764DF">
        <w:rPr>
          <w:rStyle w:val="Znakapoznpodarou"/>
          <w:sz w:val="16"/>
          <w:szCs w:val="16"/>
        </w:rPr>
        <w:footnoteRef/>
      </w:r>
      <w:r w:rsidRPr="003764DF">
        <w:rPr>
          <w:sz w:val="16"/>
          <w:szCs w:val="16"/>
        </w:rPr>
        <w:t xml:space="preserve"> Projevila se zejména vysoká základna </w:t>
      </w:r>
      <w:r>
        <w:rPr>
          <w:sz w:val="16"/>
          <w:szCs w:val="16"/>
        </w:rPr>
        <w:t>4</w:t>
      </w:r>
      <w:r w:rsidRPr="003764DF">
        <w:rPr>
          <w:sz w:val="16"/>
          <w:szCs w:val="16"/>
        </w:rPr>
        <w:t>.</w:t>
      </w:r>
      <w:r>
        <w:rPr>
          <w:sz w:val="16"/>
          <w:szCs w:val="16"/>
        </w:rPr>
        <w:t> čtvrtlet</w:t>
      </w:r>
      <w:r w:rsidRPr="003764DF">
        <w:rPr>
          <w:sz w:val="16"/>
          <w:szCs w:val="16"/>
        </w:rPr>
        <w:t>í</w:t>
      </w:r>
      <w:r>
        <w:rPr>
          <w:sz w:val="16"/>
          <w:szCs w:val="16"/>
        </w:rPr>
        <w:t xml:space="preserve"> 2020</w:t>
      </w:r>
      <w:r w:rsidRPr="003764DF">
        <w:rPr>
          <w:sz w:val="16"/>
          <w:szCs w:val="16"/>
        </w:rPr>
        <w:t>, kdy byly vypláceny mimořádné odměny zdravotníkům.</w:t>
      </w:r>
    </w:p>
  </w:footnote>
  <w:footnote w:id="13">
    <w:p w14:paraId="7A085125" w14:textId="77777777" w:rsidR="00CD7E9E" w:rsidRPr="009C6EA8" w:rsidRDefault="00CD7E9E" w:rsidP="00010A2C">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14">
    <w:p w14:paraId="2C1DF4E6" w14:textId="77777777" w:rsidR="00CD7E9E" w:rsidRPr="00954992" w:rsidRDefault="00CD7E9E" w:rsidP="00010A2C">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w:t>
      </w:r>
      <w:r>
        <w:rPr>
          <w:sz w:val="16"/>
          <w:szCs w:val="16"/>
        </w:rPr>
        <w:t>.</w:t>
      </w:r>
    </w:p>
  </w:footnote>
  <w:footnote w:id="15">
    <w:p w14:paraId="1448EA28" w14:textId="77777777" w:rsidR="00CD7E9E" w:rsidRPr="00AA3676" w:rsidRDefault="00CD7E9E" w:rsidP="00010A2C">
      <w:pPr>
        <w:pStyle w:val="Textpoznpodarou"/>
        <w:rPr>
          <w:sz w:val="16"/>
          <w:szCs w:val="16"/>
        </w:rPr>
      </w:pPr>
      <w:r w:rsidRPr="00AA3676">
        <w:rPr>
          <w:rStyle w:val="Znakapoznpodarou"/>
          <w:sz w:val="16"/>
          <w:szCs w:val="16"/>
        </w:rPr>
        <w:footnoteRef/>
      </w:r>
      <w:r w:rsidRPr="00AA3676">
        <w:rPr>
          <w:sz w:val="16"/>
          <w:szCs w:val="16"/>
        </w:rPr>
        <w:t xml:space="preserve"> </w:t>
      </w:r>
      <w:r>
        <w:rPr>
          <w:sz w:val="16"/>
          <w:szCs w:val="16"/>
        </w:rPr>
        <w:t>V</w:t>
      </w:r>
      <w:r w:rsidRPr="00AA3676">
        <w:rPr>
          <w:spacing w:val="-2"/>
          <w:sz w:val="16"/>
          <w:szCs w:val="16"/>
        </w:rPr>
        <w:t>elká část omezeného maloobchodu</w:t>
      </w:r>
      <w:r>
        <w:rPr>
          <w:spacing w:val="-2"/>
          <w:sz w:val="16"/>
          <w:szCs w:val="16"/>
        </w:rPr>
        <w:t xml:space="preserve"> spadá do kategorie zboží střednědobé spotřeby </w:t>
      </w:r>
      <w:r w:rsidRPr="00AA3676">
        <w:rPr>
          <w:spacing w:val="-2"/>
          <w:sz w:val="16"/>
          <w:szCs w:val="16"/>
        </w:rPr>
        <w:t>– oděvy, rekreační a</w:t>
      </w:r>
      <w:r>
        <w:rPr>
          <w:spacing w:val="-2"/>
          <w:sz w:val="16"/>
          <w:szCs w:val="16"/>
        </w:rPr>
        <w:t> </w:t>
      </w:r>
      <w:r w:rsidRPr="00AA3676">
        <w:rPr>
          <w:spacing w:val="-2"/>
          <w:sz w:val="16"/>
          <w:szCs w:val="16"/>
        </w:rPr>
        <w:t>sportovní potřeby a</w:t>
      </w:r>
      <w:r>
        <w:rPr>
          <w:spacing w:val="-2"/>
          <w:sz w:val="16"/>
          <w:szCs w:val="16"/>
        </w:rPr>
        <w:t> </w:t>
      </w:r>
      <w:r w:rsidRPr="00AA3676">
        <w:rPr>
          <w:spacing w:val="-2"/>
          <w:sz w:val="16"/>
          <w:szCs w:val="16"/>
        </w:rPr>
        <w:t>pod</w:t>
      </w:r>
      <w:r>
        <w:rPr>
          <w:spacing w:val="-2"/>
          <w:sz w:val="16"/>
          <w:szCs w:val="16"/>
        </w:rPr>
        <w:t>obně</w:t>
      </w:r>
      <w:r w:rsidRPr="00AA3676">
        <w:rPr>
          <w:spacing w:val="-2"/>
          <w:sz w:val="16"/>
          <w:szCs w:val="16"/>
        </w:rPr>
        <w:t>.</w:t>
      </w:r>
    </w:p>
  </w:footnote>
  <w:footnote w:id="16">
    <w:p w14:paraId="4C4BC8C3" w14:textId="267DA092" w:rsidR="00CD7E9E" w:rsidRPr="004831F6" w:rsidRDefault="00CD7E9E" w:rsidP="00010A2C">
      <w:pPr>
        <w:pStyle w:val="Textpoznpodarou"/>
        <w:rPr>
          <w:sz w:val="16"/>
          <w:szCs w:val="16"/>
        </w:rPr>
      </w:pPr>
      <w:r w:rsidRPr="004831F6">
        <w:rPr>
          <w:rStyle w:val="Znakapoznpodarou"/>
          <w:sz w:val="16"/>
          <w:szCs w:val="16"/>
        </w:rPr>
        <w:footnoteRef/>
      </w:r>
      <w:r w:rsidRPr="004831F6">
        <w:rPr>
          <w:sz w:val="16"/>
          <w:szCs w:val="16"/>
        </w:rPr>
        <w:t xml:space="preserve"> Změna zásob</w:t>
      </w:r>
      <w:r>
        <w:rPr>
          <w:sz w:val="16"/>
          <w:szCs w:val="16"/>
        </w:rPr>
        <w:t xml:space="preserve"> (v běžných cenách a sezónně očištěná)</w:t>
      </w:r>
      <w:r w:rsidRPr="004831F6">
        <w:rPr>
          <w:sz w:val="16"/>
          <w:szCs w:val="16"/>
        </w:rPr>
        <w:t xml:space="preserve"> dosáhla v</w:t>
      </w:r>
      <w:r>
        <w:rPr>
          <w:sz w:val="16"/>
          <w:szCs w:val="16"/>
        </w:rPr>
        <w:t> roce 2021 +275,1 mld. korun</w:t>
      </w:r>
      <w:r w:rsidRPr="004831F6">
        <w:rPr>
          <w:sz w:val="16"/>
          <w:szCs w:val="16"/>
        </w:rPr>
        <w:t>.</w:t>
      </w:r>
      <w:r>
        <w:rPr>
          <w:sz w:val="16"/>
          <w:szCs w:val="16"/>
        </w:rPr>
        <w:t xml:space="preserve"> V samotném 4. čtvrtletí</w:t>
      </w:r>
      <w:r w:rsidRPr="004831F6">
        <w:rPr>
          <w:sz w:val="16"/>
          <w:szCs w:val="16"/>
        </w:rPr>
        <w:t xml:space="preserve"> </w:t>
      </w:r>
      <w:r>
        <w:rPr>
          <w:sz w:val="16"/>
          <w:szCs w:val="16"/>
        </w:rPr>
        <w:t>vzrostly zásoby o 82,5 mld.</w:t>
      </w:r>
      <w:r w:rsidRPr="004831F6">
        <w:rPr>
          <w:sz w:val="16"/>
          <w:szCs w:val="16"/>
        </w:rPr>
        <w:t xml:space="preserve"> korun.</w:t>
      </w:r>
    </w:p>
  </w:footnote>
  <w:footnote w:id="17">
    <w:p w14:paraId="1261BE94" w14:textId="0BD2C4BC" w:rsidR="00CD7E9E" w:rsidRPr="00167B30" w:rsidRDefault="00CD7E9E" w:rsidP="00010A2C">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 Bilance zahraničního obchodu v běžných cenách a po sezónním očištění.</w:t>
      </w:r>
    </w:p>
  </w:footnote>
  <w:footnote w:id="18">
    <w:p w14:paraId="4AD8F028" w14:textId="77777777" w:rsidR="00CD7E9E" w:rsidRPr="00200302" w:rsidRDefault="00CD7E9E" w:rsidP="00010A2C">
      <w:pPr>
        <w:pStyle w:val="Textpoznpodarou"/>
        <w:rPr>
          <w:sz w:val="16"/>
          <w:szCs w:val="16"/>
        </w:rPr>
      </w:pPr>
      <w:r w:rsidRPr="00200302">
        <w:rPr>
          <w:rStyle w:val="Znakapoznpodarou"/>
          <w:sz w:val="16"/>
          <w:szCs w:val="16"/>
        </w:rPr>
        <w:footnoteRef/>
      </w:r>
      <w:r w:rsidRPr="00200302">
        <w:rPr>
          <w:sz w:val="16"/>
          <w:szCs w:val="16"/>
        </w:rPr>
        <w:t xml:space="preserve"> To je </w:t>
      </w:r>
      <w:r>
        <w:rPr>
          <w:sz w:val="16"/>
          <w:szCs w:val="16"/>
        </w:rPr>
        <w:t>největší zaznamenané zhoršení</w:t>
      </w:r>
      <w:r w:rsidRPr="00200302">
        <w:rPr>
          <w:sz w:val="16"/>
          <w:szCs w:val="16"/>
        </w:rPr>
        <w:t>.</w:t>
      </w:r>
    </w:p>
  </w:footnote>
  <w:footnote w:id="19">
    <w:p w14:paraId="1BBEFF46" w14:textId="77777777" w:rsidR="00F77A50" w:rsidRPr="00FB58F4" w:rsidRDefault="00F77A50" w:rsidP="00F77A50">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w:t>
      </w:r>
      <w:r>
        <w:rPr>
          <w:rFonts w:cs="Arial"/>
          <w:color w:val="0D0D0D" w:themeColor="text1" w:themeTint="F2"/>
          <w:spacing w:val="-2"/>
          <w:sz w:val="16"/>
          <w:szCs w:val="16"/>
        </w:rPr>
        <w:t> </w:t>
      </w:r>
      <w:r w:rsidRPr="00FB58F4">
        <w:rPr>
          <w:rFonts w:cs="Arial"/>
          <w:color w:val="0D0D0D" w:themeColor="text1" w:themeTint="F2"/>
          <w:spacing w:val="-2"/>
          <w:sz w:val="16"/>
          <w:szCs w:val="16"/>
        </w:rPr>
        <w:t>HPH jsou vyjádřeny ve stálých cenách a</w:t>
      </w:r>
      <w:r>
        <w:rPr>
          <w:rFonts w:cs="Arial"/>
          <w:color w:val="0D0D0D" w:themeColor="text1" w:themeTint="F2"/>
          <w:spacing w:val="-2"/>
          <w:sz w:val="16"/>
          <w:szCs w:val="16"/>
        </w:rPr>
        <w:t> </w:t>
      </w:r>
      <w:r w:rsidRPr="00FB58F4">
        <w:rPr>
          <w:rFonts w:cs="Arial"/>
          <w:color w:val="0D0D0D" w:themeColor="text1" w:themeTint="F2"/>
          <w:spacing w:val="-2"/>
          <w:sz w:val="16"/>
          <w:szCs w:val="16"/>
        </w:rPr>
        <w:t>v očištění o</w:t>
      </w:r>
      <w:r>
        <w:rPr>
          <w:rFonts w:cs="Arial"/>
          <w:color w:val="0D0D0D" w:themeColor="text1" w:themeTint="F2"/>
          <w:spacing w:val="-2"/>
          <w:sz w:val="16"/>
          <w:szCs w:val="16"/>
        </w:rPr>
        <w:t> </w:t>
      </w:r>
      <w:r w:rsidRPr="00FB58F4">
        <w:rPr>
          <w:rFonts w:cs="Arial"/>
          <w:color w:val="0D0D0D" w:themeColor="text1" w:themeTint="F2"/>
          <w:spacing w:val="-2"/>
          <w:sz w:val="16"/>
          <w:szCs w:val="16"/>
        </w:rPr>
        <w:t>sezónní a</w:t>
      </w:r>
      <w:r>
        <w:rPr>
          <w:rFonts w:cs="Arial"/>
          <w:color w:val="0D0D0D" w:themeColor="text1" w:themeTint="F2"/>
          <w:spacing w:val="-2"/>
          <w:sz w:val="16"/>
          <w:szCs w:val="16"/>
        </w:rPr>
        <w:t> </w:t>
      </w:r>
      <w:r w:rsidRPr="00FB58F4">
        <w:rPr>
          <w:rFonts w:cs="Arial"/>
          <w:color w:val="0D0D0D" w:themeColor="text1" w:themeTint="F2"/>
          <w:spacing w:val="-2"/>
          <w:sz w:val="16"/>
          <w:szCs w:val="16"/>
        </w:rPr>
        <w:t>kalendářní vlivy.</w:t>
      </w:r>
    </w:p>
  </w:footnote>
  <w:footnote w:id="20">
    <w:p w14:paraId="0953EDAF" w14:textId="77777777" w:rsidR="00F77A50" w:rsidRPr="00123966" w:rsidRDefault="00F77A50" w:rsidP="00F77A50">
      <w:pPr>
        <w:pStyle w:val="Textpoznpodarou"/>
        <w:jc w:val="both"/>
        <w:rPr>
          <w:sz w:val="16"/>
          <w:szCs w:val="16"/>
        </w:rPr>
      </w:pPr>
      <w:r w:rsidRPr="00123966">
        <w:rPr>
          <w:rStyle w:val="Znakapoznpodarou"/>
          <w:sz w:val="16"/>
          <w:szCs w:val="16"/>
        </w:rPr>
        <w:footnoteRef/>
      </w:r>
      <w:r>
        <w:rPr>
          <w:sz w:val="16"/>
          <w:szCs w:val="16"/>
        </w:rPr>
        <w:t xml:space="preserve"> Zahrnují</w:t>
      </w:r>
      <w:r w:rsidRPr="00123966">
        <w:rPr>
          <w:sz w:val="16"/>
          <w:szCs w:val="16"/>
        </w:rPr>
        <w:t xml:space="preserve"> </w:t>
      </w:r>
      <w:r w:rsidRPr="00123966">
        <w:rPr>
          <w:spacing w:val="-2"/>
          <w:sz w:val="16"/>
          <w:szCs w:val="16"/>
        </w:rPr>
        <w:t>veřejnou správu a obranu, vzdělávání, zdravotní a</w:t>
      </w:r>
      <w:r>
        <w:rPr>
          <w:spacing w:val="-2"/>
          <w:sz w:val="16"/>
          <w:szCs w:val="16"/>
        </w:rPr>
        <w:t> </w:t>
      </w:r>
      <w:r w:rsidRPr="00123966">
        <w:rPr>
          <w:spacing w:val="-2"/>
          <w:sz w:val="16"/>
          <w:szCs w:val="16"/>
        </w:rPr>
        <w:t>sociální péči.</w:t>
      </w:r>
    </w:p>
  </w:footnote>
  <w:footnote w:id="21">
    <w:p w14:paraId="73D21076" w14:textId="77777777" w:rsidR="00F77A50" w:rsidRPr="00C70024" w:rsidRDefault="00F77A50" w:rsidP="00F77A50">
      <w:pPr>
        <w:pStyle w:val="Textpoznpodarou"/>
        <w:jc w:val="both"/>
        <w:rPr>
          <w:sz w:val="16"/>
          <w:szCs w:val="16"/>
        </w:rPr>
      </w:pPr>
      <w:r w:rsidRPr="001101B4">
        <w:rPr>
          <w:rStyle w:val="Znakapoznpodarou"/>
          <w:sz w:val="16"/>
          <w:szCs w:val="16"/>
        </w:rPr>
        <w:footnoteRef/>
      </w:r>
      <w:r w:rsidRPr="001101B4">
        <w:rPr>
          <w:sz w:val="16"/>
          <w:szCs w:val="16"/>
        </w:rPr>
        <w:t xml:space="preserve"> Naopak v</w:t>
      </w:r>
      <w:r>
        <w:rPr>
          <w:sz w:val="16"/>
          <w:szCs w:val="16"/>
        </w:rPr>
        <w:t> </w:t>
      </w:r>
      <w:r w:rsidRPr="001101B4">
        <w:rPr>
          <w:sz w:val="16"/>
          <w:szCs w:val="16"/>
        </w:rPr>
        <w:t>EU se HPH na úroveň z vrcholu předkrizové konjunktury již vrátila, a</w:t>
      </w:r>
      <w:r>
        <w:rPr>
          <w:sz w:val="16"/>
          <w:szCs w:val="16"/>
        </w:rPr>
        <w:t> </w:t>
      </w:r>
      <w:r w:rsidRPr="001101B4">
        <w:rPr>
          <w:sz w:val="16"/>
          <w:szCs w:val="16"/>
        </w:rPr>
        <w:t>to ve 3.</w:t>
      </w:r>
      <w:r>
        <w:rPr>
          <w:sz w:val="16"/>
          <w:szCs w:val="16"/>
        </w:rPr>
        <w:t> čtvrtlet</w:t>
      </w:r>
      <w:r w:rsidRPr="001101B4">
        <w:rPr>
          <w:sz w:val="16"/>
          <w:szCs w:val="16"/>
        </w:rPr>
        <w:t>í 2021. Ve 4.</w:t>
      </w:r>
      <w:r>
        <w:rPr>
          <w:sz w:val="16"/>
          <w:szCs w:val="16"/>
        </w:rPr>
        <w:t> čtvrtlet</w:t>
      </w:r>
      <w:r w:rsidRPr="001101B4">
        <w:rPr>
          <w:sz w:val="16"/>
          <w:szCs w:val="16"/>
        </w:rPr>
        <w:t>í pak</w:t>
      </w:r>
      <w:r>
        <w:rPr>
          <w:sz w:val="16"/>
          <w:szCs w:val="16"/>
        </w:rPr>
        <w:t xml:space="preserve"> tuto hladinu</w:t>
      </w:r>
      <w:r w:rsidRPr="001101B4">
        <w:rPr>
          <w:sz w:val="16"/>
          <w:szCs w:val="16"/>
        </w:rPr>
        <w:t xml:space="preserve"> překonala (o</w:t>
      </w:r>
      <w:r>
        <w:rPr>
          <w:sz w:val="16"/>
          <w:szCs w:val="16"/>
        </w:rPr>
        <w:t> </w:t>
      </w:r>
      <w:r w:rsidRPr="001101B4">
        <w:rPr>
          <w:sz w:val="16"/>
          <w:szCs w:val="16"/>
        </w:rPr>
        <w:t>mírných 0,4 %), což platilo i</w:t>
      </w:r>
      <w:r>
        <w:rPr>
          <w:sz w:val="16"/>
          <w:szCs w:val="16"/>
        </w:rPr>
        <w:t> </w:t>
      </w:r>
      <w:r w:rsidRPr="001101B4">
        <w:rPr>
          <w:sz w:val="16"/>
          <w:szCs w:val="16"/>
        </w:rPr>
        <w:t xml:space="preserve">ve dvou třetinách unijních členů (např. </w:t>
      </w:r>
      <w:r>
        <w:rPr>
          <w:sz w:val="16"/>
          <w:szCs w:val="16"/>
        </w:rPr>
        <w:t>v </w:t>
      </w:r>
      <w:r w:rsidRPr="001101B4">
        <w:rPr>
          <w:sz w:val="16"/>
          <w:szCs w:val="16"/>
        </w:rPr>
        <w:t>Polsku o</w:t>
      </w:r>
      <w:r>
        <w:rPr>
          <w:sz w:val="16"/>
          <w:szCs w:val="16"/>
        </w:rPr>
        <w:t> </w:t>
      </w:r>
      <w:r w:rsidRPr="001101B4">
        <w:rPr>
          <w:sz w:val="16"/>
          <w:szCs w:val="16"/>
        </w:rPr>
        <w:t>4,1</w:t>
      </w:r>
      <w:r>
        <w:rPr>
          <w:sz w:val="16"/>
          <w:szCs w:val="16"/>
        </w:rPr>
        <w:t> %</w:t>
      </w:r>
      <w:r w:rsidRPr="001101B4">
        <w:rPr>
          <w:sz w:val="16"/>
          <w:szCs w:val="16"/>
        </w:rPr>
        <w:t>, v Maďarsku o</w:t>
      </w:r>
      <w:r>
        <w:rPr>
          <w:sz w:val="16"/>
          <w:szCs w:val="16"/>
        </w:rPr>
        <w:t> </w:t>
      </w:r>
      <w:r w:rsidRPr="001101B4">
        <w:rPr>
          <w:sz w:val="16"/>
          <w:szCs w:val="16"/>
        </w:rPr>
        <w:t>3,0</w:t>
      </w:r>
      <w:r>
        <w:rPr>
          <w:sz w:val="16"/>
          <w:szCs w:val="16"/>
        </w:rPr>
        <w:t> %</w:t>
      </w:r>
      <w:r w:rsidRPr="001101B4">
        <w:rPr>
          <w:sz w:val="16"/>
          <w:szCs w:val="16"/>
        </w:rPr>
        <w:t xml:space="preserve">). V zemích eurozóny však </w:t>
      </w:r>
      <w:r>
        <w:rPr>
          <w:sz w:val="16"/>
          <w:szCs w:val="16"/>
        </w:rPr>
        <w:t xml:space="preserve">v úhrnu </w:t>
      </w:r>
      <w:r w:rsidRPr="001101B4">
        <w:rPr>
          <w:sz w:val="16"/>
          <w:szCs w:val="16"/>
        </w:rPr>
        <w:t>za t</w:t>
      </w:r>
      <w:r>
        <w:rPr>
          <w:sz w:val="16"/>
          <w:szCs w:val="16"/>
        </w:rPr>
        <w:t>o</w:t>
      </w:r>
      <w:r w:rsidRPr="001101B4">
        <w:rPr>
          <w:sz w:val="16"/>
          <w:szCs w:val="16"/>
        </w:rPr>
        <w:t>uto</w:t>
      </w:r>
      <w:r>
        <w:rPr>
          <w:sz w:val="16"/>
          <w:szCs w:val="16"/>
        </w:rPr>
        <w:t xml:space="preserve"> výší stále nepatrně zaostávala, neboť se projevilo pomalejší zotavování některých velkých ekonomik – Francie (+0,1</w:t>
      </w:r>
      <w:r>
        <w:rPr>
          <w:rFonts w:cs="Arial"/>
          <w:color w:val="0D0D0D" w:themeColor="text1" w:themeTint="F2"/>
          <w:spacing w:val="-2"/>
          <w:sz w:val="16"/>
          <w:szCs w:val="16"/>
        </w:rPr>
        <w:t> </w:t>
      </w:r>
      <w:r>
        <w:rPr>
          <w:sz w:val="16"/>
          <w:szCs w:val="16"/>
        </w:rPr>
        <w:t>%),</w:t>
      </w:r>
      <w:r w:rsidRPr="001101B4">
        <w:rPr>
          <w:sz w:val="16"/>
          <w:szCs w:val="16"/>
        </w:rPr>
        <w:t xml:space="preserve"> </w:t>
      </w:r>
      <w:r>
        <w:rPr>
          <w:sz w:val="16"/>
          <w:szCs w:val="16"/>
        </w:rPr>
        <w:t>Itálie (–1,0 %), Německa (–2,1 %) či Španělska (–4,0 %).</w:t>
      </w:r>
    </w:p>
  </w:footnote>
  <w:footnote w:id="22">
    <w:p w14:paraId="5CCE806B" w14:textId="77777777" w:rsidR="00F77A50" w:rsidRPr="006D556F" w:rsidRDefault="00F77A50" w:rsidP="00F77A50">
      <w:pPr>
        <w:pStyle w:val="Textpoznpodarou"/>
        <w:jc w:val="both"/>
        <w:rPr>
          <w:spacing w:val="-2"/>
          <w:sz w:val="16"/>
          <w:szCs w:val="16"/>
        </w:rPr>
      </w:pPr>
      <w:r w:rsidRPr="006D556F">
        <w:rPr>
          <w:rStyle w:val="Znakapoznpodarou"/>
          <w:spacing w:val="-2"/>
          <w:sz w:val="16"/>
          <w:szCs w:val="16"/>
        </w:rPr>
        <w:footnoteRef/>
      </w:r>
      <w:r w:rsidRPr="006D556F">
        <w:rPr>
          <w:spacing w:val="-2"/>
          <w:sz w:val="16"/>
          <w:szCs w:val="16"/>
        </w:rPr>
        <w:t xml:space="preserve"> V peněžnictví a</w:t>
      </w:r>
      <w:r>
        <w:rPr>
          <w:spacing w:val="-2"/>
          <w:sz w:val="16"/>
          <w:szCs w:val="16"/>
        </w:rPr>
        <w:t> </w:t>
      </w:r>
      <w:r w:rsidRPr="006D556F">
        <w:rPr>
          <w:spacing w:val="-2"/>
          <w:sz w:val="16"/>
          <w:szCs w:val="16"/>
        </w:rPr>
        <w:t>pojišťovnictví byla loni ve 4.</w:t>
      </w:r>
      <w:r>
        <w:rPr>
          <w:spacing w:val="-2"/>
          <w:sz w:val="16"/>
          <w:szCs w:val="16"/>
        </w:rPr>
        <w:t> čtvrtlet</w:t>
      </w:r>
      <w:r w:rsidRPr="006D556F">
        <w:rPr>
          <w:spacing w:val="-2"/>
          <w:sz w:val="16"/>
          <w:szCs w:val="16"/>
        </w:rPr>
        <w:t>í HPH ve srovnání s konce</w:t>
      </w:r>
      <w:r>
        <w:rPr>
          <w:spacing w:val="-2"/>
          <w:sz w:val="16"/>
          <w:szCs w:val="16"/>
        </w:rPr>
        <w:t>m roku 2019 již o 10 % vyšší, ve veřejných službách</w:t>
      </w:r>
      <w:r w:rsidRPr="006D556F">
        <w:rPr>
          <w:spacing w:val="-2"/>
          <w:sz w:val="16"/>
          <w:szCs w:val="16"/>
        </w:rPr>
        <w:t xml:space="preserve"> analogicky o</w:t>
      </w:r>
      <w:r>
        <w:rPr>
          <w:spacing w:val="-2"/>
          <w:sz w:val="16"/>
          <w:szCs w:val="16"/>
        </w:rPr>
        <w:t> </w:t>
      </w:r>
      <w:r w:rsidRPr="006D556F">
        <w:rPr>
          <w:spacing w:val="-2"/>
          <w:sz w:val="16"/>
          <w:szCs w:val="16"/>
        </w:rPr>
        <w:t>6</w:t>
      </w:r>
      <w:r>
        <w:rPr>
          <w:spacing w:val="-2"/>
          <w:sz w:val="16"/>
          <w:szCs w:val="16"/>
        </w:rPr>
        <w:t> %</w:t>
      </w:r>
      <w:r w:rsidRPr="006D556F">
        <w:rPr>
          <w:spacing w:val="-2"/>
          <w:sz w:val="16"/>
          <w:szCs w:val="16"/>
        </w:rPr>
        <w:t>, v informačních a</w:t>
      </w:r>
      <w:r>
        <w:rPr>
          <w:spacing w:val="-2"/>
          <w:sz w:val="16"/>
          <w:szCs w:val="16"/>
        </w:rPr>
        <w:t> </w:t>
      </w:r>
      <w:r w:rsidRPr="006D556F">
        <w:rPr>
          <w:spacing w:val="-2"/>
          <w:sz w:val="16"/>
          <w:szCs w:val="16"/>
        </w:rPr>
        <w:t>komunikačních činnostech o</w:t>
      </w:r>
      <w:r>
        <w:rPr>
          <w:spacing w:val="-2"/>
          <w:sz w:val="16"/>
          <w:szCs w:val="16"/>
        </w:rPr>
        <w:t> </w:t>
      </w:r>
      <w:r w:rsidRPr="006D556F">
        <w:rPr>
          <w:spacing w:val="-2"/>
          <w:sz w:val="16"/>
          <w:szCs w:val="16"/>
        </w:rPr>
        <w:t>5</w:t>
      </w:r>
      <w:r>
        <w:rPr>
          <w:spacing w:val="-2"/>
          <w:sz w:val="16"/>
          <w:szCs w:val="16"/>
        </w:rPr>
        <w:t> %</w:t>
      </w:r>
      <w:r w:rsidRPr="006D556F">
        <w:rPr>
          <w:spacing w:val="-2"/>
          <w:sz w:val="16"/>
          <w:szCs w:val="16"/>
        </w:rPr>
        <w:t xml:space="preserve"> a</w:t>
      </w:r>
      <w:r>
        <w:rPr>
          <w:spacing w:val="-2"/>
          <w:sz w:val="16"/>
          <w:szCs w:val="16"/>
        </w:rPr>
        <w:t> </w:t>
      </w:r>
      <w:r w:rsidRPr="006D556F">
        <w:rPr>
          <w:spacing w:val="-2"/>
          <w:sz w:val="16"/>
          <w:szCs w:val="16"/>
        </w:rPr>
        <w:t>v oblasti nemovitostí o</w:t>
      </w:r>
      <w:r>
        <w:rPr>
          <w:spacing w:val="-2"/>
          <w:sz w:val="16"/>
          <w:szCs w:val="16"/>
        </w:rPr>
        <w:t> </w:t>
      </w:r>
      <w:r w:rsidRPr="006D556F">
        <w:rPr>
          <w:spacing w:val="-2"/>
          <w:sz w:val="16"/>
          <w:szCs w:val="16"/>
        </w:rPr>
        <w:t>1</w:t>
      </w:r>
      <w:r>
        <w:rPr>
          <w:spacing w:val="-2"/>
          <w:sz w:val="16"/>
          <w:szCs w:val="16"/>
        </w:rPr>
        <w:t> %</w:t>
      </w:r>
      <w:r w:rsidRPr="006D556F">
        <w:rPr>
          <w:spacing w:val="-2"/>
          <w:sz w:val="16"/>
          <w:szCs w:val="16"/>
        </w:rPr>
        <w:t>. Výkon všech odvětví služeb byl s předpandemickým maximem srovnatelný (+0,1</w:t>
      </w:r>
      <w:r>
        <w:rPr>
          <w:spacing w:val="-2"/>
          <w:sz w:val="16"/>
          <w:szCs w:val="16"/>
        </w:rPr>
        <w:t> %</w:t>
      </w:r>
      <w:r w:rsidRPr="006D556F">
        <w:rPr>
          <w:spacing w:val="-2"/>
          <w:sz w:val="16"/>
          <w:szCs w:val="16"/>
        </w:rPr>
        <w:t>), naopak průmysl zaostával o</w:t>
      </w:r>
      <w:r>
        <w:rPr>
          <w:spacing w:val="-2"/>
          <w:sz w:val="16"/>
          <w:szCs w:val="16"/>
        </w:rPr>
        <w:t xml:space="preserve"> citelných </w:t>
      </w:r>
      <w:r w:rsidRPr="006D556F">
        <w:rPr>
          <w:spacing w:val="-2"/>
          <w:sz w:val="16"/>
          <w:szCs w:val="16"/>
        </w:rPr>
        <w:t>7,5</w:t>
      </w:r>
      <w:r>
        <w:rPr>
          <w:spacing w:val="-2"/>
          <w:sz w:val="16"/>
          <w:szCs w:val="16"/>
        </w:rPr>
        <w:t> %</w:t>
      </w:r>
      <w:r w:rsidRPr="006D556F">
        <w:rPr>
          <w:spacing w:val="-2"/>
          <w:sz w:val="16"/>
          <w:szCs w:val="16"/>
        </w:rPr>
        <w:t>.</w:t>
      </w:r>
    </w:p>
  </w:footnote>
  <w:footnote w:id="23">
    <w:p w14:paraId="792164F4" w14:textId="77777777" w:rsidR="00F77A50" w:rsidRPr="00263B79" w:rsidRDefault="00F77A50" w:rsidP="00F77A50">
      <w:pPr>
        <w:pStyle w:val="Textpoznpodarou"/>
        <w:jc w:val="both"/>
        <w:rPr>
          <w:sz w:val="16"/>
          <w:szCs w:val="16"/>
        </w:rPr>
      </w:pPr>
      <w:r w:rsidRPr="00263B79">
        <w:rPr>
          <w:rStyle w:val="Znakapoznpodarou"/>
          <w:sz w:val="16"/>
          <w:szCs w:val="16"/>
        </w:rPr>
        <w:footnoteRef/>
      </w:r>
      <w:r>
        <w:rPr>
          <w:sz w:val="16"/>
          <w:szCs w:val="16"/>
        </w:rPr>
        <w:t xml:space="preserve"> Sklizeň obilovin byla loni meziročně vyšší o 1,2 %, klesla naopak u brambor o 3,5 % a řepky o 17,7 % (v absolutní výši se jednalo o</w:t>
      </w:r>
      <w:r w:rsidRPr="007E3B83">
        <w:rPr>
          <w:sz w:val="16"/>
          <w:szCs w:val="16"/>
        </w:rPr>
        <w:t> </w:t>
      </w:r>
      <w:r>
        <w:rPr>
          <w:sz w:val="16"/>
          <w:szCs w:val="16"/>
        </w:rPr>
        <w:t>nejslabší sklizeň od roku 2006). Dařilo se ale ostatním olejninám (hlavně díky rozšíření osevní plochy), luskovinám, cukrovce, chmelu, většině pícnin a více se sklidilo i většiny druhů zeleniny. Mírný pokles zaznamenalo ovocnářství, hlavně vinou nižší úrody švestek.</w:t>
      </w:r>
    </w:p>
  </w:footnote>
  <w:footnote w:id="24">
    <w:p w14:paraId="112AEDEA" w14:textId="77777777" w:rsidR="00F77A50" w:rsidRPr="006B7E1E" w:rsidRDefault="00F77A50" w:rsidP="00F77A50">
      <w:pPr>
        <w:pStyle w:val="Textpoznpodarou"/>
        <w:jc w:val="both"/>
        <w:rPr>
          <w:spacing w:val="-2"/>
          <w:sz w:val="16"/>
          <w:szCs w:val="16"/>
        </w:rPr>
      </w:pPr>
      <w:r w:rsidRPr="006B7E1E">
        <w:rPr>
          <w:rStyle w:val="Znakapoznpodarou"/>
          <w:spacing w:val="-2"/>
          <w:sz w:val="16"/>
          <w:szCs w:val="16"/>
        </w:rPr>
        <w:footnoteRef/>
      </w:r>
      <w:r w:rsidRPr="006B7E1E">
        <w:rPr>
          <w:spacing w:val="-2"/>
          <w:sz w:val="16"/>
          <w:szCs w:val="16"/>
        </w:rPr>
        <w:t xml:space="preserve"> Loňská sklizeň obilovin (v</w:t>
      </w:r>
      <w:r>
        <w:rPr>
          <w:spacing w:val="-2"/>
          <w:sz w:val="16"/>
          <w:szCs w:val="16"/>
        </w:rPr>
        <w:t xml:space="preserve">četně </w:t>
      </w:r>
      <w:r w:rsidRPr="006B7E1E">
        <w:rPr>
          <w:spacing w:val="-2"/>
          <w:sz w:val="16"/>
          <w:szCs w:val="16"/>
        </w:rPr>
        <w:t>kukuřice) činila 8,23</w:t>
      </w:r>
      <w:r>
        <w:rPr>
          <w:spacing w:val="-2"/>
          <w:sz w:val="16"/>
          <w:szCs w:val="16"/>
        </w:rPr>
        <w:t> mil.</w:t>
      </w:r>
      <w:r w:rsidRPr="006B7E1E">
        <w:rPr>
          <w:spacing w:val="-2"/>
          <w:sz w:val="16"/>
          <w:szCs w:val="16"/>
        </w:rPr>
        <w:t xml:space="preserve"> tun (šestá nejvyšší úroda v</w:t>
      </w:r>
      <w:r>
        <w:rPr>
          <w:spacing w:val="-2"/>
          <w:sz w:val="16"/>
          <w:szCs w:val="16"/>
        </w:rPr>
        <w:t> </w:t>
      </w:r>
      <w:r w:rsidRPr="006B7E1E">
        <w:rPr>
          <w:spacing w:val="-2"/>
          <w:sz w:val="16"/>
          <w:szCs w:val="16"/>
        </w:rPr>
        <w:t>éře samostatné</w:t>
      </w:r>
      <w:r>
        <w:rPr>
          <w:spacing w:val="-2"/>
          <w:sz w:val="16"/>
          <w:szCs w:val="16"/>
        </w:rPr>
        <w:t> </w:t>
      </w:r>
      <w:r w:rsidRPr="006B7E1E">
        <w:rPr>
          <w:spacing w:val="-2"/>
          <w:sz w:val="16"/>
          <w:szCs w:val="16"/>
        </w:rPr>
        <w:t>ČR). Oproti průměru z let 2011 až 2020 byla vyšší o</w:t>
      </w:r>
      <w:r>
        <w:rPr>
          <w:spacing w:val="-2"/>
          <w:sz w:val="16"/>
          <w:szCs w:val="16"/>
        </w:rPr>
        <w:t> </w:t>
      </w:r>
      <w:r w:rsidRPr="006B7E1E">
        <w:rPr>
          <w:spacing w:val="-2"/>
          <w:sz w:val="16"/>
          <w:szCs w:val="16"/>
        </w:rPr>
        <w:t>5,3</w:t>
      </w:r>
      <w:r>
        <w:rPr>
          <w:spacing w:val="-2"/>
          <w:sz w:val="16"/>
          <w:szCs w:val="16"/>
        </w:rPr>
        <w:t> %</w:t>
      </w:r>
      <w:r w:rsidRPr="006B7E1E">
        <w:rPr>
          <w:spacing w:val="-2"/>
          <w:sz w:val="16"/>
          <w:szCs w:val="16"/>
        </w:rPr>
        <w:t>, výhradně díky nárůstu hektarové</w:t>
      </w:r>
      <w:r>
        <w:rPr>
          <w:spacing w:val="-2"/>
          <w:sz w:val="16"/>
          <w:szCs w:val="16"/>
        </w:rPr>
        <w:t>ho</w:t>
      </w:r>
      <w:r w:rsidRPr="006B7E1E">
        <w:rPr>
          <w:spacing w:val="-2"/>
          <w:sz w:val="16"/>
          <w:szCs w:val="16"/>
        </w:rPr>
        <w:t xml:space="preserve"> výnosu. Dlouhodobý průměr překročila sklizeň mírně i</w:t>
      </w:r>
      <w:r>
        <w:rPr>
          <w:spacing w:val="-2"/>
          <w:sz w:val="16"/>
          <w:szCs w:val="16"/>
        </w:rPr>
        <w:t> </w:t>
      </w:r>
      <w:r w:rsidRPr="006B7E1E">
        <w:rPr>
          <w:spacing w:val="-2"/>
          <w:sz w:val="16"/>
          <w:szCs w:val="16"/>
        </w:rPr>
        <w:t>u</w:t>
      </w:r>
      <w:r>
        <w:rPr>
          <w:spacing w:val="-2"/>
          <w:sz w:val="16"/>
          <w:szCs w:val="16"/>
        </w:rPr>
        <w:t> </w:t>
      </w:r>
      <w:r w:rsidRPr="006B7E1E">
        <w:rPr>
          <w:spacing w:val="-2"/>
          <w:sz w:val="16"/>
          <w:szCs w:val="16"/>
        </w:rPr>
        <w:t>brambor (+3,4</w:t>
      </w:r>
      <w:r>
        <w:rPr>
          <w:spacing w:val="-2"/>
          <w:sz w:val="16"/>
          <w:szCs w:val="16"/>
        </w:rPr>
        <w:t> %</w:t>
      </w:r>
      <w:r w:rsidRPr="006B7E1E">
        <w:rPr>
          <w:spacing w:val="-2"/>
          <w:sz w:val="16"/>
          <w:szCs w:val="16"/>
        </w:rPr>
        <w:t>), technické cukrovky (+6,5</w:t>
      </w:r>
      <w:r>
        <w:rPr>
          <w:spacing w:val="-2"/>
          <w:sz w:val="16"/>
          <w:szCs w:val="16"/>
        </w:rPr>
        <w:t> %</w:t>
      </w:r>
      <w:r w:rsidRPr="006B7E1E">
        <w:rPr>
          <w:spacing w:val="-2"/>
          <w:sz w:val="16"/>
          <w:szCs w:val="16"/>
        </w:rPr>
        <w:t>), kukuřice na zeleno a</w:t>
      </w:r>
      <w:r>
        <w:rPr>
          <w:spacing w:val="-2"/>
          <w:sz w:val="16"/>
          <w:szCs w:val="16"/>
        </w:rPr>
        <w:t> </w:t>
      </w:r>
      <w:r w:rsidRPr="006B7E1E">
        <w:rPr>
          <w:spacing w:val="-2"/>
          <w:sz w:val="16"/>
          <w:szCs w:val="16"/>
        </w:rPr>
        <w:t>siláž (+3,4 %), znatelněji pak u</w:t>
      </w:r>
      <w:r>
        <w:rPr>
          <w:spacing w:val="-2"/>
          <w:sz w:val="16"/>
          <w:szCs w:val="16"/>
        </w:rPr>
        <w:t> </w:t>
      </w:r>
      <w:r w:rsidRPr="006B7E1E">
        <w:rPr>
          <w:spacing w:val="-2"/>
          <w:sz w:val="16"/>
          <w:szCs w:val="16"/>
        </w:rPr>
        <w:t>víceletých pícnin (+21,4</w:t>
      </w:r>
      <w:r>
        <w:rPr>
          <w:spacing w:val="-2"/>
          <w:sz w:val="16"/>
          <w:szCs w:val="16"/>
        </w:rPr>
        <w:t> %</w:t>
      </w:r>
      <w:r w:rsidRPr="006B7E1E">
        <w:rPr>
          <w:spacing w:val="-2"/>
          <w:sz w:val="16"/>
          <w:szCs w:val="16"/>
        </w:rPr>
        <w:t>) či chmele (+39,6</w:t>
      </w:r>
      <w:r>
        <w:rPr>
          <w:spacing w:val="-2"/>
          <w:sz w:val="16"/>
          <w:szCs w:val="16"/>
        </w:rPr>
        <w:t> %</w:t>
      </w:r>
      <w:r w:rsidRPr="006B7E1E">
        <w:rPr>
          <w:spacing w:val="-2"/>
          <w:sz w:val="16"/>
          <w:szCs w:val="16"/>
        </w:rPr>
        <w:t>). Z významnějších plodin se loni nedařilo jen řepce (</w:t>
      </w:r>
      <w:r>
        <w:rPr>
          <w:spacing w:val="-2"/>
          <w:sz w:val="16"/>
          <w:szCs w:val="16"/>
        </w:rPr>
        <w:t>–</w:t>
      </w:r>
      <w:r w:rsidRPr="006B7E1E">
        <w:rPr>
          <w:spacing w:val="-2"/>
          <w:sz w:val="16"/>
          <w:szCs w:val="16"/>
        </w:rPr>
        <w:t>19,4</w:t>
      </w:r>
      <w:r>
        <w:rPr>
          <w:spacing w:val="-2"/>
          <w:sz w:val="16"/>
          <w:szCs w:val="16"/>
        </w:rPr>
        <w:t> %</w:t>
      </w:r>
      <w:r w:rsidRPr="006B7E1E">
        <w:rPr>
          <w:spacing w:val="-2"/>
          <w:sz w:val="16"/>
          <w:szCs w:val="16"/>
        </w:rPr>
        <w:t>), na čemž se podepsal významný pokles osevní plochy, zčásti ale i</w:t>
      </w:r>
      <w:r>
        <w:rPr>
          <w:spacing w:val="-2"/>
          <w:sz w:val="16"/>
          <w:szCs w:val="16"/>
        </w:rPr>
        <w:t xml:space="preserve"> snížení </w:t>
      </w:r>
      <w:r w:rsidRPr="006B7E1E">
        <w:rPr>
          <w:spacing w:val="-2"/>
          <w:sz w:val="16"/>
          <w:szCs w:val="16"/>
        </w:rPr>
        <w:t>hektarového výnosu.</w:t>
      </w:r>
    </w:p>
  </w:footnote>
  <w:footnote w:id="25">
    <w:p w14:paraId="36F5D47E" w14:textId="77777777" w:rsidR="00F77A50" w:rsidRPr="00CE71E4" w:rsidRDefault="00F77A50" w:rsidP="00F77A50">
      <w:pPr>
        <w:pStyle w:val="Textpoznpodarou"/>
        <w:jc w:val="both"/>
        <w:rPr>
          <w:rFonts w:cs="Arial"/>
          <w:color w:val="0D0D0D" w:themeColor="text1" w:themeTint="F2"/>
          <w:spacing w:val="-2"/>
          <w:sz w:val="16"/>
          <w:szCs w:val="16"/>
        </w:rPr>
      </w:pPr>
      <w:r w:rsidRPr="00CE71E4">
        <w:rPr>
          <w:rStyle w:val="Znakapoznpodarou"/>
          <w:rFonts w:cs="Arial"/>
          <w:color w:val="0D0D0D" w:themeColor="text1" w:themeTint="F2"/>
          <w:spacing w:val="-2"/>
          <w:sz w:val="16"/>
          <w:szCs w:val="16"/>
        </w:rPr>
        <w:footnoteRef/>
      </w:r>
      <w:r w:rsidRPr="00CE71E4">
        <w:rPr>
          <w:rFonts w:cs="Arial"/>
          <w:color w:val="0D0D0D" w:themeColor="text1" w:themeTint="F2"/>
          <w:spacing w:val="-2"/>
          <w:sz w:val="16"/>
          <w:szCs w:val="16"/>
        </w:rPr>
        <w:t xml:space="preserve"> Zahrnuje odvětví těžby a dobývání, zpracovatelského průmyslu a také energetiky (zde pojímané jako odvětví výroby a rozvodu elektřiny, plynu, tepla a klimatizovaného vzduchu). Všechna meziroční tempa produkce (na úrovni odvětvových sekcí i oddílů) jsou očištěna o kalendářní vlivy, mezičtvrtletní i meziměsíční tempa pak také o vliv sezónnosti.</w:t>
      </w:r>
    </w:p>
  </w:footnote>
  <w:footnote w:id="26">
    <w:p w14:paraId="0FE5BF3E" w14:textId="77777777" w:rsidR="00F77A50" w:rsidRPr="00EB7CEF" w:rsidRDefault="00F77A50" w:rsidP="00F77A50">
      <w:pPr>
        <w:pStyle w:val="Textpoznpodarou"/>
        <w:jc w:val="both"/>
        <w:rPr>
          <w:sz w:val="16"/>
          <w:szCs w:val="16"/>
        </w:rPr>
      </w:pPr>
      <w:r w:rsidRPr="00EB7CEF">
        <w:rPr>
          <w:rStyle w:val="Znakapoznpodarou"/>
          <w:sz w:val="16"/>
          <w:szCs w:val="16"/>
        </w:rPr>
        <w:footnoteRef/>
      </w:r>
      <w:r w:rsidRPr="00EB7CEF">
        <w:rPr>
          <w:sz w:val="16"/>
          <w:szCs w:val="16"/>
        </w:rPr>
        <w:t xml:space="preserve"> Do Německa směřovalo </w:t>
      </w:r>
      <w:r>
        <w:rPr>
          <w:sz w:val="16"/>
          <w:szCs w:val="16"/>
        </w:rPr>
        <w:t xml:space="preserve">loni </w:t>
      </w:r>
      <w:r w:rsidRPr="00EB7CEF">
        <w:rPr>
          <w:sz w:val="16"/>
          <w:szCs w:val="16"/>
        </w:rPr>
        <w:t>ve 2.</w:t>
      </w:r>
      <w:r>
        <w:rPr>
          <w:sz w:val="16"/>
          <w:szCs w:val="16"/>
        </w:rPr>
        <w:t> čtvrtlet</w:t>
      </w:r>
      <w:r w:rsidRPr="00EB7CEF">
        <w:rPr>
          <w:sz w:val="16"/>
          <w:szCs w:val="16"/>
        </w:rPr>
        <w:t>í 30,8</w:t>
      </w:r>
      <w:r>
        <w:rPr>
          <w:sz w:val="16"/>
          <w:szCs w:val="16"/>
        </w:rPr>
        <w:t> %</w:t>
      </w:r>
      <w:r w:rsidRPr="00EB7CEF">
        <w:rPr>
          <w:sz w:val="16"/>
          <w:szCs w:val="16"/>
        </w:rPr>
        <w:t xml:space="preserve"> hodnoty celkového tuzemského exportu průmys</w:t>
      </w:r>
      <w:r>
        <w:rPr>
          <w:sz w:val="16"/>
          <w:szCs w:val="16"/>
        </w:rPr>
        <w:t xml:space="preserve">lového zboží, do EU pak </w:t>
      </w:r>
      <w:r w:rsidRPr="00EB7CEF">
        <w:rPr>
          <w:sz w:val="16"/>
          <w:szCs w:val="16"/>
        </w:rPr>
        <w:t>80</w:t>
      </w:r>
      <w:r>
        <w:rPr>
          <w:sz w:val="16"/>
          <w:szCs w:val="16"/>
        </w:rPr>
        <w:t> %</w:t>
      </w:r>
      <w:r w:rsidRPr="00EB7CEF">
        <w:rPr>
          <w:sz w:val="16"/>
          <w:szCs w:val="16"/>
        </w:rPr>
        <w:t>.</w:t>
      </w:r>
    </w:p>
  </w:footnote>
  <w:footnote w:id="27">
    <w:p w14:paraId="7BE65C5A" w14:textId="77777777" w:rsidR="00F77A50" w:rsidRPr="000345CC" w:rsidRDefault="00F77A50" w:rsidP="00F77A50">
      <w:pPr>
        <w:pStyle w:val="Textpoznpodarou"/>
        <w:rPr>
          <w:sz w:val="16"/>
          <w:szCs w:val="16"/>
        </w:rPr>
      </w:pPr>
      <w:r w:rsidRPr="000345CC">
        <w:rPr>
          <w:rStyle w:val="Znakapoznpodarou"/>
          <w:sz w:val="16"/>
          <w:szCs w:val="16"/>
        </w:rPr>
        <w:footnoteRef/>
      </w:r>
      <w:r w:rsidRPr="000345CC">
        <w:rPr>
          <w:sz w:val="16"/>
          <w:szCs w:val="16"/>
        </w:rPr>
        <w:t xml:space="preserve"> Ve 4.</w:t>
      </w:r>
      <w:r>
        <w:rPr>
          <w:sz w:val="16"/>
          <w:szCs w:val="16"/>
        </w:rPr>
        <w:t> čtvrtlet</w:t>
      </w:r>
      <w:r w:rsidRPr="000345CC">
        <w:rPr>
          <w:sz w:val="16"/>
          <w:szCs w:val="16"/>
        </w:rPr>
        <w:t xml:space="preserve">í </w:t>
      </w:r>
      <w:r>
        <w:rPr>
          <w:sz w:val="16"/>
          <w:szCs w:val="16"/>
        </w:rPr>
        <w:t xml:space="preserve">2021 </w:t>
      </w:r>
      <w:r w:rsidRPr="000345CC">
        <w:rPr>
          <w:sz w:val="16"/>
          <w:szCs w:val="16"/>
        </w:rPr>
        <w:t>vzrostla meziročně p</w:t>
      </w:r>
      <w:r>
        <w:rPr>
          <w:sz w:val="16"/>
          <w:szCs w:val="16"/>
        </w:rPr>
        <w:t>rodukce zhruba ve dvou třetinách</w:t>
      </w:r>
      <w:r w:rsidRPr="000345CC">
        <w:rPr>
          <w:sz w:val="16"/>
          <w:szCs w:val="16"/>
        </w:rPr>
        <w:t xml:space="preserve"> hlavních průmyslových oborů.</w:t>
      </w:r>
    </w:p>
  </w:footnote>
  <w:footnote w:id="28">
    <w:p w14:paraId="4F71D6B0" w14:textId="77777777" w:rsidR="00F77A50" w:rsidRPr="0007041E" w:rsidRDefault="00F77A50" w:rsidP="00F77A50">
      <w:pPr>
        <w:pStyle w:val="Textpoznpodarou"/>
        <w:jc w:val="both"/>
        <w:rPr>
          <w:sz w:val="16"/>
          <w:szCs w:val="16"/>
        </w:rPr>
      </w:pPr>
      <w:r w:rsidRPr="0007041E">
        <w:rPr>
          <w:rStyle w:val="Znakapoznpodarou"/>
          <w:sz w:val="16"/>
          <w:szCs w:val="16"/>
        </w:rPr>
        <w:footnoteRef/>
      </w:r>
      <w:r w:rsidRPr="0007041E">
        <w:rPr>
          <w:sz w:val="16"/>
          <w:szCs w:val="16"/>
        </w:rPr>
        <w:t xml:space="preserve"> Problémy s nucenými odstávkami výroby v automobilovém průmyslu, ke kterým </w:t>
      </w:r>
      <w:r w:rsidRPr="00E36D4D">
        <w:rPr>
          <w:sz w:val="16"/>
          <w:szCs w:val="16"/>
        </w:rPr>
        <w:t>došlo loni v létě i na podzim, se</w:t>
      </w:r>
      <w:r w:rsidRPr="0007041E">
        <w:rPr>
          <w:sz w:val="16"/>
          <w:szCs w:val="16"/>
        </w:rPr>
        <w:t xml:space="preserve"> však </w:t>
      </w:r>
      <w:r>
        <w:rPr>
          <w:sz w:val="16"/>
          <w:szCs w:val="16"/>
        </w:rPr>
        <w:t>v těchto návazných oborech začaly projevovat ve 4. čtvrtletí 2021. V</w:t>
      </w:r>
      <w:r w:rsidRPr="0007041E">
        <w:rPr>
          <w:sz w:val="16"/>
          <w:szCs w:val="16"/>
        </w:rPr>
        <w:t xml:space="preserve"> gumárenství </w:t>
      </w:r>
      <w:r>
        <w:rPr>
          <w:sz w:val="16"/>
          <w:szCs w:val="16"/>
        </w:rPr>
        <w:t>a</w:t>
      </w:r>
      <w:r w:rsidRPr="0007041E">
        <w:rPr>
          <w:sz w:val="16"/>
          <w:szCs w:val="16"/>
        </w:rPr>
        <w:t> plastikářst</w:t>
      </w:r>
      <w:r>
        <w:rPr>
          <w:sz w:val="16"/>
          <w:szCs w:val="16"/>
        </w:rPr>
        <w:t>ví ve</w:t>
      </w:r>
      <w:r w:rsidRPr="0007041E">
        <w:rPr>
          <w:sz w:val="16"/>
          <w:szCs w:val="16"/>
        </w:rPr>
        <w:t xml:space="preserve"> 4.</w:t>
      </w:r>
      <w:r>
        <w:rPr>
          <w:sz w:val="16"/>
          <w:szCs w:val="16"/>
        </w:rPr>
        <w:t> čtvrtlet</w:t>
      </w:r>
      <w:r w:rsidRPr="0007041E">
        <w:rPr>
          <w:sz w:val="16"/>
          <w:szCs w:val="16"/>
        </w:rPr>
        <w:t>í</w:t>
      </w:r>
      <w:r>
        <w:rPr>
          <w:sz w:val="16"/>
          <w:szCs w:val="16"/>
        </w:rPr>
        <w:t xml:space="preserve"> produkce mezi</w:t>
      </w:r>
      <w:r w:rsidRPr="0007041E">
        <w:rPr>
          <w:sz w:val="16"/>
          <w:szCs w:val="16"/>
        </w:rPr>
        <w:t>r</w:t>
      </w:r>
      <w:r>
        <w:rPr>
          <w:sz w:val="16"/>
          <w:szCs w:val="16"/>
        </w:rPr>
        <w:t>očně klesla o 4,4 %, ve více diverzifikovaném odvětví výroby elektrických zařízení byl pokles mírnější (1,3 %).</w:t>
      </w:r>
    </w:p>
  </w:footnote>
  <w:footnote w:id="29">
    <w:p w14:paraId="5D4610A7" w14:textId="77777777" w:rsidR="00F77A50" w:rsidRPr="000345CC" w:rsidRDefault="00F77A50" w:rsidP="00F77A50">
      <w:pPr>
        <w:pStyle w:val="Textpoznpodarou"/>
        <w:jc w:val="both"/>
        <w:rPr>
          <w:sz w:val="16"/>
          <w:szCs w:val="16"/>
        </w:rPr>
      </w:pPr>
      <w:r w:rsidRPr="000345CC">
        <w:rPr>
          <w:rStyle w:val="Znakapoznpodarou"/>
          <w:sz w:val="16"/>
          <w:szCs w:val="16"/>
        </w:rPr>
        <w:footnoteRef/>
      </w:r>
      <w:r w:rsidRPr="000345CC">
        <w:rPr>
          <w:sz w:val="16"/>
          <w:szCs w:val="16"/>
        </w:rPr>
        <w:t xml:space="preserve"> V posledních le</w:t>
      </w:r>
      <w:r>
        <w:rPr>
          <w:sz w:val="16"/>
          <w:szCs w:val="16"/>
        </w:rPr>
        <w:t>tech tento obor soustřeďoval zhruba šestinu</w:t>
      </w:r>
      <w:r w:rsidRPr="000345CC">
        <w:rPr>
          <w:sz w:val="16"/>
          <w:szCs w:val="16"/>
        </w:rPr>
        <w:t xml:space="preserve"> celkové průmyslové produkce v</w:t>
      </w:r>
      <w:r>
        <w:rPr>
          <w:sz w:val="16"/>
          <w:szCs w:val="16"/>
        </w:rPr>
        <w:t> </w:t>
      </w:r>
      <w:r w:rsidRPr="000345CC">
        <w:rPr>
          <w:sz w:val="16"/>
          <w:szCs w:val="16"/>
        </w:rPr>
        <w:t>ČR</w:t>
      </w:r>
      <w:r>
        <w:rPr>
          <w:sz w:val="16"/>
          <w:szCs w:val="16"/>
        </w:rPr>
        <w:t>.</w:t>
      </w:r>
    </w:p>
  </w:footnote>
  <w:footnote w:id="30">
    <w:p w14:paraId="63F9B407" w14:textId="77777777" w:rsidR="00F77A50" w:rsidRPr="000345CC" w:rsidRDefault="00F77A50" w:rsidP="00F77A50">
      <w:pPr>
        <w:pStyle w:val="Textpoznpodarou"/>
        <w:jc w:val="both"/>
        <w:rPr>
          <w:sz w:val="16"/>
          <w:szCs w:val="16"/>
        </w:rPr>
      </w:pPr>
      <w:r w:rsidRPr="000345CC">
        <w:rPr>
          <w:rStyle w:val="Znakapoznpodarou"/>
          <w:sz w:val="16"/>
          <w:szCs w:val="16"/>
        </w:rPr>
        <w:footnoteRef/>
      </w:r>
      <w:r w:rsidRPr="000345CC">
        <w:rPr>
          <w:sz w:val="16"/>
          <w:szCs w:val="16"/>
        </w:rPr>
        <w:t xml:space="preserve"> To stvrzují i</w:t>
      </w:r>
      <w:r>
        <w:rPr>
          <w:sz w:val="16"/>
          <w:szCs w:val="16"/>
        </w:rPr>
        <w:t> data</w:t>
      </w:r>
      <w:r w:rsidRPr="000345CC">
        <w:rPr>
          <w:sz w:val="16"/>
          <w:szCs w:val="16"/>
        </w:rPr>
        <w:t xml:space="preserve"> o</w:t>
      </w:r>
      <w:r>
        <w:rPr>
          <w:sz w:val="16"/>
          <w:szCs w:val="16"/>
        </w:rPr>
        <w:t> </w:t>
      </w:r>
      <w:r w:rsidRPr="000345CC">
        <w:rPr>
          <w:sz w:val="16"/>
          <w:szCs w:val="16"/>
        </w:rPr>
        <w:t xml:space="preserve">fyzické produkci. Dle údajů Sdružení automobilového průmyslu v ČR </w:t>
      </w:r>
      <w:r>
        <w:rPr>
          <w:sz w:val="16"/>
          <w:szCs w:val="16"/>
        </w:rPr>
        <w:t>bylo v tuzemsku loni vyrobeno 1,105 mil. osobních automobilů, což bylo meziročně o 4 % méně a oproti rekordnímu roku 2018 šlo o počet nižší dokonce o 23 %. Na pět měsíců roku 2021, ovlivněných nucenými odstávkami výroby či prodlouženými dovolenými (prosinec a období od července do října), připadalo jen 318 tis. vyrobených automobilů – tedy pouze 29 % loňské celoroční produkce.</w:t>
      </w:r>
    </w:p>
  </w:footnote>
  <w:footnote w:id="31">
    <w:p w14:paraId="7D7C56D1" w14:textId="77777777" w:rsidR="00F77A50" w:rsidRPr="000345CC" w:rsidRDefault="00F77A50" w:rsidP="00F77A50">
      <w:pPr>
        <w:pStyle w:val="Textpoznpodarou"/>
        <w:jc w:val="both"/>
        <w:rPr>
          <w:sz w:val="16"/>
          <w:szCs w:val="16"/>
        </w:rPr>
      </w:pPr>
      <w:r w:rsidRPr="000345CC">
        <w:rPr>
          <w:rStyle w:val="Znakapoznpodarou"/>
          <w:sz w:val="16"/>
          <w:szCs w:val="16"/>
        </w:rPr>
        <w:footnoteRef/>
      </w:r>
      <w:r w:rsidRPr="000345CC">
        <w:rPr>
          <w:sz w:val="16"/>
          <w:szCs w:val="16"/>
        </w:rPr>
        <w:t xml:space="preserve"> Za celý rok 2020 se produkce propadla o šestinu, tedy nejvíce ve srovnatelné řadě od roku 2000. Souviselo to s dlouhodobou proměnou energetického mixu ekonomiky</w:t>
      </w:r>
      <w:r>
        <w:rPr>
          <w:sz w:val="16"/>
          <w:szCs w:val="16"/>
        </w:rPr>
        <w:t>,</w:t>
      </w:r>
      <w:r w:rsidRPr="000345CC">
        <w:rPr>
          <w:sz w:val="16"/>
          <w:szCs w:val="16"/>
        </w:rPr>
        <w:t xml:space="preserve"> urychlenou i svižným růstem cen emisních povolenek.</w:t>
      </w:r>
    </w:p>
  </w:footnote>
  <w:footnote w:id="32">
    <w:p w14:paraId="261B8DCF" w14:textId="77777777" w:rsidR="00F77A50" w:rsidRPr="002F6A73" w:rsidRDefault="00F77A50" w:rsidP="00F77A50">
      <w:pPr>
        <w:pStyle w:val="Textpoznpodarou"/>
        <w:jc w:val="both"/>
        <w:rPr>
          <w:spacing w:val="-2"/>
          <w:sz w:val="16"/>
          <w:szCs w:val="16"/>
        </w:rPr>
      </w:pPr>
      <w:r w:rsidRPr="002F6A73">
        <w:rPr>
          <w:rStyle w:val="Znakapoznpodarou"/>
          <w:spacing w:val="-2"/>
          <w:sz w:val="16"/>
          <w:szCs w:val="16"/>
        </w:rPr>
        <w:footnoteRef/>
      </w:r>
      <w:r w:rsidRPr="002F6A73">
        <w:rPr>
          <w:spacing w:val="-2"/>
          <w:sz w:val="16"/>
          <w:szCs w:val="16"/>
        </w:rPr>
        <w:t xml:space="preserve"> Dle </w:t>
      </w:r>
      <w:r>
        <w:rPr>
          <w:spacing w:val="-2"/>
          <w:sz w:val="16"/>
          <w:szCs w:val="16"/>
        </w:rPr>
        <w:t xml:space="preserve">předběžných </w:t>
      </w:r>
      <w:r w:rsidRPr="002F6A73">
        <w:rPr>
          <w:spacing w:val="-2"/>
          <w:sz w:val="16"/>
          <w:szCs w:val="16"/>
        </w:rPr>
        <w:t xml:space="preserve">údajů Energetického regulačního úřadu dosáhla loni hrubá tuzemská výroba elektřiny </w:t>
      </w:r>
      <w:r>
        <w:rPr>
          <w:spacing w:val="-2"/>
          <w:sz w:val="16"/>
          <w:szCs w:val="16"/>
        </w:rPr>
        <w:t>84,9 TWh a meziročně vzrostla o</w:t>
      </w:r>
      <w:r w:rsidRPr="002F6A73">
        <w:rPr>
          <w:spacing w:val="-2"/>
          <w:sz w:val="16"/>
          <w:szCs w:val="16"/>
        </w:rPr>
        <w:t> 4,2</w:t>
      </w:r>
      <w:r>
        <w:rPr>
          <w:spacing w:val="-2"/>
          <w:sz w:val="16"/>
          <w:szCs w:val="16"/>
        </w:rPr>
        <w:t> %</w:t>
      </w:r>
      <w:r w:rsidRPr="002F6A73">
        <w:rPr>
          <w:spacing w:val="-2"/>
          <w:sz w:val="16"/>
          <w:szCs w:val="16"/>
        </w:rPr>
        <w:t xml:space="preserve"> (v</w:t>
      </w:r>
      <w:r>
        <w:rPr>
          <w:spacing w:val="-2"/>
          <w:sz w:val="16"/>
          <w:szCs w:val="16"/>
        </w:rPr>
        <w:t> </w:t>
      </w:r>
      <w:r w:rsidRPr="002F6A73">
        <w:rPr>
          <w:spacing w:val="-2"/>
          <w:sz w:val="16"/>
          <w:szCs w:val="16"/>
        </w:rPr>
        <w:t>roce 2020 ale propadla o</w:t>
      </w:r>
      <w:r>
        <w:rPr>
          <w:spacing w:val="-2"/>
          <w:sz w:val="16"/>
          <w:szCs w:val="16"/>
        </w:rPr>
        <w:t> </w:t>
      </w:r>
      <w:r w:rsidRPr="002F6A73">
        <w:rPr>
          <w:spacing w:val="-2"/>
          <w:sz w:val="16"/>
          <w:szCs w:val="16"/>
        </w:rPr>
        <w:t>6,4</w:t>
      </w:r>
      <w:r>
        <w:rPr>
          <w:spacing w:val="-2"/>
          <w:sz w:val="16"/>
          <w:szCs w:val="16"/>
        </w:rPr>
        <w:t> %</w:t>
      </w:r>
      <w:r w:rsidRPr="002F6A73">
        <w:rPr>
          <w:spacing w:val="-2"/>
          <w:sz w:val="16"/>
          <w:szCs w:val="16"/>
        </w:rPr>
        <w:t>). Na růstu se podílely zejména parní, z menší části i</w:t>
      </w:r>
      <w:r>
        <w:rPr>
          <w:spacing w:val="-2"/>
          <w:sz w:val="16"/>
          <w:szCs w:val="16"/>
        </w:rPr>
        <w:t> </w:t>
      </w:r>
      <w:r w:rsidRPr="002F6A73">
        <w:rPr>
          <w:spacing w:val="-2"/>
          <w:sz w:val="16"/>
          <w:szCs w:val="16"/>
        </w:rPr>
        <w:t>jaderné a</w:t>
      </w:r>
      <w:r>
        <w:rPr>
          <w:spacing w:val="-2"/>
          <w:sz w:val="16"/>
          <w:szCs w:val="16"/>
        </w:rPr>
        <w:t> </w:t>
      </w:r>
      <w:r w:rsidRPr="002F6A73">
        <w:rPr>
          <w:spacing w:val="-2"/>
          <w:sz w:val="16"/>
          <w:szCs w:val="16"/>
        </w:rPr>
        <w:t>vodní elektrárny. I</w:t>
      </w:r>
      <w:r>
        <w:rPr>
          <w:spacing w:val="-2"/>
          <w:sz w:val="16"/>
          <w:szCs w:val="16"/>
        </w:rPr>
        <w:t> </w:t>
      </w:r>
      <w:r w:rsidRPr="002F6A73">
        <w:rPr>
          <w:spacing w:val="-2"/>
          <w:sz w:val="16"/>
          <w:szCs w:val="16"/>
        </w:rPr>
        <w:t>hrubá tuzemská spotřeba elektřiny loni za úrovní z roku 2019 mírně zaostala, když činila 73,7</w:t>
      </w:r>
      <w:r>
        <w:rPr>
          <w:spacing w:val="-2"/>
          <w:sz w:val="16"/>
          <w:szCs w:val="16"/>
        </w:rPr>
        <w:t> T</w:t>
      </w:r>
      <w:r w:rsidRPr="002F6A73">
        <w:rPr>
          <w:spacing w:val="-2"/>
          <w:sz w:val="16"/>
          <w:szCs w:val="16"/>
        </w:rPr>
        <w:t>Wh a</w:t>
      </w:r>
      <w:r>
        <w:rPr>
          <w:spacing w:val="-2"/>
          <w:sz w:val="16"/>
          <w:szCs w:val="16"/>
        </w:rPr>
        <w:t> </w:t>
      </w:r>
      <w:r w:rsidRPr="002F6A73">
        <w:rPr>
          <w:spacing w:val="-2"/>
          <w:sz w:val="16"/>
          <w:szCs w:val="16"/>
        </w:rPr>
        <w:t>meziročně vzrostla o</w:t>
      </w:r>
      <w:r>
        <w:rPr>
          <w:spacing w:val="-2"/>
          <w:sz w:val="16"/>
          <w:szCs w:val="16"/>
        </w:rPr>
        <w:t> </w:t>
      </w:r>
      <w:r w:rsidRPr="002F6A73">
        <w:rPr>
          <w:spacing w:val="-2"/>
          <w:sz w:val="16"/>
          <w:szCs w:val="16"/>
        </w:rPr>
        <w:t>3,2</w:t>
      </w:r>
      <w:r>
        <w:rPr>
          <w:spacing w:val="-2"/>
          <w:sz w:val="16"/>
          <w:szCs w:val="16"/>
        </w:rPr>
        <w:t> %</w:t>
      </w:r>
      <w:r w:rsidRPr="002F6A73">
        <w:rPr>
          <w:spacing w:val="-2"/>
          <w:sz w:val="16"/>
          <w:szCs w:val="16"/>
        </w:rPr>
        <w:t>. Klíčovou roli v tom sehrály domácnosti (+8,1 %) a</w:t>
      </w:r>
      <w:r>
        <w:rPr>
          <w:spacing w:val="-2"/>
          <w:sz w:val="16"/>
          <w:szCs w:val="16"/>
        </w:rPr>
        <w:t> </w:t>
      </w:r>
      <w:r w:rsidRPr="002F6A73">
        <w:rPr>
          <w:spacing w:val="-2"/>
          <w:sz w:val="16"/>
          <w:szCs w:val="16"/>
        </w:rPr>
        <w:t>velko</w:t>
      </w:r>
      <w:r>
        <w:rPr>
          <w:spacing w:val="-2"/>
          <w:sz w:val="16"/>
          <w:szCs w:val="16"/>
        </w:rPr>
        <w:t>od</w:t>
      </w:r>
      <w:r w:rsidRPr="002F6A73">
        <w:rPr>
          <w:spacing w:val="-2"/>
          <w:sz w:val="16"/>
          <w:szCs w:val="16"/>
        </w:rPr>
        <w:t>běratelé z</w:t>
      </w:r>
      <w:r>
        <w:rPr>
          <w:spacing w:val="-2"/>
          <w:sz w:val="16"/>
          <w:szCs w:val="16"/>
        </w:rPr>
        <w:t> </w:t>
      </w:r>
      <w:r w:rsidRPr="002F6A73">
        <w:rPr>
          <w:spacing w:val="-2"/>
          <w:sz w:val="16"/>
          <w:szCs w:val="16"/>
        </w:rPr>
        <w:t>podniků (+4,4</w:t>
      </w:r>
      <w:r>
        <w:rPr>
          <w:spacing w:val="-2"/>
          <w:sz w:val="16"/>
          <w:szCs w:val="16"/>
        </w:rPr>
        <w:t> %</w:t>
      </w:r>
      <w:r w:rsidRPr="002F6A73">
        <w:rPr>
          <w:spacing w:val="-2"/>
          <w:sz w:val="16"/>
          <w:szCs w:val="16"/>
        </w:rPr>
        <w:t>). To maloodběratelé z řad podnikatelů spotřebovali meziročně o</w:t>
      </w:r>
      <w:r w:rsidRPr="002F6A73">
        <w:rPr>
          <w:rFonts w:cs="Arial"/>
          <w:color w:val="0D0D0D" w:themeColor="text1" w:themeTint="F2"/>
          <w:spacing w:val="-2"/>
          <w:sz w:val="16"/>
          <w:szCs w:val="16"/>
        </w:rPr>
        <w:t> </w:t>
      </w:r>
      <w:r w:rsidRPr="002F6A73">
        <w:rPr>
          <w:spacing w:val="-2"/>
          <w:sz w:val="16"/>
          <w:szCs w:val="16"/>
        </w:rPr>
        <w:t>0,9</w:t>
      </w:r>
      <w:r>
        <w:rPr>
          <w:spacing w:val="-2"/>
          <w:sz w:val="16"/>
          <w:szCs w:val="16"/>
        </w:rPr>
        <w:t> %</w:t>
      </w:r>
      <w:r w:rsidRPr="002F6A73">
        <w:rPr>
          <w:spacing w:val="-2"/>
          <w:sz w:val="16"/>
          <w:szCs w:val="16"/>
        </w:rPr>
        <w:t xml:space="preserve"> méně, za dva roky o</w:t>
      </w:r>
      <w:r>
        <w:rPr>
          <w:spacing w:val="-2"/>
          <w:sz w:val="16"/>
          <w:szCs w:val="16"/>
        </w:rPr>
        <w:t> </w:t>
      </w:r>
      <w:r w:rsidRPr="002F6A73">
        <w:rPr>
          <w:spacing w:val="-2"/>
          <w:sz w:val="16"/>
          <w:szCs w:val="16"/>
        </w:rPr>
        <w:t>3,4 %. Celková spotřeba plynu v</w:t>
      </w:r>
      <w:r>
        <w:rPr>
          <w:spacing w:val="-2"/>
          <w:sz w:val="16"/>
          <w:szCs w:val="16"/>
        </w:rPr>
        <w:t> </w:t>
      </w:r>
      <w:r w:rsidRPr="002F6A73">
        <w:rPr>
          <w:spacing w:val="-2"/>
          <w:sz w:val="16"/>
          <w:szCs w:val="16"/>
        </w:rPr>
        <w:t>ČR</w:t>
      </w:r>
      <w:r>
        <w:rPr>
          <w:spacing w:val="-2"/>
          <w:sz w:val="16"/>
          <w:szCs w:val="16"/>
        </w:rPr>
        <w:t xml:space="preserve"> se</w:t>
      </w:r>
      <w:r w:rsidRPr="002F6A73">
        <w:rPr>
          <w:spacing w:val="-2"/>
          <w:sz w:val="16"/>
          <w:szCs w:val="16"/>
        </w:rPr>
        <w:t xml:space="preserve"> loni meziročně zvýšila o</w:t>
      </w:r>
      <w:r>
        <w:rPr>
          <w:spacing w:val="-2"/>
          <w:sz w:val="16"/>
          <w:szCs w:val="16"/>
        </w:rPr>
        <w:t> </w:t>
      </w:r>
      <w:r w:rsidRPr="002F6A73">
        <w:rPr>
          <w:spacing w:val="-2"/>
          <w:sz w:val="16"/>
          <w:szCs w:val="16"/>
        </w:rPr>
        <w:t>8,5</w:t>
      </w:r>
      <w:r>
        <w:rPr>
          <w:spacing w:val="-2"/>
          <w:sz w:val="16"/>
          <w:szCs w:val="16"/>
        </w:rPr>
        <w:t> %</w:t>
      </w:r>
      <w:r w:rsidRPr="002F6A73">
        <w:rPr>
          <w:spacing w:val="-2"/>
          <w:sz w:val="16"/>
          <w:szCs w:val="16"/>
        </w:rPr>
        <w:t xml:space="preserve">, po zohlednění vlivu chladnějšího počasí činil růst spotřeby (po přepočtu na teplotní normál) </w:t>
      </w:r>
      <w:r>
        <w:rPr>
          <w:spacing w:val="-2"/>
          <w:sz w:val="16"/>
          <w:szCs w:val="16"/>
        </w:rPr>
        <w:t xml:space="preserve">pouze </w:t>
      </w:r>
      <w:r w:rsidRPr="002F6A73">
        <w:rPr>
          <w:spacing w:val="-2"/>
          <w:sz w:val="16"/>
          <w:szCs w:val="16"/>
        </w:rPr>
        <w:t>3,5</w:t>
      </w:r>
      <w:r>
        <w:rPr>
          <w:spacing w:val="-2"/>
          <w:sz w:val="16"/>
          <w:szCs w:val="16"/>
        </w:rPr>
        <w:t> %</w:t>
      </w:r>
      <w:r w:rsidRPr="002F6A73">
        <w:rPr>
          <w:spacing w:val="-2"/>
          <w:sz w:val="16"/>
          <w:szCs w:val="16"/>
        </w:rPr>
        <w:t xml:space="preserve">. V roce </w:t>
      </w:r>
      <w:r>
        <w:rPr>
          <w:spacing w:val="-2"/>
          <w:sz w:val="16"/>
          <w:szCs w:val="16"/>
        </w:rPr>
        <w:t>2020</w:t>
      </w:r>
      <w:r w:rsidRPr="002F6A73">
        <w:rPr>
          <w:spacing w:val="-2"/>
          <w:sz w:val="16"/>
          <w:szCs w:val="16"/>
        </w:rPr>
        <w:t xml:space="preserve"> i</w:t>
      </w:r>
      <w:r>
        <w:rPr>
          <w:spacing w:val="-2"/>
          <w:sz w:val="16"/>
          <w:szCs w:val="16"/>
        </w:rPr>
        <w:t> </w:t>
      </w:r>
      <w:r w:rsidRPr="002F6A73">
        <w:rPr>
          <w:spacing w:val="-2"/>
          <w:sz w:val="16"/>
          <w:szCs w:val="16"/>
        </w:rPr>
        <w:t>vlivem poklesu ekonomické aktivity přepočtená spotřeba klesla o</w:t>
      </w:r>
      <w:r>
        <w:rPr>
          <w:spacing w:val="-2"/>
          <w:sz w:val="16"/>
          <w:szCs w:val="16"/>
        </w:rPr>
        <w:t> </w:t>
      </w:r>
      <w:r w:rsidRPr="002F6A73">
        <w:rPr>
          <w:spacing w:val="-2"/>
          <w:sz w:val="16"/>
          <w:szCs w:val="16"/>
        </w:rPr>
        <w:t>0,5</w:t>
      </w:r>
      <w:r>
        <w:rPr>
          <w:spacing w:val="-2"/>
          <w:sz w:val="16"/>
          <w:szCs w:val="16"/>
        </w:rPr>
        <w:t> %</w:t>
      </w:r>
      <w:r w:rsidRPr="002F6A73">
        <w:rPr>
          <w:spacing w:val="-2"/>
          <w:sz w:val="16"/>
          <w:szCs w:val="16"/>
        </w:rPr>
        <w:t>.</w:t>
      </w:r>
    </w:p>
  </w:footnote>
  <w:footnote w:id="33">
    <w:p w14:paraId="0A1BF7AC" w14:textId="77777777" w:rsidR="00F77A50" w:rsidRPr="004670E0" w:rsidRDefault="00F77A50" w:rsidP="00F77A50">
      <w:pPr>
        <w:pStyle w:val="Textpoznpodarou"/>
        <w:jc w:val="both"/>
        <w:rPr>
          <w:sz w:val="16"/>
          <w:szCs w:val="16"/>
        </w:rPr>
      </w:pPr>
      <w:r w:rsidRPr="000345CC">
        <w:rPr>
          <w:rStyle w:val="Znakapoznpodarou"/>
          <w:sz w:val="16"/>
          <w:szCs w:val="16"/>
        </w:rPr>
        <w:footnoteRef/>
      </w:r>
      <w:r w:rsidRPr="000345CC">
        <w:rPr>
          <w:sz w:val="16"/>
          <w:szCs w:val="16"/>
        </w:rPr>
        <w:t xml:space="preserve"> </w:t>
      </w:r>
      <w:r w:rsidRPr="000345CC">
        <w:rPr>
          <w:rFonts w:cs="Arial"/>
          <w:color w:val="0D0D0D" w:themeColor="text1" w:themeTint="F2"/>
          <w:spacing w:val="-2"/>
          <w:sz w:val="16"/>
          <w:szCs w:val="16"/>
        </w:rPr>
        <w:t>Meziroční tempa tržeb js</w:t>
      </w:r>
      <w:r>
        <w:rPr>
          <w:rFonts w:cs="Arial"/>
          <w:color w:val="0D0D0D" w:themeColor="text1" w:themeTint="F2"/>
          <w:spacing w:val="-2"/>
          <w:sz w:val="16"/>
          <w:szCs w:val="16"/>
        </w:rPr>
        <w:t>ou očištěna o kalendářní vlivy.</w:t>
      </w:r>
    </w:p>
  </w:footnote>
  <w:footnote w:id="34">
    <w:p w14:paraId="6DF9412C" w14:textId="77777777" w:rsidR="00F77A50" w:rsidRPr="00FB58F4" w:rsidRDefault="00F77A50" w:rsidP="00F77A50">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7A20EB">
        <w:rPr>
          <w:rFonts w:cs="Arial"/>
          <w:color w:val="0D0D0D" w:themeColor="text1" w:themeTint="F2"/>
          <w:sz w:val="16"/>
          <w:szCs w:val="16"/>
        </w:rPr>
        <w:t>Zjišťování zaká</w:t>
      </w:r>
      <w:r>
        <w:rPr>
          <w:rFonts w:cs="Arial"/>
          <w:color w:val="0D0D0D" w:themeColor="text1" w:themeTint="F2"/>
          <w:sz w:val="16"/>
          <w:szCs w:val="16"/>
        </w:rPr>
        <w:t xml:space="preserve">zek probíhá jen ve 12 zpracovatelských odvětvích </w:t>
      </w:r>
      <w:r w:rsidRPr="007A20EB">
        <w:rPr>
          <w:rFonts w:cs="Arial"/>
          <w:color w:val="0D0D0D" w:themeColor="text1" w:themeTint="F2"/>
          <w:sz w:val="16"/>
          <w:szCs w:val="16"/>
        </w:rPr>
        <w:t>vyrábějí</w:t>
      </w:r>
      <w:r>
        <w:rPr>
          <w:rFonts w:cs="Arial"/>
          <w:color w:val="0D0D0D" w:themeColor="text1" w:themeTint="F2"/>
          <w:sz w:val="16"/>
          <w:szCs w:val="16"/>
        </w:rPr>
        <w:t>cích</w:t>
      </w:r>
      <w:r w:rsidRPr="007A20EB">
        <w:rPr>
          <w:rFonts w:cs="Arial"/>
          <w:color w:val="0D0D0D" w:themeColor="text1" w:themeTint="F2"/>
          <w:sz w:val="16"/>
          <w:szCs w:val="16"/>
        </w:rPr>
        <w:t xml:space="preserve"> převážně na zakázku, s dlouhodobějším výrobním cyklem a s většími zásobami zakázek.</w:t>
      </w:r>
      <w:r>
        <w:rPr>
          <w:rFonts w:cs="Arial"/>
          <w:color w:val="0D0D0D" w:themeColor="text1" w:themeTint="F2"/>
          <w:sz w:val="16"/>
          <w:szCs w:val="16"/>
        </w:rPr>
        <w:t xml:space="preserve"> </w:t>
      </w:r>
      <w:r>
        <w:rPr>
          <w:rFonts w:cs="Arial"/>
          <w:color w:val="0D0D0D" w:themeColor="text1" w:themeTint="F2"/>
          <w:spacing w:val="-2"/>
          <w:sz w:val="16"/>
          <w:szCs w:val="16"/>
        </w:rPr>
        <w:t>M</w:t>
      </w:r>
      <w:r w:rsidRPr="00CE71E4">
        <w:rPr>
          <w:rFonts w:cs="Arial"/>
          <w:color w:val="0D0D0D" w:themeColor="text1" w:themeTint="F2"/>
          <w:spacing w:val="-2"/>
          <w:sz w:val="16"/>
          <w:szCs w:val="16"/>
        </w:rPr>
        <w:t>eziroční tempa</w:t>
      </w:r>
      <w:r>
        <w:rPr>
          <w:rFonts w:cs="Arial"/>
          <w:color w:val="0D0D0D" w:themeColor="text1" w:themeTint="F2"/>
          <w:spacing w:val="-2"/>
          <w:sz w:val="16"/>
          <w:szCs w:val="16"/>
        </w:rPr>
        <w:t xml:space="preserve"> zakázek</w:t>
      </w:r>
      <w:r w:rsidRPr="00CE71E4">
        <w:rPr>
          <w:rFonts w:cs="Arial"/>
          <w:color w:val="0D0D0D" w:themeColor="text1" w:themeTint="F2"/>
          <w:spacing w:val="-2"/>
          <w:sz w:val="16"/>
          <w:szCs w:val="16"/>
        </w:rPr>
        <w:t xml:space="preserve"> jsou očištěna o kalendářní vli</w:t>
      </w:r>
      <w:r>
        <w:rPr>
          <w:rFonts w:cs="Arial"/>
          <w:color w:val="0D0D0D" w:themeColor="text1" w:themeTint="F2"/>
          <w:spacing w:val="-2"/>
          <w:sz w:val="16"/>
          <w:szCs w:val="16"/>
        </w:rPr>
        <w:t>vy.</w:t>
      </w:r>
    </w:p>
  </w:footnote>
  <w:footnote w:id="35">
    <w:p w14:paraId="0E461DF6" w14:textId="77777777" w:rsidR="00F77A50" w:rsidRPr="004955AC" w:rsidRDefault="00F77A50" w:rsidP="00F77A50">
      <w:pPr>
        <w:pStyle w:val="Textpoznpodarou"/>
        <w:jc w:val="both"/>
        <w:rPr>
          <w:sz w:val="16"/>
          <w:szCs w:val="16"/>
        </w:rPr>
      </w:pPr>
      <w:r w:rsidRPr="004955AC">
        <w:rPr>
          <w:rStyle w:val="Znakapoznpodarou"/>
          <w:sz w:val="16"/>
          <w:szCs w:val="16"/>
        </w:rPr>
        <w:footnoteRef/>
      </w:r>
      <w:r w:rsidRPr="004955AC">
        <w:rPr>
          <w:sz w:val="16"/>
          <w:szCs w:val="16"/>
        </w:rPr>
        <w:t xml:space="preserve"> Největší vytíženost kapacit na počátku roku 2022 měly z větších průmyslových odvětví výroba staveb</w:t>
      </w:r>
      <w:r>
        <w:rPr>
          <w:sz w:val="16"/>
          <w:szCs w:val="16"/>
        </w:rPr>
        <w:t>ních materiálů či gumárenství a</w:t>
      </w:r>
      <w:r w:rsidRPr="007A20EB">
        <w:rPr>
          <w:rFonts w:cs="Arial"/>
          <w:color w:val="0D0D0D" w:themeColor="text1" w:themeTint="F2"/>
          <w:sz w:val="16"/>
          <w:szCs w:val="16"/>
        </w:rPr>
        <w:t> </w:t>
      </w:r>
      <w:r w:rsidRPr="004955AC">
        <w:rPr>
          <w:sz w:val="16"/>
          <w:szCs w:val="16"/>
        </w:rPr>
        <w:t>plastikářství (shodně 90</w:t>
      </w:r>
      <w:r>
        <w:rPr>
          <w:sz w:val="16"/>
          <w:szCs w:val="16"/>
        </w:rPr>
        <w:t> %</w:t>
      </w:r>
      <w:r w:rsidRPr="004955AC">
        <w:rPr>
          <w:sz w:val="16"/>
          <w:szCs w:val="16"/>
        </w:rPr>
        <w:t>) a</w:t>
      </w:r>
      <w:r>
        <w:rPr>
          <w:sz w:val="16"/>
          <w:szCs w:val="16"/>
        </w:rPr>
        <w:t> </w:t>
      </w:r>
      <w:r w:rsidRPr="004955AC">
        <w:rPr>
          <w:sz w:val="16"/>
          <w:szCs w:val="16"/>
        </w:rPr>
        <w:t>také chemický průmysl (84</w:t>
      </w:r>
      <w:r>
        <w:rPr>
          <w:sz w:val="16"/>
          <w:szCs w:val="16"/>
        </w:rPr>
        <w:t> %</w:t>
      </w:r>
      <w:r w:rsidRPr="004955AC">
        <w:rPr>
          <w:sz w:val="16"/>
          <w:szCs w:val="16"/>
        </w:rPr>
        <w:t xml:space="preserve">). </w:t>
      </w:r>
      <w:r>
        <w:rPr>
          <w:sz w:val="16"/>
          <w:szCs w:val="16"/>
        </w:rPr>
        <w:t>Z menších oborů</w:t>
      </w:r>
      <w:r w:rsidRPr="004955AC">
        <w:rPr>
          <w:sz w:val="16"/>
          <w:szCs w:val="16"/>
        </w:rPr>
        <w:t xml:space="preserve"> pak analogicky např. nábytkářství (92</w:t>
      </w:r>
      <w:r>
        <w:rPr>
          <w:sz w:val="16"/>
          <w:szCs w:val="16"/>
        </w:rPr>
        <w:t> %</w:t>
      </w:r>
      <w:r w:rsidRPr="004955AC">
        <w:rPr>
          <w:sz w:val="16"/>
          <w:szCs w:val="16"/>
        </w:rPr>
        <w:t>), dřevozpracující (93</w:t>
      </w:r>
      <w:r>
        <w:rPr>
          <w:sz w:val="16"/>
          <w:szCs w:val="16"/>
        </w:rPr>
        <w:t> %</w:t>
      </w:r>
      <w:r w:rsidRPr="004955AC">
        <w:rPr>
          <w:sz w:val="16"/>
          <w:szCs w:val="16"/>
        </w:rPr>
        <w:t>) a</w:t>
      </w:r>
      <w:r>
        <w:rPr>
          <w:sz w:val="16"/>
          <w:szCs w:val="16"/>
        </w:rPr>
        <w:t> </w:t>
      </w:r>
      <w:r w:rsidRPr="004955AC">
        <w:rPr>
          <w:sz w:val="16"/>
          <w:szCs w:val="16"/>
        </w:rPr>
        <w:t>papírenský průmysl (89</w:t>
      </w:r>
      <w:r>
        <w:rPr>
          <w:sz w:val="16"/>
          <w:szCs w:val="16"/>
        </w:rPr>
        <w:t> %</w:t>
      </w:r>
      <w:r w:rsidRPr="004955AC">
        <w:rPr>
          <w:sz w:val="16"/>
          <w:szCs w:val="16"/>
        </w:rPr>
        <w:t>) či farmacie (87</w:t>
      </w:r>
      <w:r>
        <w:rPr>
          <w:sz w:val="16"/>
          <w:szCs w:val="16"/>
        </w:rPr>
        <w:t> %</w:t>
      </w:r>
      <w:r w:rsidRPr="004955AC">
        <w:rPr>
          <w:sz w:val="16"/>
          <w:szCs w:val="16"/>
        </w:rPr>
        <w:t>). Naopak nejméně využitými kapacitami disponovali výrobci nápojů (67</w:t>
      </w:r>
      <w:r>
        <w:rPr>
          <w:sz w:val="16"/>
          <w:szCs w:val="16"/>
        </w:rPr>
        <w:t> %</w:t>
      </w:r>
      <w:r w:rsidRPr="004955AC">
        <w:rPr>
          <w:sz w:val="16"/>
          <w:szCs w:val="16"/>
        </w:rPr>
        <w:t>), kde tato hodnota citelně zaostávala i</w:t>
      </w:r>
      <w:r>
        <w:rPr>
          <w:sz w:val="16"/>
          <w:szCs w:val="16"/>
        </w:rPr>
        <w:t> </w:t>
      </w:r>
      <w:r w:rsidRPr="004955AC">
        <w:rPr>
          <w:sz w:val="16"/>
          <w:szCs w:val="16"/>
        </w:rPr>
        <w:t>za dlouhodobým průměrem.</w:t>
      </w:r>
    </w:p>
  </w:footnote>
  <w:footnote w:id="36">
    <w:p w14:paraId="32F82C47" w14:textId="77777777" w:rsidR="00F77A50" w:rsidRPr="000A1518" w:rsidRDefault="00F77A50" w:rsidP="00F77A50">
      <w:pPr>
        <w:pStyle w:val="Textpoznpodarou"/>
        <w:rPr>
          <w:sz w:val="16"/>
          <w:szCs w:val="16"/>
        </w:rPr>
      </w:pPr>
      <w:r w:rsidRPr="000A1518">
        <w:rPr>
          <w:rStyle w:val="Znakapoznpodarou"/>
          <w:sz w:val="16"/>
          <w:szCs w:val="16"/>
        </w:rPr>
        <w:footnoteRef/>
      </w:r>
      <w:r w:rsidRPr="000A1518">
        <w:rPr>
          <w:sz w:val="16"/>
          <w:szCs w:val="16"/>
        </w:rPr>
        <w:t xml:space="preserve"> P</w:t>
      </w:r>
      <w:r>
        <w:rPr>
          <w:sz w:val="16"/>
          <w:szCs w:val="16"/>
        </w:rPr>
        <w:t>odniky mohly uv</w:t>
      </w:r>
      <w:r w:rsidRPr="000A1518">
        <w:rPr>
          <w:sz w:val="16"/>
          <w:szCs w:val="16"/>
        </w:rPr>
        <w:t>ést více bariér současně.</w:t>
      </w:r>
    </w:p>
  </w:footnote>
  <w:footnote w:id="37">
    <w:p w14:paraId="75C76553" w14:textId="77777777" w:rsidR="00F77A50" w:rsidRPr="00331A9D" w:rsidRDefault="00F77A50" w:rsidP="00F77A50">
      <w:pPr>
        <w:pStyle w:val="Textpoznpodarou"/>
        <w:rPr>
          <w:sz w:val="16"/>
          <w:szCs w:val="16"/>
        </w:rPr>
      </w:pPr>
      <w:r w:rsidRPr="00331A9D">
        <w:rPr>
          <w:rStyle w:val="Znakapoznpodarou"/>
          <w:sz w:val="16"/>
          <w:szCs w:val="16"/>
        </w:rPr>
        <w:footnoteRef/>
      </w:r>
      <w:r w:rsidRPr="00331A9D">
        <w:rPr>
          <w:sz w:val="16"/>
          <w:szCs w:val="16"/>
        </w:rPr>
        <w:t xml:space="preserve"> Např</w:t>
      </w:r>
      <w:r>
        <w:rPr>
          <w:sz w:val="16"/>
          <w:szCs w:val="16"/>
        </w:rPr>
        <w:t>íklad</w:t>
      </w:r>
      <w:r w:rsidRPr="00331A9D">
        <w:rPr>
          <w:sz w:val="16"/>
          <w:szCs w:val="16"/>
        </w:rPr>
        <w:t xml:space="preserve"> rozpočet Státního fondu dopravní infrastruktury počítal (</w:t>
      </w:r>
      <w:r>
        <w:rPr>
          <w:sz w:val="16"/>
          <w:szCs w:val="16"/>
        </w:rPr>
        <w:t>dle první schválené verze</w:t>
      </w:r>
      <w:r w:rsidRPr="00331A9D">
        <w:rPr>
          <w:sz w:val="16"/>
          <w:szCs w:val="16"/>
        </w:rPr>
        <w:t xml:space="preserve"> státního rozpočtu) v roce 2021 s investičními transfery z</w:t>
      </w:r>
      <w:r>
        <w:rPr>
          <w:sz w:val="16"/>
          <w:szCs w:val="16"/>
        </w:rPr>
        <w:t>e státního</w:t>
      </w:r>
      <w:r w:rsidRPr="00331A9D">
        <w:rPr>
          <w:sz w:val="16"/>
          <w:szCs w:val="16"/>
        </w:rPr>
        <w:t xml:space="preserve"> rozpočtu v rekordní výši </w:t>
      </w:r>
      <w:r>
        <w:rPr>
          <w:sz w:val="16"/>
          <w:szCs w:val="16"/>
        </w:rPr>
        <w:t>80,4 mld. korun.</w:t>
      </w:r>
    </w:p>
  </w:footnote>
  <w:footnote w:id="38">
    <w:p w14:paraId="7D871091" w14:textId="77777777" w:rsidR="00F77A50" w:rsidRPr="00C94BE8" w:rsidRDefault="00F77A50" w:rsidP="00F77A50">
      <w:pPr>
        <w:pStyle w:val="Textpoznpodarou"/>
        <w:jc w:val="both"/>
        <w:rPr>
          <w:spacing w:val="-2"/>
          <w:sz w:val="16"/>
          <w:szCs w:val="16"/>
        </w:rPr>
      </w:pPr>
      <w:r w:rsidRPr="00C94BE8">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Ú</w:t>
      </w:r>
      <w:r w:rsidRPr="00C94BE8">
        <w:rPr>
          <w:rFonts w:cs="Arial"/>
          <w:color w:val="0D0D0D" w:themeColor="text1" w:themeTint="F2"/>
          <w:spacing w:val="-2"/>
          <w:sz w:val="16"/>
          <w:szCs w:val="16"/>
        </w:rPr>
        <w:t xml:space="preserve">daje o stavební produkci </w:t>
      </w:r>
      <w:r>
        <w:rPr>
          <w:rFonts w:cs="Arial"/>
          <w:color w:val="0D0D0D" w:themeColor="text1" w:themeTint="F2"/>
          <w:spacing w:val="-2"/>
          <w:sz w:val="16"/>
          <w:szCs w:val="16"/>
        </w:rPr>
        <w:t xml:space="preserve">jsou ve stálých cenách, meziroční tempa </w:t>
      </w:r>
      <w:r w:rsidRPr="00C94BE8">
        <w:rPr>
          <w:rFonts w:cs="Arial"/>
          <w:color w:val="0D0D0D" w:themeColor="text1" w:themeTint="F2"/>
          <w:spacing w:val="-2"/>
          <w:sz w:val="16"/>
          <w:szCs w:val="16"/>
        </w:rPr>
        <w:t>jsou očištěn</w:t>
      </w:r>
      <w:r>
        <w:rPr>
          <w:rFonts w:cs="Arial"/>
          <w:color w:val="0D0D0D" w:themeColor="text1" w:themeTint="F2"/>
          <w:spacing w:val="-2"/>
          <w:sz w:val="16"/>
          <w:szCs w:val="16"/>
        </w:rPr>
        <w:t>a</w:t>
      </w:r>
      <w:r w:rsidRPr="00C94BE8">
        <w:rPr>
          <w:rFonts w:cs="Arial"/>
          <w:color w:val="0D0D0D" w:themeColor="text1" w:themeTint="F2"/>
          <w:spacing w:val="-2"/>
          <w:sz w:val="16"/>
          <w:szCs w:val="16"/>
        </w:rPr>
        <w:t xml:space="preserve"> o kalendá</w:t>
      </w:r>
      <w:r>
        <w:rPr>
          <w:rFonts w:cs="Arial"/>
          <w:color w:val="0D0D0D" w:themeColor="text1" w:themeTint="F2"/>
          <w:spacing w:val="-2"/>
          <w:sz w:val="16"/>
          <w:szCs w:val="16"/>
        </w:rPr>
        <w:t>řní vlivy, mezičtvrtletní též</w:t>
      </w:r>
      <w:r w:rsidRPr="00C94BE8">
        <w:rPr>
          <w:rFonts w:cs="Arial"/>
          <w:color w:val="0D0D0D" w:themeColor="text1" w:themeTint="F2"/>
          <w:spacing w:val="-2"/>
          <w:sz w:val="16"/>
          <w:szCs w:val="16"/>
        </w:rPr>
        <w:t xml:space="preserve"> o vliv sezónnosti.</w:t>
      </w:r>
    </w:p>
  </w:footnote>
  <w:footnote w:id="39">
    <w:p w14:paraId="41938EC6" w14:textId="77777777" w:rsidR="00F77A50" w:rsidRPr="00784ECC" w:rsidRDefault="00F77A50" w:rsidP="00F77A50">
      <w:pPr>
        <w:pStyle w:val="Textpoznpodarou"/>
        <w:jc w:val="both"/>
        <w:rPr>
          <w:sz w:val="16"/>
          <w:szCs w:val="16"/>
        </w:rPr>
      </w:pPr>
      <w:r w:rsidRPr="00784ECC">
        <w:rPr>
          <w:rStyle w:val="Znakapoznpodarou"/>
          <w:sz w:val="16"/>
          <w:szCs w:val="16"/>
        </w:rPr>
        <w:footnoteRef/>
      </w:r>
      <w:r w:rsidRPr="00784ECC">
        <w:rPr>
          <w:sz w:val="16"/>
          <w:szCs w:val="16"/>
        </w:rPr>
        <w:t xml:space="preserve"> Pokračující růst prodejních cen v příštích </w:t>
      </w:r>
      <w:r>
        <w:rPr>
          <w:sz w:val="16"/>
          <w:szCs w:val="16"/>
        </w:rPr>
        <w:t>třech měsících očekávalo v únoru 2022 již 55 %</w:t>
      </w:r>
      <w:r w:rsidRPr="00784ECC">
        <w:rPr>
          <w:sz w:val="16"/>
          <w:szCs w:val="16"/>
        </w:rPr>
        <w:t xml:space="preserve"> podnikatelů ve stavebnictví. To bylo nepatrně více než v dosud rekordním roce 2008.</w:t>
      </w:r>
    </w:p>
  </w:footnote>
  <w:footnote w:id="40">
    <w:p w14:paraId="54D924C2" w14:textId="77777777" w:rsidR="00F77A50" w:rsidRPr="00DE38E6" w:rsidRDefault="00F77A50" w:rsidP="00F77A50">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 </w:t>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jsou očištěny o sezónní vlivy (včetně vlivu počtu pracovních dnů)</w:t>
      </w:r>
      <w:r w:rsidRPr="004A26AF">
        <w:rPr>
          <w:color w:val="0D0D0D" w:themeColor="text1" w:themeTint="F2"/>
          <w:sz w:val="16"/>
          <w:szCs w:val="16"/>
        </w:rPr>
        <w:t>.</w:t>
      </w:r>
    </w:p>
  </w:footnote>
  <w:footnote w:id="41">
    <w:p w14:paraId="296416B9" w14:textId="77777777" w:rsidR="00F77A50" w:rsidRPr="007C34C3" w:rsidRDefault="00F77A50" w:rsidP="00F77A50">
      <w:pPr>
        <w:pStyle w:val="Textpoznpodarou"/>
        <w:jc w:val="both"/>
        <w:rPr>
          <w:rFonts w:cs="Arial"/>
          <w:bCs/>
          <w:spacing w:val="-2"/>
          <w:sz w:val="16"/>
          <w:szCs w:val="16"/>
        </w:rPr>
      </w:pPr>
      <w:r w:rsidRPr="00755255">
        <w:rPr>
          <w:rStyle w:val="Znakapoznpodarou"/>
          <w:sz w:val="16"/>
          <w:szCs w:val="16"/>
        </w:rPr>
        <w:footnoteRef/>
      </w:r>
      <w:r w:rsidRPr="00755255">
        <w:rPr>
          <w:sz w:val="16"/>
          <w:szCs w:val="16"/>
        </w:rPr>
        <w:t xml:space="preserve"> </w:t>
      </w:r>
      <w:r>
        <w:rPr>
          <w:sz w:val="16"/>
          <w:szCs w:val="16"/>
        </w:rPr>
        <w:t>V roce 2021</w:t>
      </w:r>
      <w:r w:rsidRPr="00755255">
        <w:rPr>
          <w:rFonts w:cs="Arial"/>
          <w:bCs/>
          <w:spacing w:val="-2"/>
          <w:sz w:val="16"/>
          <w:szCs w:val="16"/>
        </w:rPr>
        <w:t xml:space="preserve"> zavítalo do hromadných </w:t>
      </w:r>
      <w:r>
        <w:rPr>
          <w:rFonts w:cs="Arial"/>
          <w:bCs/>
          <w:spacing w:val="-2"/>
          <w:sz w:val="16"/>
          <w:szCs w:val="16"/>
        </w:rPr>
        <w:t>ubytovacích zařízení v Česku 11,4 mil.</w:t>
      </w:r>
      <w:r w:rsidRPr="00755255">
        <w:rPr>
          <w:rFonts w:cs="Arial"/>
          <w:bCs/>
          <w:spacing w:val="-2"/>
          <w:sz w:val="16"/>
          <w:szCs w:val="16"/>
        </w:rPr>
        <w:t xml:space="preserve"> návštěvníků. </w:t>
      </w:r>
      <w:r>
        <w:rPr>
          <w:rFonts w:cs="Arial"/>
          <w:bCs/>
          <w:spacing w:val="-2"/>
          <w:sz w:val="16"/>
          <w:szCs w:val="16"/>
        </w:rPr>
        <w:t>Počet jejich přenocování se meziročně nepatrně zvýšil (+1,8 %), u hostů ze zahraničí však poklesl o 11,4 % a dosahoval pouze čtvrtiny výše z roku 2019. Polovina všech přenocování nerezidentů připadala loni na hosty ze států sousedících s Českem. Kvůli zhoršené epidemické situaci i administrativním překážkám v cestování přetrval extrémně nízký počet přenocování z Ruska (3 % počtu z roku 2019), Velké Británie (12 %), vzdálených asijských států, zejména Číny (2 %) a Tchaj-wanu (1 %), Jižní Korey (3 %) a Japonska (6 %), či například z USA (16 %). Z významnějších zdrojových zemí propadly počty přenocování nejméně u Slováků (o 50 %), u klientely z ČR činil dvouletý pokles jen 15 %.</w:t>
      </w:r>
    </w:p>
  </w:footnote>
  <w:footnote w:id="42">
    <w:p w14:paraId="7FC86E6D" w14:textId="77777777" w:rsidR="00F77A50" w:rsidRPr="00465453" w:rsidRDefault="00F77A50" w:rsidP="00F77A50">
      <w:pPr>
        <w:pStyle w:val="Textpoznpodarou"/>
        <w:jc w:val="both"/>
        <w:rPr>
          <w:sz w:val="16"/>
          <w:szCs w:val="16"/>
        </w:rPr>
      </w:pPr>
      <w:r w:rsidRPr="00465453">
        <w:rPr>
          <w:rStyle w:val="Znakapoznpodarou"/>
          <w:sz w:val="16"/>
          <w:szCs w:val="16"/>
        </w:rPr>
        <w:footnoteRef/>
      </w:r>
      <w:r w:rsidRPr="00465453">
        <w:rPr>
          <w:sz w:val="16"/>
          <w:szCs w:val="16"/>
        </w:rPr>
        <w:t xml:space="preserve"> Dokládají to i</w:t>
      </w:r>
      <w:r>
        <w:rPr>
          <w:sz w:val="16"/>
          <w:szCs w:val="16"/>
        </w:rPr>
        <w:t> </w:t>
      </w:r>
      <w:r w:rsidRPr="00465453">
        <w:rPr>
          <w:sz w:val="16"/>
          <w:szCs w:val="16"/>
        </w:rPr>
        <w:t xml:space="preserve">údaje ze segmentu filmové distribuce. Provoz kin byl </w:t>
      </w:r>
      <w:r>
        <w:rPr>
          <w:sz w:val="16"/>
          <w:szCs w:val="16"/>
        </w:rPr>
        <w:t xml:space="preserve">loni postupně obnoven </w:t>
      </w:r>
      <w:r w:rsidRPr="00465453">
        <w:rPr>
          <w:sz w:val="16"/>
          <w:szCs w:val="16"/>
        </w:rPr>
        <w:t>na přelomu května a</w:t>
      </w:r>
      <w:r>
        <w:rPr>
          <w:sz w:val="16"/>
          <w:szCs w:val="16"/>
        </w:rPr>
        <w:t> </w:t>
      </w:r>
      <w:r w:rsidRPr="00465453">
        <w:rPr>
          <w:sz w:val="16"/>
          <w:szCs w:val="16"/>
        </w:rPr>
        <w:t>června. Od července, kdy byla povolena i</w:t>
      </w:r>
      <w:r>
        <w:rPr>
          <w:sz w:val="16"/>
          <w:szCs w:val="16"/>
        </w:rPr>
        <w:t> </w:t>
      </w:r>
      <w:r w:rsidRPr="00465453">
        <w:rPr>
          <w:sz w:val="16"/>
          <w:szCs w:val="16"/>
        </w:rPr>
        <w:t xml:space="preserve">možnost občerstvení v sále, </w:t>
      </w:r>
      <w:r>
        <w:rPr>
          <w:sz w:val="16"/>
          <w:szCs w:val="16"/>
        </w:rPr>
        <w:t xml:space="preserve">se </w:t>
      </w:r>
      <w:r w:rsidRPr="00465453">
        <w:rPr>
          <w:sz w:val="16"/>
          <w:szCs w:val="16"/>
        </w:rPr>
        <w:t>počet návštěvníků začal vracet na předpandemickou úroveň. Ve 3.</w:t>
      </w:r>
      <w:r>
        <w:rPr>
          <w:sz w:val="16"/>
          <w:szCs w:val="16"/>
        </w:rPr>
        <w:t> čtvrtlet</w:t>
      </w:r>
      <w:r w:rsidRPr="00465453">
        <w:rPr>
          <w:sz w:val="16"/>
          <w:szCs w:val="16"/>
        </w:rPr>
        <w:t xml:space="preserve">í </w:t>
      </w:r>
      <w:r>
        <w:rPr>
          <w:sz w:val="16"/>
          <w:szCs w:val="16"/>
        </w:rPr>
        <w:t>tak zavítalo do kin v Česku</w:t>
      </w:r>
      <w:r w:rsidRPr="00465453">
        <w:rPr>
          <w:sz w:val="16"/>
          <w:szCs w:val="16"/>
        </w:rPr>
        <w:t xml:space="preserve"> </w:t>
      </w:r>
      <w:r>
        <w:rPr>
          <w:sz w:val="16"/>
          <w:szCs w:val="16"/>
        </w:rPr>
        <w:t xml:space="preserve">již </w:t>
      </w:r>
      <w:r w:rsidRPr="00465453">
        <w:rPr>
          <w:sz w:val="16"/>
          <w:szCs w:val="16"/>
        </w:rPr>
        <w:t>3,5</w:t>
      </w:r>
      <w:r>
        <w:rPr>
          <w:sz w:val="16"/>
          <w:szCs w:val="16"/>
        </w:rPr>
        <w:t> mil.</w:t>
      </w:r>
      <w:r w:rsidRPr="00465453">
        <w:rPr>
          <w:sz w:val="16"/>
          <w:szCs w:val="16"/>
        </w:rPr>
        <w:t xml:space="preserve"> diváků, meziročně o</w:t>
      </w:r>
      <w:r>
        <w:rPr>
          <w:sz w:val="16"/>
          <w:szCs w:val="16"/>
        </w:rPr>
        <w:t> </w:t>
      </w:r>
      <w:r w:rsidRPr="00465453">
        <w:rPr>
          <w:sz w:val="16"/>
          <w:szCs w:val="16"/>
        </w:rPr>
        <w:t>polovinu více a</w:t>
      </w:r>
      <w:r>
        <w:rPr>
          <w:sz w:val="16"/>
          <w:szCs w:val="16"/>
        </w:rPr>
        <w:t> </w:t>
      </w:r>
      <w:r w:rsidRPr="00465453">
        <w:rPr>
          <w:sz w:val="16"/>
          <w:szCs w:val="16"/>
        </w:rPr>
        <w:t>ve srovnání se shodným obdobím v roce 2019 o</w:t>
      </w:r>
      <w:r>
        <w:rPr>
          <w:sz w:val="16"/>
          <w:szCs w:val="16"/>
        </w:rPr>
        <w:t> </w:t>
      </w:r>
      <w:r w:rsidRPr="00465453">
        <w:rPr>
          <w:sz w:val="16"/>
          <w:szCs w:val="16"/>
        </w:rPr>
        <w:t>17</w:t>
      </w:r>
      <w:r>
        <w:rPr>
          <w:sz w:val="16"/>
          <w:szCs w:val="16"/>
        </w:rPr>
        <w:t> % méně. Návrat k normálu zbrzdilo znovuzavedení dílčích restrikcí na konci listopadu (povolení vstupu pouze očkovaným a lidem</w:t>
      </w:r>
      <w:r w:rsidRPr="00054BE0">
        <w:rPr>
          <w:sz w:val="16"/>
          <w:szCs w:val="16"/>
        </w:rPr>
        <w:t xml:space="preserve"> po prodělané nemoci </w:t>
      </w:r>
      <w:r>
        <w:rPr>
          <w:sz w:val="16"/>
          <w:szCs w:val="16"/>
        </w:rPr>
        <w:t>covid-</w:t>
      </w:r>
      <w:r w:rsidRPr="00054BE0">
        <w:rPr>
          <w:sz w:val="16"/>
          <w:szCs w:val="16"/>
        </w:rPr>
        <w:t>19</w:t>
      </w:r>
      <w:r>
        <w:rPr>
          <w:sz w:val="16"/>
          <w:szCs w:val="16"/>
        </w:rPr>
        <w:t>). Za celý loňský rok vystoupala návštěvnost na 7,14 mil. osob, což bylo meziročně o 12 % více, ale proti rekordnímu roku 2019 šlo o pokles o 61 %.</w:t>
      </w:r>
    </w:p>
  </w:footnote>
  <w:footnote w:id="43">
    <w:p w14:paraId="474146C8" w14:textId="77777777" w:rsidR="00F77A50" w:rsidRPr="00BE7370" w:rsidRDefault="00F77A50" w:rsidP="00F77A50">
      <w:pPr>
        <w:spacing w:after="0" w:line="240" w:lineRule="auto"/>
        <w:rPr>
          <w:spacing w:val="-2"/>
        </w:rPr>
      </w:pPr>
      <w:r w:rsidRPr="00BE7370">
        <w:rPr>
          <w:rStyle w:val="Znakapoznpodarou"/>
          <w:color w:val="0D0D0D" w:themeColor="text1" w:themeTint="F2"/>
          <w:spacing w:val="-2"/>
          <w:sz w:val="16"/>
          <w:szCs w:val="16"/>
        </w:rPr>
        <w:footnoteRef/>
      </w:r>
      <w:r w:rsidRPr="00BE7370">
        <w:rPr>
          <w:color w:val="0D0D0D" w:themeColor="text1" w:themeTint="F2"/>
          <w:spacing w:val="-2"/>
          <w:sz w:val="16"/>
          <w:szCs w:val="16"/>
        </w:rPr>
        <w:t xml:space="preserve"> Všechna meziroční tempa tržeb za maloobchod jsou uvedena ve stálých cenách a očištěna o kalendářní vlivy, mezičtvrtletní či meziměsíční tempa jsou očištěna o sezónní vlivy (včetně vlivu počtu pracovních dnů). Maloobchod zahrnuje odvětví CZ-NACE 47.</w:t>
      </w:r>
    </w:p>
  </w:footnote>
  <w:footnote w:id="44">
    <w:p w14:paraId="2E4531D0" w14:textId="77777777" w:rsidR="00F77A50" w:rsidRPr="00BE7370" w:rsidRDefault="00F77A50" w:rsidP="00F77A50">
      <w:pPr>
        <w:pStyle w:val="Textpoznpodarou"/>
        <w:jc w:val="both"/>
        <w:rPr>
          <w:spacing w:val="-4"/>
          <w:sz w:val="16"/>
          <w:szCs w:val="16"/>
        </w:rPr>
      </w:pPr>
      <w:r w:rsidRPr="00BE7370">
        <w:rPr>
          <w:rStyle w:val="Znakapoznpodarou"/>
          <w:spacing w:val="-4"/>
          <w:sz w:val="16"/>
          <w:szCs w:val="16"/>
        </w:rPr>
        <w:footnoteRef/>
      </w:r>
      <w:r>
        <w:rPr>
          <w:spacing w:val="-4"/>
          <w:sz w:val="16"/>
          <w:szCs w:val="16"/>
        </w:rPr>
        <w:t xml:space="preserve"> Z</w:t>
      </w:r>
      <w:r w:rsidRPr="00BE7370">
        <w:rPr>
          <w:spacing w:val="-4"/>
          <w:sz w:val="16"/>
          <w:szCs w:val="16"/>
        </w:rPr>
        <w:t>vy</w:t>
      </w:r>
      <w:r>
        <w:rPr>
          <w:spacing w:val="-4"/>
          <w:sz w:val="16"/>
          <w:szCs w:val="16"/>
        </w:rPr>
        <w:t>šující se důvěra spotřebitelů byla spojena s </w:t>
      </w:r>
      <w:r w:rsidRPr="00BE7370">
        <w:rPr>
          <w:spacing w:val="-4"/>
          <w:sz w:val="16"/>
          <w:szCs w:val="16"/>
        </w:rPr>
        <w:t>nízkou nezaměstnaností i</w:t>
      </w:r>
      <w:r>
        <w:rPr>
          <w:spacing w:val="-4"/>
          <w:sz w:val="16"/>
          <w:szCs w:val="16"/>
        </w:rPr>
        <w:t xml:space="preserve"> po většinu roku </w:t>
      </w:r>
      <w:r w:rsidRPr="00BE7370">
        <w:rPr>
          <w:spacing w:val="-4"/>
          <w:sz w:val="16"/>
          <w:szCs w:val="16"/>
        </w:rPr>
        <w:t>pokračujícím reálným růstem mezd (podpořeným</w:t>
      </w:r>
      <w:r>
        <w:rPr>
          <w:spacing w:val="-4"/>
          <w:sz w:val="16"/>
          <w:szCs w:val="16"/>
        </w:rPr>
        <w:t xml:space="preserve"> vyplacením</w:t>
      </w:r>
      <w:r w:rsidRPr="00BE7370">
        <w:rPr>
          <w:spacing w:val="-4"/>
          <w:sz w:val="16"/>
          <w:szCs w:val="16"/>
        </w:rPr>
        <w:t xml:space="preserve"> </w:t>
      </w:r>
      <w:r>
        <w:rPr>
          <w:spacing w:val="-4"/>
          <w:sz w:val="16"/>
          <w:szCs w:val="16"/>
        </w:rPr>
        <w:t xml:space="preserve">mimořádných </w:t>
      </w:r>
      <w:r w:rsidRPr="00BE7370">
        <w:rPr>
          <w:spacing w:val="-4"/>
          <w:sz w:val="16"/>
          <w:szCs w:val="16"/>
        </w:rPr>
        <w:t>odměn v </w:t>
      </w:r>
      <w:r>
        <w:rPr>
          <w:spacing w:val="-4"/>
          <w:sz w:val="16"/>
          <w:szCs w:val="16"/>
        </w:rPr>
        <w:t>části</w:t>
      </w:r>
      <w:r w:rsidRPr="00BE7370">
        <w:rPr>
          <w:spacing w:val="-4"/>
          <w:sz w:val="16"/>
          <w:szCs w:val="16"/>
        </w:rPr>
        <w:t xml:space="preserve"> veřejného sektoru i</w:t>
      </w:r>
      <w:r>
        <w:rPr>
          <w:spacing w:val="-4"/>
          <w:sz w:val="16"/>
          <w:szCs w:val="16"/>
        </w:rPr>
        <w:t> </w:t>
      </w:r>
      <w:r w:rsidRPr="00BE7370">
        <w:rPr>
          <w:rFonts w:cs="Arial"/>
          <w:color w:val="0D0D0D" w:themeColor="text1" w:themeTint="F2"/>
          <w:spacing w:val="-4"/>
          <w:sz w:val="16"/>
          <w:szCs w:val="16"/>
        </w:rPr>
        <w:t>nižším zdaněním výdělků). Proti rychlejší reali</w:t>
      </w:r>
      <w:r>
        <w:rPr>
          <w:rFonts w:cs="Arial"/>
          <w:color w:val="0D0D0D" w:themeColor="text1" w:themeTint="F2"/>
          <w:spacing w:val="-4"/>
          <w:sz w:val="16"/>
          <w:szCs w:val="16"/>
        </w:rPr>
        <w:t>zaci odložené spotřeby mohly na konci roku</w:t>
      </w:r>
      <w:r w:rsidRPr="00BE7370">
        <w:rPr>
          <w:rFonts w:cs="Arial"/>
          <w:color w:val="0D0D0D" w:themeColor="text1" w:themeTint="F2"/>
          <w:spacing w:val="-4"/>
          <w:sz w:val="16"/>
          <w:szCs w:val="16"/>
        </w:rPr>
        <w:t xml:space="preserve"> působit </w:t>
      </w:r>
      <w:r>
        <w:rPr>
          <w:rFonts w:cs="Arial"/>
          <w:color w:val="0D0D0D" w:themeColor="text1" w:themeTint="F2"/>
          <w:spacing w:val="-4"/>
          <w:sz w:val="16"/>
          <w:szCs w:val="16"/>
        </w:rPr>
        <w:t xml:space="preserve">nebývale </w:t>
      </w:r>
      <w:r w:rsidRPr="00BE7370">
        <w:rPr>
          <w:rFonts w:cs="Arial"/>
          <w:color w:val="0D0D0D" w:themeColor="text1" w:themeTint="F2"/>
          <w:spacing w:val="-4"/>
          <w:sz w:val="16"/>
          <w:szCs w:val="16"/>
        </w:rPr>
        <w:t>vysoké obavy lidí z růstu cen, kter</w:t>
      </w:r>
      <w:r>
        <w:rPr>
          <w:rFonts w:cs="Arial"/>
          <w:color w:val="0D0D0D" w:themeColor="text1" w:themeTint="F2"/>
          <w:spacing w:val="-4"/>
          <w:sz w:val="16"/>
          <w:szCs w:val="16"/>
        </w:rPr>
        <w:t>é měly oporu i v reálné ekonomice</w:t>
      </w:r>
      <w:r w:rsidRPr="00BE7370">
        <w:rPr>
          <w:rFonts w:cs="Arial"/>
          <w:color w:val="0D0D0D" w:themeColor="text1" w:themeTint="F2"/>
          <w:spacing w:val="-4"/>
          <w:sz w:val="16"/>
          <w:szCs w:val="16"/>
        </w:rPr>
        <w:t>.</w:t>
      </w:r>
    </w:p>
  </w:footnote>
  <w:footnote w:id="45">
    <w:p w14:paraId="2F94B328" w14:textId="77777777" w:rsidR="00F77A50" w:rsidRPr="00395B8D" w:rsidRDefault="00F77A50" w:rsidP="00F77A50">
      <w:pPr>
        <w:pStyle w:val="Textpoznpodarou"/>
        <w:jc w:val="both"/>
        <w:rPr>
          <w:spacing w:val="-2"/>
          <w:sz w:val="16"/>
          <w:szCs w:val="16"/>
        </w:rPr>
      </w:pPr>
      <w:r w:rsidRPr="00BE7370">
        <w:rPr>
          <w:rStyle w:val="Znakapoznpodarou"/>
          <w:spacing w:val="-2"/>
          <w:sz w:val="16"/>
          <w:szCs w:val="16"/>
        </w:rPr>
        <w:footnoteRef/>
      </w:r>
      <w:r w:rsidRPr="00BE7370">
        <w:rPr>
          <w:spacing w:val="-2"/>
          <w:sz w:val="16"/>
          <w:szCs w:val="16"/>
        </w:rPr>
        <w:t xml:space="preserve"> </w:t>
      </w:r>
      <w:r>
        <w:rPr>
          <w:spacing w:val="-2"/>
          <w:sz w:val="16"/>
          <w:szCs w:val="16"/>
        </w:rPr>
        <w:t>Podobně jako v roce 2020 tak zaznamenaly mírně slabší tempo než v EU i eurozóně. Loni vzrostly maloobchodní tržby</w:t>
      </w:r>
      <w:r w:rsidRPr="00BE7370">
        <w:rPr>
          <w:spacing w:val="-2"/>
          <w:sz w:val="16"/>
          <w:szCs w:val="16"/>
        </w:rPr>
        <w:t xml:space="preserve"> v EU </w:t>
      </w:r>
      <w:r>
        <w:rPr>
          <w:spacing w:val="-2"/>
          <w:sz w:val="16"/>
          <w:szCs w:val="16"/>
        </w:rPr>
        <w:t>o 5,5 % a</w:t>
      </w:r>
      <w:r>
        <w:rPr>
          <w:sz w:val="16"/>
          <w:szCs w:val="16"/>
        </w:rPr>
        <w:t> </w:t>
      </w:r>
      <w:r>
        <w:rPr>
          <w:spacing w:val="-2"/>
          <w:sz w:val="16"/>
          <w:szCs w:val="16"/>
        </w:rPr>
        <w:t>v</w:t>
      </w:r>
      <w:r>
        <w:rPr>
          <w:sz w:val="16"/>
          <w:szCs w:val="16"/>
        </w:rPr>
        <w:t> </w:t>
      </w:r>
      <w:r>
        <w:rPr>
          <w:spacing w:val="-2"/>
          <w:sz w:val="16"/>
          <w:szCs w:val="16"/>
        </w:rPr>
        <w:t>eurozóně o 5,0 %</w:t>
      </w:r>
      <w:r w:rsidRPr="00BE7370">
        <w:rPr>
          <w:spacing w:val="-2"/>
          <w:sz w:val="16"/>
          <w:szCs w:val="16"/>
        </w:rPr>
        <w:t xml:space="preserve">. </w:t>
      </w:r>
      <w:r>
        <w:rPr>
          <w:spacing w:val="-2"/>
          <w:sz w:val="16"/>
          <w:szCs w:val="16"/>
        </w:rPr>
        <w:t xml:space="preserve">Nejvíce tržby posílily ve Slovinsku (+18,9 %), Litvě (+12,9 %) a Bulharsku (+12,2 %), z větších ekonomik pak ve Francii (+9,7 %), Polsku (+9,3 %) a Itálii (+8,2 %). Méně vzrostly tržby na Slovensku (+1,3 %) a také v Německu (+0,9 %), kde ovšem vykázaly nezvykle silný růst v roce 2020 (+4,4 %) – nejvyšší v celé Unii. </w:t>
      </w:r>
      <w:r w:rsidRPr="00BE7370">
        <w:rPr>
          <w:spacing w:val="-2"/>
          <w:sz w:val="16"/>
          <w:szCs w:val="16"/>
        </w:rPr>
        <w:t xml:space="preserve">Tržby za potraviny klesly </w:t>
      </w:r>
      <w:r>
        <w:rPr>
          <w:spacing w:val="-2"/>
          <w:sz w:val="16"/>
          <w:szCs w:val="16"/>
        </w:rPr>
        <w:t>loni kromě Česka</w:t>
      </w:r>
      <w:r w:rsidRPr="00BE7370">
        <w:rPr>
          <w:spacing w:val="-2"/>
          <w:sz w:val="16"/>
          <w:szCs w:val="16"/>
        </w:rPr>
        <w:t xml:space="preserve"> </w:t>
      </w:r>
      <w:r>
        <w:rPr>
          <w:spacing w:val="-2"/>
          <w:sz w:val="16"/>
          <w:szCs w:val="16"/>
        </w:rPr>
        <w:t xml:space="preserve">již jen v dalších pěti státech </w:t>
      </w:r>
      <w:r w:rsidRPr="00BE7370">
        <w:rPr>
          <w:spacing w:val="-2"/>
          <w:sz w:val="16"/>
          <w:szCs w:val="16"/>
        </w:rPr>
        <w:t>U</w:t>
      </w:r>
      <w:r>
        <w:rPr>
          <w:spacing w:val="-2"/>
          <w:sz w:val="16"/>
          <w:szCs w:val="16"/>
        </w:rPr>
        <w:t>nie (například v Polsku i Německu). N</w:t>
      </w:r>
      <w:r w:rsidRPr="00BE7370">
        <w:rPr>
          <w:spacing w:val="-2"/>
          <w:sz w:val="16"/>
          <w:szCs w:val="16"/>
        </w:rPr>
        <w:t>aopak tuzemský růst tržeb za nepotravi</w:t>
      </w:r>
      <w:r>
        <w:rPr>
          <w:spacing w:val="-2"/>
          <w:sz w:val="16"/>
          <w:szCs w:val="16"/>
        </w:rPr>
        <w:t xml:space="preserve">nářské </w:t>
      </w:r>
      <w:r w:rsidRPr="00360244">
        <w:rPr>
          <w:spacing w:val="-2"/>
          <w:sz w:val="16"/>
          <w:szCs w:val="16"/>
        </w:rPr>
        <w:t>zboží se pohyboval blízko úrovně</w:t>
      </w:r>
      <w:r>
        <w:rPr>
          <w:spacing w:val="-2"/>
          <w:sz w:val="16"/>
          <w:szCs w:val="16"/>
        </w:rPr>
        <w:t> </w:t>
      </w:r>
      <w:r w:rsidRPr="00360244">
        <w:rPr>
          <w:spacing w:val="-2"/>
          <w:sz w:val="16"/>
          <w:szCs w:val="16"/>
        </w:rPr>
        <w:t>EU (8,3</w:t>
      </w:r>
      <w:r>
        <w:rPr>
          <w:spacing w:val="-2"/>
          <w:sz w:val="16"/>
          <w:szCs w:val="16"/>
        </w:rPr>
        <w:t> %</w:t>
      </w:r>
      <w:r w:rsidRPr="00360244">
        <w:rPr>
          <w:spacing w:val="-2"/>
          <w:sz w:val="16"/>
          <w:szCs w:val="16"/>
        </w:rPr>
        <w:t>).</w:t>
      </w:r>
    </w:p>
  </w:footnote>
  <w:footnote w:id="46">
    <w:p w14:paraId="76A9E104" w14:textId="77777777" w:rsidR="00F77A50" w:rsidRPr="00360244" w:rsidRDefault="00F77A50" w:rsidP="00F77A50">
      <w:pPr>
        <w:pStyle w:val="Textpoznpodarou"/>
        <w:jc w:val="both"/>
        <w:rPr>
          <w:sz w:val="16"/>
          <w:szCs w:val="16"/>
        </w:rPr>
      </w:pPr>
      <w:r w:rsidRPr="00360244">
        <w:rPr>
          <w:rStyle w:val="Znakapoznpodarou"/>
          <w:sz w:val="16"/>
          <w:szCs w:val="16"/>
        </w:rPr>
        <w:footnoteRef/>
      </w:r>
      <w:r w:rsidRPr="00360244">
        <w:rPr>
          <w:sz w:val="16"/>
          <w:szCs w:val="16"/>
        </w:rPr>
        <w:t xml:space="preserve"> </w:t>
      </w:r>
      <w:r w:rsidRPr="00360244">
        <w:rPr>
          <w:rFonts w:cs="Arial"/>
          <w:color w:val="0D0D0D" w:themeColor="text1" w:themeTint="F2"/>
          <w:spacing w:val="-4"/>
          <w:sz w:val="16"/>
          <w:szCs w:val="16"/>
        </w:rPr>
        <w:t>Proti růstu spotřeby mohly na konci loňského roku působit i</w:t>
      </w:r>
      <w:r>
        <w:rPr>
          <w:rFonts w:cs="Arial"/>
          <w:color w:val="0D0D0D" w:themeColor="text1" w:themeTint="F2"/>
          <w:spacing w:val="-4"/>
          <w:sz w:val="16"/>
          <w:szCs w:val="16"/>
        </w:rPr>
        <w:t> </w:t>
      </w:r>
      <w:r w:rsidRPr="00360244">
        <w:rPr>
          <w:rFonts w:cs="Arial"/>
          <w:color w:val="0D0D0D" w:themeColor="text1" w:themeTint="F2"/>
          <w:spacing w:val="-4"/>
          <w:sz w:val="16"/>
          <w:szCs w:val="16"/>
        </w:rPr>
        <w:t xml:space="preserve">rostoucí spotřebitelské ceny pohonných hmot. </w:t>
      </w:r>
      <w:r w:rsidRPr="00360244">
        <w:rPr>
          <w:spacing w:val="-2"/>
          <w:sz w:val="16"/>
          <w:szCs w:val="16"/>
        </w:rPr>
        <w:t>Například Natural 95 se v listopadu u čerpacích stanic prodával průměrně za</w:t>
      </w:r>
      <w:r>
        <w:rPr>
          <w:spacing w:val="-2"/>
          <w:sz w:val="16"/>
          <w:szCs w:val="16"/>
        </w:rPr>
        <w:t xml:space="preserve"> </w:t>
      </w:r>
      <w:r w:rsidRPr="00360244">
        <w:rPr>
          <w:spacing w:val="-2"/>
          <w:sz w:val="16"/>
          <w:szCs w:val="16"/>
        </w:rPr>
        <w:t>zhruba 37 korun za</w:t>
      </w:r>
      <w:r>
        <w:rPr>
          <w:spacing w:val="-2"/>
          <w:sz w:val="16"/>
          <w:szCs w:val="16"/>
        </w:rPr>
        <w:t xml:space="preserve"> </w:t>
      </w:r>
      <w:r w:rsidRPr="00360244">
        <w:rPr>
          <w:spacing w:val="-2"/>
          <w:sz w:val="16"/>
          <w:szCs w:val="16"/>
        </w:rPr>
        <w:t>litr, což byla nejvyšší hodnota od</w:t>
      </w:r>
      <w:r>
        <w:rPr>
          <w:spacing w:val="-2"/>
          <w:sz w:val="16"/>
          <w:szCs w:val="16"/>
        </w:rPr>
        <w:t xml:space="preserve"> </w:t>
      </w:r>
      <w:r w:rsidRPr="00360244">
        <w:rPr>
          <w:spacing w:val="-2"/>
          <w:sz w:val="16"/>
          <w:szCs w:val="16"/>
        </w:rPr>
        <w:t>října 2012.</w:t>
      </w:r>
    </w:p>
  </w:footnote>
  <w:footnote w:id="47">
    <w:p w14:paraId="0F7CA25D" w14:textId="77777777" w:rsidR="00CD7E9E" w:rsidRPr="003A7B9C" w:rsidRDefault="00CD7E9E" w:rsidP="00A02E8B">
      <w:pPr>
        <w:pStyle w:val="Textpoznpodarou"/>
        <w:rPr>
          <w:sz w:val="16"/>
          <w:szCs w:val="16"/>
        </w:rPr>
      </w:pPr>
      <w:r w:rsidRPr="003A7B9C">
        <w:rPr>
          <w:rStyle w:val="Znakapoznpodarou"/>
          <w:sz w:val="16"/>
          <w:szCs w:val="16"/>
        </w:rPr>
        <w:footnoteRef/>
      </w:r>
      <w:r w:rsidRPr="003A7B9C">
        <w:rPr>
          <w:sz w:val="16"/>
          <w:szCs w:val="16"/>
        </w:rPr>
        <w:t xml:space="preserve"> Projevilo se </w:t>
      </w:r>
      <w:r>
        <w:rPr>
          <w:sz w:val="16"/>
          <w:szCs w:val="16"/>
        </w:rPr>
        <w:t xml:space="preserve">zejména </w:t>
      </w:r>
      <w:r w:rsidRPr="003A7B9C">
        <w:rPr>
          <w:sz w:val="16"/>
          <w:szCs w:val="16"/>
        </w:rPr>
        <w:t>navýšení hodnoty vývozu kovového odpadu.</w:t>
      </w:r>
    </w:p>
  </w:footnote>
  <w:footnote w:id="48">
    <w:p w14:paraId="3B6D8428" w14:textId="77777777" w:rsidR="00CD7E9E" w:rsidRPr="009A4676" w:rsidRDefault="00CD7E9E" w:rsidP="00A02E8B">
      <w:pPr>
        <w:pStyle w:val="Textpoznpodarou"/>
        <w:rPr>
          <w:sz w:val="16"/>
          <w:szCs w:val="16"/>
        </w:rPr>
      </w:pPr>
      <w:r w:rsidRPr="009A4676">
        <w:rPr>
          <w:rStyle w:val="Znakapoznpodarou"/>
          <w:sz w:val="16"/>
          <w:szCs w:val="16"/>
        </w:rPr>
        <w:footnoteRef/>
      </w:r>
      <w:r w:rsidRPr="009A4676">
        <w:rPr>
          <w:sz w:val="16"/>
          <w:szCs w:val="16"/>
        </w:rPr>
        <w:t xml:space="preserve"> V rámci </w:t>
      </w:r>
      <w:r>
        <w:rPr>
          <w:sz w:val="16"/>
          <w:szCs w:val="16"/>
        </w:rPr>
        <w:t>4</w:t>
      </w:r>
      <w:r w:rsidRPr="009A4676">
        <w:rPr>
          <w:sz w:val="16"/>
          <w:szCs w:val="16"/>
        </w:rPr>
        <w:t>.</w:t>
      </w:r>
      <w:r>
        <w:rPr>
          <w:sz w:val="16"/>
          <w:szCs w:val="16"/>
        </w:rPr>
        <w:t> čtvrtlet</w:t>
      </w:r>
      <w:r w:rsidRPr="009A4676">
        <w:rPr>
          <w:sz w:val="16"/>
          <w:szCs w:val="16"/>
        </w:rPr>
        <w:t>í roku skončil zahraniční obchod se zbožím v deficitu v letech 2005–2008</w:t>
      </w:r>
      <w:r>
        <w:rPr>
          <w:sz w:val="16"/>
          <w:szCs w:val="16"/>
        </w:rPr>
        <w:t xml:space="preserve"> a </w:t>
      </w:r>
      <w:r w:rsidRPr="009A4676">
        <w:rPr>
          <w:sz w:val="16"/>
          <w:szCs w:val="16"/>
        </w:rPr>
        <w:t>2010.</w:t>
      </w:r>
    </w:p>
  </w:footnote>
  <w:footnote w:id="49">
    <w:p w14:paraId="7373B91C" w14:textId="77777777" w:rsidR="00CD7E9E" w:rsidRPr="00C8395D" w:rsidRDefault="00CD7E9E" w:rsidP="00A02E8B">
      <w:pPr>
        <w:pStyle w:val="Textpoznpodarou"/>
        <w:rPr>
          <w:sz w:val="16"/>
          <w:szCs w:val="16"/>
        </w:rPr>
      </w:pPr>
      <w:r w:rsidRPr="00C8395D">
        <w:rPr>
          <w:rStyle w:val="Znakapoznpodarou"/>
          <w:sz w:val="16"/>
          <w:szCs w:val="16"/>
        </w:rPr>
        <w:footnoteRef/>
      </w:r>
      <w:r w:rsidRPr="00C8395D">
        <w:rPr>
          <w:sz w:val="16"/>
          <w:szCs w:val="16"/>
        </w:rPr>
        <w:t xml:space="preserve"> Přebytek ve 4.</w:t>
      </w:r>
      <w:r>
        <w:rPr>
          <w:sz w:val="16"/>
          <w:szCs w:val="16"/>
        </w:rPr>
        <w:t> čtvrt</w:t>
      </w:r>
      <w:r w:rsidRPr="00C8395D">
        <w:rPr>
          <w:sz w:val="16"/>
          <w:szCs w:val="16"/>
        </w:rPr>
        <w:t>letí 2020 dosáhl 79,0</w:t>
      </w:r>
      <w:r>
        <w:rPr>
          <w:sz w:val="16"/>
          <w:szCs w:val="16"/>
        </w:rPr>
        <w:t> mld</w:t>
      </w:r>
      <w:r w:rsidRPr="00C8395D">
        <w:rPr>
          <w:sz w:val="16"/>
          <w:szCs w:val="16"/>
        </w:rPr>
        <w:t>. korun, což byl nejvyšší zaznamenaný výsledek.</w:t>
      </w:r>
    </w:p>
  </w:footnote>
  <w:footnote w:id="50">
    <w:p w14:paraId="2A559405" w14:textId="77777777" w:rsidR="00CD7E9E" w:rsidRPr="000A4298" w:rsidRDefault="00CD7E9E" w:rsidP="009B553D">
      <w:pPr>
        <w:pStyle w:val="Textpoznpodarou"/>
        <w:rPr>
          <w:sz w:val="16"/>
          <w:szCs w:val="16"/>
        </w:rPr>
      </w:pPr>
      <w:r w:rsidRPr="000A4298">
        <w:rPr>
          <w:rStyle w:val="Znakapoznpodarou"/>
          <w:sz w:val="16"/>
          <w:szCs w:val="16"/>
        </w:rPr>
        <w:footnoteRef/>
      </w:r>
      <w:r>
        <w:rPr>
          <w:sz w:val="16"/>
          <w:szCs w:val="16"/>
        </w:rPr>
        <w:t xml:space="preserve"> I</w:t>
      </w:r>
      <w:r w:rsidRPr="000A4298">
        <w:rPr>
          <w:sz w:val="16"/>
          <w:szCs w:val="16"/>
        </w:rPr>
        <w:t>mputované nájemné vyjadřuje náklady vlastnického bydlení.</w:t>
      </w:r>
      <w:r>
        <w:rPr>
          <w:sz w:val="16"/>
          <w:szCs w:val="16"/>
        </w:rPr>
        <w:t xml:space="preserve"> Kromě samotných cen bydlení zahrnuje i náklady na výstavbu a renovace a další poplatky. Více na:</w:t>
      </w:r>
      <w:r w:rsidRPr="000A4298">
        <w:rPr>
          <w:sz w:val="16"/>
          <w:szCs w:val="16"/>
        </w:rPr>
        <w:t xml:space="preserve"> </w:t>
      </w:r>
      <w:hyperlink r:id="rId1" w:history="1">
        <w:r w:rsidRPr="000A4298">
          <w:rPr>
            <w:rStyle w:val="Hypertextovodkaz"/>
            <w:sz w:val="16"/>
            <w:szCs w:val="16"/>
          </w:rPr>
          <w:t>https://www.czso.cz/csu/czso/metodicka-poznamka-k-indexu-spotrebitelskych-cen-imputovane-najemne</w:t>
        </w:r>
      </w:hyperlink>
    </w:p>
  </w:footnote>
  <w:footnote w:id="51">
    <w:p w14:paraId="301C4156" w14:textId="77777777" w:rsidR="00CD7E9E" w:rsidRPr="00C055FA" w:rsidRDefault="00CD7E9E" w:rsidP="009B553D">
      <w:pPr>
        <w:pStyle w:val="Textpoznpodarou"/>
        <w:rPr>
          <w:sz w:val="16"/>
          <w:szCs w:val="16"/>
        </w:rPr>
      </w:pPr>
      <w:r w:rsidRPr="00C055FA">
        <w:rPr>
          <w:rStyle w:val="Znakapoznpodarou"/>
          <w:sz w:val="16"/>
          <w:szCs w:val="16"/>
        </w:rPr>
        <w:footnoteRef/>
      </w:r>
      <w:r w:rsidRPr="00C055FA">
        <w:rPr>
          <w:sz w:val="16"/>
          <w:szCs w:val="16"/>
        </w:rPr>
        <w:t xml:space="preserve"> HICP neobsahuje imputované nájemné.</w:t>
      </w:r>
    </w:p>
  </w:footnote>
  <w:footnote w:id="52">
    <w:p w14:paraId="47034F97" w14:textId="77777777" w:rsidR="00CD7E9E" w:rsidRPr="005F66A4" w:rsidRDefault="00CD7E9E" w:rsidP="009B553D">
      <w:pPr>
        <w:pStyle w:val="Textpoznpodarou"/>
        <w:rPr>
          <w:sz w:val="16"/>
          <w:szCs w:val="16"/>
        </w:rPr>
      </w:pPr>
      <w:r w:rsidRPr="005F66A4">
        <w:rPr>
          <w:rStyle w:val="Znakapoznpodarou"/>
          <w:sz w:val="16"/>
          <w:szCs w:val="16"/>
        </w:rPr>
        <w:footnoteRef/>
      </w:r>
      <w:r w:rsidRPr="005F66A4">
        <w:rPr>
          <w:sz w:val="16"/>
          <w:szCs w:val="16"/>
        </w:rPr>
        <w:t xml:space="preserve"> </w:t>
      </w:r>
      <w:r>
        <w:rPr>
          <w:sz w:val="16"/>
          <w:szCs w:val="16"/>
        </w:rPr>
        <w:t>Ukazatele nejsou uvedeny kvůli ochraně i</w:t>
      </w:r>
      <w:r w:rsidRPr="005F66A4">
        <w:rPr>
          <w:sz w:val="16"/>
          <w:szCs w:val="16"/>
        </w:rPr>
        <w:t>ndividuální</w:t>
      </w:r>
      <w:r>
        <w:rPr>
          <w:sz w:val="16"/>
          <w:szCs w:val="16"/>
        </w:rPr>
        <w:t>ch</w:t>
      </w:r>
      <w:r w:rsidRPr="005F66A4">
        <w:rPr>
          <w:sz w:val="16"/>
          <w:szCs w:val="16"/>
        </w:rPr>
        <w:t xml:space="preserve"> dat.</w:t>
      </w:r>
    </w:p>
  </w:footnote>
  <w:footnote w:id="53">
    <w:p w14:paraId="65113B68" w14:textId="77777777" w:rsidR="00CD7E9E" w:rsidRPr="000C5F73" w:rsidRDefault="00CD7E9E" w:rsidP="009B553D">
      <w:pPr>
        <w:pStyle w:val="Textpoznpodarou"/>
        <w:rPr>
          <w:sz w:val="16"/>
          <w:szCs w:val="16"/>
        </w:rPr>
      </w:pPr>
      <w:r w:rsidRPr="000C5F73">
        <w:rPr>
          <w:rStyle w:val="Znakapoznpodarou"/>
          <w:sz w:val="16"/>
          <w:szCs w:val="16"/>
        </w:rPr>
        <w:footnoteRef/>
      </w:r>
      <w:r w:rsidRPr="000C5F73">
        <w:rPr>
          <w:sz w:val="16"/>
          <w:szCs w:val="16"/>
        </w:rPr>
        <w:t xml:space="preserve"> Bez cen zásobování vodou a</w:t>
      </w:r>
      <w:r>
        <w:rPr>
          <w:sz w:val="16"/>
          <w:szCs w:val="16"/>
        </w:rPr>
        <w:t> </w:t>
      </w:r>
      <w:r w:rsidRPr="000C5F73">
        <w:rPr>
          <w:sz w:val="16"/>
          <w:szCs w:val="16"/>
        </w:rPr>
        <w:t>služeb souvisejících s odpadními vodami.</w:t>
      </w:r>
    </w:p>
  </w:footnote>
  <w:footnote w:id="54">
    <w:p w14:paraId="6120DFAB" w14:textId="77777777" w:rsidR="00CD7E9E" w:rsidRPr="00C11C5A" w:rsidRDefault="00CD7E9E" w:rsidP="009B553D">
      <w:pPr>
        <w:pStyle w:val="Textpoznpodarou"/>
        <w:rPr>
          <w:sz w:val="16"/>
          <w:szCs w:val="16"/>
        </w:rPr>
      </w:pPr>
      <w:r w:rsidRPr="00C11C5A">
        <w:rPr>
          <w:rStyle w:val="Znakapoznpodarou"/>
          <w:sz w:val="16"/>
          <w:szCs w:val="16"/>
        </w:rPr>
        <w:footnoteRef/>
      </w:r>
      <w:r>
        <w:rPr>
          <w:sz w:val="16"/>
          <w:szCs w:val="16"/>
        </w:rPr>
        <w:t xml:space="preserve"> Podle údajů ČNB dosáhl v roce 2020 </w:t>
      </w:r>
      <w:r w:rsidRPr="00C11C5A">
        <w:rPr>
          <w:sz w:val="16"/>
          <w:szCs w:val="16"/>
        </w:rPr>
        <w:t>průměrný kurz koruny vůči euru 2</w:t>
      </w:r>
      <w:r>
        <w:rPr>
          <w:sz w:val="16"/>
          <w:szCs w:val="16"/>
        </w:rPr>
        <w:t>6,444 </w:t>
      </w:r>
      <w:r w:rsidRPr="00C11C5A">
        <w:rPr>
          <w:sz w:val="16"/>
          <w:szCs w:val="16"/>
        </w:rPr>
        <w:t xml:space="preserve">CZK/EUR. </w:t>
      </w:r>
      <w:r>
        <w:rPr>
          <w:sz w:val="16"/>
          <w:szCs w:val="16"/>
        </w:rPr>
        <w:t>Loni</w:t>
      </w:r>
      <w:r w:rsidRPr="00C11C5A">
        <w:rPr>
          <w:sz w:val="16"/>
          <w:szCs w:val="16"/>
        </w:rPr>
        <w:t xml:space="preserve"> to bylo 25,</w:t>
      </w:r>
      <w:r>
        <w:rPr>
          <w:sz w:val="16"/>
          <w:szCs w:val="16"/>
        </w:rPr>
        <w:t>645 </w:t>
      </w:r>
      <w:r w:rsidRPr="00C11C5A">
        <w:rPr>
          <w:sz w:val="16"/>
          <w:szCs w:val="16"/>
        </w:rPr>
        <w:t xml:space="preserve">CZK/EUR. </w:t>
      </w:r>
      <w:r>
        <w:rPr>
          <w:sz w:val="16"/>
          <w:szCs w:val="16"/>
        </w:rPr>
        <w:t>Silnější byl i kurz</w:t>
      </w:r>
      <w:r w:rsidRPr="00C11C5A">
        <w:rPr>
          <w:sz w:val="16"/>
          <w:szCs w:val="16"/>
        </w:rPr>
        <w:t xml:space="preserve"> vůči dolaru. </w:t>
      </w:r>
      <w:r>
        <w:rPr>
          <w:sz w:val="16"/>
          <w:szCs w:val="16"/>
        </w:rPr>
        <w:t xml:space="preserve">V roce 2020 </w:t>
      </w:r>
      <w:r w:rsidRPr="00C11C5A">
        <w:rPr>
          <w:sz w:val="16"/>
          <w:szCs w:val="16"/>
        </w:rPr>
        <w:t xml:space="preserve">průměr činil </w:t>
      </w:r>
      <w:r>
        <w:rPr>
          <w:sz w:val="16"/>
          <w:szCs w:val="16"/>
        </w:rPr>
        <w:t>23,196 </w:t>
      </w:r>
      <w:r w:rsidRPr="00C11C5A">
        <w:rPr>
          <w:sz w:val="16"/>
          <w:szCs w:val="16"/>
        </w:rPr>
        <w:t xml:space="preserve">CZK/USD, </w:t>
      </w:r>
      <w:r>
        <w:rPr>
          <w:sz w:val="16"/>
          <w:szCs w:val="16"/>
        </w:rPr>
        <w:t>loni</w:t>
      </w:r>
      <w:r w:rsidRPr="00C11C5A">
        <w:rPr>
          <w:sz w:val="16"/>
          <w:szCs w:val="16"/>
        </w:rPr>
        <w:t xml:space="preserve"> 2</w:t>
      </w:r>
      <w:r>
        <w:rPr>
          <w:sz w:val="16"/>
          <w:szCs w:val="16"/>
        </w:rPr>
        <w:t>1</w:t>
      </w:r>
      <w:r w:rsidRPr="00C11C5A">
        <w:rPr>
          <w:sz w:val="16"/>
          <w:szCs w:val="16"/>
        </w:rPr>
        <w:t>,</w:t>
      </w:r>
      <w:r>
        <w:rPr>
          <w:sz w:val="16"/>
          <w:szCs w:val="16"/>
        </w:rPr>
        <w:t>682 </w:t>
      </w:r>
      <w:r w:rsidRPr="00C11C5A">
        <w:rPr>
          <w:sz w:val="16"/>
          <w:szCs w:val="16"/>
        </w:rPr>
        <w:t>CZK/U</w:t>
      </w:r>
      <w:r>
        <w:rPr>
          <w:sz w:val="16"/>
          <w:szCs w:val="16"/>
        </w:rPr>
        <w:t>SD</w:t>
      </w:r>
      <w:r w:rsidRPr="00C11C5A">
        <w:rPr>
          <w:sz w:val="16"/>
          <w:szCs w:val="16"/>
        </w:rPr>
        <w:t>.</w:t>
      </w:r>
    </w:p>
  </w:footnote>
  <w:footnote w:id="55">
    <w:p w14:paraId="4531899F" w14:textId="77777777" w:rsidR="00CD7E9E" w:rsidRPr="00940B11" w:rsidRDefault="00CD7E9E" w:rsidP="009B553D">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2</w:t>
      </w:r>
      <w:r>
        <w:rPr>
          <w:sz w:val="16"/>
          <w:szCs w:val="16"/>
        </w:rPr>
        <w:t> </w:t>
      </w:r>
      <w:r w:rsidRPr="00940B11">
        <w:rPr>
          <w:sz w:val="16"/>
          <w:szCs w:val="16"/>
        </w:rPr>
        <w:t>– suroviny nepoživatelné s výjimkou paliv</w:t>
      </w:r>
    </w:p>
  </w:footnote>
  <w:footnote w:id="56">
    <w:p w14:paraId="18798530" w14:textId="77777777" w:rsidR="00CD7E9E" w:rsidRPr="00940B11" w:rsidRDefault="00CD7E9E" w:rsidP="009B553D">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6</w:t>
      </w:r>
      <w:r>
        <w:rPr>
          <w:sz w:val="16"/>
          <w:szCs w:val="16"/>
        </w:rPr>
        <w:t> </w:t>
      </w:r>
      <w:r w:rsidRPr="00940B11">
        <w:rPr>
          <w:sz w:val="16"/>
          <w:szCs w:val="16"/>
        </w:rPr>
        <w:t>– tržní výrobky tříděné hlavně podle materiálu</w:t>
      </w:r>
    </w:p>
  </w:footnote>
  <w:footnote w:id="57">
    <w:p w14:paraId="112D0E6A" w14:textId="77777777" w:rsidR="00CD7E9E" w:rsidRPr="00F72E52" w:rsidRDefault="00CD7E9E" w:rsidP="00B01D0F">
      <w:pPr>
        <w:pStyle w:val="Textpoznpodarou"/>
        <w:jc w:val="both"/>
        <w:rPr>
          <w:color w:val="0D0D0D" w:themeColor="text1" w:themeTint="F2"/>
          <w:spacing w:val="-2"/>
          <w:sz w:val="16"/>
          <w:szCs w:val="16"/>
        </w:rPr>
      </w:pPr>
      <w:r w:rsidRPr="00F72E52">
        <w:rPr>
          <w:rStyle w:val="Znakapoznpodarou"/>
          <w:color w:val="0D0D0D" w:themeColor="text1" w:themeTint="F2"/>
          <w:spacing w:val="-2"/>
          <w:sz w:val="16"/>
          <w:szCs w:val="16"/>
        </w:rPr>
        <w:footnoteRef/>
      </w:r>
      <w:r w:rsidRPr="00F72E52">
        <w:rPr>
          <w:color w:val="0D0D0D" w:themeColor="text1" w:themeTint="F2"/>
          <w:spacing w:val="-2"/>
          <w:sz w:val="16"/>
          <w:szCs w:val="16"/>
        </w:rPr>
        <w:t xml:space="preserve"> Údaje o zaměstnanosti v této kapitole vycház</w:t>
      </w:r>
      <w:r>
        <w:rPr>
          <w:color w:val="0D0D0D" w:themeColor="text1" w:themeTint="F2"/>
          <w:spacing w:val="-2"/>
          <w:sz w:val="16"/>
          <w:szCs w:val="16"/>
        </w:rPr>
        <w:t>ej</w:t>
      </w:r>
      <w:r w:rsidRPr="00F72E52">
        <w:rPr>
          <w:color w:val="0D0D0D" w:themeColor="text1" w:themeTint="F2"/>
          <w:spacing w:val="-2"/>
          <w:sz w:val="16"/>
          <w:szCs w:val="16"/>
        </w:rPr>
        <w:t>í z</w:t>
      </w:r>
      <w:r>
        <w:rPr>
          <w:color w:val="0D0D0D" w:themeColor="text1" w:themeTint="F2"/>
          <w:spacing w:val="-2"/>
          <w:sz w:val="16"/>
          <w:szCs w:val="16"/>
        </w:rPr>
        <w:t> </w:t>
      </w:r>
      <w:r w:rsidRPr="00F72E52">
        <w:rPr>
          <w:color w:val="0D0D0D" w:themeColor="text1" w:themeTint="F2"/>
          <w:spacing w:val="-2"/>
          <w:sz w:val="16"/>
          <w:szCs w:val="16"/>
        </w:rPr>
        <w:t>pojetí národních účtů. Jsou vyjádřeny ve fyzických osobách a</w:t>
      </w:r>
      <w:r>
        <w:rPr>
          <w:color w:val="0D0D0D" w:themeColor="text1" w:themeTint="F2"/>
          <w:spacing w:val="-2"/>
          <w:sz w:val="16"/>
          <w:szCs w:val="16"/>
        </w:rPr>
        <w:t> </w:t>
      </w:r>
      <w:r w:rsidRPr="00F72E52">
        <w:rPr>
          <w:color w:val="0D0D0D" w:themeColor="text1" w:themeTint="F2"/>
          <w:spacing w:val="-2"/>
          <w:sz w:val="16"/>
          <w:szCs w:val="16"/>
        </w:rPr>
        <w:t>očištěny o sezónní vlivy.</w:t>
      </w:r>
    </w:p>
  </w:footnote>
  <w:footnote w:id="58">
    <w:p w14:paraId="088EB162" w14:textId="3AF0D1C7" w:rsidR="00CD7E9E" w:rsidRPr="00F72E52" w:rsidRDefault="00CD7E9E" w:rsidP="00B01D0F">
      <w:pPr>
        <w:pStyle w:val="Textpoznpodarou"/>
        <w:jc w:val="both"/>
        <w:rPr>
          <w:color w:val="0D0D0D" w:themeColor="text1" w:themeTint="F2"/>
          <w:sz w:val="16"/>
          <w:szCs w:val="16"/>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Z podrobnějších údajů z Výběrového šetření pracovních sil</w:t>
      </w:r>
      <w:r>
        <w:rPr>
          <w:color w:val="0D0D0D" w:themeColor="text1" w:themeTint="F2"/>
          <w:sz w:val="16"/>
          <w:szCs w:val="16"/>
        </w:rPr>
        <w:t xml:space="preserve"> (</w:t>
      </w:r>
      <w:r>
        <w:rPr>
          <w:spacing w:val="-3"/>
          <w:sz w:val="16"/>
          <w:szCs w:val="16"/>
        </w:rPr>
        <w:t>VŠPS)</w:t>
      </w:r>
      <w:r w:rsidRPr="00F72E52">
        <w:rPr>
          <w:color w:val="0D0D0D" w:themeColor="text1" w:themeTint="F2"/>
          <w:sz w:val="16"/>
          <w:szCs w:val="16"/>
        </w:rPr>
        <w:t xml:space="preserve"> plyne, že vedle podnikatelů bez zaměstnanců klesly ve 4.</w:t>
      </w:r>
      <w:r>
        <w:rPr>
          <w:color w:val="0D0D0D" w:themeColor="text1" w:themeTint="F2"/>
          <w:sz w:val="16"/>
          <w:szCs w:val="16"/>
        </w:rPr>
        <w:t> čtvrtlet</w:t>
      </w:r>
      <w:r w:rsidRPr="00F72E52">
        <w:rPr>
          <w:color w:val="0D0D0D" w:themeColor="text1" w:themeTint="F2"/>
          <w:sz w:val="16"/>
          <w:szCs w:val="16"/>
        </w:rPr>
        <w:t>í 2021 meziročně i</w:t>
      </w:r>
      <w:r>
        <w:rPr>
          <w:color w:val="0D0D0D" w:themeColor="text1" w:themeTint="F2"/>
          <w:sz w:val="16"/>
          <w:szCs w:val="16"/>
        </w:rPr>
        <w:t> </w:t>
      </w:r>
      <w:r w:rsidRPr="00F72E52">
        <w:rPr>
          <w:color w:val="0D0D0D" w:themeColor="text1" w:themeTint="F2"/>
          <w:sz w:val="16"/>
          <w:szCs w:val="16"/>
        </w:rPr>
        <w:t>počty podnikatelů se zaměstnanci (o</w:t>
      </w:r>
      <w:r>
        <w:rPr>
          <w:color w:val="0D0D0D" w:themeColor="text1" w:themeTint="F2"/>
          <w:sz w:val="16"/>
          <w:szCs w:val="16"/>
        </w:rPr>
        <w:t> </w:t>
      </w:r>
      <w:r w:rsidRPr="00F72E52">
        <w:rPr>
          <w:color w:val="0D0D0D" w:themeColor="text1" w:themeTint="F2"/>
          <w:sz w:val="16"/>
          <w:szCs w:val="16"/>
        </w:rPr>
        <w:t>11</w:t>
      </w:r>
      <w:r>
        <w:rPr>
          <w:color w:val="0D0D0D" w:themeColor="text1" w:themeTint="F2"/>
          <w:sz w:val="16"/>
          <w:szCs w:val="16"/>
        </w:rPr>
        <w:t> tis.</w:t>
      </w:r>
      <w:r w:rsidRPr="00F72E52">
        <w:rPr>
          <w:color w:val="0D0D0D" w:themeColor="text1" w:themeTint="F2"/>
          <w:sz w:val="16"/>
          <w:szCs w:val="16"/>
        </w:rPr>
        <w:t>) a</w:t>
      </w:r>
      <w:r>
        <w:rPr>
          <w:color w:val="0D0D0D" w:themeColor="text1" w:themeTint="F2"/>
          <w:sz w:val="16"/>
          <w:szCs w:val="16"/>
        </w:rPr>
        <w:t> </w:t>
      </w:r>
      <w:r w:rsidRPr="00F72E52">
        <w:rPr>
          <w:color w:val="0D0D0D" w:themeColor="text1" w:themeTint="F2"/>
          <w:sz w:val="16"/>
          <w:szCs w:val="16"/>
        </w:rPr>
        <w:t>pomáhajících rodinných příslušníků (</w:t>
      </w:r>
      <w:r>
        <w:rPr>
          <w:color w:val="0D0D0D" w:themeColor="text1" w:themeTint="F2"/>
          <w:sz w:val="16"/>
          <w:szCs w:val="16"/>
        </w:rPr>
        <w:t>o </w:t>
      </w:r>
      <w:r w:rsidRPr="00F72E52">
        <w:rPr>
          <w:color w:val="0D0D0D" w:themeColor="text1" w:themeTint="F2"/>
          <w:sz w:val="16"/>
          <w:szCs w:val="16"/>
        </w:rPr>
        <w:t>8</w:t>
      </w:r>
      <w:r>
        <w:rPr>
          <w:color w:val="0D0D0D" w:themeColor="text1" w:themeTint="F2"/>
          <w:sz w:val="16"/>
          <w:szCs w:val="16"/>
        </w:rPr>
        <w:t> tis.</w:t>
      </w:r>
      <w:r w:rsidRPr="00F72E52">
        <w:rPr>
          <w:color w:val="0D0D0D" w:themeColor="text1" w:themeTint="F2"/>
          <w:sz w:val="16"/>
          <w:szCs w:val="16"/>
        </w:rPr>
        <w:t>). Obě tyto kategorie jsou v pojetí národních účtů řazeny do skupiny zaměstnanců.</w:t>
      </w:r>
    </w:p>
  </w:footnote>
  <w:footnote w:id="59">
    <w:p w14:paraId="6537AAE8" w14:textId="77777777" w:rsidR="00CD7E9E" w:rsidRPr="00F72E52" w:rsidRDefault="00CD7E9E" w:rsidP="00B01D0F">
      <w:pPr>
        <w:pStyle w:val="Textpoznpodarou"/>
        <w:jc w:val="both"/>
        <w:rPr>
          <w:color w:val="0D0D0D" w:themeColor="text1" w:themeTint="F2"/>
          <w:sz w:val="16"/>
          <w:szCs w:val="16"/>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K mírnému poklesu počtu sebezaměstnaných došlo např. v období pokrizové expanze tuzemské ekonomiky v letech 2014 a</w:t>
      </w:r>
      <w:r>
        <w:rPr>
          <w:color w:val="0D0D0D" w:themeColor="text1" w:themeTint="F2"/>
          <w:sz w:val="16"/>
          <w:szCs w:val="16"/>
        </w:rPr>
        <w:t> </w:t>
      </w:r>
      <w:r w:rsidRPr="00F72E52">
        <w:rPr>
          <w:color w:val="0D0D0D" w:themeColor="text1" w:themeTint="F2"/>
          <w:sz w:val="16"/>
          <w:szCs w:val="16"/>
        </w:rPr>
        <w:t>2015.</w:t>
      </w:r>
    </w:p>
  </w:footnote>
  <w:footnote w:id="60">
    <w:p w14:paraId="23A469DD" w14:textId="77777777" w:rsidR="00CD7E9E" w:rsidRPr="00F72E52" w:rsidRDefault="00CD7E9E" w:rsidP="00B01D0F">
      <w:pPr>
        <w:pStyle w:val="Textpoznpodarou"/>
        <w:jc w:val="both"/>
        <w:rPr>
          <w:color w:val="0D0D0D" w:themeColor="text1" w:themeTint="F2"/>
          <w:sz w:val="16"/>
          <w:szCs w:val="16"/>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Odvětví s převa</w:t>
      </w:r>
      <w:r>
        <w:rPr>
          <w:color w:val="0D0D0D" w:themeColor="text1" w:themeTint="F2"/>
          <w:sz w:val="16"/>
          <w:szCs w:val="16"/>
        </w:rPr>
        <w:t>hou veřejných služeb, zahrnující</w:t>
      </w:r>
      <w:r w:rsidRPr="00F72E52">
        <w:rPr>
          <w:color w:val="0D0D0D" w:themeColor="text1" w:themeTint="F2"/>
          <w:sz w:val="16"/>
          <w:szCs w:val="16"/>
        </w:rPr>
        <w:t xml:space="preserve"> kromě výše uvedených činností také veřejnou správu, obranu a</w:t>
      </w:r>
      <w:r>
        <w:rPr>
          <w:color w:val="0D0D0D" w:themeColor="text1" w:themeTint="F2"/>
          <w:sz w:val="16"/>
          <w:szCs w:val="16"/>
        </w:rPr>
        <w:t> </w:t>
      </w:r>
      <w:r w:rsidRPr="00F72E52">
        <w:rPr>
          <w:color w:val="0D0D0D" w:themeColor="text1" w:themeTint="F2"/>
          <w:sz w:val="16"/>
          <w:szCs w:val="16"/>
        </w:rPr>
        <w:t>sociální zabezpečení, působil</w:t>
      </w:r>
      <w:r>
        <w:rPr>
          <w:color w:val="0D0D0D" w:themeColor="text1" w:themeTint="F2"/>
          <w:sz w:val="16"/>
          <w:szCs w:val="16"/>
        </w:rPr>
        <w:t>a</w:t>
      </w:r>
      <w:r w:rsidRPr="00F72E52">
        <w:rPr>
          <w:color w:val="0D0D0D" w:themeColor="text1" w:themeTint="F2"/>
          <w:sz w:val="16"/>
          <w:szCs w:val="16"/>
        </w:rPr>
        <w:t xml:space="preserve"> na celkovou zaměstnanost prorůstově nejvíce ze všech odvětví </w:t>
      </w:r>
      <w:r>
        <w:rPr>
          <w:color w:val="0D0D0D" w:themeColor="text1" w:themeTint="F2"/>
          <w:sz w:val="16"/>
          <w:szCs w:val="16"/>
        </w:rPr>
        <w:t>i po celé</w:t>
      </w:r>
      <w:r w:rsidRPr="00F72E52">
        <w:rPr>
          <w:color w:val="0D0D0D" w:themeColor="text1" w:themeTint="F2"/>
          <w:sz w:val="16"/>
          <w:szCs w:val="16"/>
        </w:rPr>
        <w:t xml:space="preserve"> období let 2020 a</w:t>
      </w:r>
      <w:r>
        <w:rPr>
          <w:color w:val="0D0D0D" w:themeColor="text1" w:themeTint="F2"/>
          <w:sz w:val="16"/>
          <w:szCs w:val="16"/>
        </w:rPr>
        <w:t> </w:t>
      </w:r>
      <w:r w:rsidRPr="00F72E52">
        <w:rPr>
          <w:color w:val="0D0D0D" w:themeColor="text1" w:themeTint="F2"/>
          <w:sz w:val="16"/>
          <w:szCs w:val="16"/>
        </w:rPr>
        <w:t>2021.</w:t>
      </w:r>
    </w:p>
  </w:footnote>
  <w:footnote w:id="61">
    <w:p w14:paraId="757E061E" w14:textId="77777777" w:rsidR="00CD7E9E" w:rsidRPr="00F72E52" w:rsidRDefault="00CD7E9E" w:rsidP="00B01D0F">
      <w:pPr>
        <w:pStyle w:val="Textpoznpodarou"/>
        <w:jc w:val="both"/>
        <w:rPr>
          <w:color w:val="0D0D0D" w:themeColor="text1" w:themeTint="F2"/>
          <w:sz w:val="16"/>
          <w:szCs w:val="16"/>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Za svým předpandemickým vrcholem ale o</w:t>
      </w:r>
      <w:r>
        <w:rPr>
          <w:color w:val="0D0D0D" w:themeColor="text1" w:themeTint="F2"/>
          <w:sz w:val="16"/>
          <w:szCs w:val="16"/>
        </w:rPr>
        <w:t> </w:t>
      </w:r>
      <w:r w:rsidRPr="00F72E52">
        <w:rPr>
          <w:color w:val="0D0D0D" w:themeColor="text1" w:themeTint="F2"/>
          <w:sz w:val="16"/>
          <w:szCs w:val="16"/>
        </w:rPr>
        <w:t>více než 5</w:t>
      </w:r>
      <w:r>
        <w:rPr>
          <w:color w:val="0D0D0D" w:themeColor="text1" w:themeTint="F2"/>
          <w:sz w:val="16"/>
          <w:szCs w:val="16"/>
        </w:rPr>
        <w:t> %</w:t>
      </w:r>
      <w:r w:rsidRPr="00F72E52">
        <w:rPr>
          <w:color w:val="0D0D0D" w:themeColor="text1" w:themeTint="F2"/>
          <w:sz w:val="16"/>
          <w:szCs w:val="16"/>
        </w:rPr>
        <w:t xml:space="preserve"> (resp. 67</w:t>
      </w:r>
      <w:r>
        <w:rPr>
          <w:color w:val="0D0D0D" w:themeColor="text1" w:themeTint="F2"/>
          <w:sz w:val="16"/>
          <w:szCs w:val="16"/>
        </w:rPr>
        <w:t> tis.</w:t>
      </w:r>
      <w:r w:rsidRPr="00F72E52">
        <w:rPr>
          <w:color w:val="0D0D0D" w:themeColor="text1" w:themeTint="F2"/>
          <w:sz w:val="16"/>
          <w:szCs w:val="16"/>
        </w:rPr>
        <w:t xml:space="preserve"> osob) zaostávala.</w:t>
      </w:r>
    </w:p>
  </w:footnote>
  <w:footnote w:id="62">
    <w:p w14:paraId="7EBDADFF" w14:textId="77777777" w:rsidR="00CD7E9E" w:rsidRPr="00F72E52" w:rsidRDefault="00CD7E9E" w:rsidP="00B01D0F">
      <w:pPr>
        <w:pStyle w:val="Textpoznpodarou"/>
        <w:jc w:val="both"/>
        <w:rPr>
          <w:color w:val="0D0D0D" w:themeColor="text1" w:themeTint="F2"/>
          <w:sz w:val="16"/>
          <w:szCs w:val="16"/>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V tomto odvětví tvořil</w:t>
      </w:r>
      <w:r>
        <w:rPr>
          <w:color w:val="0D0D0D" w:themeColor="text1" w:themeTint="F2"/>
          <w:sz w:val="16"/>
          <w:szCs w:val="16"/>
        </w:rPr>
        <w:t>y</w:t>
      </w:r>
      <w:r w:rsidRPr="00F72E52">
        <w:rPr>
          <w:color w:val="0D0D0D" w:themeColor="text1" w:themeTint="F2"/>
          <w:sz w:val="16"/>
          <w:szCs w:val="16"/>
        </w:rPr>
        <w:t xml:space="preserve"> v roce 2021 více než 35</w:t>
      </w:r>
      <w:r>
        <w:rPr>
          <w:color w:val="0D0D0D" w:themeColor="text1" w:themeTint="F2"/>
          <w:sz w:val="16"/>
          <w:szCs w:val="16"/>
        </w:rPr>
        <w:t> %</w:t>
      </w:r>
      <w:r w:rsidRPr="00F72E52">
        <w:rPr>
          <w:color w:val="0D0D0D" w:themeColor="text1" w:themeTint="F2"/>
          <w:sz w:val="16"/>
          <w:szCs w:val="16"/>
        </w:rPr>
        <w:t xml:space="preserve"> všech pracovníků sebezaměstnané osoby. Více než dvojnásobné zastoupení než v celé ekonomice měl</w:t>
      </w:r>
      <w:r>
        <w:rPr>
          <w:color w:val="0D0D0D" w:themeColor="text1" w:themeTint="F2"/>
          <w:sz w:val="16"/>
          <w:szCs w:val="16"/>
        </w:rPr>
        <w:t>y</w:t>
      </w:r>
      <w:r w:rsidRPr="00F72E52">
        <w:rPr>
          <w:color w:val="0D0D0D" w:themeColor="text1" w:themeTint="F2"/>
          <w:sz w:val="16"/>
          <w:szCs w:val="16"/>
        </w:rPr>
        <w:t xml:space="preserve"> také ve stavebnictví (33</w:t>
      </w:r>
      <w:r>
        <w:rPr>
          <w:color w:val="0D0D0D" w:themeColor="text1" w:themeTint="F2"/>
          <w:sz w:val="16"/>
          <w:szCs w:val="16"/>
        </w:rPr>
        <w:t> %</w:t>
      </w:r>
      <w:r w:rsidRPr="00F72E52">
        <w:rPr>
          <w:color w:val="0D0D0D" w:themeColor="text1" w:themeTint="F2"/>
          <w:sz w:val="16"/>
          <w:szCs w:val="16"/>
        </w:rPr>
        <w:t>), činnostech v oblasti nemovitostí (31</w:t>
      </w:r>
      <w:r>
        <w:rPr>
          <w:color w:val="0D0D0D" w:themeColor="text1" w:themeTint="F2"/>
          <w:sz w:val="16"/>
          <w:szCs w:val="16"/>
        </w:rPr>
        <w:t> %</w:t>
      </w:r>
      <w:r w:rsidRPr="00F72E52">
        <w:rPr>
          <w:color w:val="0D0D0D" w:themeColor="text1" w:themeTint="F2"/>
          <w:sz w:val="16"/>
          <w:szCs w:val="16"/>
        </w:rPr>
        <w:t>) a</w:t>
      </w:r>
      <w:r>
        <w:rPr>
          <w:color w:val="0D0D0D" w:themeColor="text1" w:themeTint="F2"/>
          <w:sz w:val="16"/>
          <w:szCs w:val="16"/>
        </w:rPr>
        <w:t> </w:t>
      </w:r>
      <w:r w:rsidRPr="00F72E52">
        <w:rPr>
          <w:color w:val="0D0D0D" w:themeColor="text1" w:themeTint="F2"/>
          <w:sz w:val="16"/>
          <w:szCs w:val="16"/>
        </w:rPr>
        <w:t>v zemědělství a</w:t>
      </w:r>
      <w:r>
        <w:rPr>
          <w:color w:val="0D0D0D" w:themeColor="text1" w:themeTint="F2"/>
          <w:sz w:val="16"/>
          <w:szCs w:val="16"/>
        </w:rPr>
        <w:t> </w:t>
      </w:r>
      <w:r w:rsidRPr="00F72E52">
        <w:rPr>
          <w:color w:val="0D0D0D" w:themeColor="text1" w:themeTint="F2"/>
          <w:sz w:val="16"/>
          <w:szCs w:val="16"/>
        </w:rPr>
        <w:t>lesnictví (29</w:t>
      </w:r>
      <w:r>
        <w:rPr>
          <w:color w:val="0D0D0D" w:themeColor="text1" w:themeTint="F2"/>
          <w:sz w:val="16"/>
          <w:szCs w:val="16"/>
        </w:rPr>
        <w:t> %</w:t>
      </w:r>
      <w:r w:rsidRPr="00F72E52">
        <w:rPr>
          <w:color w:val="0D0D0D" w:themeColor="text1" w:themeTint="F2"/>
          <w:sz w:val="16"/>
          <w:szCs w:val="16"/>
        </w:rPr>
        <w:t>).</w:t>
      </w:r>
    </w:p>
  </w:footnote>
  <w:footnote w:id="63">
    <w:p w14:paraId="4DC90EA4" w14:textId="77777777" w:rsidR="00CD7E9E" w:rsidRPr="00707B92" w:rsidRDefault="00CD7E9E" w:rsidP="00B01D0F">
      <w:pPr>
        <w:pStyle w:val="Textpoznpodarou"/>
        <w:jc w:val="both"/>
        <w:rPr>
          <w:spacing w:val="-4"/>
          <w:sz w:val="16"/>
          <w:szCs w:val="16"/>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w:t>
      </w:r>
      <w:r w:rsidRPr="00F72E52">
        <w:rPr>
          <w:color w:val="0D0D0D" w:themeColor="text1" w:themeTint="F2"/>
          <w:spacing w:val="-4"/>
          <w:sz w:val="16"/>
          <w:szCs w:val="16"/>
        </w:rPr>
        <w:t>Počet všech cizinců pracujících v Česku v</w:t>
      </w:r>
      <w:r>
        <w:rPr>
          <w:color w:val="0D0D0D" w:themeColor="text1" w:themeTint="F2"/>
          <w:spacing w:val="-4"/>
          <w:sz w:val="16"/>
          <w:szCs w:val="16"/>
        </w:rPr>
        <w:t> </w:t>
      </w:r>
      <w:r w:rsidRPr="00F72E52">
        <w:rPr>
          <w:color w:val="0D0D0D" w:themeColor="text1" w:themeTint="F2"/>
          <w:spacing w:val="-4"/>
          <w:sz w:val="16"/>
          <w:szCs w:val="16"/>
        </w:rPr>
        <w:t>zaměstnaneckém postavení po většin</w:t>
      </w:r>
      <w:r>
        <w:rPr>
          <w:color w:val="0D0D0D" w:themeColor="text1" w:themeTint="F2"/>
          <w:spacing w:val="-4"/>
          <w:sz w:val="16"/>
          <w:szCs w:val="16"/>
        </w:rPr>
        <w:t>u</w:t>
      </w:r>
      <w:r w:rsidRPr="00F72E52">
        <w:rPr>
          <w:color w:val="0D0D0D" w:themeColor="text1" w:themeTint="F2"/>
          <w:spacing w:val="-4"/>
          <w:sz w:val="16"/>
          <w:szCs w:val="16"/>
        </w:rPr>
        <w:t xml:space="preserve"> loňského roku silně rostl. V</w:t>
      </w:r>
      <w:r>
        <w:rPr>
          <w:color w:val="0D0D0D" w:themeColor="text1" w:themeTint="F2"/>
          <w:spacing w:val="-4"/>
          <w:sz w:val="16"/>
          <w:szCs w:val="16"/>
        </w:rPr>
        <w:t> </w:t>
      </w:r>
      <w:r w:rsidRPr="00F72E52">
        <w:rPr>
          <w:color w:val="0D0D0D" w:themeColor="text1" w:themeTint="F2"/>
          <w:spacing w:val="-4"/>
          <w:sz w:val="16"/>
          <w:szCs w:val="16"/>
        </w:rPr>
        <w:t>září jich úřady práce registrovaly rekordních 720</w:t>
      </w:r>
      <w:r>
        <w:rPr>
          <w:color w:val="0D0D0D" w:themeColor="text1" w:themeTint="F2"/>
          <w:spacing w:val="-4"/>
          <w:sz w:val="16"/>
          <w:szCs w:val="16"/>
        </w:rPr>
        <w:t> tis. N</w:t>
      </w:r>
      <w:r w:rsidRPr="00F72E52">
        <w:rPr>
          <w:color w:val="0D0D0D" w:themeColor="text1" w:themeTint="F2"/>
          <w:spacing w:val="-4"/>
          <w:sz w:val="16"/>
          <w:szCs w:val="16"/>
        </w:rPr>
        <w:t>a samém konci rok</w:t>
      </w:r>
      <w:r>
        <w:rPr>
          <w:color w:val="0D0D0D" w:themeColor="text1" w:themeTint="F2"/>
          <w:spacing w:val="-4"/>
          <w:sz w:val="16"/>
          <w:szCs w:val="16"/>
        </w:rPr>
        <w:t>u</w:t>
      </w:r>
      <w:r w:rsidRPr="00F72E52">
        <w:rPr>
          <w:color w:val="0D0D0D" w:themeColor="text1" w:themeTint="F2"/>
          <w:spacing w:val="-4"/>
          <w:sz w:val="16"/>
          <w:szCs w:val="16"/>
        </w:rPr>
        <w:t xml:space="preserve"> sice jejich počet mírně klesl (na 702</w:t>
      </w:r>
      <w:r>
        <w:rPr>
          <w:color w:val="0D0D0D" w:themeColor="text1" w:themeTint="F2"/>
          <w:spacing w:val="-4"/>
          <w:sz w:val="16"/>
          <w:szCs w:val="16"/>
        </w:rPr>
        <w:t> tis.</w:t>
      </w:r>
      <w:r w:rsidRPr="00F72E52">
        <w:rPr>
          <w:color w:val="0D0D0D" w:themeColor="text1" w:themeTint="F2"/>
          <w:spacing w:val="-4"/>
          <w:sz w:val="16"/>
          <w:szCs w:val="16"/>
        </w:rPr>
        <w:t>), i</w:t>
      </w:r>
      <w:r>
        <w:rPr>
          <w:color w:val="0D0D0D" w:themeColor="text1" w:themeTint="F2"/>
          <w:spacing w:val="-4"/>
          <w:sz w:val="16"/>
          <w:szCs w:val="16"/>
        </w:rPr>
        <w:t> </w:t>
      </w:r>
      <w:r w:rsidRPr="00F72E52">
        <w:rPr>
          <w:color w:val="0D0D0D" w:themeColor="text1" w:themeTint="F2"/>
          <w:spacing w:val="-4"/>
          <w:sz w:val="16"/>
          <w:szCs w:val="16"/>
        </w:rPr>
        <w:t>tak však byl meziročně skoro o</w:t>
      </w:r>
      <w:r>
        <w:rPr>
          <w:color w:val="0D0D0D" w:themeColor="text1" w:themeTint="F2"/>
          <w:spacing w:val="-4"/>
          <w:sz w:val="16"/>
          <w:szCs w:val="16"/>
        </w:rPr>
        <w:t> </w:t>
      </w:r>
      <w:r w:rsidRPr="00F72E52">
        <w:rPr>
          <w:color w:val="0D0D0D" w:themeColor="text1" w:themeTint="F2"/>
          <w:spacing w:val="-4"/>
          <w:sz w:val="16"/>
          <w:szCs w:val="16"/>
        </w:rPr>
        <w:t>desetinu vyšší. Toto navýšení bylo skoro ze dvou třetin výsledkem silného přílivu pracovníků z Ukrajiny, jejichž počet (195</w:t>
      </w:r>
      <w:r>
        <w:rPr>
          <w:color w:val="0D0D0D" w:themeColor="text1" w:themeTint="F2"/>
          <w:spacing w:val="-4"/>
          <w:sz w:val="16"/>
          <w:szCs w:val="16"/>
        </w:rPr>
        <w:t> tis.</w:t>
      </w:r>
      <w:r w:rsidRPr="00F72E52">
        <w:rPr>
          <w:color w:val="0D0D0D" w:themeColor="text1" w:themeTint="F2"/>
          <w:spacing w:val="-4"/>
          <w:sz w:val="16"/>
          <w:szCs w:val="16"/>
        </w:rPr>
        <w:t>) se přiblížil</w:t>
      </w:r>
      <w:r>
        <w:rPr>
          <w:color w:val="0D0D0D" w:themeColor="text1" w:themeTint="F2"/>
          <w:spacing w:val="-4"/>
          <w:sz w:val="16"/>
          <w:szCs w:val="16"/>
        </w:rPr>
        <w:t xml:space="preserve"> dlouhodobě dominantní skupině </w:t>
      </w:r>
      <w:r w:rsidRPr="00F72E52">
        <w:rPr>
          <w:color w:val="0D0D0D" w:themeColor="text1" w:themeTint="F2"/>
          <w:spacing w:val="-4"/>
          <w:sz w:val="16"/>
          <w:szCs w:val="16"/>
        </w:rPr>
        <w:t>pracovníků ze Slovenska (209</w:t>
      </w:r>
      <w:r>
        <w:rPr>
          <w:color w:val="0D0D0D" w:themeColor="text1" w:themeTint="F2"/>
          <w:spacing w:val="-4"/>
          <w:sz w:val="16"/>
          <w:szCs w:val="16"/>
        </w:rPr>
        <w:t> tis.</w:t>
      </w:r>
      <w:r w:rsidRPr="00F72E52">
        <w:rPr>
          <w:color w:val="0D0D0D" w:themeColor="text1" w:themeTint="F2"/>
          <w:spacing w:val="-4"/>
          <w:sz w:val="16"/>
          <w:szCs w:val="16"/>
        </w:rPr>
        <w:t xml:space="preserve">). Téměř polovina všech registrovaných zaměstnanců z Ukrajiny nepotřebovala v Česku pracovní </w:t>
      </w:r>
      <w:r w:rsidRPr="00935AA8">
        <w:rPr>
          <w:color w:val="0D0D0D" w:themeColor="text1" w:themeTint="F2"/>
          <w:spacing w:val="-6"/>
          <w:sz w:val="16"/>
          <w:szCs w:val="16"/>
        </w:rPr>
        <w:t xml:space="preserve">oprávnění, </w:t>
      </w:r>
      <w:r w:rsidRPr="00935AA8">
        <w:rPr>
          <w:color w:val="0D0D0D" w:themeColor="text1" w:themeTint="F2"/>
          <w:spacing w:val="-4"/>
          <w:sz w:val="16"/>
          <w:szCs w:val="16"/>
        </w:rPr>
        <w:t>nejčastěji z důvodu přiznání trvalého pobytu. Povolením k pobytu disponovalo 37</w:t>
      </w:r>
      <w:r>
        <w:rPr>
          <w:color w:val="0D0D0D" w:themeColor="text1" w:themeTint="F2"/>
          <w:spacing w:val="-4"/>
          <w:sz w:val="16"/>
          <w:szCs w:val="16"/>
        </w:rPr>
        <w:t> %</w:t>
      </w:r>
      <w:r w:rsidRPr="00935AA8">
        <w:rPr>
          <w:color w:val="0D0D0D" w:themeColor="text1" w:themeTint="F2"/>
          <w:spacing w:val="-4"/>
          <w:sz w:val="16"/>
          <w:szCs w:val="16"/>
        </w:rPr>
        <w:t xml:space="preserve"> Ukrajinců, díky </w:t>
      </w:r>
      <w:r>
        <w:rPr>
          <w:color w:val="0D0D0D" w:themeColor="text1" w:themeTint="F2"/>
          <w:spacing w:val="-4"/>
          <w:sz w:val="16"/>
          <w:szCs w:val="16"/>
        </w:rPr>
        <w:t>zaměstnaneckým</w:t>
      </w:r>
      <w:r w:rsidRPr="00935AA8">
        <w:rPr>
          <w:color w:val="0D0D0D" w:themeColor="text1" w:themeTint="F2"/>
          <w:spacing w:val="-4"/>
          <w:sz w:val="16"/>
          <w:szCs w:val="16"/>
        </w:rPr>
        <w:t xml:space="preserve"> kartám jich zde pracovalo dalších 70</w:t>
      </w:r>
      <w:r>
        <w:rPr>
          <w:color w:val="0D0D0D" w:themeColor="text1" w:themeTint="F2"/>
          <w:spacing w:val="-4"/>
          <w:sz w:val="16"/>
          <w:szCs w:val="16"/>
        </w:rPr>
        <w:t> tis.</w:t>
      </w:r>
      <w:r w:rsidRPr="00935AA8">
        <w:rPr>
          <w:color w:val="0D0D0D" w:themeColor="text1" w:themeTint="F2"/>
          <w:spacing w:val="-4"/>
          <w:sz w:val="16"/>
          <w:szCs w:val="16"/>
        </w:rPr>
        <w:t xml:space="preserve"> Ze všech zaměstnanců z Ukrajiny tvořili muži 58</w:t>
      </w:r>
      <w:r>
        <w:rPr>
          <w:color w:val="0D0D0D" w:themeColor="text1" w:themeTint="F2"/>
          <w:spacing w:val="-4"/>
          <w:sz w:val="16"/>
          <w:szCs w:val="16"/>
        </w:rPr>
        <w:t> %</w:t>
      </w:r>
      <w:r w:rsidRPr="00935AA8">
        <w:rPr>
          <w:color w:val="0D0D0D" w:themeColor="text1" w:themeTint="F2"/>
          <w:spacing w:val="-4"/>
          <w:sz w:val="16"/>
          <w:szCs w:val="16"/>
        </w:rPr>
        <w:t>, nepatrně méně než u</w:t>
      </w:r>
      <w:r>
        <w:rPr>
          <w:color w:val="0D0D0D" w:themeColor="text1" w:themeTint="F2"/>
          <w:spacing w:val="-4"/>
          <w:sz w:val="16"/>
          <w:szCs w:val="16"/>
        </w:rPr>
        <w:t> </w:t>
      </w:r>
      <w:r w:rsidRPr="00935AA8">
        <w:rPr>
          <w:color w:val="0D0D0D" w:themeColor="text1" w:themeTint="F2"/>
          <w:spacing w:val="-4"/>
          <w:sz w:val="16"/>
          <w:szCs w:val="16"/>
        </w:rPr>
        <w:t>všech zahraničních zaměstnanců v </w:t>
      </w:r>
      <w:r>
        <w:rPr>
          <w:color w:val="0D0D0D" w:themeColor="text1" w:themeTint="F2"/>
          <w:spacing w:val="-4"/>
          <w:sz w:val="16"/>
          <w:szCs w:val="16"/>
        </w:rPr>
        <w:t>Česku</w:t>
      </w:r>
      <w:r w:rsidRPr="00935AA8">
        <w:rPr>
          <w:color w:val="0D0D0D" w:themeColor="text1" w:themeTint="F2"/>
          <w:spacing w:val="-4"/>
          <w:sz w:val="16"/>
          <w:szCs w:val="16"/>
        </w:rPr>
        <w:t xml:space="preserve"> (62</w:t>
      </w:r>
      <w:r>
        <w:rPr>
          <w:color w:val="0D0D0D" w:themeColor="text1" w:themeTint="F2"/>
          <w:spacing w:val="-4"/>
          <w:sz w:val="16"/>
          <w:szCs w:val="16"/>
        </w:rPr>
        <w:t> %</w:t>
      </w:r>
      <w:r w:rsidRPr="00935AA8">
        <w:rPr>
          <w:color w:val="0D0D0D" w:themeColor="text1" w:themeTint="F2"/>
          <w:spacing w:val="-4"/>
          <w:sz w:val="16"/>
          <w:szCs w:val="16"/>
        </w:rPr>
        <w:t>).</w:t>
      </w:r>
    </w:p>
  </w:footnote>
  <w:footnote w:id="64">
    <w:p w14:paraId="35437EEC" w14:textId="77777777" w:rsidR="00CD7E9E" w:rsidRPr="004B230E" w:rsidRDefault="00CD7E9E" w:rsidP="00B01D0F">
      <w:pPr>
        <w:pStyle w:val="Textpoznpodarou"/>
        <w:jc w:val="both"/>
        <w:rPr>
          <w:sz w:val="16"/>
          <w:szCs w:val="16"/>
        </w:rPr>
      </w:pPr>
      <w:r w:rsidRPr="004B230E">
        <w:rPr>
          <w:rStyle w:val="Znakapoznpodarou"/>
          <w:sz w:val="16"/>
          <w:szCs w:val="16"/>
        </w:rPr>
        <w:footnoteRef/>
      </w:r>
      <w:r w:rsidRPr="004B230E">
        <w:rPr>
          <w:sz w:val="16"/>
          <w:szCs w:val="16"/>
        </w:rPr>
        <w:t xml:space="preserve"> </w:t>
      </w:r>
      <w:r>
        <w:rPr>
          <w:sz w:val="16"/>
          <w:szCs w:val="16"/>
        </w:rPr>
        <w:t xml:space="preserve">Míra </w:t>
      </w:r>
      <w:r>
        <w:rPr>
          <w:spacing w:val="2"/>
          <w:sz w:val="16"/>
          <w:szCs w:val="16"/>
        </w:rPr>
        <w:t>z</w:t>
      </w:r>
      <w:r w:rsidRPr="004B230E">
        <w:rPr>
          <w:spacing w:val="2"/>
          <w:sz w:val="16"/>
          <w:szCs w:val="16"/>
        </w:rPr>
        <w:t>aměstnanost</w:t>
      </w:r>
      <w:r>
        <w:rPr>
          <w:spacing w:val="2"/>
          <w:sz w:val="16"/>
          <w:szCs w:val="16"/>
        </w:rPr>
        <w:t>i</w:t>
      </w:r>
      <w:r w:rsidRPr="004B230E">
        <w:rPr>
          <w:spacing w:val="2"/>
          <w:sz w:val="16"/>
          <w:szCs w:val="16"/>
        </w:rPr>
        <w:t xml:space="preserve"> mužů v produktivním věku byla v ČR mezi unijními členy třetí nejvyšší – po Nizozemsku (84,8</w:t>
      </w:r>
      <w:r>
        <w:rPr>
          <w:spacing w:val="2"/>
          <w:sz w:val="16"/>
          <w:szCs w:val="16"/>
        </w:rPr>
        <w:t> %</w:t>
      </w:r>
      <w:r w:rsidRPr="004B230E">
        <w:rPr>
          <w:spacing w:val="2"/>
          <w:sz w:val="16"/>
          <w:szCs w:val="16"/>
        </w:rPr>
        <w:t>) a Maltě (</w:t>
      </w:r>
      <w:r>
        <w:rPr>
          <w:spacing w:val="2"/>
          <w:sz w:val="16"/>
          <w:szCs w:val="16"/>
        </w:rPr>
        <w:t>83 </w:t>
      </w:r>
      <w:r w:rsidRPr="004B230E">
        <w:rPr>
          <w:spacing w:val="2"/>
          <w:sz w:val="16"/>
          <w:szCs w:val="16"/>
        </w:rPr>
        <w:t>%). U</w:t>
      </w:r>
      <w:r>
        <w:rPr>
          <w:spacing w:val="2"/>
          <w:sz w:val="16"/>
          <w:szCs w:val="16"/>
        </w:rPr>
        <w:t> </w:t>
      </w:r>
      <w:r w:rsidRPr="004B230E">
        <w:rPr>
          <w:spacing w:val="2"/>
          <w:sz w:val="16"/>
          <w:szCs w:val="16"/>
        </w:rPr>
        <w:t>žen dosáhlo vyšší míry třináct zemí – vedle Nizozemska (78,3</w:t>
      </w:r>
      <w:r>
        <w:rPr>
          <w:spacing w:val="2"/>
          <w:sz w:val="16"/>
          <w:szCs w:val="16"/>
        </w:rPr>
        <w:t> %</w:t>
      </w:r>
      <w:r w:rsidRPr="004B230E">
        <w:rPr>
          <w:spacing w:val="2"/>
          <w:sz w:val="16"/>
          <w:szCs w:val="16"/>
        </w:rPr>
        <w:t>) také např</w:t>
      </w:r>
      <w:r>
        <w:rPr>
          <w:spacing w:val="2"/>
          <w:sz w:val="16"/>
          <w:szCs w:val="16"/>
        </w:rPr>
        <w:t>íklad</w:t>
      </w:r>
      <w:r w:rsidRPr="004B230E">
        <w:rPr>
          <w:spacing w:val="2"/>
          <w:sz w:val="16"/>
          <w:szCs w:val="16"/>
        </w:rPr>
        <w:t xml:space="preserve"> všechny pobaltské státy, Maďarsko či Slovinsko. </w:t>
      </w:r>
      <w:r>
        <w:rPr>
          <w:spacing w:val="2"/>
          <w:sz w:val="16"/>
          <w:szCs w:val="16"/>
        </w:rPr>
        <w:t xml:space="preserve">Nízkou zaměstnanost vykazovala tradičně většina států jižní Evropy – především Itálie (muži 68,5 %, ženy 49,9 %). </w:t>
      </w:r>
      <w:r w:rsidRPr="004B230E">
        <w:rPr>
          <w:spacing w:val="2"/>
          <w:sz w:val="16"/>
          <w:szCs w:val="16"/>
        </w:rPr>
        <w:t xml:space="preserve">Celková míra zaměstnanosti </w:t>
      </w:r>
      <w:r>
        <w:rPr>
          <w:spacing w:val="2"/>
          <w:sz w:val="16"/>
          <w:szCs w:val="16"/>
        </w:rPr>
        <w:t xml:space="preserve">osob </w:t>
      </w:r>
      <w:r w:rsidRPr="004B230E">
        <w:rPr>
          <w:spacing w:val="2"/>
          <w:sz w:val="16"/>
          <w:szCs w:val="16"/>
        </w:rPr>
        <w:t>ve věku 55</w:t>
      </w:r>
      <w:r>
        <w:rPr>
          <w:spacing w:val="2"/>
          <w:sz w:val="16"/>
          <w:szCs w:val="16"/>
        </w:rPr>
        <w:t> </w:t>
      </w:r>
      <w:r w:rsidRPr="004B230E">
        <w:rPr>
          <w:spacing w:val="2"/>
          <w:sz w:val="16"/>
          <w:szCs w:val="16"/>
        </w:rPr>
        <w:t>až 64</w:t>
      </w:r>
      <w:r>
        <w:rPr>
          <w:spacing w:val="2"/>
          <w:sz w:val="16"/>
          <w:szCs w:val="16"/>
        </w:rPr>
        <w:t> </w:t>
      </w:r>
      <w:r w:rsidRPr="004B230E">
        <w:rPr>
          <w:spacing w:val="2"/>
          <w:sz w:val="16"/>
          <w:szCs w:val="16"/>
        </w:rPr>
        <w:t>let v ČR (70,8</w:t>
      </w:r>
      <w:r>
        <w:rPr>
          <w:spacing w:val="2"/>
          <w:sz w:val="16"/>
          <w:szCs w:val="16"/>
        </w:rPr>
        <w:t> %</w:t>
      </w:r>
      <w:r w:rsidRPr="004B230E">
        <w:rPr>
          <w:spacing w:val="2"/>
          <w:sz w:val="16"/>
          <w:szCs w:val="16"/>
        </w:rPr>
        <w:t>) byla v rámci států EU šestá nejvyšší, nad úrovní Unie se pohybovala i</w:t>
      </w:r>
      <w:r>
        <w:rPr>
          <w:spacing w:val="2"/>
          <w:sz w:val="16"/>
          <w:szCs w:val="16"/>
        </w:rPr>
        <w:t> </w:t>
      </w:r>
      <w:r w:rsidRPr="004B230E">
        <w:rPr>
          <w:spacing w:val="2"/>
          <w:sz w:val="16"/>
          <w:szCs w:val="16"/>
        </w:rPr>
        <w:t>u</w:t>
      </w:r>
      <w:r>
        <w:rPr>
          <w:spacing w:val="2"/>
          <w:sz w:val="16"/>
          <w:szCs w:val="16"/>
        </w:rPr>
        <w:t> </w:t>
      </w:r>
      <w:r w:rsidRPr="004B230E">
        <w:rPr>
          <w:spacing w:val="2"/>
          <w:sz w:val="16"/>
          <w:szCs w:val="16"/>
        </w:rPr>
        <w:t>osob ve věku 65</w:t>
      </w:r>
      <w:r>
        <w:rPr>
          <w:spacing w:val="2"/>
          <w:sz w:val="16"/>
          <w:szCs w:val="16"/>
        </w:rPr>
        <w:t> </w:t>
      </w:r>
      <w:r w:rsidRPr="004B230E">
        <w:rPr>
          <w:spacing w:val="2"/>
          <w:sz w:val="16"/>
          <w:szCs w:val="16"/>
        </w:rPr>
        <w:t>až 74</w:t>
      </w:r>
      <w:r>
        <w:rPr>
          <w:spacing w:val="2"/>
          <w:sz w:val="16"/>
          <w:szCs w:val="16"/>
        </w:rPr>
        <w:t> </w:t>
      </w:r>
      <w:r w:rsidRPr="004B230E">
        <w:rPr>
          <w:spacing w:val="2"/>
          <w:sz w:val="16"/>
          <w:szCs w:val="16"/>
        </w:rPr>
        <w:t>let, naopak u</w:t>
      </w:r>
      <w:r>
        <w:rPr>
          <w:spacing w:val="2"/>
          <w:sz w:val="16"/>
          <w:szCs w:val="16"/>
        </w:rPr>
        <w:t> </w:t>
      </w:r>
      <w:r w:rsidRPr="004B230E">
        <w:rPr>
          <w:spacing w:val="2"/>
          <w:sz w:val="16"/>
          <w:szCs w:val="16"/>
        </w:rPr>
        <w:t>mladých do 25</w:t>
      </w:r>
      <w:r>
        <w:rPr>
          <w:spacing w:val="2"/>
          <w:sz w:val="16"/>
          <w:szCs w:val="16"/>
        </w:rPr>
        <w:t> </w:t>
      </w:r>
      <w:r w:rsidRPr="004B230E">
        <w:rPr>
          <w:spacing w:val="2"/>
          <w:sz w:val="16"/>
          <w:szCs w:val="16"/>
        </w:rPr>
        <w:t>let (25,8</w:t>
      </w:r>
      <w:r>
        <w:rPr>
          <w:spacing w:val="2"/>
          <w:sz w:val="16"/>
          <w:szCs w:val="16"/>
        </w:rPr>
        <w:t> %</w:t>
      </w:r>
      <w:r w:rsidRPr="004B230E">
        <w:rPr>
          <w:spacing w:val="2"/>
          <w:sz w:val="16"/>
          <w:szCs w:val="16"/>
        </w:rPr>
        <w:t>) za úrovní EU (34,5</w:t>
      </w:r>
      <w:r>
        <w:rPr>
          <w:spacing w:val="2"/>
          <w:sz w:val="16"/>
          <w:szCs w:val="16"/>
        </w:rPr>
        <w:t> %</w:t>
      </w:r>
      <w:r w:rsidRPr="004B230E">
        <w:rPr>
          <w:spacing w:val="2"/>
          <w:sz w:val="16"/>
          <w:szCs w:val="16"/>
        </w:rPr>
        <w:t>) citelně zaostávala.</w:t>
      </w:r>
    </w:p>
  </w:footnote>
  <w:footnote w:id="65">
    <w:p w14:paraId="7968F94D" w14:textId="77777777" w:rsidR="00CD7E9E" w:rsidRPr="001907B2" w:rsidRDefault="00CD7E9E" w:rsidP="00B01D0F">
      <w:pPr>
        <w:pStyle w:val="Textpoznpodarou"/>
        <w:jc w:val="both"/>
        <w:rPr>
          <w:sz w:val="16"/>
          <w:szCs w:val="16"/>
        </w:rPr>
      </w:pPr>
      <w:r w:rsidRPr="001907B2">
        <w:rPr>
          <w:rStyle w:val="Znakapoznpodarou"/>
          <w:sz w:val="16"/>
          <w:szCs w:val="16"/>
        </w:rPr>
        <w:footnoteRef/>
      </w:r>
      <w:r w:rsidRPr="001907B2">
        <w:rPr>
          <w:sz w:val="16"/>
          <w:szCs w:val="16"/>
        </w:rPr>
        <w:t xml:space="preserve"> V průmyslu byl tento problém zvlášť palčivý ve výrobě stavebních materiálů a</w:t>
      </w:r>
      <w:r>
        <w:rPr>
          <w:sz w:val="16"/>
          <w:szCs w:val="16"/>
        </w:rPr>
        <w:t> </w:t>
      </w:r>
      <w:r w:rsidRPr="001907B2">
        <w:rPr>
          <w:sz w:val="16"/>
          <w:szCs w:val="16"/>
        </w:rPr>
        <w:t>také v mnohých menších zpracovatelských oborech. Ve službách analogicky zejména v pozemní dopravě, skladování, poštovních a</w:t>
      </w:r>
      <w:r>
        <w:rPr>
          <w:sz w:val="16"/>
          <w:szCs w:val="16"/>
        </w:rPr>
        <w:t> </w:t>
      </w:r>
      <w:r w:rsidRPr="001907B2">
        <w:rPr>
          <w:sz w:val="16"/>
          <w:szCs w:val="16"/>
        </w:rPr>
        <w:t>kurýrních činnostech, architektonických a</w:t>
      </w:r>
      <w:r>
        <w:rPr>
          <w:sz w:val="16"/>
          <w:szCs w:val="16"/>
        </w:rPr>
        <w:t> </w:t>
      </w:r>
      <w:r w:rsidRPr="001907B2">
        <w:rPr>
          <w:sz w:val="16"/>
          <w:szCs w:val="16"/>
        </w:rPr>
        <w:t>inženýrských činnostech či v</w:t>
      </w:r>
      <w:r>
        <w:rPr>
          <w:sz w:val="16"/>
          <w:szCs w:val="16"/>
        </w:rPr>
        <w:t> </w:t>
      </w:r>
      <w:r w:rsidRPr="001907B2">
        <w:rPr>
          <w:sz w:val="16"/>
          <w:szCs w:val="16"/>
        </w:rPr>
        <w:t>aktivitách souvisejících se</w:t>
      </w:r>
      <w:r>
        <w:rPr>
          <w:sz w:val="16"/>
          <w:szCs w:val="16"/>
        </w:rPr>
        <w:t xml:space="preserve"> </w:t>
      </w:r>
      <w:r w:rsidRPr="001907B2">
        <w:rPr>
          <w:sz w:val="16"/>
          <w:szCs w:val="16"/>
        </w:rPr>
        <w:t>stavbami a</w:t>
      </w:r>
      <w:r>
        <w:rPr>
          <w:sz w:val="16"/>
          <w:szCs w:val="16"/>
        </w:rPr>
        <w:t> </w:t>
      </w:r>
      <w:r w:rsidRPr="001907B2">
        <w:rPr>
          <w:sz w:val="16"/>
          <w:szCs w:val="16"/>
        </w:rPr>
        <w:t>úpravou krajiny.</w:t>
      </w:r>
    </w:p>
  </w:footnote>
  <w:footnote w:id="66">
    <w:p w14:paraId="32D2CB3B" w14:textId="77777777" w:rsidR="00CD7E9E" w:rsidRPr="004E68B1" w:rsidRDefault="00CD7E9E" w:rsidP="00B01D0F">
      <w:pPr>
        <w:pStyle w:val="Textpoznpodarou"/>
        <w:jc w:val="both"/>
        <w:rPr>
          <w:spacing w:val="-3"/>
          <w:sz w:val="16"/>
          <w:szCs w:val="16"/>
        </w:rPr>
      </w:pPr>
      <w:r w:rsidRPr="004E68B1">
        <w:rPr>
          <w:rStyle w:val="Znakapoznpodarou"/>
          <w:spacing w:val="-3"/>
          <w:sz w:val="16"/>
          <w:szCs w:val="16"/>
        </w:rPr>
        <w:footnoteRef/>
      </w:r>
      <w:r>
        <w:rPr>
          <w:spacing w:val="-3"/>
          <w:sz w:val="16"/>
          <w:szCs w:val="16"/>
        </w:rPr>
        <w:t xml:space="preserve"> Není-li uvedeno jinak, vycházejí v</w:t>
      </w:r>
      <w:r w:rsidRPr="004E68B1">
        <w:rPr>
          <w:spacing w:val="-3"/>
          <w:sz w:val="16"/>
          <w:szCs w:val="16"/>
        </w:rPr>
        <w:t>šechny údaje o </w:t>
      </w:r>
      <w:r>
        <w:rPr>
          <w:spacing w:val="-3"/>
          <w:sz w:val="16"/>
          <w:szCs w:val="16"/>
        </w:rPr>
        <w:t xml:space="preserve">mírách </w:t>
      </w:r>
      <w:r w:rsidRPr="004E68B1">
        <w:rPr>
          <w:spacing w:val="-3"/>
          <w:sz w:val="16"/>
          <w:szCs w:val="16"/>
        </w:rPr>
        <w:t>nezaměstnanosti z</w:t>
      </w:r>
      <w:r>
        <w:rPr>
          <w:spacing w:val="-3"/>
          <w:sz w:val="16"/>
          <w:szCs w:val="16"/>
        </w:rPr>
        <w:t> VŠPS (dle metodiky ILO) a jsou očištěny o sezónní vlivy.</w:t>
      </w:r>
    </w:p>
  </w:footnote>
  <w:footnote w:id="67">
    <w:p w14:paraId="5BCB6B07" w14:textId="77777777" w:rsidR="00CD7E9E" w:rsidRPr="00041ABB" w:rsidRDefault="00CD7E9E" w:rsidP="00B01D0F">
      <w:pPr>
        <w:pStyle w:val="Textpoznpodarou"/>
        <w:jc w:val="both"/>
        <w:rPr>
          <w:sz w:val="16"/>
          <w:szCs w:val="16"/>
        </w:rPr>
      </w:pPr>
      <w:r w:rsidRPr="00041ABB">
        <w:rPr>
          <w:rStyle w:val="Znakapoznpodarou"/>
          <w:sz w:val="16"/>
          <w:szCs w:val="16"/>
        </w:rPr>
        <w:footnoteRef/>
      </w:r>
      <w:r w:rsidRPr="00041ABB">
        <w:rPr>
          <w:sz w:val="16"/>
          <w:szCs w:val="16"/>
        </w:rPr>
        <w:t xml:space="preserve"> Zatímco v 1.</w:t>
      </w:r>
      <w:r>
        <w:rPr>
          <w:sz w:val="16"/>
          <w:szCs w:val="16"/>
        </w:rPr>
        <w:t> čtvrtlet</w:t>
      </w:r>
      <w:r w:rsidRPr="00041ABB">
        <w:rPr>
          <w:sz w:val="16"/>
          <w:szCs w:val="16"/>
        </w:rPr>
        <w:t xml:space="preserve">í 2019 pracovalo </w:t>
      </w:r>
      <w:r>
        <w:rPr>
          <w:sz w:val="16"/>
          <w:szCs w:val="16"/>
        </w:rPr>
        <w:t>na zkrácené úvazky 12,3</w:t>
      </w:r>
      <w:r w:rsidRPr="00041ABB">
        <w:rPr>
          <w:sz w:val="16"/>
          <w:szCs w:val="16"/>
        </w:rPr>
        <w:t> % žen ve věku 15</w:t>
      </w:r>
      <w:r>
        <w:rPr>
          <w:sz w:val="16"/>
          <w:szCs w:val="16"/>
        </w:rPr>
        <w:t> </w:t>
      </w:r>
      <w:r w:rsidRPr="00041ABB">
        <w:rPr>
          <w:sz w:val="16"/>
          <w:szCs w:val="16"/>
        </w:rPr>
        <w:t>a</w:t>
      </w:r>
      <w:r>
        <w:rPr>
          <w:sz w:val="16"/>
          <w:szCs w:val="16"/>
        </w:rPr>
        <w:t> více let, ve 3. čtvrtletí 2021 jen 10,7 %</w:t>
      </w:r>
      <w:r w:rsidRPr="00041ABB">
        <w:rPr>
          <w:sz w:val="16"/>
          <w:szCs w:val="16"/>
        </w:rPr>
        <w:t xml:space="preserve">. </w:t>
      </w:r>
      <w:r>
        <w:rPr>
          <w:sz w:val="16"/>
          <w:szCs w:val="16"/>
        </w:rPr>
        <w:t xml:space="preserve">Během loňského léta se ale zlepšila situace u žen </w:t>
      </w:r>
      <w:r w:rsidRPr="00041ABB">
        <w:rPr>
          <w:sz w:val="16"/>
          <w:szCs w:val="16"/>
        </w:rPr>
        <w:t xml:space="preserve">ve skupině </w:t>
      </w:r>
      <w:r>
        <w:rPr>
          <w:sz w:val="16"/>
          <w:szCs w:val="16"/>
        </w:rPr>
        <w:t>15 až 29 let, váha zkrácených úvazků zde dosáhla 14,1 % (úrovně blízké z let 2018 a 2019). To vedlo během roku 2021 i k navýšení míry zaměstnanosti mladých žen. Oproti tomu u mužů i žen ve věku 65 až 74 let míra zaměstnanosti meziročně stagnovala a procentní zastoupení zkrácených úvazků u pracujících se snižovalo.</w:t>
      </w:r>
    </w:p>
  </w:footnote>
  <w:footnote w:id="68">
    <w:p w14:paraId="63830BC8" w14:textId="77777777" w:rsidR="00CD7E9E" w:rsidRPr="00F10253" w:rsidRDefault="00CD7E9E" w:rsidP="00B01D0F">
      <w:pPr>
        <w:pStyle w:val="Textpoznpodarou"/>
        <w:jc w:val="both"/>
        <w:rPr>
          <w:sz w:val="16"/>
          <w:szCs w:val="16"/>
        </w:rPr>
      </w:pPr>
      <w:r w:rsidRPr="00F10253">
        <w:rPr>
          <w:rStyle w:val="Znakapoznpodarou"/>
          <w:sz w:val="16"/>
          <w:szCs w:val="16"/>
        </w:rPr>
        <w:footnoteRef/>
      </w:r>
      <w:r w:rsidRPr="00F10253">
        <w:rPr>
          <w:sz w:val="16"/>
          <w:szCs w:val="16"/>
        </w:rPr>
        <w:t xml:space="preserve"> </w:t>
      </w:r>
      <w:r w:rsidRPr="00F10253">
        <w:rPr>
          <w:color w:val="0D0D0D" w:themeColor="text1" w:themeTint="F2"/>
          <w:spacing w:val="-4"/>
          <w:sz w:val="16"/>
          <w:szCs w:val="16"/>
        </w:rPr>
        <w:t xml:space="preserve">V listopadu se ovšem v souvislosti s razantním zhoršením epidemické situace opět </w:t>
      </w:r>
      <w:r>
        <w:rPr>
          <w:color w:val="0D0D0D" w:themeColor="text1" w:themeTint="F2"/>
          <w:spacing w:val="-4"/>
          <w:sz w:val="16"/>
          <w:szCs w:val="16"/>
        </w:rPr>
        <w:t xml:space="preserve">krátkodobě </w:t>
      </w:r>
      <w:r w:rsidRPr="00F10253">
        <w:rPr>
          <w:color w:val="0D0D0D" w:themeColor="text1" w:themeTint="F2"/>
          <w:spacing w:val="-4"/>
          <w:sz w:val="16"/>
          <w:szCs w:val="16"/>
        </w:rPr>
        <w:t>navýšily</w:t>
      </w:r>
      <w:r>
        <w:rPr>
          <w:color w:val="0D0D0D" w:themeColor="text1" w:themeTint="F2"/>
          <w:spacing w:val="-4"/>
          <w:sz w:val="16"/>
          <w:szCs w:val="16"/>
        </w:rPr>
        <w:t>, úrovně z počátku roku ale zdaleka nedosáhly.</w:t>
      </w:r>
    </w:p>
  </w:footnote>
  <w:footnote w:id="69">
    <w:p w14:paraId="3567EE92" w14:textId="77777777" w:rsidR="00CD7E9E" w:rsidRPr="004A4C7D" w:rsidRDefault="00CD7E9E" w:rsidP="00B01D0F">
      <w:pPr>
        <w:pStyle w:val="Textpoznpodarou"/>
        <w:jc w:val="both"/>
        <w:rPr>
          <w:rFonts w:cs="Arial"/>
          <w:sz w:val="16"/>
          <w:szCs w:val="16"/>
          <w:lang w:eastAsia="en-US"/>
        </w:rPr>
      </w:pPr>
      <w:r w:rsidRPr="008E23D8">
        <w:rPr>
          <w:rStyle w:val="Znakapoznpodarou"/>
          <w:sz w:val="16"/>
          <w:szCs w:val="16"/>
        </w:rPr>
        <w:footnoteRef/>
      </w:r>
      <w:r w:rsidRPr="008E23D8">
        <w:rPr>
          <w:sz w:val="16"/>
          <w:szCs w:val="16"/>
        </w:rPr>
        <w:t xml:space="preserve"> </w:t>
      </w:r>
      <w:r w:rsidRPr="008E23D8">
        <w:rPr>
          <w:color w:val="0D0D0D" w:themeColor="text1" w:themeTint="F2"/>
          <w:spacing w:val="-4"/>
          <w:sz w:val="16"/>
          <w:szCs w:val="16"/>
        </w:rPr>
        <w:t>Významná část míst ovšem zůstává dlouhodobě neobsazena, nelze je považovat za aktivní. Z volných pracovních míst nabízených na internetových stránkách úřadu práce v</w:t>
      </w:r>
      <w:r>
        <w:rPr>
          <w:color w:val="0D0D0D" w:themeColor="text1" w:themeTint="F2"/>
          <w:spacing w:val="-4"/>
          <w:sz w:val="16"/>
          <w:szCs w:val="16"/>
        </w:rPr>
        <w:t> </w:t>
      </w:r>
      <w:r w:rsidRPr="008E23D8">
        <w:rPr>
          <w:color w:val="0D0D0D" w:themeColor="text1" w:themeTint="F2"/>
          <w:spacing w:val="-4"/>
          <w:sz w:val="16"/>
          <w:szCs w:val="16"/>
        </w:rPr>
        <w:t xml:space="preserve">lednu 2022 </w:t>
      </w:r>
      <w:r>
        <w:rPr>
          <w:color w:val="0D0D0D" w:themeColor="text1" w:themeTint="F2"/>
          <w:spacing w:val="-4"/>
          <w:sz w:val="16"/>
          <w:szCs w:val="16"/>
        </w:rPr>
        <w:t>byla</w:t>
      </w:r>
      <w:r w:rsidRPr="008E23D8">
        <w:rPr>
          <w:color w:val="0D0D0D" w:themeColor="text1" w:themeTint="F2"/>
          <w:spacing w:val="-4"/>
          <w:sz w:val="16"/>
          <w:szCs w:val="16"/>
        </w:rPr>
        <w:t xml:space="preserve"> aktivních (nabídky, u</w:t>
      </w:r>
      <w:r>
        <w:rPr>
          <w:color w:val="0D0D0D" w:themeColor="text1" w:themeTint="F2"/>
          <w:spacing w:val="-4"/>
          <w:sz w:val="16"/>
          <w:szCs w:val="16"/>
        </w:rPr>
        <w:t> </w:t>
      </w:r>
      <w:r w:rsidRPr="008E23D8">
        <w:rPr>
          <w:color w:val="0D0D0D" w:themeColor="text1" w:themeTint="F2"/>
          <w:spacing w:val="-4"/>
          <w:sz w:val="16"/>
          <w:szCs w:val="16"/>
        </w:rPr>
        <w:t>nichž došlo k</w:t>
      </w:r>
      <w:r>
        <w:rPr>
          <w:color w:val="0D0D0D" w:themeColor="text1" w:themeTint="F2"/>
          <w:spacing w:val="-4"/>
          <w:sz w:val="16"/>
          <w:szCs w:val="16"/>
        </w:rPr>
        <w:t> </w:t>
      </w:r>
      <w:r w:rsidRPr="008E23D8">
        <w:rPr>
          <w:color w:val="0D0D0D" w:themeColor="text1" w:themeTint="F2"/>
          <w:spacing w:val="-4"/>
          <w:sz w:val="16"/>
          <w:szCs w:val="16"/>
        </w:rPr>
        <w:t>poslední změně po 1</w:t>
      </w:r>
      <w:r>
        <w:rPr>
          <w:color w:val="0D0D0D" w:themeColor="text1" w:themeTint="F2"/>
          <w:spacing w:val="-4"/>
          <w:sz w:val="16"/>
          <w:szCs w:val="16"/>
        </w:rPr>
        <w:t>. </w:t>
      </w:r>
      <w:r w:rsidRPr="008E23D8">
        <w:rPr>
          <w:color w:val="0D0D0D" w:themeColor="text1" w:themeTint="F2"/>
          <w:spacing w:val="-4"/>
          <w:sz w:val="16"/>
          <w:szCs w:val="16"/>
        </w:rPr>
        <w:t>červenci 2021 a</w:t>
      </w:r>
      <w:r>
        <w:rPr>
          <w:color w:val="0D0D0D" w:themeColor="text1" w:themeTint="F2"/>
          <w:spacing w:val="-4"/>
          <w:sz w:val="16"/>
          <w:szCs w:val="16"/>
        </w:rPr>
        <w:t> </w:t>
      </w:r>
      <w:r w:rsidRPr="008E23D8">
        <w:rPr>
          <w:color w:val="0D0D0D" w:themeColor="text1" w:themeTint="F2"/>
          <w:spacing w:val="-4"/>
          <w:sz w:val="16"/>
          <w:szCs w:val="16"/>
        </w:rPr>
        <w:t>datum nástupu bylo 1</w:t>
      </w:r>
      <w:r>
        <w:rPr>
          <w:color w:val="0D0D0D" w:themeColor="text1" w:themeTint="F2"/>
          <w:spacing w:val="-4"/>
          <w:sz w:val="16"/>
          <w:szCs w:val="16"/>
        </w:rPr>
        <w:t>. </w:t>
      </w:r>
      <w:r w:rsidRPr="008E23D8">
        <w:rPr>
          <w:color w:val="0D0D0D" w:themeColor="text1" w:themeTint="F2"/>
          <w:spacing w:val="-4"/>
          <w:sz w:val="16"/>
          <w:szCs w:val="16"/>
        </w:rPr>
        <w:t>října 2021 nebo později) zhruba jen polovina.</w:t>
      </w:r>
    </w:p>
  </w:footnote>
  <w:footnote w:id="70">
    <w:p w14:paraId="6F3814A1" w14:textId="77777777" w:rsidR="00CD7E9E" w:rsidRPr="00B33B76" w:rsidRDefault="00CD7E9E" w:rsidP="00B01D0F">
      <w:pPr>
        <w:pStyle w:val="Textpoznpodarou"/>
        <w:jc w:val="both"/>
        <w:rPr>
          <w:sz w:val="16"/>
          <w:szCs w:val="16"/>
        </w:rPr>
      </w:pPr>
      <w:r w:rsidRPr="00B33B76">
        <w:rPr>
          <w:rStyle w:val="Znakapoznpodarou"/>
          <w:sz w:val="16"/>
          <w:szCs w:val="16"/>
        </w:rPr>
        <w:footnoteRef/>
      </w:r>
      <w:r w:rsidRPr="00B33B76">
        <w:rPr>
          <w:sz w:val="16"/>
          <w:szCs w:val="16"/>
        </w:rPr>
        <w:t xml:space="preserve"> Jednalo se většinou o</w:t>
      </w:r>
      <w:r>
        <w:rPr>
          <w:sz w:val="16"/>
          <w:szCs w:val="16"/>
        </w:rPr>
        <w:t> </w:t>
      </w:r>
      <w:r w:rsidRPr="00B33B76">
        <w:rPr>
          <w:sz w:val="16"/>
          <w:szCs w:val="16"/>
        </w:rPr>
        <w:t>okresy středních, jižních a</w:t>
      </w:r>
      <w:r>
        <w:rPr>
          <w:sz w:val="16"/>
          <w:szCs w:val="16"/>
        </w:rPr>
        <w:t> </w:t>
      </w:r>
      <w:r w:rsidRPr="00B33B76">
        <w:rPr>
          <w:sz w:val="16"/>
          <w:szCs w:val="16"/>
        </w:rPr>
        <w:t xml:space="preserve">západních Čech. </w:t>
      </w:r>
      <w:r>
        <w:rPr>
          <w:sz w:val="16"/>
          <w:szCs w:val="16"/>
        </w:rPr>
        <w:t>Nejvyšší počet uchazečů o práci připadající na volné místo hlásily okresy Karviná (10), Bruntál, Ústí nad Labem a Most (shodně 5).</w:t>
      </w:r>
    </w:p>
  </w:footnote>
  <w:footnote w:id="71">
    <w:p w14:paraId="557C4A2A" w14:textId="77777777" w:rsidR="00CD7E9E" w:rsidRPr="00F464CB" w:rsidRDefault="00CD7E9E" w:rsidP="00B01D0F">
      <w:pPr>
        <w:pStyle w:val="Textpoznpodarou"/>
        <w:rPr>
          <w:sz w:val="16"/>
          <w:szCs w:val="16"/>
        </w:rPr>
      </w:pPr>
      <w:r w:rsidRPr="00F464CB">
        <w:rPr>
          <w:rStyle w:val="Znakapoznpodarou"/>
          <w:sz w:val="16"/>
          <w:szCs w:val="16"/>
        </w:rPr>
        <w:footnoteRef/>
      </w:r>
      <w:r w:rsidRPr="00F464CB">
        <w:rPr>
          <w:sz w:val="16"/>
          <w:szCs w:val="16"/>
        </w:rPr>
        <w:t xml:space="preserve"> Důvodem </w:t>
      </w:r>
      <w:r>
        <w:rPr>
          <w:sz w:val="16"/>
          <w:szCs w:val="16"/>
        </w:rPr>
        <w:t>byla výplata</w:t>
      </w:r>
      <w:r w:rsidRPr="00F464CB">
        <w:rPr>
          <w:sz w:val="16"/>
          <w:szCs w:val="16"/>
        </w:rPr>
        <w:t xml:space="preserve"> mimořádných odměn za první pandemickou vlnu (z</w:t>
      </w:r>
      <w:r>
        <w:rPr>
          <w:sz w:val="16"/>
          <w:szCs w:val="16"/>
        </w:rPr>
        <w:t> </w:t>
      </w:r>
      <w:r w:rsidRPr="00F464CB">
        <w:rPr>
          <w:sz w:val="16"/>
          <w:szCs w:val="16"/>
        </w:rPr>
        <w:t>jara 2020).</w:t>
      </w:r>
    </w:p>
  </w:footnote>
  <w:footnote w:id="72">
    <w:p w14:paraId="1C3619D5" w14:textId="77777777" w:rsidR="00CD7E9E" w:rsidRPr="00714EFE" w:rsidRDefault="00CD7E9E" w:rsidP="00B01D0F">
      <w:pPr>
        <w:pStyle w:val="Textpoznpodarou"/>
        <w:jc w:val="both"/>
        <w:rPr>
          <w:spacing w:val="-6"/>
          <w:sz w:val="16"/>
          <w:szCs w:val="16"/>
        </w:rPr>
      </w:pPr>
      <w:r w:rsidRPr="00714EFE">
        <w:rPr>
          <w:rStyle w:val="Znakapoznpodarou"/>
          <w:spacing w:val="-6"/>
          <w:sz w:val="16"/>
          <w:szCs w:val="16"/>
        </w:rPr>
        <w:footnoteRef/>
      </w:r>
      <w:r w:rsidRPr="00714EFE">
        <w:rPr>
          <w:spacing w:val="-6"/>
          <w:sz w:val="16"/>
          <w:szCs w:val="16"/>
        </w:rPr>
        <w:t xml:space="preserve"> V tomto malém odvětví bývá vývoj mezd i</w:t>
      </w:r>
      <w:r>
        <w:rPr>
          <w:spacing w:val="-6"/>
          <w:sz w:val="16"/>
          <w:szCs w:val="16"/>
        </w:rPr>
        <w:t> </w:t>
      </w:r>
      <w:r w:rsidRPr="00714EFE">
        <w:rPr>
          <w:spacing w:val="-6"/>
          <w:sz w:val="16"/>
          <w:szCs w:val="16"/>
        </w:rPr>
        <w:t xml:space="preserve">zaměstnanosti </w:t>
      </w:r>
      <w:r>
        <w:rPr>
          <w:spacing w:val="-6"/>
          <w:sz w:val="16"/>
          <w:szCs w:val="16"/>
        </w:rPr>
        <w:t>volatilní.</w:t>
      </w:r>
      <w:r w:rsidRPr="00714EFE">
        <w:rPr>
          <w:spacing w:val="-6"/>
          <w:sz w:val="16"/>
          <w:szCs w:val="16"/>
        </w:rPr>
        <w:t xml:space="preserve"> Výši výdělků ovlivnil </w:t>
      </w:r>
      <w:r>
        <w:rPr>
          <w:spacing w:val="-6"/>
          <w:sz w:val="16"/>
          <w:szCs w:val="16"/>
        </w:rPr>
        <w:t>(hlavně</w:t>
      </w:r>
      <w:r w:rsidRPr="00714EFE">
        <w:rPr>
          <w:spacing w:val="-6"/>
          <w:sz w:val="16"/>
          <w:szCs w:val="16"/>
        </w:rPr>
        <w:t xml:space="preserve"> ve 4.</w:t>
      </w:r>
      <w:r>
        <w:rPr>
          <w:spacing w:val="-6"/>
          <w:sz w:val="16"/>
          <w:szCs w:val="16"/>
        </w:rPr>
        <w:t> čtvrtlet</w:t>
      </w:r>
      <w:r w:rsidRPr="00714EFE">
        <w:rPr>
          <w:spacing w:val="-6"/>
          <w:sz w:val="16"/>
          <w:szCs w:val="16"/>
        </w:rPr>
        <w:t>í) svižný růst počtu odpracovaných hodin.</w:t>
      </w:r>
    </w:p>
  </w:footnote>
  <w:footnote w:id="73">
    <w:p w14:paraId="6289BB6C" w14:textId="77777777" w:rsidR="00CD7E9E" w:rsidRPr="00DF65BA" w:rsidRDefault="00CD7E9E" w:rsidP="00B01D0F">
      <w:pPr>
        <w:pStyle w:val="Textpoznpodarou"/>
        <w:rPr>
          <w:sz w:val="16"/>
          <w:szCs w:val="16"/>
        </w:rPr>
      </w:pPr>
      <w:r w:rsidRPr="00DF65BA">
        <w:rPr>
          <w:rStyle w:val="Znakapoznpodarou"/>
          <w:sz w:val="16"/>
          <w:szCs w:val="16"/>
        </w:rPr>
        <w:footnoteRef/>
      </w:r>
      <w:r w:rsidRPr="00DF65BA">
        <w:rPr>
          <w:sz w:val="16"/>
          <w:szCs w:val="16"/>
        </w:rPr>
        <w:t xml:space="preserve"> s více než 200</w:t>
      </w:r>
      <w:r>
        <w:rPr>
          <w:sz w:val="16"/>
          <w:szCs w:val="16"/>
        </w:rPr>
        <w:t> tis.</w:t>
      </w:r>
      <w:r w:rsidRPr="00DF65BA">
        <w:rPr>
          <w:sz w:val="16"/>
          <w:szCs w:val="16"/>
        </w:rPr>
        <w:t xml:space="preserve"> zaměstnanc</w:t>
      </w:r>
      <w:r>
        <w:rPr>
          <w:sz w:val="16"/>
          <w:szCs w:val="16"/>
        </w:rPr>
        <w:t>i</w:t>
      </w:r>
    </w:p>
  </w:footnote>
  <w:footnote w:id="74">
    <w:p w14:paraId="3D4072D8" w14:textId="77777777" w:rsidR="00CD7E9E" w:rsidRDefault="00CD7E9E" w:rsidP="000200BE">
      <w:pPr>
        <w:pStyle w:val="Textpoznpodarou"/>
        <w:rPr>
          <w:sz w:val="16"/>
          <w:szCs w:val="16"/>
        </w:rPr>
      </w:pPr>
      <w:r>
        <w:rPr>
          <w:rStyle w:val="Znakapoznpodarou"/>
          <w:sz w:val="16"/>
          <w:szCs w:val="16"/>
        </w:rPr>
        <w:footnoteRef/>
      </w:r>
      <w:r>
        <w:rPr>
          <w:sz w:val="16"/>
          <w:szCs w:val="16"/>
        </w:rPr>
        <w:t xml:space="preserve"> Není-li uvedeno jinak, je zdrojem údajů v této kapitole databáze ARAD České národní banky. Hodnoty směnných kurzů jsou rovněž převzaty od ČNB.</w:t>
      </w:r>
    </w:p>
  </w:footnote>
  <w:footnote w:id="75">
    <w:p w14:paraId="6C828CCD" w14:textId="77777777" w:rsidR="00CD7E9E" w:rsidRPr="001F5F82" w:rsidRDefault="00CD7E9E" w:rsidP="000200BE">
      <w:pPr>
        <w:pStyle w:val="Textpoznpodarou"/>
        <w:rPr>
          <w:sz w:val="16"/>
          <w:szCs w:val="16"/>
        </w:rPr>
      </w:pPr>
      <w:r w:rsidRPr="001F5F82">
        <w:rPr>
          <w:rStyle w:val="Znakapoznpodarou"/>
          <w:sz w:val="16"/>
          <w:szCs w:val="16"/>
        </w:rPr>
        <w:footnoteRef/>
      </w:r>
      <w:r w:rsidRPr="001F5F82">
        <w:rPr>
          <w:sz w:val="16"/>
          <w:szCs w:val="16"/>
        </w:rPr>
        <w:t xml:space="preserve"> Není-li uvedeno jinak, je změnou úrokových sazeb myšlen rozdíl mezi hodnotou ke dni 3</w:t>
      </w:r>
      <w:r>
        <w:rPr>
          <w:sz w:val="16"/>
          <w:szCs w:val="16"/>
        </w:rPr>
        <w:t>1. 12</w:t>
      </w:r>
      <w:r w:rsidRPr="001F5F82">
        <w:rPr>
          <w:sz w:val="16"/>
          <w:szCs w:val="16"/>
        </w:rPr>
        <w:t>. a</w:t>
      </w:r>
      <w:r>
        <w:rPr>
          <w:sz w:val="16"/>
          <w:szCs w:val="16"/>
        </w:rPr>
        <w:t> </w:t>
      </w:r>
      <w:r w:rsidRPr="001F5F82">
        <w:rPr>
          <w:sz w:val="16"/>
          <w:szCs w:val="16"/>
        </w:rPr>
        <w:t>30</w:t>
      </w:r>
      <w:r>
        <w:rPr>
          <w:sz w:val="16"/>
          <w:szCs w:val="16"/>
        </w:rPr>
        <w:t>. 9</w:t>
      </w:r>
      <w:r w:rsidRPr="001F5F82">
        <w:rPr>
          <w:sz w:val="16"/>
          <w:szCs w:val="16"/>
        </w:rPr>
        <w:t>.</w:t>
      </w:r>
    </w:p>
  </w:footnote>
  <w:footnote w:id="76">
    <w:p w14:paraId="6760877C" w14:textId="77777777" w:rsidR="00CD7E9E" w:rsidRPr="00651A71" w:rsidRDefault="00CD7E9E" w:rsidP="000200BE">
      <w:pPr>
        <w:pStyle w:val="Textpoznpodarou"/>
        <w:rPr>
          <w:sz w:val="16"/>
          <w:szCs w:val="16"/>
        </w:rPr>
      </w:pPr>
      <w:r w:rsidRPr="00651A71">
        <w:rPr>
          <w:rStyle w:val="Znakapoznpodarou"/>
          <w:sz w:val="16"/>
          <w:szCs w:val="16"/>
        </w:rPr>
        <w:footnoteRef/>
      </w:r>
      <w:r w:rsidRPr="00651A71">
        <w:rPr>
          <w:sz w:val="16"/>
          <w:szCs w:val="16"/>
        </w:rPr>
        <w:t xml:space="preserve"> O</w:t>
      </w:r>
      <w:r w:rsidRPr="00651A71">
        <w:rPr>
          <w:spacing w:val="-3"/>
          <w:sz w:val="16"/>
          <w:szCs w:val="16"/>
          <w:lang w:eastAsia="en-US"/>
        </w:rPr>
        <w:t>byvatelstvo</w:t>
      </w:r>
      <w:r>
        <w:rPr>
          <w:spacing w:val="-3"/>
          <w:sz w:val="16"/>
          <w:szCs w:val="16"/>
          <w:lang w:eastAsia="en-US"/>
        </w:rPr>
        <w:t xml:space="preserve"> včetně </w:t>
      </w:r>
      <w:r w:rsidRPr="00651A71">
        <w:rPr>
          <w:spacing w:val="-3"/>
          <w:sz w:val="16"/>
          <w:szCs w:val="16"/>
          <w:lang w:eastAsia="en-US"/>
        </w:rPr>
        <w:t>živnostníků.</w:t>
      </w:r>
    </w:p>
  </w:footnote>
  <w:footnote w:id="77">
    <w:p w14:paraId="7D3A995A" w14:textId="77777777" w:rsidR="00CD7E9E" w:rsidRPr="00284DA5" w:rsidRDefault="00CD7E9E" w:rsidP="000200BE">
      <w:pPr>
        <w:pStyle w:val="Textpoznpodarou"/>
        <w:rPr>
          <w:sz w:val="16"/>
          <w:szCs w:val="16"/>
        </w:rPr>
      </w:pPr>
      <w:r w:rsidRPr="00284DA5">
        <w:rPr>
          <w:rStyle w:val="Znakapoznpodarou"/>
          <w:sz w:val="16"/>
          <w:szCs w:val="16"/>
        </w:rPr>
        <w:footnoteRef/>
      </w:r>
      <w:r w:rsidRPr="00284DA5">
        <w:rPr>
          <w:sz w:val="16"/>
          <w:szCs w:val="16"/>
        </w:rPr>
        <w:t xml:space="preserve"> V nových smlouvách jsou zahrnuty i</w:t>
      </w:r>
      <w:r>
        <w:rPr>
          <w:sz w:val="16"/>
          <w:szCs w:val="16"/>
        </w:rPr>
        <w:t> </w:t>
      </w:r>
      <w:r w:rsidRPr="00284DA5">
        <w:rPr>
          <w:sz w:val="16"/>
          <w:szCs w:val="16"/>
        </w:rPr>
        <w:t>refinancované úvěry a</w:t>
      </w:r>
      <w:r>
        <w:rPr>
          <w:sz w:val="16"/>
          <w:szCs w:val="16"/>
        </w:rPr>
        <w:t> </w:t>
      </w:r>
      <w:r w:rsidRPr="00284DA5">
        <w:rPr>
          <w:sz w:val="16"/>
          <w:szCs w:val="16"/>
        </w:rPr>
        <w:t>ostatní ujednání (v</w:t>
      </w:r>
      <w:r>
        <w:rPr>
          <w:sz w:val="16"/>
          <w:szCs w:val="16"/>
        </w:rPr>
        <w:t> </w:t>
      </w:r>
      <w:r w:rsidRPr="00284DA5">
        <w:rPr>
          <w:sz w:val="16"/>
          <w:szCs w:val="16"/>
        </w:rPr>
        <w:t>posledním roce zejména odklady splátek).</w:t>
      </w:r>
    </w:p>
  </w:footnote>
  <w:footnote w:id="78">
    <w:p w14:paraId="009AB0C5" w14:textId="77777777" w:rsidR="00CD7E9E" w:rsidRPr="004A27B5" w:rsidRDefault="00CD7E9E" w:rsidP="00144108">
      <w:pPr>
        <w:pStyle w:val="Textpoznpodarou"/>
        <w:jc w:val="both"/>
        <w:rPr>
          <w:spacing w:val="-3"/>
          <w:sz w:val="16"/>
          <w:szCs w:val="16"/>
        </w:rPr>
      </w:pPr>
      <w:r w:rsidRPr="004A27B5">
        <w:rPr>
          <w:rStyle w:val="Znakapoznpodarou"/>
          <w:spacing w:val="-3"/>
          <w:sz w:val="16"/>
          <w:szCs w:val="16"/>
        </w:rPr>
        <w:footnoteRef/>
      </w:r>
      <w:r w:rsidRPr="004A27B5">
        <w:rPr>
          <w:spacing w:val="-3"/>
          <w:sz w:val="16"/>
          <w:szCs w:val="16"/>
        </w:rPr>
        <w:t xml:space="preserve"> </w:t>
      </w:r>
      <w:r w:rsidRPr="004A27B5">
        <w:rPr>
          <w:color w:val="0D0D0D" w:themeColor="text1" w:themeTint="F2"/>
          <w:spacing w:val="-3"/>
          <w:sz w:val="16"/>
          <w:szCs w:val="16"/>
        </w:rPr>
        <w:t xml:space="preserve">Pokud není uvedeno jinak, vycházejí všechny údaje týkající se státního rozpočtu </w:t>
      </w:r>
      <w:r w:rsidRPr="004A27B5">
        <w:rPr>
          <w:rFonts w:cs="Arial"/>
          <w:color w:val="0D0D0D" w:themeColor="text1" w:themeTint="F2"/>
          <w:spacing w:val="-3"/>
          <w:sz w:val="16"/>
          <w:szCs w:val="16"/>
        </w:rPr>
        <w:t>z dat Ministerstva financí o pokladním plnění.</w:t>
      </w:r>
    </w:p>
  </w:footnote>
  <w:footnote w:id="79">
    <w:p w14:paraId="497C13FD" w14:textId="77777777" w:rsidR="00CD7E9E" w:rsidRPr="001156AE" w:rsidRDefault="00CD7E9E" w:rsidP="00144108">
      <w:pPr>
        <w:pStyle w:val="Textpoznpodarou"/>
        <w:jc w:val="both"/>
        <w:rPr>
          <w:sz w:val="16"/>
          <w:szCs w:val="16"/>
        </w:rPr>
      </w:pPr>
      <w:r w:rsidRPr="001156AE">
        <w:rPr>
          <w:rStyle w:val="Znakapoznpodarou"/>
          <w:sz w:val="16"/>
          <w:szCs w:val="16"/>
        </w:rPr>
        <w:footnoteRef/>
      </w:r>
      <w:r w:rsidRPr="001156AE">
        <w:rPr>
          <w:sz w:val="16"/>
          <w:szCs w:val="16"/>
        </w:rPr>
        <w:t xml:space="preserve"> Ve srovnání s rozpočtovým očekáváním (ukotveným v novele zákona o</w:t>
      </w:r>
      <w:r>
        <w:rPr>
          <w:sz w:val="16"/>
          <w:szCs w:val="16"/>
        </w:rPr>
        <w:t> </w:t>
      </w:r>
      <w:r w:rsidRPr="001156AE">
        <w:rPr>
          <w:sz w:val="16"/>
          <w:szCs w:val="16"/>
        </w:rPr>
        <w:t>státním rozpočtu na rok 2021, platné od 1</w:t>
      </w:r>
      <w:r>
        <w:rPr>
          <w:sz w:val="16"/>
          <w:szCs w:val="16"/>
        </w:rPr>
        <w:t>. </w:t>
      </w:r>
      <w:r w:rsidRPr="001156AE">
        <w:rPr>
          <w:sz w:val="16"/>
          <w:szCs w:val="16"/>
        </w:rPr>
        <w:t>března</w:t>
      </w:r>
      <w:r>
        <w:rPr>
          <w:sz w:val="16"/>
          <w:szCs w:val="16"/>
        </w:rPr>
        <w:t> 2021</w:t>
      </w:r>
      <w:r w:rsidRPr="001156AE">
        <w:rPr>
          <w:sz w:val="16"/>
          <w:szCs w:val="16"/>
        </w:rPr>
        <w:t xml:space="preserve">) </w:t>
      </w:r>
      <w:r>
        <w:rPr>
          <w:sz w:val="16"/>
          <w:szCs w:val="16"/>
        </w:rPr>
        <w:t>šlo ale o deficit nižší o 80 mld. korun. Stál za tím především vyšší než očekávaný růst inkasa přímých daní (především korporátní daně).</w:t>
      </w:r>
    </w:p>
  </w:footnote>
  <w:footnote w:id="80">
    <w:p w14:paraId="3817A103" w14:textId="77777777" w:rsidR="00CD7E9E" w:rsidRPr="00367B13" w:rsidRDefault="00CD7E9E" w:rsidP="00144108">
      <w:pPr>
        <w:pStyle w:val="Textpoznpodarou"/>
        <w:jc w:val="both"/>
        <w:rPr>
          <w:sz w:val="16"/>
          <w:szCs w:val="16"/>
        </w:rPr>
      </w:pPr>
      <w:r w:rsidRPr="00367B13">
        <w:rPr>
          <w:rStyle w:val="Znakapoznpodarou"/>
          <w:sz w:val="16"/>
          <w:szCs w:val="16"/>
        </w:rPr>
        <w:footnoteRef/>
      </w:r>
      <w:r w:rsidRPr="00367B13">
        <w:rPr>
          <w:sz w:val="16"/>
          <w:szCs w:val="16"/>
        </w:rPr>
        <w:t xml:space="preserve"> Za prvních pět měsíců roku 2021 činil kumulovaný schodek</w:t>
      </w:r>
      <w:r>
        <w:rPr>
          <w:sz w:val="16"/>
          <w:szCs w:val="16"/>
        </w:rPr>
        <w:t> </w:t>
      </w:r>
      <w:r w:rsidRPr="00367B13">
        <w:rPr>
          <w:sz w:val="16"/>
          <w:szCs w:val="16"/>
        </w:rPr>
        <w:t>SR 255</w:t>
      </w:r>
      <w:r>
        <w:rPr>
          <w:sz w:val="16"/>
          <w:szCs w:val="16"/>
        </w:rPr>
        <w:t> mld</w:t>
      </w:r>
      <w:r w:rsidRPr="00367B13">
        <w:rPr>
          <w:sz w:val="16"/>
          <w:szCs w:val="16"/>
        </w:rPr>
        <w:t>. korun.</w:t>
      </w:r>
    </w:p>
  </w:footnote>
  <w:footnote w:id="81">
    <w:p w14:paraId="7D88B5B2" w14:textId="77777777" w:rsidR="00CD7E9E" w:rsidRPr="004A27B5" w:rsidRDefault="00CD7E9E" w:rsidP="00144108">
      <w:pPr>
        <w:pStyle w:val="Textpoznpodarou"/>
        <w:jc w:val="both"/>
        <w:rPr>
          <w:spacing w:val="-2"/>
          <w:sz w:val="16"/>
          <w:szCs w:val="16"/>
        </w:rPr>
      </w:pPr>
      <w:r w:rsidRPr="004A27B5">
        <w:rPr>
          <w:rStyle w:val="Znakapoznpodarou"/>
          <w:spacing w:val="-2"/>
          <w:sz w:val="16"/>
          <w:szCs w:val="16"/>
        </w:rPr>
        <w:footnoteRef/>
      </w:r>
      <w:r>
        <w:rPr>
          <w:spacing w:val="-2"/>
          <w:sz w:val="16"/>
          <w:szCs w:val="16"/>
        </w:rPr>
        <w:t xml:space="preserve"> </w:t>
      </w:r>
      <w:r>
        <w:rPr>
          <w:sz w:val="16"/>
          <w:szCs w:val="16"/>
        </w:rPr>
        <w:t>Od ledna 2021 vzrostl obcím podíl na celostátním výběru sdílených daní z 23,58 % na 25,84 % a krajům z 8,92 % na 9,78 %. Toto navýšení znamenalo dle odhadů MF negativní dopad na celoroční daňové inkaso SR ve výši 27,4 mld. korun.</w:t>
      </w:r>
    </w:p>
  </w:footnote>
  <w:footnote w:id="82">
    <w:p w14:paraId="00AF640E" w14:textId="77777777" w:rsidR="00CD7E9E" w:rsidRPr="00277984" w:rsidRDefault="00CD7E9E" w:rsidP="00144108">
      <w:pPr>
        <w:pStyle w:val="Textpoznpodarou"/>
        <w:jc w:val="both"/>
        <w:rPr>
          <w:sz w:val="16"/>
          <w:szCs w:val="16"/>
        </w:rPr>
      </w:pPr>
      <w:r w:rsidRPr="00277984">
        <w:rPr>
          <w:rStyle w:val="Znakapoznpodarou"/>
          <w:sz w:val="16"/>
          <w:szCs w:val="16"/>
        </w:rPr>
        <w:footnoteRef/>
      </w:r>
      <w:r w:rsidRPr="00277984">
        <w:rPr>
          <w:sz w:val="16"/>
          <w:szCs w:val="16"/>
        </w:rPr>
        <w:t xml:space="preserve"> </w:t>
      </w:r>
      <w:r>
        <w:rPr>
          <w:sz w:val="16"/>
          <w:szCs w:val="16"/>
        </w:rPr>
        <w:t>Snížená</w:t>
      </w:r>
      <w:r w:rsidRPr="00277984">
        <w:rPr>
          <w:sz w:val="16"/>
          <w:szCs w:val="16"/>
        </w:rPr>
        <w:t xml:space="preserve"> sazba </w:t>
      </w:r>
      <w:r>
        <w:rPr>
          <w:sz w:val="16"/>
          <w:szCs w:val="16"/>
        </w:rPr>
        <w:t xml:space="preserve">(z 15 % na 10 %) </w:t>
      </w:r>
      <w:r w:rsidRPr="00277984">
        <w:rPr>
          <w:sz w:val="16"/>
          <w:szCs w:val="16"/>
        </w:rPr>
        <w:t>na stravovací a</w:t>
      </w:r>
      <w:r>
        <w:rPr>
          <w:sz w:val="16"/>
          <w:szCs w:val="16"/>
        </w:rPr>
        <w:t> ubytovací</w:t>
      </w:r>
      <w:r w:rsidRPr="00277984">
        <w:rPr>
          <w:sz w:val="16"/>
          <w:szCs w:val="16"/>
        </w:rPr>
        <w:t xml:space="preserve"> služby</w:t>
      </w:r>
      <w:r>
        <w:rPr>
          <w:sz w:val="16"/>
          <w:szCs w:val="16"/>
        </w:rPr>
        <w:t>, kulturní a sportovní akce, dále také např. na vodné, stočné, pitnou vodu či točené pivo, byla zavedena loni od května, resp. července. I</w:t>
      </w:r>
      <w:r w:rsidRPr="00277984">
        <w:rPr>
          <w:sz w:val="16"/>
          <w:szCs w:val="16"/>
        </w:rPr>
        <w:t>nkaso</w:t>
      </w:r>
      <w:r>
        <w:rPr>
          <w:sz w:val="16"/>
          <w:szCs w:val="16"/>
        </w:rPr>
        <w:t> </w:t>
      </w:r>
      <w:r w:rsidRPr="00277984">
        <w:rPr>
          <w:sz w:val="16"/>
          <w:szCs w:val="16"/>
        </w:rPr>
        <w:t xml:space="preserve">DPH </w:t>
      </w:r>
      <w:r>
        <w:rPr>
          <w:sz w:val="16"/>
          <w:szCs w:val="16"/>
        </w:rPr>
        <w:t>za rok 2021 bylo mírně tlumeno i dočasným</w:t>
      </w:r>
      <w:r w:rsidRPr="00277984">
        <w:rPr>
          <w:sz w:val="16"/>
          <w:szCs w:val="16"/>
        </w:rPr>
        <w:t xml:space="preserve"> prominutí</w:t>
      </w:r>
      <w:r>
        <w:rPr>
          <w:sz w:val="16"/>
          <w:szCs w:val="16"/>
        </w:rPr>
        <w:t>m</w:t>
      </w:r>
      <w:r w:rsidRPr="00277984">
        <w:rPr>
          <w:sz w:val="16"/>
          <w:szCs w:val="16"/>
        </w:rPr>
        <w:t xml:space="preserve"> daně u</w:t>
      </w:r>
      <w:r>
        <w:rPr>
          <w:sz w:val="16"/>
          <w:szCs w:val="16"/>
        </w:rPr>
        <w:t> </w:t>
      </w:r>
      <w:r w:rsidRPr="00277984">
        <w:rPr>
          <w:sz w:val="16"/>
          <w:szCs w:val="16"/>
        </w:rPr>
        <w:t>ochranných pomůcek (</w:t>
      </w:r>
      <w:r>
        <w:rPr>
          <w:sz w:val="16"/>
          <w:szCs w:val="16"/>
        </w:rPr>
        <w:t>např. respirátorů) a u testů i </w:t>
      </w:r>
      <w:r w:rsidRPr="00277984">
        <w:rPr>
          <w:sz w:val="16"/>
          <w:szCs w:val="16"/>
        </w:rPr>
        <w:t xml:space="preserve">vakcín souvisejících s epidemií </w:t>
      </w:r>
      <w:r>
        <w:rPr>
          <w:sz w:val="16"/>
          <w:szCs w:val="16"/>
        </w:rPr>
        <w:t>covidu</w:t>
      </w:r>
      <w:r w:rsidRPr="00277984">
        <w:rPr>
          <w:sz w:val="16"/>
          <w:szCs w:val="16"/>
        </w:rPr>
        <w:t>-19.</w:t>
      </w:r>
    </w:p>
  </w:footnote>
  <w:footnote w:id="83">
    <w:p w14:paraId="639E2043" w14:textId="77777777" w:rsidR="00CD7E9E" w:rsidRPr="006A31EC" w:rsidRDefault="00CD7E9E" w:rsidP="00144108">
      <w:pPr>
        <w:pStyle w:val="Textpoznpodarou"/>
        <w:jc w:val="both"/>
        <w:rPr>
          <w:spacing w:val="-4"/>
          <w:sz w:val="16"/>
          <w:szCs w:val="16"/>
        </w:rPr>
      </w:pPr>
      <w:r w:rsidRPr="006A31EC">
        <w:rPr>
          <w:rStyle w:val="Znakapoznpodarou"/>
          <w:spacing w:val="-4"/>
          <w:sz w:val="16"/>
          <w:szCs w:val="16"/>
        </w:rPr>
        <w:footnoteRef/>
      </w:r>
      <w:r>
        <w:rPr>
          <w:spacing w:val="-4"/>
          <w:sz w:val="16"/>
          <w:szCs w:val="16"/>
        </w:rPr>
        <w:t xml:space="preserve"> Inkaso SR u </w:t>
      </w:r>
      <w:r w:rsidRPr="006A31EC">
        <w:rPr>
          <w:spacing w:val="-4"/>
          <w:sz w:val="16"/>
          <w:szCs w:val="16"/>
        </w:rPr>
        <w:t>této daně loni meziročně kleslo o</w:t>
      </w:r>
      <w:r>
        <w:rPr>
          <w:spacing w:val="-4"/>
          <w:sz w:val="16"/>
          <w:szCs w:val="16"/>
        </w:rPr>
        <w:t> </w:t>
      </w:r>
      <w:r w:rsidRPr="006A31EC">
        <w:rPr>
          <w:spacing w:val="-4"/>
          <w:sz w:val="16"/>
          <w:szCs w:val="16"/>
        </w:rPr>
        <w:t>2,3</w:t>
      </w:r>
      <w:r>
        <w:rPr>
          <w:spacing w:val="-4"/>
          <w:sz w:val="16"/>
          <w:szCs w:val="16"/>
        </w:rPr>
        <w:t> mld</w:t>
      </w:r>
      <w:r w:rsidRPr="006A31EC">
        <w:rPr>
          <w:spacing w:val="-4"/>
          <w:sz w:val="16"/>
          <w:szCs w:val="16"/>
        </w:rPr>
        <w:t>. korun (</w:t>
      </w:r>
      <w:r w:rsidRPr="006A31EC">
        <w:rPr>
          <w:color w:val="0D0D0D" w:themeColor="text1" w:themeTint="F2"/>
          <w:spacing w:val="-4"/>
          <w:sz w:val="16"/>
          <w:szCs w:val="16"/>
        </w:rPr>
        <w:t>–</w:t>
      </w:r>
      <w:r>
        <w:rPr>
          <w:spacing w:val="-4"/>
          <w:sz w:val="16"/>
          <w:szCs w:val="16"/>
        </w:rPr>
        <w:t xml:space="preserve">3,0 %), </w:t>
      </w:r>
      <w:r w:rsidRPr="006A31EC">
        <w:rPr>
          <w:spacing w:val="-4"/>
          <w:sz w:val="16"/>
          <w:szCs w:val="16"/>
        </w:rPr>
        <w:t>samotné snížení sazby vedlo dle odhadu</w:t>
      </w:r>
      <w:r>
        <w:rPr>
          <w:spacing w:val="-4"/>
          <w:sz w:val="16"/>
          <w:szCs w:val="16"/>
        </w:rPr>
        <w:t> </w:t>
      </w:r>
      <w:r w:rsidRPr="006A31EC">
        <w:rPr>
          <w:spacing w:val="-4"/>
          <w:sz w:val="16"/>
          <w:szCs w:val="16"/>
        </w:rPr>
        <w:t xml:space="preserve">MF </w:t>
      </w:r>
      <w:r>
        <w:rPr>
          <w:spacing w:val="-4"/>
          <w:sz w:val="16"/>
          <w:szCs w:val="16"/>
        </w:rPr>
        <w:t xml:space="preserve">ke snížení </w:t>
      </w:r>
      <w:r w:rsidRPr="006A31EC">
        <w:rPr>
          <w:spacing w:val="-4"/>
          <w:sz w:val="16"/>
          <w:szCs w:val="16"/>
        </w:rPr>
        <w:t>výběru o</w:t>
      </w:r>
      <w:r>
        <w:rPr>
          <w:spacing w:val="-4"/>
          <w:sz w:val="16"/>
          <w:szCs w:val="16"/>
        </w:rPr>
        <w:t> </w:t>
      </w:r>
      <w:r w:rsidRPr="006A31EC">
        <w:rPr>
          <w:spacing w:val="-4"/>
          <w:sz w:val="16"/>
          <w:szCs w:val="16"/>
        </w:rPr>
        <w:t>4,7</w:t>
      </w:r>
      <w:r>
        <w:rPr>
          <w:spacing w:val="-4"/>
          <w:sz w:val="16"/>
          <w:szCs w:val="16"/>
        </w:rPr>
        <w:t> mld</w:t>
      </w:r>
      <w:r w:rsidRPr="006A31EC">
        <w:rPr>
          <w:spacing w:val="-4"/>
          <w:sz w:val="16"/>
          <w:szCs w:val="16"/>
        </w:rPr>
        <w:t>.</w:t>
      </w:r>
    </w:p>
  </w:footnote>
  <w:footnote w:id="84">
    <w:p w14:paraId="44488681" w14:textId="77777777" w:rsidR="00CD7E9E" w:rsidRPr="00C108C4" w:rsidRDefault="00CD7E9E" w:rsidP="00144108">
      <w:pPr>
        <w:pStyle w:val="Textpoznpodarou"/>
        <w:jc w:val="both"/>
        <w:rPr>
          <w:sz w:val="16"/>
          <w:szCs w:val="16"/>
        </w:rPr>
      </w:pPr>
      <w:r w:rsidRPr="00C108C4">
        <w:rPr>
          <w:rStyle w:val="Znakapoznpodarou"/>
          <w:sz w:val="16"/>
          <w:szCs w:val="16"/>
        </w:rPr>
        <w:footnoteRef/>
      </w:r>
      <w:r w:rsidRPr="00C108C4">
        <w:rPr>
          <w:sz w:val="16"/>
          <w:szCs w:val="16"/>
        </w:rPr>
        <w:t xml:space="preserve"> Dle údajů ČS</w:t>
      </w:r>
      <w:r>
        <w:rPr>
          <w:sz w:val="16"/>
          <w:szCs w:val="16"/>
        </w:rPr>
        <w:t>Ú vzrostla v ČR od ledna do října</w:t>
      </w:r>
      <w:r w:rsidRPr="00C108C4">
        <w:rPr>
          <w:sz w:val="16"/>
          <w:szCs w:val="16"/>
        </w:rPr>
        <w:t xml:space="preserve"> </w:t>
      </w:r>
      <w:r>
        <w:rPr>
          <w:sz w:val="16"/>
          <w:szCs w:val="16"/>
        </w:rPr>
        <w:t xml:space="preserve">2021 </w:t>
      </w:r>
      <w:r w:rsidRPr="00C108C4">
        <w:rPr>
          <w:sz w:val="16"/>
          <w:szCs w:val="16"/>
        </w:rPr>
        <w:t xml:space="preserve">meziročně spotřeba </w:t>
      </w:r>
      <w:r>
        <w:rPr>
          <w:sz w:val="16"/>
          <w:szCs w:val="16"/>
        </w:rPr>
        <w:t>motorové nafty (+7,1 %) a mírnějším tempem i </w:t>
      </w:r>
      <w:r w:rsidRPr="00C108C4">
        <w:rPr>
          <w:sz w:val="16"/>
          <w:szCs w:val="16"/>
        </w:rPr>
        <w:t>motorového benz</w:t>
      </w:r>
      <w:r>
        <w:rPr>
          <w:sz w:val="16"/>
          <w:szCs w:val="16"/>
        </w:rPr>
        <w:t>i</w:t>
      </w:r>
      <w:r w:rsidRPr="00C108C4">
        <w:rPr>
          <w:sz w:val="16"/>
          <w:szCs w:val="16"/>
        </w:rPr>
        <w:t xml:space="preserve">nu </w:t>
      </w:r>
      <w:r>
        <w:rPr>
          <w:sz w:val="16"/>
          <w:szCs w:val="16"/>
        </w:rPr>
        <w:t>(+0,9 %). Po prudkém propadu během roku 2020 spotřeba</w:t>
      </w:r>
      <w:r w:rsidRPr="00C108C4">
        <w:rPr>
          <w:sz w:val="16"/>
          <w:szCs w:val="16"/>
        </w:rPr>
        <w:t xml:space="preserve"> leteckého petroleje </w:t>
      </w:r>
      <w:r>
        <w:rPr>
          <w:sz w:val="16"/>
          <w:szCs w:val="16"/>
        </w:rPr>
        <w:t>za prvních deset měsíců loňského roku fakticky stagnovala (</w:t>
      </w:r>
      <w:r>
        <w:rPr>
          <w:color w:val="0D0D0D" w:themeColor="text1" w:themeTint="F2"/>
          <w:spacing w:val="-4"/>
          <w:sz w:val="16"/>
          <w:szCs w:val="16"/>
        </w:rPr>
        <w:t>–</w:t>
      </w:r>
      <w:r>
        <w:rPr>
          <w:sz w:val="16"/>
          <w:szCs w:val="16"/>
        </w:rPr>
        <w:t>0,</w:t>
      </w:r>
      <w:r w:rsidRPr="00C108C4">
        <w:rPr>
          <w:sz w:val="16"/>
          <w:szCs w:val="16"/>
        </w:rPr>
        <w:t>7</w:t>
      </w:r>
      <w:r>
        <w:rPr>
          <w:sz w:val="16"/>
          <w:szCs w:val="16"/>
        </w:rPr>
        <w:t> %)</w:t>
      </w:r>
      <w:r w:rsidRPr="00C108C4">
        <w:rPr>
          <w:sz w:val="16"/>
          <w:szCs w:val="16"/>
        </w:rPr>
        <w:t xml:space="preserve">. </w:t>
      </w:r>
      <w:r>
        <w:rPr>
          <w:sz w:val="16"/>
          <w:szCs w:val="16"/>
        </w:rPr>
        <w:t>Ve srovnání s předpandemickým rokem 2019 ovšem spotřeba všech hlavních ropných produktů stále citelně zaostávala, vyjma motorové nafty (+1,8 %).</w:t>
      </w:r>
    </w:p>
  </w:footnote>
  <w:footnote w:id="85">
    <w:p w14:paraId="2D5CD1D7" w14:textId="77777777" w:rsidR="00CD7E9E" w:rsidRPr="009A1F08" w:rsidRDefault="00CD7E9E" w:rsidP="00144108">
      <w:pPr>
        <w:pStyle w:val="Textpoznpodarou"/>
        <w:jc w:val="both"/>
        <w:rPr>
          <w:sz w:val="16"/>
          <w:szCs w:val="16"/>
        </w:rPr>
      </w:pPr>
      <w:r w:rsidRPr="009A1F08">
        <w:rPr>
          <w:rStyle w:val="Znakapoznpodarou"/>
          <w:sz w:val="16"/>
          <w:szCs w:val="16"/>
        </w:rPr>
        <w:footnoteRef/>
      </w:r>
      <w:r w:rsidRPr="009A1F08">
        <w:rPr>
          <w:sz w:val="16"/>
          <w:szCs w:val="16"/>
        </w:rPr>
        <w:t xml:space="preserve"> </w:t>
      </w:r>
      <w:r w:rsidRPr="009A1F08">
        <w:rPr>
          <w:spacing w:val="-2"/>
          <w:sz w:val="16"/>
          <w:szCs w:val="16"/>
        </w:rPr>
        <w:t>Jednalo se hlavně o</w:t>
      </w:r>
      <w:r>
        <w:rPr>
          <w:spacing w:val="-2"/>
          <w:sz w:val="16"/>
          <w:szCs w:val="16"/>
        </w:rPr>
        <w:t> </w:t>
      </w:r>
      <w:r w:rsidRPr="009A1F08">
        <w:rPr>
          <w:spacing w:val="-2"/>
          <w:sz w:val="16"/>
          <w:szCs w:val="16"/>
        </w:rPr>
        <w:t>prominutí červnové zálohy na tuto daň (</w:t>
      </w:r>
      <w:r>
        <w:rPr>
          <w:spacing w:val="-2"/>
          <w:sz w:val="16"/>
          <w:szCs w:val="16"/>
        </w:rPr>
        <w:t>s negativním dopadem v roce 2020</w:t>
      </w:r>
      <w:r w:rsidRPr="009A1F08">
        <w:rPr>
          <w:spacing w:val="-2"/>
          <w:sz w:val="16"/>
          <w:szCs w:val="16"/>
        </w:rPr>
        <w:t xml:space="preserve"> na výběr na úrovni</w:t>
      </w:r>
      <w:r>
        <w:rPr>
          <w:spacing w:val="-2"/>
          <w:sz w:val="16"/>
          <w:szCs w:val="16"/>
        </w:rPr>
        <w:t> </w:t>
      </w:r>
      <w:r w:rsidRPr="009A1F08">
        <w:rPr>
          <w:spacing w:val="-2"/>
          <w:sz w:val="16"/>
          <w:szCs w:val="16"/>
        </w:rPr>
        <w:t>SR ve výši 13,5</w:t>
      </w:r>
      <w:r>
        <w:rPr>
          <w:spacing w:val="-2"/>
          <w:sz w:val="16"/>
          <w:szCs w:val="16"/>
        </w:rPr>
        <w:t> mld</w:t>
      </w:r>
      <w:r w:rsidRPr="009A1F08">
        <w:rPr>
          <w:spacing w:val="-2"/>
          <w:sz w:val="16"/>
          <w:szCs w:val="16"/>
        </w:rPr>
        <w:t>. korun). Část zrušené a</w:t>
      </w:r>
      <w:r>
        <w:rPr>
          <w:spacing w:val="-2"/>
          <w:sz w:val="16"/>
          <w:szCs w:val="16"/>
        </w:rPr>
        <w:t> </w:t>
      </w:r>
      <w:r w:rsidRPr="009A1F08">
        <w:rPr>
          <w:spacing w:val="-2"/>
          <w:sz w:val="16"/>
          <w:szCs w:val="16"/>
        </w:rPr>
        <w:t xml:space="preserve">neuhrazené červnové zálohy roku 2020 byla doplacena </w:t>
      </w:r>
      <w:r>
        <w:rPr>
          <w:spacing w:val="-2"/>
          <w:sz w:val="16"/>
          <w:szCs w:val="16"/>
        </w:rPr>
        <w:t>vloni</w:t>
      </w:r>
      <w:r w:rsidRPr="009A1F08">
        <w:rPr>
          <w:spacing w:val="-2"/>
          <w:sz w:val="16"/>
          <w:szCs w:val="16"/>
        </w:rPr>
        <w:t xml:space="preserve"> ve vyrovnání daně.</w:t>
      </w:r>
    </w:p>
  </w:footnote>
  <w:footnote w:id="86">
    <w:p w14:paraId="5CEAE9D0" w14:textId="77777777" w:rsidR="00CD7E9E" w:rsidRPr="004A27B5" w:rsidRDefault="00CD7E9E" w:rsidP="00144108">
      <w:pPr>
        <w:pStyle w:val="Textpoznpodarou"/>
        <w:jc w:val="both"/>
        <w:rPr>
          <w:spacing w:val="-2"/>
          <w:sz w:val="16"/>
          <w:szCs w:val="16"/>
        </w:rPr>
      </w:pPr>
      <w:r w:rsidRPr="004A27B5">
        <w:rPr>
          <w:rStyle w:val="Znakapoznpodarou"/>
          <w:spacing w:val="-2"/>
          <w:sz w:val="16"/>
          <w:szCs w:val="16"/>
        </w:rPr>
        <w:footnoteRef/>
      </w:r>
      <w:r w:rsidRPr="004A27B5">
        <w:rPr>
          <w:spacing w:val="-2"/>
          <w:sz w:val="16"/>
          <w:szCs w:val="16"/>
        </w:rPr>
        <w:t xml:space="preserve"> </w:t>
      </w:r>
      <w:r>
        <w:rPr>
          <w:spacing w:val="-2"/>
          <w:sz w:val="16"/>
          <w:szCs w:val="16"/>
        </w:rPr>
        <w:t>Ty reagují na zhoršenou finanční situaci podniků. Podle odhadů MF</w:t>
      </w:r>
      <w:r w:rsidRPr="004A27B5">
        <w:rPr>
          <w:spacing w:val="-2"/>
          <w:sz w:val="16"/>
          <w:szCs w:val="16"/>
        </w:rPr>
        <w:t xml:space="preserve"> v</w:t>
      </w:r>
      <w:r>
        <w:rPr>
          <w:spacing w:val="-2"/>
          <w:sz w:val="16"/>
          <w:szCs w:val="16"/>
        </w:rPr>
        <w:t>edly tyto žádosti v roce 2020</w:t>
      </w:r>
      <w:r w:rsidRPr="004A27B5">
        <w:rPr>
          <w:spacing w:val="-2"/>
          <w:sz w:val="16"/>
          <w:szCs w:val="16"/>
        </w:rPr>
        <w:t xml:space="preserve"> k poklesu příjmů korporátní daně do</w:t>
      </w:r>
      <w:r>
        <w:rPr>
          <w:spacing w:val="-2"/>
          <w:sz w:val="16"/>
          <w:szCs w:val="16"/>
        </w:rPr>
        <w:t> </w:t>
      </w:r>
      <w:r w:rsidRPr="004A27B5">
        <w:rPr>
          <w:spacing w:val="-2"/>
          <w:sz w:val="16"/>
          <w:szCs w:val="16"/>
        </w:rPr>
        <w:t>SR o</w:t>
      </w:r>
      <w:r>
        <w:rPr>
          <w:spacing w:val="-2"/>
          <w:sz w:val="16"/>
          <w:szCs w:val="16"/>
        </w:rPr>
        <w:t> 6,9 mld., v roce 2021 pak o 22,1 mld.</w:t>
      </w:r>
    </w:p>
  </w:footnote>
  <w:footnote w:id="87">
    <w:p w14:paraId="3B18C00E" w14:textId="77777777" w:rsidR="00CD7E9E" w:rsidRPr="00140AA6" w:rsidRDefault="00CD7E9E" w:rsidP="00144108">
      <w:pPr>
        <w:pStyle w:val="Textpoznpodarou"/>
        <w:jc w:val="both"/>
        <w:rPr>
          <w:sz w:val="16"/>
          <w:szCs w:val="16"/>
        </w:rPr>
      </w:pPr>
      <w:r w:rsidRPr="00140AA6">
        <w:rPr>
          <w:rStyle w:val="Znakapoznpodarou"/>
          <w:sz w:val="16"/>
          <w:szCs w:val="16"/>
        </w:rPr>
        <w:footnoteRef/>
      </w:r>
      <w:r w:rsidRPr="00140AA6">
        <w:rPr>
          <w:sz w:val="16"/>
          <w:szCs w:val="16"/>
        </w:rPr>
        <w:t xml:space="preserve"> Příjem</w:t>
      </w:r>
      <w:r>
        <w:rPr>
          <w:sz w:val="16"/>
          <w:szCs w:val="16"/>
        </w:rPr>
        <w:t> </w:t>
      </w:r>
      <w:r w:rsidRPr="00140AA6">
        <w:rPr>
          <w:sz w:val="16"/>
          <w:szCs w:val="16"/>
        </w:rPr>
        <w:t>SR z této daně loni činil 109,1</w:t>
      </w:r>
      <w:r>
        <w:rPr>
          <w:sz w:val="16"/>
          <w:szCs w:val="16"/>
        </w:rPr>
        <w:t> mld</w:t>
      </w:r>
      <w:r w:rsidRPr="00140AA6">
        <w:rPr>
          <w:sz w:val="16"/>
          <w:szCs w:val="16"/>
        </w:rPr>
        <w:t>. korun, což bylo nejméně za posledních šest let.</w:t>
      </w:r>
      <w:r>
        <w:rPr>
          <w:sz w:val="16"/>
          <w:szCs w:val="16"/>
        </w:rPr>
        <w:t xml:space="preserve"> I tak šlo o výsledek výrazně převyšující loňské rozpočtové očekávání (o více než 21 mld.).</w:t>
      </w:r>
    </w:p>
  </w:footnote>
  <w:footnote w:id="88">
    <w:p w14:paraId="3F8CBDB7" w14:textId="77777777" w:rsidR="00CD7E9E" w:rsidRPr="00F7045A" w:rsidRDefault="00CD7E9E" w:rsidP="00144108">
      <w:pPr>
        <w:pStyle w:val="Textpoznpodarou"/>
        <w:jc w:val="both"/>
        <w:rPr>
          <w:spacing w:val="-4"/>
          <w:sz w:val="16"/>
          <w:szCs w:val="16"/>
        </w:rPr>
      </w:pPr>
      <w:r w:rsidRPr="00F7045A">
        <w:rPr>
          <w:rStyle w:val="Znakapoznpodarou"/>
          <w:spacing w:val="-4"/>
          <w:sz w:val="16"/>
          <w:szCs w:val="16"/>
        </w:rPr>
        <w:footnoteRef/>
      </w:r>
      <w:r w:rsidRPr="00F7045A">
        <w:rPr>
          <w:spacing w:val="-4"/>
          <w:sz w:val="16"/>
          <w:szCs w:val="16"/>
        </w:rPr>
        <w:t xml:space="preserve"> Po zrušení superhrubé mzdy byla od 1. ledna 2021 zavedena základní daňová sazba 15 % (a doplňková 23 %) a navýšena roční daňová sleva na poplatníka (+3 tis. korun). Dle propočtu</w:t>
      </w:r>
      <w:r>
        <w:rPr>
          <w:spacing w:val="-4"/>
          <w:sz w:val="16"/>
          <w:szCs w:val="16"/>
        </w:rPr>
        <w:t> </w:t>
      </w:r>
      <w:r w:rsidRPr="00F7045A">
        <w:rPr>
          <w:spacing w:val="-4"/>
          <w:sz w:val="16"/>
          <w:szCs w:val="16"/>
        </w:rPr>
        <w:t xml:space="preserve">MF činil dopad těchto opatření na </w:t>
      </w:r>
      <w:r>
        <w:rPr>
          <w:spacing w:val="-4"/>
          <w:sz w:val="16"/>
          <w:szCs w:val="16"/>
        </w:rPr>
        <w:t>loňské inkaso daně na úrovni SR 56,7 mld</w:t>
      </w:r>
      <w:r w:rsidRPr="00F7045A">
        <w:rPr>
          <w:spacing w:val="-4"/>
          <w:sz w:val="16"/>
          <w:szCs w:val="16"/>
        </w:rPr>
        <w:t>. korun.</w:t>
      </w:r>
    </w:p>
  </w:footnote>
  <w:footnote w:id="89">
    <w:p w14:paraId="1556ED26" w14:textId="77777777" w:rsidR="00CD7E9E" w:rsidRPr="00870A2B" w:rsidRDefault="00CD7E9E" w:rsidP="00144108">
      <w:pPr>
        <w:pStyle w:val="Textpoznpodarou"/>
        <w:jc w:val="both"/>
        <w:rPr>
          <w:sz w:val="16"/>
          <w:szCs w:val="16"/>
        </w:rPr>
      </w:pPr>
      <w:r w:rsidRPr="00870A2B">
        <w:rPr>
          <w:rStyle w:val="Znakapoznpodarou"/>
          <w:sz w:val="16"/>
          <w:szCs w:val="16"/>
        </w:rPr>
        <w:footnoteRef/>
      </w:r>
      <w:r w:rsidRPr="00870A2B">
        <w:rPr>
          <w:sz w:val="16"/>
          <w:szCs w:val="16"/>
        </w:rPr>
        <w:t xml:space="preserve"> Dle propočtů</w:t>
      </w:r>
      <w:r>
        <w:rPr>
          <w:sz w:val="16"/>
          <w:szCs w:val="16"/>
        </w:rPr>
        <w:t> </w:t>
      </w:r>
      <w:r w:rsidRPr="00870A2B">
        <w:rPr>
          <w:sz w:val="16"/>
          <w:szCs w:val="16"/>
        </w:rPr>
        <w:t>MF šlo na úrovni</w:t>
      </w:r>
      <w:r>
        <w:rPr>
          <w:sz w:val="16"/>
          <w:szCs w:val="16"/>
        </w:rPr>
        <w:t> </w:t>
      </w:r>
      <w:r w:rsidRPr="00870A2B">
        <w:rPr>
          <w:sz w:val="16"/>
          <w:szCs w:val="16"/>
        </w:rPr>
        <w:t>SR v roce 2020 o</w:t>
      </w:r>
      <w:r>
        <w:rPr>
          <w:sz w:val="16"/>
          <w:szCs w:val="16"/>
        </w:rPr>
        <w:t> </w:t>
      </w:r>
      <w:r w:rsidRPr="00870A2B">
        <w:rPr>
          <w:sz w:val="16"/>
          <w:szCs w:val="16"/>
        </w:rPr>
        <w:t>16,1</w:t>
      </w:r>
      <w:r>
        <w:rPr>
          <w:sz w:val="16"/>
          <w:szCs w:val="16"/>
        </w:rPr>
        <w:t> mld</w:t>
      </w:r>
      <w:r w:rsidRPr="00870A2B">
        <w:rPr>
          <w:sz w:val="16"/>
          <w:szCs w:val="16"/>
        </w:rPr>
        <w:t>. korun, o</w:t>
      </w:r>
      <w:r>
        <w:rPr>
          <w:sz w:val="16"/>
          <w:szCs w:val="16"/>
        </w:rPr>
        <w:t> </w:t>
      </w:r>
      <w:r w:rsidRPr="00870A2B">
        <w:rPr>
          <w:sz w:val="16"/>
          <w:szCs w:val="16"/>
        </w:rPr>
        <w:t>rok později o</w:t>
      </w:r>
      <w:r>
        <w:rPr>
          <w:sz w:val="16"/>
          <w:szCs w:val="16"/>
        </w:rPr>
        <w:t> </w:t>
      </w:r>
      <w:r w:rsidRPr="00870A2B">
        <w:rPr>
          <w:sz w:val="16"/>
          <w:szCs w:val="16"/>
        </w:rPr>
        <w:t>12,1</w:t>
      </w:r>
      <w:r>
        <w:rPr>
          <w:sz w:val="16"/>
          <w:szCs w:val="16"/>
        </w:rPr>
        <w:t> mld</w:t>
      </w:r>
      <w:r w:rsidRPr="00870A2B">
        <w:rPr>
          <w:sz w:val="16"/>
          <w:szCs w:val="16"/>
        </w:rPr>
        <w:t>.</w:t>
      </w:r>
    </w:p>
  </w:footnote>
  <w:footnote w:id="90">
    <w:p w14:paraId="42D49236" w14:textId="77777777" w:rsidR="00CD7E9E" w:rsidRPr="002940A2" w:rsidRDefault="00CD7E9E" w:rsidP="00144108">
      <w:pPr>
        <w:pStyle w:val="Textpoznpodarou"/>
        <w:jc w:val="both"/>
        <w:rPr>
          <w:spacing w:val="-4"/>
          <w:sz w:val="16"/>
          <w:szCs w:val="16"/>
        </w:rPr>
      </w:pPr>
      <w:r w:rsidRPr="002940A2">
        <w:rPr>
          <w:rStyle w:val="Znakapoznpodarou"/>
          <w:spacing w:val="-4"/>
          <w:sz w:val="16"/>
          <w:szCs w:val="16"/>
        </w:rPr>
        <w:footnoteRef/>
      </w:r>
      <w:r w:rsidRPr="002940A2">
        <w:rPr>
          <w:spacing w:val="-4"/>
          <w:sz w:val="16"/>
          <w:szCs w:val="16"/>
        </w:rPr>
        <w:t xml:space="preserve"> Celkové čisté příjmy</w:t>
      </w:r>
      <w:r>
        <w:rPr>
          <w:spacing w:val="-4"/>
          <w:sz w:val="16"/>
          <w:szCs w:val="16"/>
        </w:rPr>
        <w:t> </w:t>
      </w:r>
      <w:r w:rsidRPr="002940A2">
        <w:rPr>
          <w:spacing w:val="-4"/>
          <w:sz w:val="16"/>
          <w:szCs w:val="16"/>
        </w:rPr>
        <w:t>ČR z</w:t>
      </w:r>
      <w:r>
        <w:rPr>
          <w:spacing w:val="-4"/>
          <w:sz w:val="16"/>
          <w:szCs w:val="16"/>
        </w:rPr>
        <w:t> </w:t>
      </w:r>
      <w:r w:rsidRPr="002940A2">
        <w:rPr>
          <w:spacing w:val="-4"/>
          <w:sz w:val="16"/>
          <w:szCs w:val="16"/>
        </w:rPr>
        <w:t>rozpočtu</w:t>
      </w:r>
      <w:r>
        <w:rPr>
          <w:spacing w:val="-4"/>
          <w:sz w:val="16"/>
          <w:szCs w:val="16"/>
        </w:rPr>
        <w:t> </w:t>
      </w:r>
      <w:r w:rsidRPr="002940A2">
        <w:rPr>
          <w:spacing w:val="-4"/>
          <w:sz w:val="16"/>
          <w:szCs w:val="16"/>
        </w:rPr>
        <w:t>EU činily loni 131,7</w:t>
      </w:r>
      <w:r>
        <w:rPr>
          <w:spacing w:val="-4"/>
          <w:sz w:val="16"/>
          <w:szCs w:val="16"/>
        </w:rPr>
        <w:t> mld</w:t>
      </w:r>
      <w:r w:rsidRPr="002940A2">
        <w:rPr>
          <w:spacing w:val="-4"/>
          <w:sz w:val="16"/>
          <w:szCs w:val="16"/>
        </w:rPr>
        <w:t>. korun a</w:t>
      </w:r>
      <w:r>
        <w:rPr>
          <w:spacing w:val="-4"/>
          <w:sz w:val="16"/>
          <w:szCs w:val="16"/>
        </w:rPr>
        <w:t> </w:t>
      </w:r>
      <w:r w:rsidRPr="002940A2">
        <w:rPr>
          <w:spacing w:val="-4"/>
          <w:sz w:val="16"/>
          <w:szCs w:val="16"/>
        </w:rPr>
        <w:t>meziročně se snížily skoro o</w:t>
      </w:r>
      <w:r>
        <w:rPr>
          <w:spacing w:val="-4"/>
          <w:sz w:val="16"/>
          <w:szCs w:val="16"/>
        </w:rPr>
        <w:t> </w:t>
      </w:r>
      <w:r w:rsidRPr="002940A2">
        <w:rPr>
          <w:spacing w:val="-4"/>
          <w:sz w:val="16"/>
          <w:szCs w:val="16"/>
        </w:rPr>
        <w:t>desetinu. Nejvíce k tomu přispěly slabší příjmy z kohezních fondů (</w:t>
      </w:r>
      <w:r w:rsidRPr="002940A2">
        <w:rPr>
          <w:color w:val="0D0D0D" w:themeColor="text1" w:themeTint="F2"/>
          <w:spacing w:val="-4"/>
          <w:sz w:val="16"/>
          <w:szCs w:val="16"/>
        </w:rPr>
        <w:t>–</w:t>
      </w:r>
      <w:r w:rsidRPr="002940A2">
        <w:rPr>
          <w:spacing w:val="-4"/>
          <w:sz w:val="16"/>
          <w:szCs w:val="16"/>
        </w:rPr>
        <w:t>5,8</w:t>
      </w:r>
      <w:r>
        <w:rPr>
          <w:spacing w:val="-4"/>
          <w:sz w:val="16"/>
          <w:szCs w:val="16"/>
        </w:rPr>
        <w:t> mld</w:t>
      </w:r>
      <w:r w:rsidRPr="002940A2">
        <w:rPr>
          <w:spacing w:val="-4"/>
          <w:sz w:val="16"/>
          <w:szCs w:val="16"/>
        </w:rPr>
        <w:t xml:space="preserve">. korun, resp. </w:t>
      </w:r>
      <w:r w:rsidRPr="002940A2">
        <w:rPr>
          <w:color w:val="0D0D0D" w:themeColor="text1" w:themeTint="F2"/>
          <w:spacing w:val="-4"/>
          <w:sz w:val="16"/>
          <w:szCs w:val="16"/>
        </w:rPr>
        <w:t>–</w:t>
      </w:r>
      <w:r w:rsidRPr="002940A2">
        <w:rPr>
          <w:spacing w:val="-4"/>
          <w:sz w:val="16"/>
          <w:szCs w:val="16"/>
        </w:rPr>
        <w:t>19</w:t>
      </w:r>
      <w:r>
        <w:rPr>
          <w:spacing w:val="-4"/>
          <w:sz w:val="16"/>
          <w:szCs w:val="16"/>
        </w:rPr>
        <w:t> %</w:t>
      </w:r>
      <w:r w:rsidRPr="002940A2">
        <w:rPr>
          <w:spacing w:val="-4"/>
          <w:sz w:val="16"/>
          <w:szCs w:val="16"/>
        </w:rPr>
        <w:t>) a</w:t>
      </w:r>
      <w:r>
        <w:rPr>
          <w:spacing w:val="-4"/>
          <w:sz w:val="16"/>
          <w:szCs w:val="16"/>
        </w:rPr>
        <w:t> </w:t>
      </w:r>
      <w:r w:rsidRPr="002940A2">
        <w:rPr>
          <w:spacing w:val="-4"/>
          <w:sz w:val="16"/>
          <w:szCs w:val="16"/>
        </w:rPr>
        <w:t>ze strukturálních fondů (</w:t>
      </w:r>
      <w:r w:rsidRPr="002940A2">
        <w:rPr>
          <w:color w:val="0D0D0D" w:themeColor="text1" w:themeTint="F2"/>
          <w:spacing w:val="-4"/>
          <w:sz w:val="16"/>
          <w:szCs w:val="16"/>
        </w:rPr>
        <w:t>–</w:t>
      </w:r>
      <w:r w:rsidRPr="002940A2">
        <w:rPr>
          <w:spacing w:val="-4"/>
          <w:sz w:val="16"/>
          <w:szCs w:val="16"/>
        </w:rPr>
        <w:t>5,6</w:t>
      </w:r>
      <w:r>
        <w:rPr>
          <w:spacing w:val="-4"/>
          <w:sz w:val="16"/>
          <w:szCs w:val="16"/>
        </w:rPr>
        <w:t> mld</w:t>
      </w:r>
      <w:r w:rsidRPr="002940A2">
        <w:rPr>
          <w:spacing w:val="-4"/>
          <w:sz w:val="16"/>
          <w:szCs w:val="16"/>
        </w:rPr>
        <w:t xml:space="preserve">., </w:t>
      </w:r>
      <w:r w:rsidRPr="002940A2">
        <w:rPr>
          <w:color w:val="0D0D0D" w:themeColor="text1" w:themeTint="F2"/>
          <w:spacing w:val="-4"/>
          <w:sz w:val="16"/>
          <w:szCs w:val="16"/>
        </w:rPr>
        <w:t>–</w:t>
      </w:r>
      <w:r w:rsidRPr="002940A2">
        <w:rPr>
          <w:spacing w:val="-4"/>
          <w:sz w:val="16"/>
          <w:szCs w:val="16"/>
        </w:rPr>
        <w:t>7</w:t>
      </w:r>
      <w:r>
        <w:rPr>
          <w:spacing w:val="-4"/>
          <w:sz w:val="16"/>
          <w:szCs w:val="16"/>
        </w:rPr>
        <w:t> %</w:t>
      </w:r>
      <w:r w:rsidRPr="002940A2">
        <w:rPr>
          <w:spacing w:val="-4"/>
          <w:sz w:val="16"/>
          <w:szCs w:val="16"/>
        </w:rPr>
        <w:t>). Relativně stabilní naopak zůstaly přijaté přímé platby do zemědělství, jež dosáhly 21,8</w:t>
      </w:r>
      <w:r>
        <w:rPr>
          <w:spacing w:val="-4"/>
          <w:sz w:val="16"/>
          <w:szCs w:val="16"/>
        </w:rPr>
        <w:t> mld</w:t>
      </w:r>
      <w:r w:rsidRPr="002940A2">
        <w:rPr>
          <w:spacing w:val="-4"/>
          <w:sz w:val="16"/>
          <w:szCs w:val="16"/>
        </w:rPr>
        <w:t>. korun a</w:t>
      </w:r>
      <w:r>
        <w:rPr>
          <w:spacing w:val="-4"/>
          <w:sz w:val="16"/>
          <w:szCs w:val="16"/>
        </w:rPr>
        <w:t> </w:t>
      </w:r>
      <w:r w:rsidRPr="002940A2">
        <w:rPr>
          <w:spacing w:val="-4"/>
          <w:sz w:val="16"/>
          <w:szCs w:val="16"/>
        </w:rPr>
        <w:t>meziročně klesly jen o</w:t>
      </w:r>
      <w:r>
        <w:rPr>
          <w:spacing w:val="-4"/>
          <w:sz w:val="16"/>
          <w:szCs w:val="16"/>
        </w:rPr>
        <w:t> </w:t>
      </w:r>
      <w:r w:rsidRPr="002940A2">
        <w:rPr>
          <w:spacing w:val="-4"/>
          <w:sz w:val="16"/>
          <w:szCs w:val="16"/>
        </w:rPr>
        <w:t>4</w:t>
      </w:r>
      <w:r>
        <w:rPr>
          <w:spacing w:val="-4"/>
          <w:sz w:val="16"/>
          <w:szCs w:val="16"/>
        </w:rPr>
        <w:t> %</w:t>
      </w:r>
      <w:r w:rsidRPr="002940A2">
        <w:rPr>
          <w:spacing w:val="-4"/>
          <w:sz w:val="16"/>
          <w:szCs w:val="16"/>
        </w:rPr>
        <w:t>. Česko setrvalo v pozici významného čistého příjemce z</w:t>
      </w:r>
      <w:r>
        <w:rPr>
          <w:spacing w:val="-4"/>
          <w:sz w:val="16"/>
          <w:szCs w:val="16"/>
        </w:rPr>
        <w:t> </w:t>
      </w:r>
      <w:r w:rsidRPr="002940A2">
        <w:rPr>
          <w:spacing w:val="-4"/>
          <w:sz w:val="16"/>
          <w:szCs w:val="16"/>
        </w:rPr>
        <w:t>fondů</w:t>
      </w:r>
      <w:r>
        <w:rPr>
          <w:spacing w:val="-4"/>
          <w:sz w:val="16"/>
          <w:szCs w:val="16"/>
        </w:rPr>
        <w:t> </w:t>
      </w:r>
      <w:r w:rsidRPr="002940A2">
        <w:rPr>
          <w:spacing w:val="-4"/>
          <w:sz w:val="16"/>
          <w:szCs w:val="16"/>
        </w:rPr>
        <w:t>EU (+65,3</w:t>
      </w:r>
      <w:r>
        <w:rPr>
          <w:spacing w:val="-4"/>
          <w:sz w:val="16"/>
          <w:szCs w:val="16"/>
        </w:rPr>
        <w:t> mld.</w:t>
      </w:r>
      <w:r w:rsidRPr="002940A2">
        <w:rPr>
          <w:spacing w:val="-4"/>
          <w:sz w:val="16"/>
          <w:szCs w:val="16"/>
        </w:rPr>
        <w:t xml:space="preserve"> korun), a</w:t>
      </w:r>
      <w:r>
        <w:rPr>
          <w:spacing w:val="-4"/>
          <w:sz w:val="16"/>
          <w:szCs w:val="16"/>
        </w:rPr>
        <w:t> </w:t>
      </w:r>
      <w:r w:rsidRPr="002940A2">
        <w:rPr>
          <w:spacing w:val="-4"/>
          <w:sz w:val="16"/>
          <w:szCs w:val="16"/>
        </w:rPr>
        <w:t>to přesto, že platby ČR do rozpočtu</w:t>
      </w:r>
      <w:r>
        <w:rPr>
          <w:spacing w:val="-4"/>
          <w:sz w:val="16"/>
          <w:szCs w:val="16"/>
        </w:rPr>
        <w:t> </w:t>
      </w:r>
      <w:r w:rsidRPr="002940A2">
        <w:rPr>
          <w:spacing w:val="-4"/>
          <w:sz w:val="16"/>
          <w:szCs w:val="16"/>
        </w:rPr>
        <w:t>EU oproti roku 2020 vzrostly o</w:t>
      </w:r>
      <w:r>
        <w:rPr>
          <w:spacing w:val="-4"/>
          <w:sz w:val="16"/>
          <w:szCs w:val="16"/>
        </w:rPr>
        <w:t> </w:t>
      </w:r>
      <w:r w:rsidRPr="002940A2">
        <w:rPr>
          <w:spacing w:val="-4"/>
          <w:sz w:val="16"/>
          <w:szCs w:val="16"/>
        </w:rPr>
        <w:t>desetinu (mj.</w:t>
      </w:r>
      <w:r>
        <w:rPr>
          <w:spacing w:val="-4"/>
          <w:sz w:val="16"/>
          <w:szCs w:val="16"/>
        </w:rPr>
        <w:t> </w:t>
      </w:r>
      <w:r w:rsidRPr="002940A2">
        <w:rPr>
          <w:spacing w:val="-4"/>
          <w:sz w:val="16"/>
          <w:szCs w:val="16"/>
        </w:rPr>
        <w:t>i</w:t>
      </w:r>
      <w:r>
        <w:rPr>
          <w:spacing w:val="-4"/>
          <w:sz w:val="16"/>
          <w:szCs w:val="16"/>
        </w:rPr>
        <w:t> </w:t>
      </w:r>
      <w:r w:rsidRPr="002940A2">
        <w:rPr>
          <w:spacing w:val="-4"/>
          <w:sz w:val="16"/>
          <w:szCs w:val="16"/>
        </w:rPr>
        <w:t>kvůli navýšení objemu rozpočtu</w:t>
      </w:r>
      <w:r>
        <w:rPr>
          <w:spacing w:val="-4"/>
          <w:sz w:val="16"/>
          <w:szCs w:val="16"/>
        </w:rPr>
        <w:t> </w:t>
      </w:r>
      <w:r w:rsidRPr="002940A2">
        <w:rPr>
          <w:spacing w:val="-4"/>
          <w:sz w:val="16"/>
          <w:szCs w:val="16"/>
        </w:rPr>
        <w:t>EU i</w:t>
      </w:r>
      <w:r>
        <w:rPr>
          <w:spacing w:val="-4"/>
          <w:sz w:val="16"/>
          <w:szCs w:val="16"/>
        </w:rPr>
        <w:t> </w:t>
      </w:r>
      <w:r w:rsidRPr="002940A2">
        <w:rPr>
          <w:spacing w:val="-4"/>
          <w:sz w:val="16"/>
          <w:szCs w:val="16"/>
        </w:rPr>
        <w:t>vlivem covidové krize). Po připočtení příjmů z nového nástroje</w:t>
      </w:r>
      <w:r>
        <w:rPr>
          <w:spacing w:val="-4"/>
          <w:sz w:val="16"/>
          <w:szCs w:val="16"/>
        </w:rPr>
        <w:t> </w:t>
      </w:r>
      <w:r w:rsidRPr="002940A2">
        <w:rPr>
          <w:spacing w:val="-4"/>
          <w:sz w:val="16"/>
          <w:szCs w:val="16"/>
        </w:rPr>
        <w:t xml:space="preserve">EU na podporu oživení, které Česko využívá v Národním plánu obnovy, by se loni čistá </w:t>
      </w:r>
      <w:r>
        <w:rPr>
          <w:spacing w:val="-4"/>
          <w:sz w:val="16"/>
          <w:szCs w:val="16"/>
        </w:rPr>
        <w:t xml:space="preserve">kladná </w:t>
      </w:r>
      <w:r w:rsidRPr="002940A2">
        <w:rPr>
          <w:spacing w:val="-4"/>
          <w:sz w:val="16"/>
          <w:szCs w:val="16"/>
        </w:rPr>
        <w:t>pozice</w:t>
      </w:r>
      <w:r>
        <w:rPr>
          <w:spacing w:val="-4"/>
          <w:sz w:val="16"/>
          <w:szCs w:val="16"/>
        </w:rPr>
        <w:t> </w:t>
      </w:r>
      <w:r w:rsidRPr="002940A2">
        <w:rPr>
          <w:spacing w:val="-4"/>
          <w:sz w:val="16"/>
          <w:szCs w:val="16"/>
        </w:rPr>
        <w:t>ČR vůči</w:t>
      </w:r>
      <w:r>
        <w:rPr>
          <w:spacing w:val="-4"/>
          <w:sz w:val="16"/>
          <w:szCs w:val="16"/>
        </w:rPr>
        <w:t> </w:t>
      </w:r>
      <w:r w:rsidRPr="002940A2">
        <w:rPr>
          <w:spacing w:val="-4"/>
          <w:sz w:val="16"/>
          <w:szCs w:val="16"/>
        </w:rPr>
        <w:t>EU přiblížila 90</w:t>
      </w:r>
      <w:r>
        <w:rPr>
          <w:spacing w:val="-4"/>
          <w:sz w:val="16"/>
          <w:szCs w:val="16"/>
        </w:rPr>
        <w:t> mld</w:t>
      </w:r>
      <w:r w:rsidRPr="002940A2">
        <w:rPr>
          <w:spacing w:val="-4"/>
          <w:sz w:val="16"/>
          <w:szCs w:val="16"/>
        </w:rPr>
        <w:t>. korun a</w:t>
      </w:r>
      <w:r>
        <w:rPr>
          <w:spacing w:val="-4"/>
          <w:sz w:val="16"/>
          <w:szCs w:val="16"/>
        </w:rPr>
        <w:t> </w:t>
      </w:r>
      <w:r w:rsidRPr="002940A2">
        <w:rPr>
          <w:spacing w:val="-4"/>
          <w:sz w:val="16"/>
          <w:szCs w:val="16"/>
        </w:rPr>
        <w:t xml:space="preserve">mírně tak překonala hodnotu z roku 2019, jež byla druhá nejvyšší </w:t>
      </w:r>
      <w:r>
        <w:rPr>
          <w:spacing w:val="-4"/>
          <w:sz w:val="16"/>
          <w:szCs w:val="16"/>
        </w:rPr>
        <w:t>v </w:t>
      </w:r>
      <w:r w:rsidRPr="002940A2">
        <w:rPr>
          <w:spacing w:val="-4"/>
          <w:sz w:val="16"/>
          <w:szCs w:val="16"/>
        </w:rPr>
        <w:t>historii členství</w:t>
      </w:r>
      <w:r>
        <w:rPr>
          <w:spacing w:val="-4"/>
          <w:sz w:val="16"/>
          <w:szCs w:val="16"/>
        </w:rPr>
        <w:t> </w:t>
      </w:r>
      <w:r w:rsidRPr="002940A2">
        <w:rPr>
          <w:spacing w:val="-4"/>
          <w:sz w:val="16"/>
          <w:szCs w:val="16"/>
        </w:rPr>
        <w:t xml:space="preserve">ČR </w:t>
      </w:r>
      <w:r>
        <w:rPr>
          <w:spacing w:val="-4"/>
          <w:sz w:val="16"/>
          <w:szCs w:val="16"/>
        </w:rPr>
        <w:t>v</w:t>
      </w:r>
      <w:r w:rsidRPr="002940A2">
        <w:rPr>
          <w:spacing w:val="-4"/>
          <w:sz w:val="16"/>
          <w:szCs w:val="16"/>
        </w:rPr>
        <w:t> Unii.</w:t>
      </w:r>
    </w:p>
  </w:footnote>
  <w:footnote w:id="91">
    <w:p w14:paraId="6FF9FF6D" w14:textId="77777777" w:rsidR="00CD7E9E" w:rsidRDefault="00CD7E9E" w:rsidP="00144108">
      <w:pPr>
        <w:pStyle w:val="Textpoznpodarou"/>
        <w:jc w:val="both"/>
        <w:rPr>
          <w:color w:val="0D0D0D" w:themeColor="text1" w:themeTint="F2"/>
          <w:spacing w:val="-4"/>
          <w:sz w:val="16"/>
          <w:szCs w:val="16"/>
        </w:rPr>
      </w:pPr>
      <w:r w:rsidRPr="00813E8A">
        <w:rPr>
          <w:rStyle w:val="Znakapoznpodarou"/>
          <w:spacing w:val="-4"/>
          <w:sz w:val="16"/>
          <w:szCs w:val="16"/>
        </w:rPr>
        <w:footnoteRef/>
      </w:r>
      <w:r>
        <w:rPr>
          <w:spacing w:val="-4"/>
          <w:sz w:val="16"/>
          <w:szCs w:val="16"/>
        </w:rPr>
        <w:t xml:space="preserve"> Šlo</w:t>
      </w:r>
      <w:r>
        <w:rPr>
          <w:color w:val="0D0D0D" w:themeColor="text1" w:themeTint="F2"/>
          <w:spacing w:val="-4"/>
          <w:sz w:val="16"/>
          <w:szCs w:val="16"/>
        </w:rPr>
        <w:t xml:space="preserve"> zejména</w:t>
      </w:r>
      <w:r w:rsidRPr="00813E8A">
        <w:rPr>
          <w:color w:val="0D0D0D" w:themeColor="text1" w:themeTint="F2"/>
          <w:spacing w:val="-4"/>
          <w:sz w:val="16"/>
          <w:szCs w:val="16"/>
        </w:rPr>
        <w:t xml:space="preserve"> </w:t>
      </w:r>
      <w:r>
        <w:rPr>
          <w:color w:val="0D0D0D" w:themeColor="text1" w:themeTint="F2"/>
          <w:spacing w:val="-4"/>
          <w:sz w:val="16"/>
          <w:szCs w:val="16"/>
        </w:rPr>
        <w:t>o </w:t>
      </w:r>
      <w:r w:rsidRPr="00813E8A">
        <w:rPr>
          <w:color w:val="0D0D0D" w:themeColor="text1" w:themeTint="F2"/>
          <w:spacing w:val="-4"/>
          <w:sz w:val="16"/>
          <w:szCs w:val="16"/>
        </w:rPr>
        <w:t>náhradu části mezd a</w:t>
      </w:r>
      <w:r>
        <w:rPr>
          <w:color w:val="0D0D0D" w:themeColor="text1" w:themeTint="F2"/>
          <w:spacing w:val="-4"/>
          <w:sz w:val="16"/>
          <w:szCs w:val="16"/>
        </w:rPr>
        <w:t> </w:t>
      </w:r>
      <w:r w:rsidRPr="00813E8A">
        <w:rPr>
          <w:color w:val="0D0D0D" w:themeColor="text1" w:themeTint="F2"/>
          <w:spacing w:val="-4"/>
          <w:sz w:val="16"/>
          <w:szCs w:val="16"/>
        </w:rPr>
        <w:t>povinných odvodů v rámci programu Antivirus A, A+ a</w:t>
      </w:r>
      <w:r>
        <w:rPr>
          <w:color w:val="0D0D0D" w:themeColor="text1" w:themeTint="F2"/>
          <w:spacing w:val="-4"/>
          <w:sz w:val="16"/>
          <w:szCs w:val="16"/>
        </w:rPr>
        <w:t> </w:t>
      </w:r>
      <w:r w:rsidRPr="00813E8A">
        <w:rPr>
          <w:color w:val="0D0D0D" w:themeColor="text1" w:themeTint="F2"/>
          <w:spacing w:val="-4"/>
          <w:sz w:val="16"/>
          <w:szCs w:val="16"/>
        </w:rPr>
        <w:t>B</w:t>
      </w:r>
      <w:r>
        <w:rPr>
          <w:color w:val="0D0D0D" w:themeColor="text1" w:themeTint="F2"/>
          <w:spacing w:val="-4"/>
          <w:sz w:val="16"/>
          <w:szCs w:val="16"/>
        </w:rPr>
        <w:t xml:space="preserve"> (v roce 2021 vyplaceno ze SR 25,8</w:t>
      </w:r>
      <w:r w:rsidRPr="00813E8A">
        <w:rPr>
          <w:color w:val="0D0D0D" w:themeColor="text1" w:themeTint="F2"/>
          <w:spacing w:val="-4"/>
          <w:sz w:val="16"/>
          <w:szCs w:val="16"/>
        </w:rPr>
        <w:t> mld.</w:t>
      </w:r>
      <w:r>
        <w:rPr>
          <w:color w:val="0D0D0D" w:themeColor="text1" w:themeTint="F2"/>
          <w:spacing w:val="-4"/>
          <w:sz w:val="16"/>
          <w:szCs w:val="16"/>
        </w:rPr>
        <w:t xml:space="preserve"> korun</w:t>
      </w:r>
      <w:r w:rsidRPr="00813E8A">
        <w:rPr>
          <w:color w:val="0D0D0D" w:themeColor="text1" w:themeTint="F2"/>
          <w:spacing w:val="-4"/>
          <w:sz w:val="16"/>
          <w:szCs w:val="16"/>
        </w:rPr>
        <w:t>)</w:t>
      </w:r>
      <w:r>
        <w:rPr>
          <w:color w:val="0D0D0D" w:themeColor="text1" w:themeTint="F2"/>
          <w:spacing w:val="-4"/>
          <w:sz w:val="16"/>
          <w:szCs w:val="16"/>
        </w:rPr>
        <w:t xml:space="preserve"> a </w:t>
      </w:r>
      <w:r w:rsidRPr="00813E8A">
        <w:rPr>
          <w:color w:val="0D0D0D" w:themeColor="text1" w:themeTint="F2"/>
          <w:spacing w:val="-4"/>
          <w:sz w:val="16"/>
          <w:szCs w:val="16"/>
        </w:rPr>
        <w:t xml:space="preserve">speciální programy na přímou podporu zasažených sektorů ekonomiky, např. v oblasti pohostinství, cestovního ruchu, kultury, vzdělávání, sportu, </w:t>
      </w:r>
      <w:r>
        <w:rPr>
          <w:color w:val="0D0D0D" w:themeColor="text1" w:themeTint="F2"/>
          <w:spacing w:val="-4"/>
          <w:sz w:val="16"/>
          <w:szCs w:val="16"/>
        </w:rPr>
        <w:t xml:space="preserve">dopravy, </w:t>
      </w:r>
      <w:r w:rsidRPr="00813E8A">
        <w:rPr>
          <w:color w:val="0D0D0D" w:themeColor="text1" w:themeTint="F2"/>
          <w:spacing w:val="-4"/>
          <w:sz w:val="16"/>
          <w:szCs w:val="16"/>
        </w:rPr>
        <w:t>zemědělství a</w:t>
      </w:r>
      <w:r>
        <w:rPr>
          <w:color w:val="0D0D0D" w:themeColor="text1" w:themeTint="F2"/>
          <w:spacing w:val="-4"/>
          <w:sz w:val="16"/>
          <w:szCs w:val="16"/>
        </w:rPr>
        <w:t> </w:t>
      </w:r>
      <w:r w:rsidRPr="00813E8A">
        <w:rPr>
          <w:color w:val="0D0D0D" w:themeColor="text1" w:themeTint="F2"/>
          <w:spacing w:val="-4"/>
          <w:sz w:val="16"/>
          <w:szCs w:val="16"/>
        </w:rPr>
        <w:t>potravinářství (v</w:t>
      </w:r>
      <w:r>
        <w:rPr>
          <w:color w:val="0D0D0D" w:themeColor="text1" w:themeTint="F2"/>
          <w:spacing w:val="-4"/>
          <w:sz w:val="16"/>
          <w:szCs w:val="16"/>
        </w:rPr>
        <w:t>četně novějších programů</w:t>
      </w:r>
      <w:r w:rsidRPr="00813E8A">
        <w:rPr>
          <w:color w:val="0D0D0D" w:themeColor="text1" w:themeTint="F2"/>
          <w:spacing w:val="-4"/>
          <w:sz w:val="16"/>
          <w:szCs w:val="16"/>
        </w:rPr>
        <w:t xml:space="preserve"> CO</w:t>
      </w:r>
      <w:r>
        <w:rPr>
          <w:color w:val="0D0D0D" w:themeColor="text1" w:themeTint="F2"/>
          <w:spacing w:val="-4"/>
          <w:sz w:val="16"/>
          <w:szCs w:val="16"/>
        </w:rPr>
        <w:t xml:space="preserve">VID 2021, </w:t>
      </w:r>
      <w:r w:rsidRPr="00813E8A">
        <w:rPr>
          <w:color w:val="0D0D0D" w:themeColor="text1" w:themeTint="F2"/>
          <w:spacing w:val="-4"/>
          <w:sz w:val="16"/>
          <w:szCs w:val="16"/>
        </w:rPr>
        <w:t>CO</w:t>
      </w:r>
      <w:r>
        <w:rPr>
          <w:color w:val="0D0D0D" w:themeColor="text1" w:themeTint="F2"/>
          <w:spacing w:val="-4"/>
          <w:sz w:val="16"/>
          <w:szCs w:val="16"/>
        </w:rPr>
        <w:t xml:space="preserve">VID Nájemné, </w:t>
      </w:r>
      <w:r w:rsidRPr="00813E8A">
        <w:rPr>
          <w:color w:val="0D0D0D" w:themeColor="text1" w:themeTint="F2"/>
          <w:spacing w:val="-4"/>
          <w:sz w:val="16"/>
          <w:szCs w:val="16"/>
        </w:rPr>
        <w:t>CO</w:t>
      </w:r>
      <w:r>
        <w:rPr>
          <w:color w:val="0D0D0D" w:themeColor="text1" w:themeTint="F2"/>
          <w:spacing w:val="-4"/>
          <w:sz w:val="16"/>
          <w:szCs w:val="16"/>
        </w:rPr>
        <w:t>VID</w:t>
      </w:r>
      <w:r w:rsidRPr="009263AE">
        <w:rPr>
          <w:color w:val="0D0D0D" w:themeColor="text1" w:themeTint="F2"/>
          <w:spacing w:val="-4"/>
          <w:sz w:val="16"/>
          <w:szCs w:val="16"/>
        </w:rPr>
        <w:t xml:space="preserve"> Nepokryté náklady</w:t>
      </w:r>
      <w:r>
        <w:rPr>
          <w:color w:val="0D0D0D" w:themeColor="text1" w:themeTint="F2"/>
          <w:spacing w:val="-4"/>
          <w:sz w:val="16"/>
          <w:szCs w:val="16"/>
        </w:rPr>
        <w:t>), v celkové výši 38,5 mld. D</w:t>
      </w:r>
      <w:r w:rsidRPr="00813E8A">
        <w:rPr>
          <w:color w:val="0D0D0D" w:themeColor="text1" w:themeTint="F2"/>
          <w:spacing w:val="-4"/>
          <w:sz w:val="16"/>
          <w:szCs w:val="16"/>
        </w:rPr>
        <w:t xml:space="preserve">ále </w:t>
      </w:r>
      <w:r>
        <w:rPr>
          <w:color w:val="0D0D0D" w:themeColor="text1" w:themeTint="F2"/>
          <w:spacing w:val="-4"/>
          <w:sz w:val="16"/>
          <w:szCs w:val="16"/>
        </w:rPr>
        <w:t xml:space="preserve">to byly </w:t>
      </w:r>
      <w:r w:rsidRPr="00813E8A">
        <w:rPr>
          <w:color w:val="0D0D0D" w:themeColor="text1" w:themeTint="F2"/>
          <w:spacing w:val="-4"/>
          <w:sz w:val="16"/>
          <w:szCs w:val="16"/>
        </w:rPr>
        <w:t>vyšší vý</w:t>
      </w:r>
      <w:r>
        <w:rPr>
          <w:color w:val="0D0D0D" w:themeColor="text1" w:themeTint="F2"/>
          <w:spacing w:val="-4"/>
          <w:sz w:val="16"/>
          <w:szCs w:val="16"/>
        </w:rPr>
        <w:t>daje ve zdravotnictví, zejména posílené</w:t>
      </w:r>
      <w:r w:rsidRPr="00813E8A">
        <w:rPr>
          <w:color w:val="0D0D0D" w:themeColor="text1" w:themeTint="F2"/>
          <w:spacing w:val="-4"/>
          <w:sz w:val="16"/>
          <w:szCs w:val="16"/>
        </w:rPr>
        <w:t xml:space="preserve"> platby státu za tzv.</w:t>
      </w:r>
      <w:r>
        <w:rPr>
          <w:color w:val="0D0D0D" w:themeColor="text1" w:themeTint="F2"/>
          <w:spacing w:val="-4"/>
          <w:sz w:val="16"/>
          <w:szCs w:val="16"/>
        </w:rPr>
        <w:t> státního pojištěnce (50,0 mld.</w:t>
      </w:r>
      <w:r w:rsidRPr="00813E8A">
        <w:rPr>
          <w:color w:val="0D0D0D" w:themeColor="text1" w:themeTint="F2"/>
          <w:spacing w:val="-4"/>
          <w:sz w:val="16"/>
          <w:szCs w:val="16"/>
        </w:rPr>
        <w:t>)</w:t>
      </w:r>
      <w:r>
        <w:rPr>
          <w:color w:val="0D0D0D" w:themeColor="text1" w:themeTint="F2"/>
          <w:spacing w:val="-4"/>
          <w:sz w:val="16"/>
          <w:szCs w:val="16"/>
        </w:rPr>
        <w:t>, z</w:t>
      </w:r>
      <w:r w:rsidRPr="009263AE">
        <w:rPr>
          <w:color w:val="0D0D0D" w:themeColor="text1" w:themeTint="F2"/>
          <w:spacing w:val="-4"/>
          <w:sz w:val="16"/>
          <w:szCs w:val="16"/>
        </w:rPr>
        <w:t>výšené osobní náklady pracovníků ve zdravotnictví a</w:t>
      </w:r>
      <w:r>
        <w:rPr>
          <w:color w:val="0D0D0D" w:themeColor="text1" w:themeTint="F2"/>
          <w:spacing w:val="-4"/>
          <w:sz w:val="16"/>
          <w:szCs w:val="16"/>
        </w:rPr>
        <w:t> </w:t>
      </w:r>
      <w:r w:rsidRPr="009263AE">
        <w:rPr>
          <w:color w:val="0D0D0D" w:themeColor="text1" w:themeTint="F2"/>
          <w:spacing w:val="-4"/>
          <w:sz w:val="16"/>
          <w:szCs w:val="16"/>
        </w:rPr>
        <w:t>sociálních službách</w:t>
      </w:r>
      <w:r>
        <w:rPr>
          <w:color w:val="0D0D0D" w:themeColor="text1" w:themeTint="F2"/>
          <w:spacing w:val="-4"/>
          <w:sz w:val="16"/>
          <w:szCs w:val="16"/>
        </w:rPr>
        <w:t xml:space="preserve"> (16,8 mld.),</w:t>
      </w:r>
      <w:r w:rsidRPr="00813E8A">
        <w:rPr>
          <w:color w:val="0D0D0D" w:themeColor="text1" w:themeTint="F2"/>
          <w:spacing w:val="-4"/>
          <w:sz w:val="16"/>
          <w:szCs w:val="16"/>
        </w:rPr>
        <w:t xml:space="preserve"> n</w:t>
      </w:r>
      <w:r>
        <w:rPr>
          <w:color w:val="0D0D0D" w:themeColor="text1" w:themeTint="F2"/>
          <w:spacing w:val="-4"/>
          <w:sz w:val="16"/>
          <w:szCs w:val="16"/>
        </w:rPr>
        <w:t>ákupy ochranných prostředků včetně vakcín (7,9 mld.) a konečně i zvýšené výdaje na některé sociální dávky – ošetřovné,</w:t>
      </w:r>
      <w:r>
        <w:t xml:space="preserve"> </w:t>
      </w:r>
      <w:r>
        <w:rPr>
          <w:color w:val="0D0D0D" w:themeColor="text1" w:themeTint="F2"/>
          <w:spacing w:val="-4"/>
          <w:sz w:val="16"/>
          <w:szCs w:val="16"/>
        </w:rPr>
        <w:t>m</w:t>
      </w:r>
      <w:r w:rsidRPr="002B0A36">
        <w:rPr>
          <w:color w:val="0D0D0D" w:themeColor="text1" w:themeTint="F2"/>
          <w:spacing w:val="-4"/>
          <w:sz w:val="16"/>
          <w:szCs w:val="16"/>
        </w:rPr>
        <w:t>imořádný příspě</w:t>
      </w:r>
      <w:r>
        <w:rPr>
          <w:color w:val="0D0D0D" w:themeColor="text1" w:themeTint="F2"/>
          <w:spacing w:val="-4"/>
          <w:sz w:val="16"/>
          <w:szCs w:val="16"/>
        </w:rPr>
        <w:t xml:space="preserve">vek pro zaměstnance v karanténě či </w:t>
      </w:r>
      <w:r w:rsidRPr="002B0A36">
        <w:rPr>
          <w:color w:val="0D0D0D" w:themeColor="text1" w:themeTint="F2"/>
          <w:spacing w:val="-4"/>
          <w:sz w:val="16"/>
          <w:szCs w:val="16"/>
        </w:rPr>
        <w:t>izolaci</w:t>
      </w:r>
      <w:r>
        <w:rPr>
          <w:color w:val="0D0D0D" w:themeColor="text1" w:themeTint="F2"/>
          <w:spacing w:val="-4"/>
          <w:sz w:val="16"/>
          <w:szCs w:val="16"/>
        </w:rPr>
        <w:t xml:space="preserve"> (5,9 mld.).</w:t>
      </w:r>
    </w:p>
    <w:p w14:paraId="64C8E252" w14:textId="77777777" w:rsidR="00CD7E9E" w:rsidRPr="00813E8A" w:rsidRDefault="00CD7E9E" w:rsidP="00144108">
      <w:pPr>
        <w:pStyle w:val="Textpoznpodarou"/>
        <w:jc w:val="both"/>
        <w:rPr>
          <w:color w:val="0D0D0D" w:themeColor="text1" w:themeTint="F2"/>
          <w:spacing w:val="-4"/>
          <w:sz w:val="16"/>
          <w:szCs w:val="16"/>
        </w:rPr>
      </w:pPr>
      <w:r>
        <w:rPr>
          <w:color w:val="0D0D0D" w:themeColor="text1" w:themeTint="F2"/>
          <w:spacing w:val="-4"/>
          <w:sz w:val="16"/>
          <w:szCs w:val="16"/>
        </w:rPr>
        <w:t>Většina z uvedených výdajů ve srovnání s rokem 2020 narostla. Výjimkou byly ošetřovné, nákupy ochranných pomůcek a oddlužení nemocnic.</w:t>
      </w:r>
    </w:p>
  </w:footnote>
  <w:footnote w:id="92">
    <w:p w14:paraId="099F4905" w14:textId="77777777" w:rsidR="00CD7E9E" w:rsidRPr="00813E8A" w:rsidRDefault="00CD7E9E" w:rsidP="00144108">
      <w:pPr>
        <w:pStyle w:val="Textpoznpodarou"/>
        <w:rPr>
          <w:spacing w:val="-2"/>
          <w:sz w:val="16"/>
          <w:szCs w:val="16"/>
        </w:rPr>
      </w:pPr>
      <w:r w:rsidRPr="00813E8A">
        <w:rPr>
          <w:rStyle w:val="Znakapoznpodarou"/>
          <w:spacing w:val="-2"/>
          <w:sz w:val="16"/>
          <w:szCs w:val="16"/>
        </w:rPr>
        <w:footnoteRef/>
      </w:r>
      <w:r w:rsidRPr="00813E8A">
        <w:rPr>
          <w:spacing w:val="-2"/>
          <w:sz w:val="16"/>
          <w:szCs w:val="16"/>
        </w:rPr>
        <w:t xml:space="preserve"> Odráží schválený </w:t>
      </w:r>
      <w:r>
        <w:rPr>
          <w:spacing w:val="-2"/>
          <w:sz w:val="16"/>
          <w:szCs w:val="16"/>
        </w:rPr>
        <w:t xml:space="preserve">loňský </w:t>
      </w:r>
      <w:r w:rsidRPr="00813E8A">
        <w:rPr>
          <w:spacing w:val="-2"/>
          <w:sz w:val="16"/>
          <w:szCs w:val="16"/>
        </w:rPr>
        <w:t>meziroční nárůst u</w:t>
      </w:r>
      <w:r>
        <w:rPr>
          <w:spacing w:val="-2"/>
          <w:sz w:val="16"/>
          <w:szCs w:val="16"/>
        </w:rPr>
        <w:t> </w:t>
      </w:r>
      <w:r w:rsidRPr="00813E8A">
        <w:rPr>
          <w:spacing w:val="-2"/>
          <w:sz w:val="16"/>
          <w:szCs w:val="16"/>
        </w:rPr>
        <w:t>pedagogických i</w:t>
      </w:r>
      <w:r>
        <w:rPr>
          <w:spacing w:val="-2"/>
          <w:sz w:val="16"/>
          <w:szCs w:val="16"/>
        </w:rPr>
        <w:t> </w:t>
      </w:r>
      <w:r w:rsidRPr="00813E8A">
        <w:rPr>
          <w:spacing w:val="-2"/>
          <w:sz w:val="16"/>
          <w:szCs w:val="16"/>
        </w:rPr>
        <w:t>nepedagogických pracovníků (o</w:t>
      </w:r>
      <w:r>
        <w:rPr>
          <w:spacing w:val="-2"/>
          <w:sz w:val="16"/>
          <w:szCs w:val="16"/>
        </w:rPr>
        <w:t> </w:t>
      </w:r>
      <w:r w:rsidRPr="00813E8A">
        <w:rPr>
          <w:spacing w:val="-2"/>
          <w:sz w:val="16"/>
          <w:szCs w:val="16"/>
        </w:rPr>
        <w:t>9</w:t>
      </w:r>
      <w:r>
        <w:rPr>
          <w:spacing w:val="-2"/>
          <w:sz w:val="16"/>
          <w:szCs w:val="16"/>
        </w:rPr>
        <w:t> %</w:t>
      </w:r>
      <w:r w:rsidRPr="00813E8A">
        <w:rPr>
          <w:spacing w:val="-2"/>
          <w:sz w:val="16"/>
          <w:szCs w:val="16"/>
        </w:rPr>
        <w:t>, resp. 4,3</w:t>
      </w:r>
      <w:r>
        <w:rPr>
          <w:spacing w:val="-2"/>
          <w:sz w:val="16"/>
          <w:szCs w:val="16"/>
        </w:rPr>
        <w:t> %</w:t>
      </w:r>
      <w:r w:rsidRPr="00813E8A">
        <w:rPr>
          <w:spacing w:val="-2"/>
          <w:sz w:val="16"/>
          <w:szCs w:val="16"/>
        </w:rPr>
        <w:t>).</w:t>
      </w:r>
    </w:p>
  </w:footnote>
  <w:footnote w:id="93">
    <w:p w14:paraId="3EC10781" w14:textId="77777777" w:rsidR="00CD7E9E" w:rsidRPr="00D671AC" w:rsidRDefault="00CD7E9E" w:rsidP="00144108">
      <w:pPr>
        <w:pStyle w:val="Textpoznpodarou"/>
        <w:rPr>
          <w:sz w:val="16"/>
          <w:szCs w:val="16"/>
        </w:rPr>
      </w:pPr>
      <w:r w:rsidRPr="00813E8A">
        <w:rPr>
          <w:rStyle w:val="Znakapoznpodarou"/>
          <w:spacing w:val="-2"/>
          <w:sz w:val="16"/>
          <w:szCs w:val="16"/>
        </w:rPr>
        <w:footnoteRef/>
      </w:r>
      <w:r>
        <w:rPr>
          <w:spacing w:val="-2"/>
          <w:sz w:val="16"/>
          <w:szCs w:val="16"/>
        </w:rPr>
        <w:t xml:space="preserve"> V těchto výdajích nejsou zahrnuty výdaje na obsluhu státního dluhu a též v posledních letech okrajová položka výdajů na realizaci záruk.</w:t>
      </w:r>
    </w:p>
  </w:footnote>
  <w:footnote w:id="94">
    <w:p w14:paraId="0E49ACAB" w14:textId="77777777" w:rsidR="00CD7E9E" w:rsidRPr="00FA3B92" w:rsidRDefault="00CD7E9E" w:rsidP="00144108">
      <w:pPr>
        <w:pStyle w:val="Textpoznpodarou"/>
        <w:rPr>
          <w:sz w:val="16"/>
          <w:szCs w:val="16"/>
        </w:rPr>
      </w:pPr>
      <w:r w:rsidRPr="00FA3B92">
        <w:rPr>
          <w:rStyle w:val="Znakapoznpodarou"/>
          <w:sz w:val="16"/>
          <w:szCs w:val="16"/>
        </w:rPr>
        <w:footnoteRef/>
      </w:r>
      <w:r w:rsidRPr="00FA3B92">
        <w:rPr>
          <w:sz w:val="16"/>
          <w:szCs w:val="16"/>
        </w:rPr>
        <w:t xml:space="preserve"> </w:t>
      </w:r>
      <w:r w:rsidRPr="00FA3B92">
        <w:rPr>
          <w:spacing w:val="-5"/>
          <w:sz w:val="16"/>
          <w:szCs w:val="16"/>
        </w:rPr>
        <w:t>Podíl sociálníc</w:t>
      </w:r>
      <w:r>
        <w:rPr>
          <w:spacing w:val="-5"/>
          <w:sz w:val="16"/>
          <w:szCs w:val="16"/>
        </w:rPr>
        <w:t>h dávek na všech výdajích SR se loni meziročně snížil popáté v řadě (na 36,3 %, minimum ve srovnatelné řadě po roce 2011).</w:t>
      </w:r>
    </w:p>
  </w:footnote>
  <w:footnote w:id="95">
    <w:p w14:paraId="3B71D691" w14:textId="77777777" w:rsidR="00CD7E9E" w:rsidRPr="00502763" w:rsidRDefault="00CD7E9E" w:rsidP="00144108">
      <w:pPr>
        <w:pStyle w:val="Textpoznpodarou"/>
        <w:rPr>
          <w:sz w:val="16"/>
          <w:szCs w:val="16"/>
        </w:rPr>
      </w:pPr>
      <w:r w:rsidRPr="00502763">
        <w:rPr>
          <w:rStyle w:val="Znakapoznpodarou"/>
          <w:sz w:val="16"/>
          <w:szCs w:val="16"/>
        </w:rPr>
        <w:footnoteRef/>
      </w:r>
      <w:r>
        <w:rPr>
          <w:sz w:val="16"/>
          <w:szCs w:val="16"/>
        </w:rPr>
        <w:t xml:space="preserve"> Ve vysokém</w:t>
      </w:r>
      <w:r w:rsidRPr="00502763">
        <w:rPr>
          <w:sz w:val="16"/>
          <w:szCs w:val="16"/>
        </w:rPr>
        <w:t xml:space="preserve"> růstu se projevilo zejména zavedení krizového ošetřovného (souvisejí</w:t>
      </w:r>
      <w:r>
        <w:rPr>
          <w:sz w:val="16"/>
          <w:szCs w:val="16"/>
        </w:rPr>
        <w:t>cího</w:t>
      </w:r>
      <w:r w:rsidRPr="00502763">
        <w:rPr>
          <w:sz w:val="16"/>
          <w:szCs w:val="16"/>
        </w:rPr>
        <w:t xml:space="preserve"> s domácí péč</w:t>
      </w:r>
      <w:r>
        <w:rPr>
          <w:sz w:val="16"/>
          <w:szCs w:val="16"/>
        </w:rPr>
        <w:t>í</w:t>
      </w:r>
      <w:r w:rsidRPr="00502763">
        <w:rPr>
          <w:sz w:val="16"/>
          <w:szCs w:val="16"/>
        </w:rPr>
        <w:t xml:space="preserve"> o</w:t>
      </w:r>
      <w:r>
        <w:rPr>
          <w:sz w:val="16"/>
          <w:szCs w:val="16"/>
        </w:rPr>
        <w:t> </w:t>
      </w:r>
      <w:r w:rsidRPr="00502763">
        <w:rPr>
          <w:sz w:val="16"/>
          <w:szCs w:val="16"/>
        </w:rPr>
        <w:t xml:space="preserve">děti z důvodu nuceného uzavření škol či </w:t>
      </w:r>
      <w:r>
        <w:rPr>
          <w:sz w:val="16"/>
          <w:szCs w:val="16"/>
        </w:rPr>
        <w:t xml:space="preserve">kvůli </w:t>
      </w:r>
      <w:r w:rsidRPr="00502763">
        <w:rPr>
          <w:sz w:val="16"/>
          <w:szCs w:val="16"/>
        </w:rPr>
        <w:t>karantén</w:t>
      </w:r>
      <w:r>
        <w:rPr>
          <w:sz w:val="16"/>
          <w:szCs w:val="16"/>
        </w:rPr>
        <w:t>ě</w:t>
      </w:r>
      <w:r w:rsidRPr="00502763">
        <w:rPr>
          <w:sz w:val="16"/>
          <w:szCs w:val="16"/>
        </w:rPr>
        <w:t>), n</w:t>
      </w:r>
      <w:r>
        <w:rPr>
          <w:sz w:val="16"/>
          <w:szCs w:val="16"/>
        </w:rPr>
        <w:t>avýšení rodičovského příspěvku a vyšší tempo valorizace důchodů.</w:t>
      </w:r>
    </w:p>
  </w:footnote>
  <w:footnote w:id="96">
    <w:p w14:paraId="1941463B" w14:textId="77777777" w:rsidR="00CD7E9E" w:rsidRPr="00D80E29" w:rsidRDefault="00CD7E9E" w:rsidP="00144108">
      <w:pPr>
        <w:pStyle w:val="Textpoznpodarou"/>
        <w:rPr>
          <w:sz w:val="16"/>
          <w:szCs w:val="16"/>
        </w:rPr>
      </w:pPr>
      <w:r w:rsidRPr="00D80E29">
        <w:rPr>
          <w:rStyle w:val="Znakapoznpodarou"/>
          <w:sz w:val="16"/>
          <w:szCs w:val="16"/>
        </w:rPr>
        <w:footnoteRef/>
      </w:r>
      <w:r w:rsidRPr="00D80E29">
        <w:rPr>
          <w:sz w:val="16"/>
          <w:szCs w:val="16"/>
        </w:rPr>
        <w:t xml:space="preserve"> Příspěvek činil 5</w:t>
      </w:r>
      <w:r>
        <w:rPr>
          <w:sz w:val="16"/>
          <w:szCs w:val="16"/>
        </w:rPr>
        <w:t> tis.</w:t>
      </w:r>
      <w:r w:rsidRPr="00D80E29">
        <w:rPr>
          <w:sz w:val="16"/>
          <w:szCs w:val="16"/>
        </w:rPr>
        <w:t xml:space="preserve"> korun a</w:t>
      </w:r>
      <w:r>
        <w:rPr>
          <w:sz w:val="16"/>
          <w:szCs w:val="16"/>
        </w:rPr>
        <w:t> </w:t>
      </w:r>
      <w:r w:rsidRPr="00D80E29">
        <w:rPr>
          <w:sz w:val="16"/>
          <w:szCs w:val="16"/>
        </w:rPr>
        <w:t>znamenal pro</w:t>
      </w:r>
      <w:r>
        <w:rPr>
          <w:sz w:val="16"/>
          <w:szCs w:val="16"/>
        </w:rPr>
        <w:t> </w:t>
      </w:r>
      <w:r w:rsidRPr="00D80E29">
        <w:rPr>
          <w:sz w:val="16"/>
          <w:szCs w:val="16"/>
        </w:rPr>
        <w:t>SR navýšení celkových výdajů o</w:t>
      </w:r>
      <w:r>
        <w:rPr>
          <w:sz w:val="16"/>
          <w:szCs w:val="16"/>
        </w:rPr>
        <w:t> </w:t>
      </w:r>
      <w:r w:rsidRPr="00D80E29">
        <w:rPr>
          <w:sz w:val="16"/>
          <w:szCs w:val="16"/>
        </w:rPr>
        <w:t>necelých 15</w:t>
      </w:r>
      <w:r>
        <w:rPr>
          <w:sz w:val="16"/>
          <w:szCs w:val="16"/>
        </w:rPr>
        <w:t> mld</w:t>
      </w:r>
      <w:r w:rsidRPr="00D80E29">
        <w:rPr>
          <w:sz w:val="16"/>
          <w:szCs w:val="16"/>
        </w:rPr>
        <w:t>. korun. Od ledna do listopadu 2021 se meziroční růst</w:t>
      </w:r>
      <w:r>
        <w:rPr>
          <w:sz w:val="16"/>
          <w:szCs w:val="16"/>
        </w:rPr>
        <w:t xml:space="preserve"> výdajů na důchody rovnal 5,4 % a odrážel z drtivé většiny efekt běžné valorizace důchodů.</w:t>
      </w:r>
    </w:p>
  </w:footnote>
  <w:footnote w:id="97">
    <w:p w14:paraId="782FF8D5" w14:textId="77777777" w:rsidR="00CD7E9E" w:rsidRPr="00813E8A" w:rsidRDefault="00CD7E9E" w:rsidP="00144108">
      <w:pPr>
        <w:pStyle w:val="Textpoznpodarou"/>
        <w:jc w:val="both"/>
        <w:rPr>
          <w:spacing w:val="-4"/>
          <w:sz w:val="16"/>
          <w:szCs w:val="16"/>
        </w:rPr>
      </w:pPr>
      <w:r w:rsidRPr="00813E8A">
        <w:rPr>
          <w:rStyle w:val="Znakapoznpodarou"/>
          <w:spacing w:val="-4"/>
          <w:sz w:val="16"/>
          <w:szCs w:val="16"/>
        </w:rPr>
        <w:footnoteRef/>
      </w:r>
      <w:r w:rsidRPr="00813E8A">
        <w:rPr>
          <w:spacing w:val="-4"/>
          <w:sz w:val="16"/>
          <w:szCs w:val="16"/>
        </w:rPr>
        <w:t xml:space="preserve"> Objem vybraného pojistného </w:t>
      </w:r>
      <w:r>
        <w:rPr>
          <w:spacing w:val="-4"/>
          <w:sz w:val="16"/>
          <w:szCs w:val="16"/>
        </w:rPr>
        <w:t>byl ve 2. i 3. čtvrtletí</w:t>
      </w:r>
      <w:r w:rsidRPr="00813E8A">
        <w:rPr>
          <w:spacing w:val="-4"/>
          <w:sz w:val="16"/>
          <w:szCs w:val="16"/>
        </w:rPr>
        <w:t xml:space="preserve"> negativně poznamenán zrušením minimálních záloh pro osoby samostatně výdělečně činné a</w:t>
      </w:r>
      <w:r>
        <w:rPr>
          <w:spacing w:val="-4"/>
          <w:sz w:val="16"/>
          <w:szCs w:val="16"/>
        </w:rPr>
        <w:t> </w:t>
      </w:r>
      <w:r w:rsidRPr="00813E8A">
        <w:rPr>
          <w:spacing w:val="-4"/>
          <w:sz w:val="16"/>
          <w:szCs w:val="16"/>
        </w:rPr>
        <w:t>též prominutím pojistného placeného zaměstnavatelem (program Antivirus</w:t>
      </w:r>
      <w:r>
        <w:rPr>
          <w:spacing w:val="-4"/>
          <w:sz w:val="16"/>
          <w:szCs w:val="16"/>
        </w:rPr>
        <w:t> </w:t>
      </w:r>
      <w:r w:rsidRPr="00813E8A">
        <w:rPr>
          <w:spacing w:val="-4"/>
          <w:sz w:val="16"/>
          <w:szCs w:val="16"/>
        </w:rPr>
        <w:t>C).</w:t>
      </w:r>
    </w:p>
  </w:footnote>
  <w:footnote w:id="98">
    <w:p w14:paraId="6369F472" w14:textId="77777777" w:rsidR="00CD7E9E" w:rsidRPr="00EC2E06" w:rsidRDefault="00CD7E9E" w:rsidP="00144108">
      <w:pPr>
        <w:pStyle w:val="Textpoznpodarou"/>
        <w:jc w:val="both"/>
        <w:rPr>
          <w:spacing w:val="-4"/>
        </w:rPr>
      </w:pPr>
      <w:r w:rsidRPr="00EC2E06">
        <w:rPr>
          <w:rStyle w:val="Znakapoznpodarou"/>
          <w:spacing w:val="-4"/>
          <w:sz w:val="16"/>
          <w:szCs w:val="16"/>
        </w:rPr>
        <w:footnoteRef/>
      </w:r>
      <w:r w:rsidRPr="00EC2E06">
        <w:rPr>
          <w:spacing w:val="-4"/>
          <w:sz w:val="16"/>
          <w:szCs w:val="16"/>
        </w:rPr>
        <w:t xml:space="preserve"> Je vyjádřeno </w:t>
      </w:r>
      <w:r w:rsidRPr="00EC2E06">
        <w:rPr>
          <w:rFonts w:cs="Arial"/>
          <w:color w:val="000000" w:themeColor="text1"/>
          <w:spacing w:val="-4"/>
          <w:sz w:val="16"/>
          <w:szCs w:val="16"/>
        </w:rPr>
        <w:t xml:space="preserve">rozdílem mezi příjmy a výdaji na důchody ze SR. Ve výdajích nejsou zahrnuty náklady na správu systému důchodového </w:t>
      </w:r>
      <w:r w:rsidRPr="00EC2E06">
        <w:rPr>
          <w:rFonts w:cs="Arial"/>
          <w:color w:val="0D0D0D" w:themeColor="text1" w:themeTint="F2"/>
          <w:spacing w:val="-4"/>
          <w:sz w:val="16"/>
          <w:szCs w:val="16"/>
        </w:rPr>
        <w:t>pojištění.</w:t>
      </w:r>
    </w:p>
  </w:footnote>
  <w:footnote w:id="99">
    <w:p w14:paraId="72D396FF" w14:textId="77777777" w:rsidR="00CD7E9E" w:rsidRPr="00F73096" w:rsidRDefault="00CD7E9E" w:rsidP="00144108">
      <w:pPr>
        <w:pStyle w:val="Textpoznpodarou"/>
        <w:jc w:val="both"/>
        <w:rPr>
          <w:spacing w:val="-2"/>
          <w:sz w:val="16"/>
          <w:szCs w:val="16"/>
        </w:rPr>
      </w:pPr>
      <w:r w:rsidRPr="00F73096">
        <w:rPr>
          <w:rStyle w:val="Znakapoznpodarou"/>
          <w:spacing w:val="-2"/>
          <w:sz w:val="16"/>
          <w:szCs w:val="16"/>
        </w:rPr>
        <w:footnoteRef/>
      </w:r>
      <w:r w:rsidRPr="00F73096">
        <w:rPr>
          <w:spacing w:val="-2"/>
          <w:sz w:val="16"/>
          <w:szCs w:val="16"/>
        </w:rPr>
        <w:t xml:space="preserve"> </w:t>
      </w:r>
      <w:r>
        <w:rPr>
          <w:spacing w:val="-2"/>
          <w:sz w:val="16"/>
          <w:szCs w:val="16"/>
        </w:rPr>
        <w:t>Od 1. července 2021 došlo ke</w:t>
      </w:r>
      <w:r w:rsidRPr="00F73096">
        <w:rPr>
          <w:spacing w:val="-2"/>
          <w:sz w:val="16"/>
          <w:szCs w:val="16"/>
        </w:rPr>
        <w:t xml:space="preserve"> zvýšení hranice rozhodného příjmu pro čerpání (z</w:t>
      </w:r>
      <w:r>
        <w:rPr>
          <w:spacing w:val="-2"/>
          <w:sz w:val="16"/>
          <w:szCs w:val="16"/>
        </w:rPr>
        <w:t> </w:t>
      </w:r>
      <w:r w:rsidRPr="00F73096">
        <w:rPr>
          <w:spacing w:val="-2"/>
          <w:sz w:val="16"/>
          <w:szCs w:val="16"/>
        </w:rPr>
        <w:t>2,7</w:t>
      </w:r>
      <w:r>
        <w:rPr>
          <w:spacing w:val="-2"/>
          <w:sz w:val="16"/>
          <w:szCs w:val="16"/>
        </w:rPr>
        <w:t>-</w:t>
      </w:r>
      <w:r w:rsidRPr="00F73096">
        <w:rPr>
          <w:spacing w:val="-2"/>
          <w:sz w:val="16"/>
          <w:szCs w:val="16"/>
        </w:rPr>
        <w:t xml:space="preserve"> na 3,4násobek životního minima rodiny) i</w:t>
      </w:r>
      <w:r>
        <w:rPr>
          <w:spacing w:val="-2"/>
          <w:sz w:val="16"/>
          <w:szCs w:val="16"/>
        </w:rPr>
        <w:t> k </w:t>
      </w:r>
      <w:r w:rsidRPr="00F73096">
        <w:rPr>
          <w:spacing w:val="-2"/>
          <w:sz w:val="16"/>
          <w:szCs w:val="16"/>
        </w:rPr>
        <w:t>valorizaci výš</w:t>
      </w:r>
      <w:r>
        <w:rPr>
          <w:spacing w:val="-2"/>
          <w:sz w:val="16"/>
          <w:szCs w:val="16"/>
        </w:rPr>
        <w:t>e</w:t>
      </w:r>
      <w:r w:rsidRPr="00F73096">
        <w:rPr>
          <w:spacing w:val="-2"/>
          <w:sz w:val="16"/>
          <w:szCs w:val="16"/>
        </w:rPr>
        <w:t xml:space="preserve"> přídavku (o</w:t>
      </w:r>
      <w:r>
        <w:rPr>
          <w:spacing w:val="-2"/>
          <w:sz w:val="16"/>
          <w:szCs w:val="16"/>
        </w:rPr>
        <w:t> 26 %)</w:t>
      </w:r>
      <w:r w:rsidRPr="00C20E4A">
        <w:rPr>
          <w:spacing w:val="-3"/>
          <w:sz w:val="16"/>
          <w:szCs w:val="16"/>
        </w:rPr>
        <w:t>.</w:t>
      </w:r>
    </w:p>
  </w:footnote>
  <w:footnote w:id="100">
    <w:p w14:paraId="3A54AFD2" w14:textId="77777777" w:rsidR="00CD7E9E" w:rsidRPr="00720F42" w:rsidRDefault="00CD7E9E" w:rsidP="00144108">
      <w:pPr>
        <w:spacing w:after="0"/>
        <w:rPr>
          <w:sz w:val="16"/>
          <w:szCs w:val="16"/>
        </w:rPr>
      </w:pPr>
      <w:r w:rsidRPr="00720F42">
        <w:rPr>
          <w:rStyle w:val="Znakapoznpodarou"/>
          <w:sz w:val="16"/>
          <w:szCs w:val="16"/>
        </w:rPr>
        <w:footnoteRef/>
      </w:r>
      <w:r w:rsidRPr="00720F42">
        <w:rPr>
          <w:sz w:val="16"/>
          <w:szCs w:val="16"/>
        </w:rPr>
        <w:t xml:space="preserve"> Odpovídá saldu rozpočtové kapitoly Státní dluh.</w:t>
      </w:r>
    </w:p>
  </w:footnote>
  <w:footnote w:id="101">
    <w:p w14:paraId="5DE9D671" w14:textId="77777777" w:rsidR="00CD7E9E" w:rsidRDefault="00CD7E9E" w:rsidP="00144108">
      <w:pPr>
        <w:pStyle w:val="Textpoznpodarou"/>
      </w:pPr>
      <w:r w:rsidRPr="008C2F4A">
        <w:rPr>
          <w:rStyle w:val="Znakapoznpodarou"/>
          <w:sz w:val="16"/>
          <w:szCs w:val="16"/>
        </w:rPr>
        <w:footnoteRef/>
      </w:r>
      <w:r w:rsidRPr="008C2F4A">
        <w:rPr>
          <w:sz w:val="16"/>
          <w:szCs w:val="16"/>
        </w:rPr>
        <w:t xml:space="preserve"> </w:t>
      </w:r>
      <w:r>
        <w:rPr>
          <w:sz w:val="16"/>
          <w:szCs w:val="16"/>
        </w:rPr>
        <w:t>Údaje o hospodaření vládních institucí v ČR za 4. čtvrtletí 2021 i celý loňský rok zveřejní ČSÚ 1. dubna 2022, Eurostat za své členské státy následně 22. dubna. Podrobnější zhodnocení vývoje v tuzemsku za 3. čtvrtletí je obsaženo v publikaci Analýza sektorových účtů:</w:t>
      </w:r>
    </w:p>
    <w:p w14:paraId="6ED48E01" w14:textId="77777777" w:rsidR="00CD7E9E" w:rsidRPr="008F18A4" w:rsidRDefault="00CD08BF" w:rsidP="00144108">
      <w:pPr>
        <w:pStyle w:val="Textpoznpodarou"/>
        <w:rPr>
          <w:sz w:val="16"/>
          <w:szCs w:val="16"/>
        </w:rPr>
      </w:pPr>
      <w:hyperlink r:id="rId2" w:history="1">
        <w:r w:rsidR="00CD7E9E" w:rsidRPr="0021327C">
          <w:rPr>
            <w:rStyle w:val="Hypertextovodkaz"/>
            <w:sz w:val="16"/>
            <w:szCs w:val="16"/>
          </w:rPr>
          <w:t>https://www.czso.cz/csu/czso/cri/analyza-ctvrtletnich-sektorovych-uctu-3-ctvrtleti-2021</w:t>
        </w:r>
      </w:hyperlink>
    </w:p>
  </w:footnote>
  <w:footnote w:id="102">
    <w:p w14:paraId="6B58BE36" w14:textId="77777777" w:rsidR="00CD7E9E" w:rsidRPr="00CB5D70" w:rsidRDefault="00CD7E9E" w:rsidP="00144108">
      <w:pPr>
        <w:pStyle w:val="Textpoznpodarou"/>
        <w:rPr>
          <w:spacing w:val="-2"/>
          <w:sz w:val="16"/>
          <w:szCs w:val="16"/>
        </w:rPr>
      </w:pPr>
      <w:r w:rsidRPr="00CB5D70">
        <w:rPr>
          <w:rStyle w:val="Znakapoznpodarou"/>
          <w:spacing w:val="-2"/>
          <w:sz w:val="16"/>
          <w:szCs w:val="16"/>
        </w:rPr>
        <w:footnoteRef/>
      </w:r>
      <w:r w:rsidRPr="00CB5D70">
        <w:rPr>
          <w:spacing w:val="-2"/>
          <w:sz w:val="16"/>
          <w:szCs w:val="16"/>
        </w:rPr>
        <w:t xml:space="preserve"> Bez Itálie, Řecka, Chorvatska a</w:t>
      </w:r>
      <w:r>
        <w:rPr>
          <w:spacing w:val="-2"/>
          <w:sz w:val="16"/>
          <w:szCs w:val="16"/>
        </w:rPr>
        <w:t> </w:t>
      </w:r>
      <w:r w:rsidRPr="00CB5D70">
        <w:rPr>
          <w:spacing w:val="-2"/>
          <w:sz w:val="16"/>
          <w:szCs w:val="16"/>
        </w:rPr>
        <w:t>Kypru</w:t>
      </w:r>
      <w:r>
        <w:rPr>
          <w:spacing w:val="-2"/>
          <w:sz w:val="16"/>
          <w:szCs w:val="16"/>
        </w:rPr>
        <w:t>, za které nebyly</w:t>
      </w:r>
      <w:r w:rsidRPr="00CB5D70">
        <w:rPr>
          <w:spacing w:val="-2"/>
          <w:sz w:val="16"/>
          <w:szCs w:val="16"/>
        </w:rPr>
        <w:t xml:space="preserve"> sezó</w:t>
      </w:r>
      <w:r>
        <w:rPr>
          <w:spacing w:val="-2"/>
          <w:sz w:val="16"/>
          <w:szCs w:val="16"/>
        </w:rPr>
        <w:t>nně očištěné údaje k dispozici</w:t>
      </w:r>
      <w:r w:rsidRPr="00CB5D70">
        <w:rPr>
          <w:spacing w:val="-2"/>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CD7E9E" w:rsidRDefault="00CD7E9E" w:rsidP="00937AE2">
    <w:pPr>
      <w:pStyle w:val="Zhlav"/>
    </w:pPr>
    <w:r>
      <w:t>Vývoj ekonomiky České republiky</w:t>
    </w:r>
  </w:p>
  <w:p w14:paraId="3E881AB3" w14:textId="77777777" w:rsidR="00CD7E9E" w:rsidRPr="006F5416" w:rsidRDefault="00CD7E9E"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CD7E9E" w:rsidRDefault="00CD7E9E" w:rsidP="00937AE2">
    <w:pPr>
      <w:pStyle w:val="Zhlav"/>
    </w:pPr>
    <w:r>
      <w:t>Vývoj ekonomiky České republiky</w:t>
    </w:r>
  </w:p>
  <w:p w14:paraId="57266714" w14:textId="77777777" w:rsidR="00CD7E9E" w:rsidRPr="006F5416" w:rsidRDefault="00CD7E9E"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75795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70A"/>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389"/>
    <w:rsid w:val="0002669F"/>
    <w:rsid w:val="000279E5"/>
    <w:rsid w:val="000305E0"/>
    <w:rsid w:val="00031AE0"/>
    <w:rsid w:val="00031BB2"/>
    <w:rsid w:val="000322EF"/>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A"/>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33F"/>
    <w:rsid w:val="00065348"/>
    <w:rsid w:val="0006551C"/>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A2C"/>
    <w:rsid w:val="000A3D9E"/>
    <w:rsid w:val="000A4A54"/>
    <w:rsid w:val="000A4ED9"/>
    <w:rsid w:val="000A5DB7"/>
    <w:rsid w:val="000A6753"/>
    <w:rsid w:val="000A6D94"/>
    <w:rsid w:val="000A7377"/>
    <w:rsid w:val="000A74A4"/>
    <w:rsid w:val="000A775A"/>
    <w:rsid w:val="000A7FF4"/>
    <w:rsid w:val="000B03CC"/>
    <w:rsid w:val="000B4212"/>
    <w:rsid w:val="000B67B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D0A26"/>
    <w:rsid w:val="000D13CB"/>
    <w:rsid w:val="000D2196"/>
    <w:rsid w:val="000D3058"/>
    <w:rsid w:val="000D310A"/>
    <w:rsid w:val="000D3EF4"/>
    <w:rsid w:val="000D4761"/>
    <w:rsid w:val="000D4DC0"/>
    <w:rsid w:val="000D55BA"/>
    <w:rsid w:val="000D5637"/>
    <w:rsid w:val="000D5A03"/>
    <w:rsid w:val="000D5ED3"/>
    <w:rsid w:val="000D6F4E"/>
    <w:rsid w:val="000D6FDA"/>
    <w:rsid w:val="000D73BB"/>
    <w:rsid w:val="000E0E96"/>
    <w:rsid w:val="000E298B"/>
    <w:rsid w:val="000E2C7D"/>
    <w:rsid w:val="000E3E56"/>
    <w:rsid w:val="000E440D"/>
    <w:rsid w:val="000E4AC5"/>
    <w:rsid w:val="000E6253"/>
    <w:rsid w:val="000E6AC4"/>
    <w:rsid w:val="000E6E4D"/>
    <w:rsid w:val="000E6FBD"/>
    <w:rsid w:val="000E6FCB"/>
    <w:rsid w:val="000F090B"/>
    <w:rsid w:val="000F3F3B"/>
    <w:rsid w:val="000F4721"/>
    <w:rsid w:val="000F47E8"/>
    <w:rsid w:val="000F70E4"/>
    <w:rsid w:val="000F76EA"/>
    <w:rsid w:val="00100A8B"/>
    <w:rsid w:val="00100F5C"/>
    <w:rsid w:val="00101CDA"/>
    <w:rsid w:val="00102037"/>
    <w:rsid w:val="00103DCB"/>
    <w:rsid w:val="00104C4C"/>
    <w:rsid w:val="00105015"/>
    <w:rsid w:val="001055D2"/>
    <w:rsid w:val="001057C2"/>
    <w:rsid w:val="00107124"/>
    <w:rsid w:val="0011038E"/>
    <w:rsid w:val="00111573"/>
    <w:rsid w:val="001125EF"/>
    <w:rsid w:val="00112CAB"/>
    <w:rsid w:val="0011440C"/>
    <w:rsid w:val="00114C33"/>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ADC"/>
    <w:rsid w:val="00130D9F"/>
    <w:rsid w:val="00132C4D"/>
    <w:rsid w:val="00133FC1"/>
    <w:rsid w:val="00134659"/>
    <w:rsid w:val="00135111"/>
    <w:rsid w:val="00136A6F"/>
    <w:rsid w:val="00136C1A"/>
    <w:rsid w:val="001405FA"/>
    <w:rsid w:val="00140D1A"/>
    <w:rsid w:val="00141184"/>
    <w:rsid w:val="00141315"/>
    <w:rsid w:val="00141AA0"/>
    <w:rsid w:val="001425C3"/>
    <w:rsid w:val="0014262D"/>
    <w:rsid w:val="00142B29"/>
    <w:rsid w:val="00144108"/>
    <w:rsid w:val="00144588"/>
    <w:rsid w:val="001447DD"/>
    <w:rsid w:val="00145358"/>
    <w:rsid w:val="001459BC"/>
    <w:rsid w:val="00150ECA"/>
    <w:rsid w:val="00151707"/>
    <w:rsid w:val="00152C86"/>
    <w:rsid w:val="00152F4F"/>
    <w:rsid w:val="0015329F"/>
    <w:rsid w:val="001544A1"/>
    <w:rsid w:val="001553B8"/>
    <w:rsid w:val="001554C2"/>
    <w:rsid w:val="001571C0"/>
    <w:rsid w:val="0015753D"/>
    <w:rsid w:val="00157984"/>
    <w:rsid w:val="00157CC9"/>
    <w:rsid w:val="00160C21"/>
    <w:rsid w:val="001612F4"/>
    <w:rsid w:val="00161553"/>
    <w:rsid w:val="0016216F"/>
    <w:rsid w:val="0016256B"/>
    <w:rsid w:val="00162F81"/>
    <w:rsid w:val="00163793"/>
    <w:rsid w:val="00164CA1"/>
    <w:rsid w:val="00165313"/>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97D0E"/>
    <w:rsid w:val="001A0487"/>
    <w:rsid w:val="001A0675"/>
    <w:rsid w:val="001A0A37"/>
    <w:rsid w:val="001A1F68"/>
    <w:rsid w:val="001A21FA"/>
    <w:rsid w:val="001A4D7C"/>
    <w:rsid w:val="001A4EF0"/>
    <w:rsid w:val="001A552F"/>
    <w:rsid w:val="001A70B1"/>
    <w:rsid w:val="001B0738"/>
    <w:rsid w:val="001B1235"/>
    <w:rsid w:val="001B158D"/>
    <w:rsid w:val="001B2CA9"/>
    <w:rsid w:val="001B3110"/>
    <w:rsid w:val="001B3E38"/>
    <w:rsid w:val="001B40F5"/>
    <w:rsid w:val="001B4729"/>
    <w:rsid w:val="001B4F0E"/>
    <w:rsid w:val="001B5F40"/>
    <w:rsid w:val="001B6310"/>
    <w:rsid w:val="001B6C09"/>
    <w:rsid w:val="001B6E12"/>
    <w:rsid w:val="001C05CD"/>
    <w:rsid w:val="001C082B"/>
    <w:rsid w:val="001C0F17"/>
    <w:rsid w:val="001C1B24"/>
    <w:rsid w:val="001C1B66"/>
    <w:rsid w:val="001C1BB5"/>
    <w:rsid w:val="001C2732"/>
    <w:rsid w:val="001C31A2"/>
    <w:rsid w:val="001C351D"/>
    <w:rsid w:val="001C3794"/>
    <w:rsid w:val="001C4B8F"/>
    <w:rsid w:val="001C4BB8"/>
    <w:rsid w:val="001C4FD0"/>
    <w:rsid w:val="001C544D"/>
    <w:rsid w:val="001C5E46"/>
    <w:rsid w:val="001C6B3B"/>
    <w:rsid w:val="001C7A26"/>
    <w:rsid w:val="001C7E3F"/>
    <w:rsid w:val="001D0EF1"/>
    <w:rsid w:val="001D22C2"/>
    <w:rsid w:val="001D2C99"/>
    <w:rsid w:val="001D3B75"/>
    <w:rsid w:val="001D452E"/>
    <w:rsid w:val="001D54C1"/>
    <w:rsid w:val="001D556E"/>
    <w:rsid w:val="001D5DF2"/>
    <w:rsid w:val="001D6175"/>
    <w:rsid w:val="001D68B2"/>
    <w:rsid w:val="001D7EFD"/>
    <w:rsid w:val="001D7F60"/>
    <w:rsid w:val="001E085B"/>
    <w:rsid w:val="001E149B"/>
    <w:rsid w:val="001E15CB"/>
    <w:rsid w:val="001E3306"/>
    <w:rsid w:val="001E504C"/>
    <w:rsid w:val="001E56AC"/>
    <w:rsid w:val="001E5A17"/>
    <w:rsid w:val="001E74C5"/>
    <w:rsid w:val="001F1236"/>
    <w:rsid w:val="001F2F90"/>
    <w:rsid w:val="001F4597"/>
    <w:rsid w:val="001F4826"/>
    <w:rsid w:val="001F4933"/>
    <w:rsid w:val="001F59C8"/>
    <w:rsid w:val="001F6CD3"/>
    <w:rsid w:val="001F75DA"/>
    <w:rsid w:val="001F7CE0"/>
    <w:rsid w:val="00200085"/>
    <w:rsid w:val="00203332"/>
    <w:rsid w:val="00203CD5"/>
    <w:rsid w:val="00203D8F"/>
    <w:rsid w:val="00203DA4"/>
    <w:rsid w:val="00204EA6"/>
    <w:rsid w:val="00205186"/>
    <w:rsid w:val="00206516"/>
    <w:rsid w:val="002070CF"/>
    <w:rsid w:val="002071D5"/>
    <w:rsid w:val="002111E5"/>
    <w:rsid w:val="0021149E"/>
    <w:rsid w:val="002118B9"/>
    <w:rsid w:val="00213691"/>
    <w:rsid w:val="002142C0"/>
    <w:rsid w:val="00217C5B"/>
    <w:rsid w:val="00220A43"/>
    <w:rsid w:val="0022139E"/>
    <w:rsid w:val="00222729"/>
    <w:rsid w:val="0022287B"/>
    <w:rsid w:val="002228DB"/>
    <w:rsid w:val="00223185"/>
    <w:rsid w:val="00223264"/>
    <w:rsid w:val="002233D6"/>
    <w:rsid w:val="0022441D"/>
    <w:rsid w:val="00224574"/>
    <w:rsid w:val="00224E3F"/>
    <w:rsid w:val="00225000"/>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496"/>
    <w:rsid w:val="00251B08"/>
    <w:rsid w:val="00251C53"/>
    <w:rsid w:val="00252AB9"/>
    <w:rsid w:val="002532B1"/>
    <w:rsid w:val="00253C0F"/>
    <w:rsid w:val="002558C1"/>
    <w:rsid w:val="00256207"/>
    <w:rsid w:val="002575F3"/>
    <w:rsid w:val="002603E1"/>
    <w:rsid w:val="002605FE"/>
    <w:rsid w:val="0026120E"/>
    <w:rsid w:val="002617EE"/>
    <w:rsid w:val="00262582"/>
    <w:rsid w:val="0026291D"/>
    <w:rsid w:val="00262CF3"/>
    <w:rsid w:val="00264309"/>
    <w:rsid w:val="00264992"/>
    <w:rsid w:val="00264B4F"/>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DEF"/>
    <w:rsid w:val="002763A2"/>
    <w:rsid w:val="00276B33"/>
    <w:rsid w:val="00277669"/>
    <w:rsid w:val="002803A5"/>
    <w:rsid w:val="00280ACB"/>
    <w:rsid w:val="002812E3"/>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E4C"/>
    <w:rsid w:val="002E4EA7"/>
    <w:rsid w:val="002E5846"/>
    <w:rsid w:val="002E792B"/>
    <w:rsid w:val="002E7AEB"/>
    <w:rsid w:val="002E7B79"/>
    <w:rsid w:val="002F1B09"/>
    <w:rsid w:val="002F1D56"/>
    <w:rsid w:val="002F1DCB"/>
    <w:rsid w:val="002F1DE4"/>
    <w:rsid w:val="002F333D"/>
    <w:rsid w:val="002F351A"/>
    <w:rsid w:val="002F46D6"/>
    <w:rsid w:val="002F498A"/>
    <w:rsid w:val="002F4AD8"/>
    <w:rsid w:val="002F5285"/>
    <w:rsid w:val="002F5820"/>
    <w:rsid w:val="002F64BB"/>
    <w:rsid w:val="002F7D9B"/>
    <w:rsid w:val="00300C31"/>
    <w:rsid w:val="003017EC"/>
    <w:rsid w:val="00302165"/>
    <w:rsid w:val="00303BB4"/>
    <w:rsid w:val="00304771"/>
    <w:rsid w:val="00304F9C"/>
    <w:rsid w:val="003052D4"/>
    <w:rsid w:val="00305863"/>
    <w:rsid w:val="003060E9"/>
    <w:rsid w:val="00306C5B"/>
    <w:rsid w:val="00307529"/>
    <w:rsid w:val="00307DB3"/>
    <w:rsid w:val="00307ED2"/>
    <w:rsid w:val="0031076D"/>
    <w:rsid w:val="0031169A"/>
    <w:rsid w:val="00311AA6"/>
    <w:rsid w:val="00311C4D"/>
    <w:rsid w:val="003121AB"/>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54F89"/>
    <w:rsid w:val="0035506D"/>
    <w:rsid w:val="0036077F"/>
    <w:rsid w:val="00360C86"/>
    <w:rsid w:val="00360F7A"/>
    <w:rsid w:val="00360FBC"/>
    <w:rsid w:val="00361537"/>
    <w:rsid w:val="00361FB7"/>
    <w:rsid w:val="0036242A"/>
    <w:rsid w:val="00362C23"/>
    <w:rsid w:val="00362DCA"/>
    <w:rsid w:val="00362E90"/>
    <w:rsid w:val="00364FA0"/>
    <w:rsid w:val="003657F3"/>
    <w:rsid w:val="00365844"/>
    <w:rsid w:val="0036624C"/>
    <w:rsid w:val="00367F84"/>
    <w:rsid w:val="003712BC"/>
    <w:rsid w:val="00372164"/>
    <w:rsid w:val="003738BD"/>
    <w:rsid w:val="00374263"/>
    <w:rsid w:val="003746F0"/>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6739"/>
    <w:rsid w:val="003978B1"/>
    <w:rsid w:val="003A04F6"/>
    <w:rsid w:val="003A0837"/>
    <w:rsid w:val="003A2B4D"/>
    <w:rsid w:val="003A2D12"/>
    <w:rsid w:val="003A2EBA"/>
    <w:rsid w:val="003A45E3"/>
    <w:rsid w:val="003A46B8"/>
    <w:rsid w:val="003A478C"/>
    <w:rsid w:val="003A4A38"/>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E8"/>
    <w:rsid w:val="003C3D2C"/>
    <w:rsid w:val="003C4E13"/>
    <w:rsid w:val="003C58A5"/>
    <w:rsid w:val="003C6221"/>
    <w:rsid w:val="003C63D7"/>
    <w:rsid w:val="003C68CC"/>
    <w:rsid w:val="003C7E62"/>
    <w:rsid w:val="003D12B9"/>
    <w:rsid w:val="003D1E7A"/>
    <w:rsid w:val="003D242B"/>
    <w:rsid w:val="003D2492"/>
    <w:rsid w:val="003D29AA"/>
    <w:rsid w:val="003D2A99"/>
    <w:rsid w:val="003D6920"/>
    <w:rsid w:val="003E0249"/>
    <w:rsid w:val="003E08A4"/>
    <w:rsid w:val="003E1EF8"/>
    <w:rsid w:val="003E2DFB"/>
    <w:rsid w:val="003E4466"/>
    <w:rsid w:val="003E4C91"/>
    <w:rsid w:val="003E52D8"/>
    <w:rsid w:val="003E62F1"/>
    <w:rsid w:val="003E6F84"/>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23623"/>
    <w:rsid w:val="0042470E"/>
    <w:rsid w:val="00425352"/>
    <w:rsid w:val="00426C99"/>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6FE5"/>
    <w:rsid w:val="00457490"/>
    <w:rsid w:val="0045786C"/>
    <w:rsid w:val="00457953"/>
    <w:rsid w:val="004604D8"/>
    <w:rsid w:val="00460656"/>
    <w:rsid w:val="00460FB3"/>
    <w:rsid w:val="00463D3C"/>
    <w:rsid w:val="00464851"/>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735C"/>
    <w:rsid w:val="004776BC"/>
    <w:rsid w:val="00477820"/>
    <w:rsid w:val="00477B96"/>
    <w:rsid w:val="00480802"/>
    <w:rsid w:val="00480BAE"/>
    <w:rsid w:val="00480D7F"/>
    <w:rsid w:val="0048139F"/>
    <w:rsid w:val="00481E40"/>
    <w:rsid w:val="00482405"/>
    <w:rsid w:val="004826A7"/>
    <w:rsid w:val="0048368C"/>
    <w:rsid w:val="0048372F"/>
    <w:rsid w:val="00483A0C"/>
    <w:rsid w:val="004841CC"/>
    <w:rsid w:val="00484ECE"/>
    <w:rsid w:val="00485E82"/>
    <w:rsid w:val="00486132"/>
    <w:rsid w:val="0048686D"/>
    <w:rsid w:val="00486A4D"/>
    <w:rsid w:val="004915CB"/>
    <w:rsid w:val="004924DC"/>
    <w:rsid w:val="00492879"/>
    <w:rsid w:val="00493E85"/>
    <w:rsid w:val="00495145"/>
    <w:rsid w:val="0049531F"/>
    <w:rsid w:val="004979A5"/>
    <w:rsid w:val="004A0144"/>
    <w:rsid w:val="004A036E"/>
    <w:rsid w:val="004A0498"/>
    <w:rsid w:val="004A06B0"/>
    <w:rsid w:val="004A0D0E"/>
    <w:rsid w:val="004A14E4"/>
    <w:rsid w:val="004A204E"/>
    <w:rsid w:val="004A26A5"/>
    <w:rsid w:val="004A27F0"/>
    <w:rsid w:val="004A3212"/>
    <w:rsid w:val="004A37CD"/>
    <w:rsid w:val="004A40D9"/>
    <w:rsid w:val="004A49A5"/>
    <w:rsid w:val="004A4F8A"/>
    <w:rsid w:val="004A52AB"/>
    <w:rsid w:val="004A5494"/>
    <w:rsid w:val="004A5D4E"/>
    <w:rsid w:val="004A61C5"/>
    <w:rsid w:val="004A62A0"/>
    <w:rsid w:val="004A77DF"/>
    <w:rsid w:val="004B1417"/>
    <w:rsid w:val="004B305C"/>
    <w:rsid w:val="004B31B8"/>
    <w:rsid w:val="004B339A"/>
    <w:rsid w:val="004B4C83"/>
    <w:rsid w:val="004B55B7"/>
    <w:rsid w:val="004B5BFA"/>
    <w:rsid w:val="004B619E"/>
    <w:rsid w:val="004B6468"/>
    <w:rsid w:val="004B6EF8"/>
    <w:rsid w:val="004B7125"/>
    <w:rsid w:val="004B756A"/>
    <w:rsid w:val="004B7FB1"/>
    <w:rsid w:val="004C0B3F"/>
    <w:rsid w:val="004C0F87"/>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D31"/>
    <w:rsid w:val="004D2E03"/>
    <w:rsid w:val="004D3296"/>
    <w:rsid w:val="004D4056"/>
    <w:rsid w:val="004D4CB0"/>
    <w:rsid w:val="004D5B0F"/>
    <w:rsid w:val="004D7626"/>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425"/>
    <w:rsid w:val="00522A1B"/>
    <w:rsid w:val="00522E01"/>
    <w:rsid w:val="0052337A"/>
    <w:rsid w:val="00524385"/>
    <w:rsid w:val="005246BE"/>
    <w:rsid w:val="00525137"/>
    <w:rsid w:val="005251DD"/>
    <w:rsid w:val="0052762C"/>
    <w:rsid w:val="0053012B"/>
    <w:rsid w:val="005301A6"/>
    <w:rsid w:val="00530A68"/>
    <w:rsid w:val="00530AD4"/>
    <w:rsid w:val="0053129F"/>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3A3"/>
    <w:rsid w:val="005455F6"/>
    <w:rsid w:val="0054582F"/>
    <w:rsid w:val="00546FC7"/>
    <w:rsid w:val="005500F9"/>
    <w:rsid w:val="00550160"/>
    <w:rsid w:val="005519E2"/>
    <w:rsid w:val="005523A8"/>
    <w:rsid w:val="00552F2C"/>
    <w:rsid w:val="00553A25"/>
    <w:rsid w:val="005547EB"/>
    <w:rsid w:val="00554863"/>
    <w:rsid w:val="005555E0"/>
    <w:rsid w:val="0055599F"/>
    <w:rsid w:val="00556D68"/>
    <w:rsid w:val="0055707B"/>
    <w:rsid w:val="005570D6"/>
    <w:rsid w:val="00557E0E"/>
    <w:rsid w:val="00557E45"/>
    <w:rsid w:val="00560C41"/>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63"/>
    <w:rsid w:val="005A0948"/>
    <w:rsid w:val="005A0A03"/>
    <w:rsid w:val="005A10F2"/>
    <w:rsid w:val="005A16C0"/>
    <w:rsid w:val="005A2156"/>
    <w:rsid w:val="005A21E0"/>
    <w:rsid w:val="005A28FF"/>
    <w:rsid w:val="005A2C09"/>
    <w:rsid w:val="005A3778"/>
    <w:rsid w:val="005A37B0"/>
    <w:rsid w:val="005A3DF8"/>
    <w:rsid w:val="005A5549"/>
    <w:rsid w:val="005A566A"/>
    <w:rsid w:val="005A7ABD"/>
    <w:rsid w:val="005A7CF8"/>
    <w:rsid w:val="005B0EDA"/>
    <w:rsid w:val="005B121D"/>
    <w:rsid w:val="005B26B0"/>
    <w:rsid w:val="005B41C9"/>
    <w:rsid w:val="005B44E6"/>
    <w:rsid w:val="005B4853"/>
    <w:rsid w:val="005B6CA1"/>
    <w:rsid w:val="005B770C"/>
    <w:rsid w:val="005C06ED"/>
    <w:rsid w:val="005C0CE1"/>
    <w:rsid w:val="005C11B8"/>
    <w:rsid w:val="005C216C"/>
    <w:rsid w:val="005C2609"/>
    <w:rsid w:val="005C2B30"/>
    <w:rsid w:val="005C412B"/>
    <w:rsid w:val="005C43EC"/>
    <w:rsid w:val="005C45DD"/>
    <w:rsid w:val="005C4704"/>
    <w:rsid w:val="005C4CB1"/>
    <w:rsid w:val="005D3F06"/>
    <w:rsid w:val="005D4B73"/>
    <w:rsid w:val="005D5645"/>
    <w:rsid w:val="005D5802"/>
    <w:rsid w:val="005D5AA9"/>
    <w:rsid w:val="005D66E6"/>
    <w:rsid w:val="005D7119"/>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20D"/>
    <w:rsid w:val="006017C1"/>
    <w:rsid w:val="00601ADE"/>
    <w:rsid w:val="00601EEF"/>
    <w:rsid w:val="0060255A"/>
    <w:rsid w:val="00602998"/>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6B3"/>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6D25"/>
    <w:rsid w:val="00657E87"/>
    <w:rsid w:val="00660D2D"/>
    <w:rsid w:val="00661C41"/>
    <w:rsid w:val="00661EC9"/>
    <w:rsid w:val="00662469"/>
    <w:rsid w:val="0066411C"/>
    <w:rsid w:val="00664205"/>
    <w:rsid w:val="00664647"/>
    <w:rsid w:val="00664803"/>
    <w:rsid w:val="0066502F"/>
    <w:rsid w:val="006653CC"/>
    <w:rsid w:val="00665982"/>
    <w:rsid w:val="00665BA4"/>
    <w:rsid w:val="00666BF3"/>
    <w:rsid w:val="00667856"/>
    <w:rsid w:val="00667AF2"/>
    <w:rsid w:val="00670489"/>
    <w:rsid w:val="006710C9"/>
    <w:rsid w:val="00671D85"/>
    <w:rsid w:val="00672586"/>
    <w:rsid w:val="006741CD"/>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B9B"/>
    <w:rsid w:val="00684D59"/>
    <w:rsid w:val="00684E25"/>
    <w:rsid w:val="006858A4"/>
    <w:rsid w:val="00685C08"/>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61D"/>
    <w:rsid w:val="0073333D"/>
    <w:rsid w:val="007343D9"/>
    <w:rsid w:val="00734F71"/>
    <w:rsid w:val="00735448"/>
    <w:rsid w:val="00736F07"/>
    <w:rsid w:val="007377BD"/>
    <w:rsid w:val="00737DEC"/>
    <w:rsid w:val="0074004D"/>
    <w:rsid w:val="00741493"/>
    <w:rsid w:val="007434E5"/>
    <w:rsid w:val="0074499B"/>
    <w:rsid w:val="007450BF"/>
    <w:rsid w:val="00746F45"/>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601"/>
    <w:rsid w:val="00767777"/>
    <w:rsid w:val="00770CFC"/>
    <w:rsid w:val="0077130E"/>
    <w:rsid w:val="007715EE"/>
    <w:rsid w:val="00771972"/>
    <w:rsid w:val="00772279"/>
    <w:rsid w:val="00772DAB"/>
    <w:rsid w:val="00772FF9"/>
    <w:rsid w:val="0077348B"/>
    <w:rsid w:val="007743DB"/>
    <w:rsid w:val="00774D2C"/>
    <w:rsid w:val="0077605B"/>
    <w:rsid w:val="00776169"/>
    <w:rsid w:val="00776527"/>
    <w:rsid w:val="00777040"/>
    <w:rsid w:val="00777CE6"/>
    <w:rsid w:val="00777D57"/>
    <w:rsid w:val="00780EF1"/>
    <w:rsid w:val="00781A91"/>
    <w:rsid w:val="00781AD3"/>
    <w:rsid w:val="00781F36"/>
    <w:rsid w:val="0078357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4B0"/>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B74AA"/>
    <w:rsid w:val="007C10BD"/>
    <w:rsid w:val="007C162D"/>
    <w:rsid w:val="007C1F0C"/>
    <w:rsid w:val="007C1FFB"/>
    <w:rsid w:val="007C2D94"/>
    <w:rsid w:val="007C4A6B"/>
    <w:rsid w:val="007C5F92"/>
    <w:rsid w:val="007C6227"/>
    <w:rsid w:val="007C6BBD"/>
    <w:rsid w:val="007C6D89"/>
    <w:rsid w:val="007C6F5E"/>
    <w:rsid w:val="007D0382"/>
    <w:rsid w:val="007D0F6B"/>
    <w:rsid w:val="007D14FE"/>
    <w:rsid w:val="007D1A1F"/>
    <w:rsid w:val="007D213B"/>
    <w:rsid w:val="007D2E18"/>
    <w:rsid w:val="007D40DF"/>
    <w:rsid w:val="007D42E5"/>
    <w:rsid w:val="007D4458"/>
    <w:rsid w:val="007D6AF9"/>
    <w:rsid w:val="007E0535"/>
    <w:rsid w:val="007E07F2"/>
    <w:rsid w:val="007E0D4A"/>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1FF8"/>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20A8"/>
    <w:rsid w:val="00852217"/>
    <w:rsid w:val="00853282"/>
    <w:rsid w:val="0085334C"/>
    <w:rsid w:val="00854291"/>
    <w:rsid w:val="00855408"/>
    <w:rsid w:val="00855D03"/>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ECD"/>
    <w:rsid w:val="0087347C"/>
    <w:rsid w:val="008734E7"/>
    <w:rsid w:val="0087368D"/>
    <w:rsid w:val="008740CC"/>
    <w:rsid w:val="0087442A"/>
    <w:rsid w:val="00874FE8"/>
    <w:rsid w:val="00875A32"/>
    <w:rsid w:val="00876086"/>
    <w:rsid w:val="00876651"/>
    <w:rsid w:val="00876E83"/>
    <w:rsid w:val="008772BC"/>
    <w:rsid w:val="00880A0E"/>
    <w:rsid w:val="008817FE"/>
    <w:rsid w:val="00881CD7"/>
    <w:rsid w:val="00882911"/>
    <w:rsid w:val="00882F6E"/>
    <w:rsid w:val="00883202"/>
    <w:rsid w:val="00884E02"/>
    <w:rsid w:val="0088502B"/>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43CA"/>
    <w:rsid w:val="008B5324"/>
    <w:rsid w:val="008B5C99"/>
    <w:rsid w:val="008B6106"/>
    <w:rsid w:val="008B7C02"/>
    <w:rsid w:val="008B7D2B"/>
    <w:rsid w:val="008B7EF9"/>
    <w:rsid w:val="008C0049"/>
    <w:rsid w:val="008C0314"/>
    <w:rsid w:val="008C0E88"/>
    <w:rsid w:val="008C1717"/>
    <w:rsid w:val="008C17F0"/>
    <w:rsid w:val="008C3B05"/>
    <w:rsid w:val="008C4B50"/>
    <w:rsid w:val="008C5A37"/>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E0001"/>
    <w:rsid w:val="008E039E"/>
    <w:rsid w:val="008E292B"/>
    <w:rsid w:val="008E2C57"/>
    <w:rsid w:val="008E31FF"/>
    <w:rsid w:val="008E3287"/>
    <w:rsid w:val="008E38E4"/>
    <w:rsid w:val="008E3DFA"/>
    <w:rsid w:val="008E51EB"/>
    <w:rsid w:val="008E5746"/>
    <w:rsid w:val="008E6DCB"/>
    <w:rsid w:val="008E6F06"/>
    <w:rsid w:val="008E7000"/>
    <w:rsid w:val="008E723E"/>
    <w:rsid w:val="008E7B8E"/>
    <w:rsid w:val="008E7FC9"/>
    <w:rsid w:val="008F0107"/>
    <w:rsid w:val="008F029B"/>
    <w:rsid w:val="008F0589"/>
    <w:rsid w:val="008F2A5D"/>
    <w:rsid w:val="008F2BC7"/>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476D"/>
    <w:rsid w:val="00915D07"/>
    <w:rsid w:val="009162AE"/>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05E"/>
    <w:rsid w:val="00933F4A"/>
    <w:rsid w:val="009341F1"/>
    <w:rsid w:val="00934FF2"/>
    <w:rsid w:val="009358D7"/>
    <w:rsid w:val="00935BD4"/>
    <w:rsid w:val="00935DFE"/>
    <w:rsid w:val="00935F70"/>
    <w:rsid w:val="0093648B"/>
    <w:rsid w:val="00937017"/>
    <w:rsid w:val="009373B2"/>
    <w:rsid w:val="00937AE2"/>
    <w:rsid w:val="0094061F"/>
    <w:rsid w:val="00940F0F"/>
    <w:rsid w:val="00941912"/>
    <w:rsid w:val="0094416B"/>
    <w:rsid w:val="0094427A"/>
    <w:rsid w:val="009449C6"/>
    <w:rsid w:val="00944C7C"/>
    <w:rsid w:val="00945245"/>
    <w:rsid w:val="00945523"/>
    <w:rsid w:val="00950921"/>
    <w:rsid w:val="00951D68"/>
    <w:rsid w:val="00951E5B"/>
    <w:rsid w:val="00952050"/>
    <w:rsid w:val="00952315"/>
    <w:rsid w:val="009523D9"/>
    <w:rsid w:val="00952B7B"/>
    <w:rsid w:val="0095357B"/>
    <w:rsid w:val="009538B3"/>
    <w:rsid w:val="00954F39"/>
    <w:rsid w:val="009555F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1D45"/>
    <w:rsid w:val="00992BB3"/>
    <w:rsid w:val="00992CF3"/>
    <w:rsid w:val="00993194"/>
    <w:rsid w:val="0099321E"/>
    <w:rsid w:val="00994171"/>
    <w:rsid w:val="00994868"/>
    <w:rsid w:val="00994976"/>
    <w:rsid w:val="00994D28"/>
    <w:rsid w:val="00994F2C"/>
    <w:rsid w:val="00995720"/>
    <w:rsid w:val="009957CC"/>
    <w:rsid w:val="009968D6"/>
    <w:rsid w:val="00997953"/>
    <w:rsid w:val="00997D55"/>
    <w:rsid w:val="009A0BFF"/>
    <w:rsid w:val="009A10A0"/>
    <w:rsid w:val="009A1CAB"/>
    <w:rsid w:val="009A2359"/>
    <w:rsid w:val="009A24F1"/>
    <w:rsid w:val="009A27E0"/>
    <w:rsid w:val="009A4D57"/>
    <w:rsid w:val="009A51A5"/>
    <w:rsid w:val="009A5309"/>
    <w:rsid w:val="009A60D1"/>
    <w:rsid w:val="009A6225"/>
    <w:rsid w:val="009A64F5"/>
    <w:rsid w:val="009B00D2"/>
    <w:rsid w:val="009B05B3"/>
    <w:rsid w:val="009B0CAF"/>
    <w:rsid w:val="009B1324"/>
    <w:rsid w:val="009B2558"/>
    <w:rsid w:val="009B284F"/>
    <w:rsid w:val="009B3764"/>
    <w:rsid w:val="009B3840"/>
    <w:rsid w:val="009B52AC"/>
    <w:rsid w:val="009B553D"/>
    <w:rsid w:val="009B59EA"/>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1CA6"/>
    <w:rsid w:val="009F2921"/>
    <w:rsid w:val="009F42CF"/>
    <w:rsid w:val="009F4982"/>
    <w:rsid w:val="009F4CA7"/>
    <w:rsid w:val="009F4F6A"/>
    <w:rsid w:val="009F55BA"/>
    <w:rsid w:val="009F7D36"/>
    <w:rsid w:val="009F7D61"/>
    <w:rsid w:val="00A00E71"/>
    <w:rsid w:val="00A0187B"/>
    <w:rsid w:val="00A02E8B"/>
    <w:rsid w:val="00A0306F"/>
    <w:rsid w:val="00A03511"/>
    <w:rsid w:val="00A03B10"/>
    <w:rsid w:val="00A03E2E"/>
    <w:rsid w:val="00A04616"/>
    <w:rsid w:val="00A04717"/>
    <w:rsid w:val="00A05D8F"/>
    <w:rsid w:val="00A05EE4"/>
    <w:rsid w:val="00A06F99"/>
    <w:rsid w:val="00A1053B"/>
    <w:rsid w:val="00A10D66"/>
    <w:rsid w:val="00A113A4"/>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628E"/>
    <w:rsid w:val="00A266BF"/>
    <w:rsid w:val="00A26777"/>
    <w:rsid w:val="00A2731E"/>
    <w:rsid w:val="00A309AC"/>
    <w:rsid w:val="00A30F65"/>
    <w:rsid w:val="00A3279E"/>
    <w:rsid w:val="00A33DB1"/>
    <w:rsid w:val="00A33EEB"/>
    <w:rsid w:val="00A35900"/>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1652"/>
    <w:rsid w:val="00A82BF0"/>
    <w:rsid w:val="00A82C91"/>
    <w:rsid w:val="00A83150"/>
    <w:rsid w:val="00A83398"/>
    <w:rsid w:val="00A83D6E"/>
    <w:rsid w:val="00A83FD5"/>
    <w:rsid w:val="00A8521A"/>
    <w:rsid w:val="00A857C0"/>
    <w:rsid w:val="00A85ACB"/>
    <w:rsid w:val="00A9092B"/>
    <w:rsid w:val="00A90F2C"/>
    <w:rsid w:val="00A90FED"/>
    <w:rsid w:val="00A91482"/>
    <w:rsid w:val="00A9189D"/>
    <w:rsid w:val="00A91E71"/>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417E"/>
    <w:rsid w:val="00AE56EE"/>
    <w:rsid w:val="00AE6414"/>
    <w:rsid w:val="00AE7269"/>
    <w:rsid w:val="00AE797C"/>
    <w:rsid w:val="00AE7CE7"/>
    <w:rsid w:val="00AE7FAB"/>
    <w:rsid w:val="00AF0DE4"/>
    <w:rsid w:val="00AF12A0"/>
    <w:rsid w:val="00AF1E87"/>
    <w:rsid w:val="00AF436B"/>
    <w:rsid w:val="00AF5179"/>
    <w:rsid w:val="00AF5CC2"/>
    <w:rsid w:val="00AF6776"/>
    <w:rsid w:val="00AF6F98"/>
    <w:rsid w:val="00AF7277"/>
    <w:rsid w:val="00B00550"/>
    <w:rsid w:val="00B00913"/>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3108D"/>
    <w:rsid w:val="00B32DDB"/>
    <w:rsid w:val="00B32F57"/>
    <w:rsid w:val="00B3345C"/>
    <w:rsid w:val="00B343C4"/>
    <w:rsid w:val="00B34528"/>
    <w:rsid w:val="00B34750"/>
    <w:rsid w:val="00B34CC9"/>
    <w:rsid w:val="00B34CDA"/>
    <w:rsid w:val="00B3563B"/>
    <w:rsid w:val="00B36BDC"/>
    <w:rsid w:val="00B37D3A"/>
    <w:rsid w:val="00B37D96"/>
    <w:rsid w:val="00B402FC"/>
    <w:rsid w:val="00B422E2"/>
    <w:rsid w:val="00B42517"/>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100"/>
    <w:rsid w:val="00B7680F"/>
    <w:rsid w:val="00B76B48"/>
    <w:rsid w:val="00B76D1E"/>
    <w:rsid w:val="00B77543"/>
    <w:rsid w:val="00B77584"/>
    <w:rsid w:val="00B77E3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6D74"/>
    <w:rsid w:val="00B9720E"/>
    <w:rsid w:val="00B97ACC"/>
    <w:rsid w:val="00B97FE2"/>
    <w:rsid w:val="00BA0E0B"/>
    <w:rsid w:val="00BA201A"/>
    <w:rsid w:val="00BA21DF"/>
    <w:rsid w:val="00BA361D"/>
    <w:rsid w:val="00BA3787"/>
    <w:rsid w:val="00BA403A"/>
    <w:rsid w:val="00BA46E8"/>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86D"/>
    <w:rsid w:val="00BE4DA9"/>
    <w:rsid w:val="00BE54BF"/>
    <w:rsid w:val="00BE557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7FC"/>
    <w:rsid w:val="00C006D6"/>
    <w:rsid w:val="00C00BD7"/>
    <w:rsid w:val="00C01410"/>
    <w:rsid w:val="00C02D23"/>
    <w:rsid w:val="00C03D4D"/>
    <w:rsid w:val="00C044F4"/>
    <w:rsid w:val="00C04B78"/>
    <w:rsid w:val="00C052AA"/>
    <w:rsid w:val="00C06EE3"/>
    <w:rsid w:val="00C07279"/>
    <w:rsid w:val="00C07749"/>
    <w:rsid w:val="00C07C67"/>
    <w:rsid w:val="00C11244"/>
    <w:rsid w:val="00C11D48"/>
    <w:rsid w:val="00C12304"/>
    <w:rsid w:val="00C12316"/>
    <w:rsid w:val="00C1246C"/>
    <w:rsid w:val="00C1493E"/>
    <w:rsid w:val="00C15DBD"/>
    <w:rsid w:val="00C161C5"/>
    <w:rsid w:val="00C172F7"/>
    <w:rsid w:val="00C2010D"/>
    <w:rsid w:val="00C20CB5"/>
    <w:rsid w:val="00C21430"/>
    <w:rsid w:val="00C216DF"/>
    <w:rsid w:val="00C21E61"/>
    <w:rsid w:val="00C21F94"/>
    <w:rsid w:val="00C224BD"/>
    <w:rsid w:val="00C234DB"/>
    <w:rsid w:val="00C23C5C"/>
    <w:rsid w:val="00C2479A"/>
    <w:rsid w:val="00C24903"/>
    <w:rsid w:val="00C2590D"/>
    <w:rsid w:val="00C25D9C"/>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EB6"/>
    <w:rsid w:val="00C93389"/>
    <w:rsid w:val="00C948E6"/>
    <w:rsid w:val="00C94CDD"/>
    <w:rsid w:val="00C95123"/>
    <w:rsid w:val="00C97588"/>
    <w:rsid w:val="00CA0346"/>
    <w:rsid w:val="00CA0DA1"/>
    <w:rsid w:val="00CA1BD6"/>
    <w:rsid w:val="00CA37FF"/>
    <w:rsid w:val="00CA423A"/>
    <w:rsid w:val="00CA47BC"/>
    <w:rsid w:val="00CA5EAD"/>
    <w:rsid w:val="00CA6AB4"/>
    <w:rsid w:val="00CA7255"/>
    <w:rsid w:val="00CB111E"/>
    <w:rsid w:val="00CB1BEE"/>
    <w:rsid w:val="00CB2351"/>
    <w:rsid w:val="00CB4022"/>
    <w:rsid w:val="00CB4930"/>
    <w:rsid w:val="00CB4BA9"/>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7E9E"/>
    <w:rsid w:val="00CE14BE"/>
    <w:rsid w:val="00CE17A4"/>
    <w:rsid w:val="00CE1BA9"/>
    <w:rsid w:val="00CE2D8F"/>
    <w:rsid w:val="00CE3532"/>
    <w:rsid w:val="00CE3E48"/>
    <w:rsid w:val="00CE46C0"/>
    <w:rsid w:val="00CE47B8"/>
    <w:rsid w:val="00CE54FD"/>
    <w:rsid w:val="00CE5C92"/>
    <w:rsid w:val="00CE62FA"/>
    <w:rsid w:val="00CE670B"/>
    <w:rsid w:val="00CE6833"/>
    <w:rsid w:val="00CF020B"/>
    <w:rsid w:val="00CF15BF"/>
    <w:rsid w:val="00CF2E4D"/>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3F3E"/>
    <w:rsid w:val="00D14C5B"/>
    <w:rsid w:val="00D15FED"/>
    <w:rsid w:val="00D16712"/>
    <w:rsid w:val="00D214EF"/>
    <w:rsid w:val="00D215B0"/>
    <w:rsid w:val="00D21D6D"/>
    <w:rsid w:val="00D21D83"/>
    <w:rsid w:val="00D22A47"/>
    <w:rsid w:val="00D235B7"/>
    <w:rsid w:val="00D23A99"/>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3C4"/>
    <w:rsid w:val="00D5384E"/>
    <w:rsid w:val="00D544E7"/>
    <w:rsid w:val="00D5499F"/>
    <w:rsid w:val="00D5560A"/>
    <w:rsid w:val="00D56FBF"/>
    <w:rsid w:val="00D57677"/>
    <w:rsid w:val="00D5781F"/>
    <w:rsid w:val="00D60415"/>
    <w:rsid w:val="00D60E3C"/>
    <w:rsid w:val="00D60FA7"/>
    <w:rsid w:val="00D61FAB"/>
    <w:rsid w:val="00D63BE5"/>
    <w:rsid w:val="00D6475F"/>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32B8"/>
    <w:rsid w:val="00D95302"/>
    <w:rsid w:val="00D95889"/>
    <w:rsid w:val="00D95C5D"/>
    <w:rsid w:val="00D97D00"/>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0CBB"/>
    <w:rsid w:val="00DC17D0"/>
    <w:rsid w:val="00DC1E5D"/>
    <w:rsid w:val="00DC2B41"/>
    <w:rsid w:val="00DC2EA7"/>
    <w:rsid w:val="00DC3128"/>
    <w:rsid w:val="00DC435B"/>
    <w:rsid w:val="00DC4AC4"/>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3E5D"/>
    <w:rsid w:val="00DE450F"/>
    <w:rsid w:val="00DE4865"/>
    <w:rsid w:val="00DE5CA6"/>
    <w:rsid w:val="00DE5E55"/>
    <w:rsid w:val="00DE7156"/>
    <w:rsid w:val="00DE7AC8"/>
    <w:rsid w:val="00DF0830"/>
    <w:rsid w:val="00DF2C5D"/>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1168B"/>
    <w:rsid w:val="00E12191"/>
    <w:rsid w:val="00E129E7"/>
    <w:rsid w:val="00E12ABE"/>
    <w:rsid w:val="00E12B1E"/>
    <w:rsid w:val="00E135EB"/>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7BE"/>
    <w:rsid w:val="00E41CD5"/>
    <w:rsid w:val="00E42054"/>
    <w:rsid w:val="00E4372D"/>
    <w:rsid w:val="00E43A9E"/>
    <w:rsid w:val="00E44243"/>
    <w:rsid w:val="00E453F9"/>
    <w:rsid w:val="00E45D7D"/>
    <w:rsid w:val="00E4623F"/>
    <w:rsid w:val="00E4665D"/>
    <w:rsid w:val="00E47854"/>
    <w:rsid w:val="00E478E2"/>
    <w:rsid w:val="00E47EBA"/>
    <w:rsid w:val="00E50156"/>
    <w:rsid w:val="00E504EB"/>
    <w:rsid w:val="00E5076C"/>
    <w:rsid w:val="00E50D2E"/>
    <w:rsid w:val="00E50D7D"/>
    <w:rsid w:val="00E51EF0"/>
    <w:rsid w:val="00E53470"/>
    <w:rsid w:val="00E5368D"/>
    <w:rsid w:val="00E539F6"/>
    <w:rsid w:val="00E54698"/>
    <w:rsid w:val="00E54BE9"/>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2618"/>
    <w:rsid w:val="00E82A42"/>
    <w:rsid w:val="00E84E09"/>
    <w:rsid w:val="00E87CE2"/>
    <w:rsid w:val="00E90CA8"/>
    <w:rsid w:val="00E911C6"/>
    <w:rsid w:val="00E930A1"/>
    <w:rsid w:val="00E93820"/>
    <w:rsid w:val="00E94A86"/>
    <w:rsid w:val="00E951AB"/>
    <w:rsid w:val="00E953F6"/>
    <w:rsid w:val="00E96143"/>
    <w:rsid w:val="00E96833"/>
    <w:rsid w:val="00E97506"/>
    <w:rsid w:val="00E97BB5"/>
    <w:rsid w:val="00E97D5B"/>
    <w:rsid w:val="00E97F14"/>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3E60"/>
    <w:rsid w:val="00EB4511"/>
    <w:rsid w:val="00EB48D7"/>
    <w:rsid w:val="00EB49F1"/>
    <w:rsid w:val="00EB4A8E"/>
    <w:rsid w:val="00EB4BC5"/>
    <w:rsid w:val="00EB5BF7"/>
    <w:rsid w:val="00EB5E79"/>
    <w:rsid w:val="00EB6FAC"/>
    <w:rsid w:val="00EB7BAC"/>
    <w:rsid w:val="00EB7CC9"/>
    <w:rsid w:val="00EC03D7"/>
    <w:rsid w:val="00EC13A7"/>
    <w:rsid w:val="00EC2EB6"/>
    <w:rsid w:val="00EC4FFF"/>
    <w:rsid w:val="00EC5517"/>
    <w:rsid w:val="00EC6E8C"/>
    <w:rsid w:val="00ED0EF0"/>
    <w:rsid w:val="00ED12B9"/>
    <w:rsid w:val="00ED16B8"/>
    <w:rsid w:val="00ED1959"/>
    <w:rsid w:val="00ED1A00"/>
    <w:rsid w:val="00ED1DF0"/>
    <w:rsid w:val="00ED2386"/>
    <w:rsid w:val="00ED2EA1"/>
    <w:rsid w:val="00ED3851"/>
    <w:rsid w:val="00ED3E51"/>
    <w:rsid w:val="00ED3F10"/>
    <w:rsid w:val="00ED3F9B"/>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E06"/>
    <w:rsid w:val="00EE7179"/>
    <w:rsid w:val="00EF0D90"/>
    <w:rsid w:val="00EF150D"/>
    <w:rsid w:val="00EF1F5A"/>
    <w:rsid w:val="00EF23B5"/>
    <w:rsid w:val="00EF326A"/>
    <w:rsid w:val="00EF3898"/>
    <w:rsid w:val="00EF47BF"/>
    <w:rsid w:val="00EF52F7"/>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1AC4"/>
    <w:rsid w:val="00F120A5"/>
    <w:rsid w:val="00F12CFB"/>
    <w:rsid w:val="00F13E60"/>
    <w:rsid w:val="00F13FDB"/>
    <w:rsid w:val="00F15AAA"/>
    <w:rsid w:val="00F15BEF"/>
    <w:rsid w:val="00F17898"/>
    <w:rsid w:val="00F204BF"/>
    <w:rsid w:val="00F207C2"/>
    <w:rsid w:val="00F21337"/>
    <w:rsid w:val="00F219A1"/>
    <w:rsid w:val="00F23E20"/>
    <w:rsid w:val="00F24407"/>
    <w:rsid w:val="00F24FAA"/>
    <w:rsid w:val="00F25040"/>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537"/>
    <w:rsid w:val="00F46185"/>
    <w:rsid w:val="00F46423"/>
    <w:rsid w:val="00F4696A"/>
    <w:rsid w:val="00F47067"/>
    <w:rsid w:val="00F47234"/>
    <w:rsid w:val="00F51ADD"/>
    <w:rsid w:val="00F525AB"/>
    <w:rsid w:val="00F525EB"/>
    <w:rsid w:val="00F52CB5"/>
    <w:rsid w:val="00F53378"/>
    <w:rsid w:val="00F53A68"/>
    <w:rsid w:val="00F54934"/>
    <w:rsid w:val="00F55A92"/>
    <w:rsid w:val="00F5615B"/>
    <w:rsid w:val="00F575D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A4D"/>
    <w:rsid w:val="00F91B66"/>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40B"/>
    <w:rsid w:val="00FC56DE"/>
    <w:rsid w:val="00FC63D9"/>
    <w:rsid w:val="00FC64DE"/>
    <w:rsid w:val="00FC6785"/>
    <w:rsid w:val="00FC684B"/>
    <w:rsid w:val="00FC7D98"/>
    <w:rsid w:val="00FD1135"/>
    <w:rsid w:val="00FD3265"/>
    <w:rsid w:val="00FD3CF7"/>
    <w:rsid w:val="00FD4124"/>
    <w:rsid w:val="00FD4916"/>
    <w:rsid w:val="00FD4D12"/>
    <w:rsid w:val="00FD4F73"/>
    <w:rsid w:val="00FD595E"/>
    <w:rsid w:val="00FD7802"/>
    <w:rsid w:val="00FD7D3B"/>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1136"/>
    <w:rsid w:val="00FF3D76"/>
    <w:rsid w:val="00FF5B8C"/>
    <w:rsid w:val="00FF63E6"/>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1.xml"/><Relationship Id="rId36" Type="http://schemas.microsoft.com/office/2016/09/relationships/commentsIds" Target="commentsIds.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oter" Target="footer1.xml"/><Relationship Id="rId35" Type="http://schemas.microsoft.com/office/2018/08/relationships/commentsExtensible" Target="commentsExtensi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czso.cz/csu/czso/cri/analyza-ctvrtletnich-sektorovych-uctu-3-ctvrtleti-2021" TargetMode="External"/><Relationship Id="rId1" Type="http://schemas.openxmlformats.org/officeDocument/2006/relationships/hyperlink" Target="https://www.czso.cz/csu/czso/metodicka-poznamka-k-indexu-spotrebitelskych-cen-imputovane-najemn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1Q4\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zabojnikova31519\Documents\Anal&#253;za\Q\2021Q4\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Anal&#253;za\Q\2021Q4\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zabojnikova31519\Documents\Anal&#253;za\Q\2021Q4\Makroanal&#253;za%20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Anal&#253;za\Q\2021Q4\Makroanal&#253;za%20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Celorok\TRH%20PR&#193;CE\Grafy-trh%20pr&#225;ce-2021-celorok.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Celorok\TRH%20PR&#193;CE\Grafy-trh%20pr&#225;ce-2021-celorok.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Q%20makro-2021\celorok%202021\TRH%20PR&#193;CE\Grafy-trh%20pr&#225;ce-2021-celorok.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Anal&#253;za\Q\2021Q4\Makroanal&#253;za%20graf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Celorok\ST&#193;TN&#205;%20ROZPO&#268;ET\Grafy-st&#225;tn&#237;%20rozpo&#269;et-rok.202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Celorok\ST&#193;TN&#205;%20ROZPO&#268;ET\Grafy-st&#225;tn&#237;%20rozpo&#269;et-rok.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1Q4\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abojnikova31519\Documents\Anal&#253;za\Q\2021Q4\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Celorok\ODV&#282;TV&#205;\Odv&#283;tv&#237;%20grafy-celorok-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Q%20makro-2021\celorok%202021\ODV&#282;TV&#205;\Odv&#283;tv&#237;%20grafy-celorok-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Celorok\ODV&#282;TV&#205;\Odv&#283;tv&#237;%20grafy-celorok-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Celorok\ODV&#282;TV&#205;\Odv&#283;tv&#237;%20grafy-celorok-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Celorok\ODV&#282;TV&#205;\Odv&#283;tv&#237;%20grafy-celorok-2021.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D:\zabojnikova31519\Documents\Anal&#253;za\Q\2021Q4\Makroanal&#253;za%20graf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45E-2"/>
          <c:y val="2.3046636085626952E-2"/>
          <c:w val="0.92008633063154344"/>
          <c:h val="0.74192840256671611"/>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1'!$A$21:$B$44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'souhrnná výkonnost 1'!$C$21:$C$44</c:f>
              <c:numCache>
                <c:formatCode>#\ ##0.0</c:formatCode>
                <c:ptCount val="24"/>
                <c:pt idx="0">
                  <c:v>3.3935679863989208</c:v>
                </c:pt>
                <c:pt idx="1">
                  <c:v>2.2554525211863137</c:v>
                </c:pt>
                <c:pt idx="2">
                  <c:v>1.9595698850867365</c:v>
                </c:pt>
                <c:pt idx="3">
                  <c:v>2.1706116744660449</c:v>
                </c:pt>
                <c:pt idx="4">
                  <c:v>3.5703667972288571</c:v>
                </c:pt>
                <c:pt idx="5">
                  <c:v>6.1313858438531526</c:v>
                </c:pt>
                <c:pt idx="6">
                  <c:v>5.8793571478929323</c:v>
                </c:pt>
                <c:pt idx="7">
                  <c:v>5.8948576142013849</c:v>
                </c:pt>
                <c:pt idx="8">
                  <c:v>4.8045186709861412</c:v>
                </c:pt>
                <c:pt idx="9" formatCode="General">
                  <c:v>2.6817351351516834</c:v>
                </c:pt>
                <c:pt idx="10" formatCode="General">
                  <c:v>2.7294466842677565</c:v>
                </c:pt>
                <c:pt idx="11">
                  <c:v>2.5583350179001485</c:v>
                </c:pt>
                <c:pt idx="12">
                  <c:v>2.9671766091530287</c:v>
                </c:pt>
                <c:pt idx="13" formatCode="General">
                  <c:v>3.0195090485548093</c:v>
                </c:pt>
                <c:pt idx="14" formatCode="General">
                  <c:v>2.9551051697276307</c:v>
                </c:pt>
                <c:pt idx="15" formatCode="General">
                  <c:v>2.8845218371908743</c:v>
                </c:pt>
                <c:pt idx="16" formatCode="General">
                  <c:v>-1.4789298016082597</c:v>
                </c:pt>
                <c:pt idx="17" formatCode="General">
                  <c:v>-10.941056198550214</c:v>
                </c:pt>
                <c:pt idx="18" formatCode="General">
                  <c:v>-5.4805373705362399</c:v>
                </c:pt>
                <c:pt idx="19" formatCode="General">
                  <c:v>-5.3144733686297201</c:v>
                </c:pt>
                <c:pt idx="20" formatCode="General">
                  <c:v>-2.3042313552889766</c:v>
                </c:pt>
                <c:pt idx="21" formatCode="General">
                  <c:v>8.7242439080352341</c:v>
                </c:pt>
                <c:pt idx="22" formatCode="General">
                  <c:v>3.488203641997913</c:v>
                </c:pt>
                <c:pt idx="23" formatCode="General">
                  <c:v>3.6144541768052392</c:v>
                </c:pt>
              </c:numCache>
            </c:numRef>
          </c:val>
          <c:extLst>
            <c:ext xmlns:c16="http://schemas.microsoft.com/office/drawing/2014/chart" uri="{C3380CC4-5D6E-409C-BE32-E72D297353CC}">
              <c16:uniqueId val="{00000000-1D50-4DA6-ABDB-14AE17A2387A}"/>
            </c:ext>
          </c:extLst>
        </c:ser>
        <c:ser>
          <c:idx val="1"/>
          <c:order val="1"/>
          <c:tx>
            <c:strRef>
              <c:f>'souhrnná výkonnost 1'!$D$4</c:f>
              <c:strCache>
                <c:ptCount val="1"/>
                <c:pt idx="0">
                  <c:v>EU27 meziroční změna</c:v>
                </c:pt>
              </c:strCache>
            </c:strRef>
          </c:tx>
          <c:spPr>
            <a:solidFill>
              <a:srgbClr val="808080"/>
            </a:solidFill>
            <a:ln>
              <a:noFill/>
            </a:ln>
          </c:spPr>
          <c:invertIfNegative val="0"/>
          <c:cat>
            <c:multiLvlStrRef>
              <c:f>'souhrnná výkonnost 1'!$A$21:$B$44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'souhrnná výkonnost 1'!$D$21:$D$44</c:f>
              <c:numCache>
                <c:formatCode>#\ ##0.0</c:formatCode>
                <c:ptCount val="24"/>
                <c:pt idx="0">
                  <c:v>2.1</c:v>
                </c:pt>
                <c:pt idx="1">
                  <c:v>1.9</c:v>
                </c:pt>
                <c:pt idx="2">
                  <c:v>1.8</c:v>
                </c:pt>
                <c:pt idx="3">
                  <c:v>2.2000000000000002</c:v>
                </c:pt>
                <c:pt idx="4">
                  <c:v>2.4</c:v>
                </c:pt>
                <c:pt idx="5">
                  <c:v>2.9</c:v>
                </c:pt>
                <c:pt idx="6">
                  <c:v>3.2</c:v>
                </c:pt>
                <c:pt idx="7">
                  <c:v>3.2</c:v>
                </c:pt>
                <c:pt idx="8">
                  <c:v>2.6</c:v>
                </c:pt>
                <c:pt idx="9">
                  <c:v>2.2999999999999998</c:v>
                </c:pt>
                <c:pt idx="10">
                  <c:v>1.7</c:v>
                </c:pt>
                <c:pt idx="11">
                  <c:v>1.5</c:v>
                </c:pt>
                <c:pt idx="12">
                  <c:v>2.2000000000000002</c:v>
                </c:pt>
                <c:pt idx="13">
                  <c:v>1.8</c:v>
                </c:pt>
                <c:pt idx="14">
                  <c:v>2</c:v>
                </c:pt>
                <c:pt idx="15">
                  <c:v>1.4</c:v>
                </c:pt>
                <c:pt idx="16">
                  <c:v>-2.5</c:v>
                </c:pt>
                <c:pt idx="17">
                  <c:v>-13.7</c:v>
                </c:pt>
                <c:pt idx="18">
                  <c:v>-3.9</c:v>
                </c:pt>
                <c:pt idx="19">
                  <c:v>-4.0999999999999996</c:v>
                </c:pt>
                <c:pt idx="20">
                  <c:v>-1.1000000000000001</c:v>
                </c:pt>
                <c:pt idx="21">
                  <c:v>13.8</c:v>
                </c:pt>
                <c:pt idx="22">
                  <c:v>4.0999999999999996</c:v>
                </c:pt>
                <c:pt idx="23">
                  <c:v>4.8</c:v>
                </c:pt>
              </c:numCache>
            </c:numRef>
          </c:val>
          <c:extLst>
            <c:ext xmlns:c16="http://schemas.microsoft.com/office/drawing/2014/chart" uri="{C3380CC4-5D6E-409C-BE32-E72D297353CC}">
              <c16:uniqueId val="{00000001-1D50-4DA6-ABDB-14AE17A2387A}"/>
            </c:ext>
          </c:extLst>
        </c:ser>
        <c:dLbls>
          <c:showLegendKey val="0"/>
          <c:showVal val="0"/>
          <c:showCatName val="0"/>
          <c:showSerName val="0"/>
          <c:showPercent val="0"/>
          <c:showBubbleSize val="0"/>
        </c:dLbls>
        <c:gapWidth val="100"/>
        <c:axId val="267753344"/>
        <c:axId val="267767808"/>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1'!$A$21:$B$44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'souhrnná výkonnost 1'!$E$21:$E$44</c:f>
              <c:numCache>
                <c:formatCode>#\ ##0.0</c:formatCode>
                <c:ptCount val="24"/>
                <c:pt idx="0">
                  <c:v>0.16332296495187393</c:v>
                </c:pt>
                <c:pt idx="1">
                  <c:v>0.33620140081080763</c:v>
                </c:pt>
                <c:pt idx="2">
                  <c:v>0.80409486945227115</c:v>
                </c:pt>
                <c:pt idx="3">
                  <c:v>0.85128584892957804</c:v>
                </c:pt>
                <c:pt idx="4">
                  <c:v>1.5355778838110723</c:v>
                </c:pt>
                <c:pt idx="5">
                  <c:v>2.8172481596437962</c:v>
                </c:pt>
                <c:pt idx="6">
                  <c:v>0.56471681577477284</c:v>
                </c:pt>
                <c:pt idx="7">
                  <c:v>0.86605021849675268</c:v>
                </c:pt>
                <c:pt idx="8">
                  <c:v>0.49012395731429592</c:v>
                </c:pt>
                <c:pt idx="9">
                  <c:v>0.73471618143510398</c:v>
                </c:pt>
                <c:pt idx="10">
                  <c:v>0.61144468241420213</c:v>
                </c:pt>
                <c:pt idx="11">
                  <c:v>0.69804232504577612</c:v>
                </c:pt>
                <c:pt idx="12">
                  <c:v>0.89072077059854848</c:v>
                </c:pt>
                <c:pt idx="13" formatCode="General">
                  <c:v>0.78591398644272203</c:v>
                </c:pt>
                <c:pt idx="14" formatCode="General">
                  <c:v>0.54854623384075296</c:v>
                </c:pt>
                <c:pt idx="15" formatCode="General">
                  <c:v>0.62900637587634378</c:v>
                </c:pt>
                <c:pt idx="16" formatCode="General">
                  <c:v>-3.388171457551536</c:v>
                </c:pt>
                <c:pt idx="17" formatCode="General">
                  <c:v>-8.8937317507653688</c:v>
                </c:pt>
                <c:pt idx="18" formatCode="General">
                  <c:v>6.7135332233943217</c:v>
                </c:pt>
                <c:pt idx="19" formatCode="General">
                  <c:v>0.80580441346323539</c:v>
                </c:pt>
                <c:pt idx="20" formatCode="General">
                  <c:v>-0.31668845892609454</c:v>
                </c:pt>
                <c:pt idx="21" formatCode="General">
                  <c:v>1.3908817965672284</c:v>
                </c:pt>
                <c:pt idx="22" formatCode="General">
                  <c:v>1.5743265772535437</c:v>
                </c:pt>
                <c:pt idx="23" formatCode="General">
                  <c:v>0.92878255271963894</c:v>
                </c:pt>
              </c:numCache>
            </c:numRef>
          </c:val>
          <c:smooth val="0"/>
          <c:extLst>
            <c:ext xmlns:c16="http://schemas.microsoft.com/office/drawing/2014/chart" uri="{C3380CC4-5D6E-409C-BE32-E72D297353CC}">
              <c16:uniqueId val="{00000002-1D50-4DA6-ABDB-14AE17A2387A}"/>
            </c:ext>
          </c:extLst>
        </c:ser>
        <c:ser>
          <c:idx val="3"/>
          <c:order val="3"/>
          <c:tx>
            <c:strRef>
              <c:f>'souhrnná výkonnost 1'!$F$4</c:f>
              <c:strCache>
                <c:ptCount val="1"/>
                <c:pt idx="0">
                  <c:v>EU27 mezičtvrtletní změna</c:v>
                </c:pt>
              </c:strCache>
            </c:strRef>
          </c:tx>
          <c:spPr>
            <a:ln w="19050">
              <a:noFill/>
            </a:ln>
          </c:spPr>
          <c:marker>
            <c:symbol val="dash"/>
            <c:size val="8"/>
            <c:spPr>
              <a:solidFill>
                <a:srgbClr val="BD1B21"/>
              </a:solidFill>
              <a:ln>
                <a:noFill/>
              </a:ln>
            </c:spPr>
          </c:marker>
          <c:cat>
            <c:multiLvlStrRef>
              <c:f>'souhrnná výkonnost 1'!$A$21:$B$44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'souhrnná výkonnost 1'!$F$21:$F$44</c:f>
              <c:numCache>
                <c:formatCode>#\ ##0.0</c:formatCode>
                <c:ptCount val="24"/>
                <c:pt idx="0">
                  <c:v>0.5</c:v>
                </c:pt>
                <c:pt idx="1">
                  <c:v>0.3</c:v>
                </c:pt>
                <c:pt idx="2">
                  <c:v>0.5</c:v>
                </c:pt>
                <c:pt idx="3">
                  <c:v>0.8</c:v>
                </c:pt>
                <c:pt idx="4">
                  <c:v>0.7</c:v>
                </c:pt>
                <c:pt idx="5">
                  <c:v>0.9</c:v>
                </c:pt>
                <c:pt idx="6">
                  <c:v>0.7</c:v>
                </c:pt>
                <c:pt idx="7">
                  <c:v>0.9</c:v>
                </c:pt>
                <c:pt idx="8">
                  <c:v>0.2</c:v>
                </c:pt>
                <c:pt idx="9">
                  <c:v>0.6</c:v>
                </c:pt>
                <c:pt idx="10">
                  <c:v>0.1</c:v>
                </c:pt>
                <c:pt idx="11">
                  <c:v>0.6</c:v>
                </c:pt>
                <c:pt idx="12">
                  <c:v>0.8</c:v>
                </c:pt>
                <c:pt idx="13">
                  <c:v>0.2</c:v>
                </c:pt>
                <c:pt idx="14">
                  <c:v>0.3</c:v>
                </c:pt>
                <c:pt idx="15">
                  <c:v>0</c:v>
                </c:pt>
                <c:pt idx="16">
                  <c:v>-3.1</c:v>
                </c:pt>
                <c:pt idx="17">
                  <c:v>-11.3</c:v>
                </c:pt>
                <c:pt idx="18">
                  <c:v>11.7</c:v>
                </c:pt>
                <c:pt idx="19">
                  <c:v>-0.2</c:v>
                </c:pt>
                <c:pt idx="20">
                  <c:v>0</c:v>
                </c:pt>
                <c:pt idx="21">
                  <c:v>2.1</c:v>
                </c:pt>
                <c:pt idx="22">
                  <c:v>2.2000000000000002</c:v>
                </c:pt>
                <c:pt idx="23">
                  <c:v>0.4</c:v>
                </c:pt>
              </c:numCache>
            </c:numRef>
          </c:val>
          <c:smooth val="0"/>
          <c:extLst>
            <c:ext xmlns:c16="http://schemas.microsoft.com/office/drawing/2014/chart" uri="{C3380CC4-5D6E-409C-BE32-E72D297353CC}">
              <c16:uniqueId val="{00000003-1D50-4DA6-ABDB-14AE17A2387A}"/>
            </c:ext>
          </c:extLst>
        </c:ser>
        <c:dLbls>
          <c:showLegendKey val="0"/>
          <c:showVal val="0"/>
          <c:showCatName val="0"/>
          <c:showSerName val="0"/>
          <c:showPercent val="0"/>
          <c:showBubbleSize val="0"/>
        </c:dLbls>
        <c:marker val="1"/>
        <c:smooth val="0"/>
        <c:axId val="267753344"/>
        <c:axId val="267767808"/>
      </c:lineChart>
      <c:catAx>
        <c:axId val="2677533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67767808"/>
        <c:crosses val="autoZero"/>
        <c:auto val="1"/>
        <c:lblAlgn val="ctr"/>
        <c:lblOffset val="100"/>
        <c:noMultiLvlLbl val="0"/>
      </c:catAx>
      <c:valAx>
        <c:axId val="267767808"/>
        <c:scaling>
          <c:orientation val="minMax"/>
          <c:max val="15"/>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753344"/>
        <c:crosses val="autoZero"/>
        <c:crossBetween val="between"/>
        <c:majorUnit val="3"/>
      </c:valAx>
      <c:spPr>
        <a:ln>
          <a:solidFill>
            <a:schemeClr val="tx1"/>
          </a:solidFill>
        </a:ln>
      </c:spPr>
    </c:plotArea>
    <c:legend>
      <c:legendPos val="b"/>
      <c:layout>
        <c:manualLayout>
          <c:xMode val="edge"/>
          <c:yMode val="edge"/>
          <c:x val="5.8431906450523471E-2"/>
          <c:y val="0.89437255125717996"/>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481551840594413E-2"/>
          <c:y val="2.3304908251716772E-2"/>
          <c:w val="0.90781408308004052"/>
          <c:h val="0.6054052684903749"/>
        </c:manualLayout>
      </c:layout>
      <c:barChart>
        <c:barDir val="col"/>
        <c:grouping val="clustered"/>
        <c:varyColors val="0"/>
        <c:ser>
          <c:idx val="0"/>
          <c:order val="0"/>
          <c:tx>
            <c:strRef>
              <c:f>'Vnější vztahy 2'!$A$6</c:f>
              <c:strCache>
                <c:ptCount val="1"/>
                <c:pt idx="0">
                  <c:v>2019</c:v>
                </c:pt>
              </c:strCache>
            </c:strRef>
          </c:tx>
          <c:spPr>
            <a:solidFill>
              <a:schemeClr val="tx1">
                <a:lumMod val="50000"/>
                <a:lumOff val="50000"/>
              </a:schemeClr>
            </a:solidFill>
            <a:ln>
              <a:noFill/>
            </a:ln>
          </c:spPr>
          <c:invertIfNegative val="0"/>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2'!$B$6:$N$6</c:f>
              <c:numCache>
                <c:formatCode>General</c:formatCode>
                <c:ptCount val="13"/>
                <c:pt idx="0">
                  <c:v>-126.11199999999999</c:v>
                </c:pt>
                <c:pt idx="1">
                  <c:v>-45.085000000000001</c:v>
                </c:pt>
                <c:pt idx="2">
                  <c:v>-33.119999999999997</c:v>
                </c:pt>
                <c:pt idx="3">
                  <c:v>-21.491</c:v>
                </c:pt>
                <c:pt idx="4">
                  <c:v>-111.01600000000001</c:v>
                </c:pt>
                <c:pt idx="5">
                  <c:v>-53.835999999999999</c:v>
                </c:pt>
                <c:pt idx="6">
                  <c:v>23.349</c:v>
                </c:pt>
                <c:pt idx="7">
                  <c:v>-123.27200000000001</c:v>
                </c:pt>
                <c:pt idx="8">
                  <c:v>56.374000000000002</c:v>
                </c:pt>
                <c:pt idx="9">
                  <c:v>-27.954000000000001</c:v>
                </c:pt>
                <c:pt idx="10">
                  <c:v>40.701000000000001</c:v>
                </c:pt>
                <c:pt idx="11">
                  <c:v>62.975999999999999</c:v>
                </c:pt>
                <c:pt idx="12">
                  <c:v>460.68099999999998</c:v>
                </c:pt>
              </c:numCache>
            </c:numRef>
          </c:val>
          <c:extLst>
            <c:ext xmlns:c16="http://schemas.microsoft.com/office/drawing/2014/chart" uri="{C3380CC4-5D6E-409C-BE32-E72D297353CC}">
              <c16:uniqueId val="{00000000-9DC5-4E60-AA37-0E780114D9C4}"/>
            </c:ext>
          </c:extLst>
        </c:ser>
        <c:ser>
          <c:idx val="1"/>
          <c:order val="1"/>
          <c:tx>
            <c:strRef>
              <c:f>'Vnější vztahy 2'!$A$7</c:f>
              <c:strCache>
                <c:ptCount val="1"/>
                <c:pt idx="0">
                  <c:v>2020</c:v>
                </c:pt>
              </c:strCache>
            </c:strRef>
          </c:tx>
          <c:spPr>
            <a:solidFill>
              <a:schemeClr val="bg1">
                <a:lumMod val="65000"/>
              </a:schemeClr>
            </a:solidFill>
          </c:spPr>
          <c:invertIfNegative val="0"/>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2'!$B$7:$N$7</c:f>
              <c:numCache>
                <c:formatCode>General</c:formatCode>
                <c:ptCount val="13"/>
                <c:pt idx="0">
                  <c:v>-70.386606572000005</c:v>
                </c:pt>
                <c:pt idx="1">
                  <c:v>-41.686416247000004</c:v>
                </c:pt>
                <c:pt idx="2">
                  <c:v>-30.733766071999998</c:v>
                </c:pt>
                <c:pt idx="3">
                  <c:v>-20.266417795999999</c:v>
                </c:pt>
                <c:pt idx="4">
                  <c:v>-106.387413786</c:v>
                </c:pt>
                <c:pt idx="5">
                  <c:v>-60.132257740000007</c:v>
                </c:pt>
                <c:pt idx="6">
                  <c:v>24.783674908999998</c:v>
                </c:pt>
                <c:pt idx="7">
                  <c:v>-101.06324926800002</c:v>
                </c:pt>
                <c:pt idx="8">
                  <c:v>56.627028986000006</c:v>
                </c:pt>
                <c:pt idx="9">
                  <c:v>-37.592877434999998</c:v>
                </c:pt>
                <c:pt idx="10">
                  <c:v>19.191334680000001</c:v>
                </c:pt>
                <c:pt idx="11">
                  <c:v>61.933452646000006</c:v>
                </c:pt>
                <c:pt idx="12">
                  <c:v>426.22775747700007</c:v>
                </c:pt>
              </c:numCache>
            </c:numRef>
          </c:val>
          <c:extLst>
            <c:ext xmlns:c16="http://schemas.microsoft.com/office/drawing/2014/chart" uri="{C3380CC4-5D6E-409C-BE32-E72D297353CC}">
              <c16:uniqueId val="{00000001-9DC5-4E60-AA37-0E780114D9C4}"/>
            </c:ext>
          </c:extLst>
        </c:ser>
        <c:ser>
          <c:idx val="2"/>
          <c:order val="2"/>
          <c:tx>
            <c:strRef>
              <c:f>'Vnější vztahy 2'!$A$8</c:f>
              <c:strCache>
                <c:ptCount val="1"/>
                <c:pt idx="0">
                  <c:v>2021</c:v>
                </c:pt>
              </c:strCache>
            </c:strRef>
          </c:tx>
          <c:spPr>
            <a:solidFill>
              <a:srgbClr val="C00000"/>
            </a:solidFill>
          </c:spPr>
          <c:invertIfNegative val="0"/>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2'!$B$8:$N$8</c:f>
              <c:numCache>
                <c:formatCode>General</c:formatCode>
                <c:ptCount val="13"/>
                <c:pt idx="0">
                  <c:v>-153.80449207699999</c:v>
                </c:pt>
                <c:pt idx="1">
                  <c:v>-42.672799470999998</c:v>
                </c:pt>
                <c:pt idx="2">
                  <c:v>-33.627816335000006</c:v>
                </c:pt>
                <c:pt idx="3">
                  <c:v>-26.458938961000001</c:v>
                </c:pt>
                <c:pt idx="4">
                  <c:v>-131.88186591199997</c:v>
                </c:pt>
                <c:pt idx="5">
                  <c:v>-73.902618015000002</c:v>
                </c:pt>
                <c:pt idx="6">
                  <c:v>26.168679770999997</c:v>
                </c:pt>
                <c:pt idx="7">
                  <c:v>-157.50628654999997</c:v>
                </c:pt>
                <c:pt idx="8">
                  <c:v>68.142095011999984</c:v>
                </c:pt>
                <c:pt idx="9">
                  <c:v>-51.280550011000003</c:v>
                </c:pt>
                <c:pt idx="10">
                  <c:v>-0.46595886500000006</c:v>
                </c:pt>
                <c:pt idx="11">
                  <c:v>57.198855986999995</c:v>
                </c:pt>
                <c:pt idx="12">
                  <c:v>431.87557210600005</c:v>
                </c:pt>
              </c:numCache>
            </c:numRef>
          </c:val>
          <c:extLst>
            <c:ext xmlns:c16="http://schemas.microsoft.com/office/drawing/2014/chart" uri="{C3380CC4-5D6E-409C-BE32-E72D297353CC}">
              <c16:uniqueId val="{00000002-9DC5-4E60-AA37-0E780114D9C4}"/>
            </c:ext>
          </c:extLst>
        </c:ser>
        <c:dLbls>
          <c:showLegendKey val="0"/>
          <c:showVal val="0"/>
          <c:showCatName val="0"/>
          <c:showSerName val="0"/>
          <c:showPercent val="0"/>
          <c:showBubbleSize val="0"/>
        </c:dLbls>
        <c:gapWidth val="97"/>
        <c:axId val="269967744"/>
        <c:axId val="269969280"/>
      </c:barChart>
      <c:catAx>
        <c:axId val="269967744"/>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269969280"/>
        <c:crosses val="autoZero"/>
        <c:auto val="1"/>
        <c:lblAlgn val="ctr"/>
        <c:lblOffset val="100"/>
        <c:noMultiLvlLbl val="0"/>
      </c:catAx>
      <c:valAx>
        <c:axId val="269969280"/>
        <c:scaling>
          <c:orientation val="minMax"/>
          <c:max val="480"/>
          <c:min val="-16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269967744"/>
        <c:crosses val="autoZero"/>
        <c:crossBetween val="between"/>
        <c:majorUnit val="40"/>
      </c:valAx>
      <c:spPr>
        <a:ln>
          <a:solidFill>
            <a:schemeClr val="tx1"/>
          </a:solidFill>
        </a:ln>
      </c:spPr>
    </c:plotArea>
    <c:legend>
      <c:legendPos val="b"/>
      <c:layout>
        <c:manualLayout>
          <c:xMode val="edge"/>
          <c:yMode val="edge"/>
          <c:x val="7.9999155690645057E-2"/>
          <c:y val="0.93271781816746591"/>
          <c:w val="0.89870767208491664"/>
          <c:h val="4.7602442868400312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299E-2"/>
          <c:w val="0.92237743255066085"/>
          <c:h val="0.71471575213004157"/>
        </c:manualLayout>
      </c:layout>
      <c:barChart>
        <c:barDir val="col"/>
        <c:grouping val="clustered"/>
        <c:varyColors val="0"/>
        <c:ser>
          <c:idx val="0"/>
          <c:order val="0"/>
          <c:tx>
            <c:strRef>
              <c:f>'Ceny 2'!$C$5</c:f>
              <c:strCache>
                <c:ptCount val="1"/>
                <c:pt idx="0">
                  <c:v>Celkem</c:v>
                </c:pt>
              </c:strCache>
            </c:strRef>
          </c:tx>
          <c:spPr>
            <a:solidFill>
              <a:schemeClr val="bg1">
                <a:lumMod val="65000"/>
              </a:schemeClr>
            </a:solidFill>
            <a:ln w="19050">
              <a:noFill/>
            </a:ln>
          </c:spPr>
          <c:invertIfNegative val="0"/>
          <c:cat>
            <c:multiLvlStrRef>
              <c:f>'Ceny 2'!$A$22:$B$45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2'!$C$22:$C$45</c:f>
              <c:numCache>
                <c:formatCode>0.0</c:formatCode>
                <c:ptCount val="24"/>
                <c:pt idx="0">
                  <c:v>0.5</c:v>
                </c:pt>
                <c:pt idx="1">
                  <c:v>0.20000000000000284</c:v>
                </c:pt>
                <c:pt idx="2">
                  <c:v>0.5</c:v>
                </c:pt>
                <c:pt idx="3">
                  <c:v>1.4000000000000057</c:v>
                </c:pt>
                <c:pt idx="4" formatCode="General">
                  <c:v>2.4000000000000057</c:v>
                </c:pt>
                <c:pt idx="5" formatCode="General">
                  <c:v>2.2000000000000028</c:v>
                </c:pt>
                <c:pt idx="6">
                  <c:v>2.5</c:v>
                </c:pt>
                <c:pt idx="7">
                  <c:v>2.6</c:v>
                </c:pt>
                <c:pt idx="8">
                  <c:v>1.9</c:v>
                </c:pt>
                <c:pt idx="9">
                  <c:v>2.2999999999999998</c:v>
                </c:pt>
                <c:pt idx="10">
                  <c:v>2.4</c:v>
                </c:pt>
                <c:pt idx="11">
                  <c:v>2.1</c:v>
                </c:pt>
                <c:pt idx="12">
                  <c:v>2.7</c:v>
                </c:pt>
                <c:pt idx="13">
                  <c:v>2.8</c:v>
                </c:pt>
                <c:pt idx="14">
                  <c:v>2.8</c:v>
                </c:pt>
                <c:pt idx="15">
                  <c:v>3</c:v>
                </c:pt>
                <c:pt idx="16">
                  <c:v>3.6</c:v>
                </c:pt>
                <c:pt idx="17">
                  <c:v>3.1</c:v>
                </c:pt>
                <c:pt idx="18">
                  <c:v>3.3</c:v>
                </c:pt>
                <c:pt idx="19">
                  <c:v>2.6</c:v>
                </c:pt>
                <c:pt idx="20">
                  <c:v>2.2000000000000002</c:v>
                </c:pt>
                <c:pt idx="21">
                  <c:v>2.9</c:v>
                </c:pt>
                <c:pt idx="22">
                  <c:v>4.0999999999999996</c:v>
                </c:pt>
                <c:pt idx="23">
                  <c:v>6.1</c:v>
                </c:pt>
              </c:numCache>
            </c:numRef>
          </c:val>
          <c:extLst>
            <c:ext xmlns:c16="http://schemas.microsoft.com/office/drawing/2014/chart" uri="{C3380CC4-5D6E-409C-BE32-E72D297353CC}">
              <c16:uniqueId val="{00000000-EE6D-4903-8536-1D14F742A2C6}"/>
            </c:ext>
          </c:extLst>
        </c:ser>
        <c:dLbls>
          <c:showLegendKey val="0"/>
          <c:showVal val="0"/>
          <c:showCatName val="0"/>
          <c:showSerName val="0"/>
          <c:showPercent val="0"/>
          <c:showBubbleSize val="0"/>
        </c:dLbls>
        <c:gapWidth val="95"/>
        <c:axId val="270120064"/>
        <c:axId val="270121600"/>
      </c:barChart>
      <c:lineChart>
        <c:grouping val="standard"/>
        <c:varyColors val="0"/>
        <c:ser>
          <c:idx val="1"/>
          <c:order val="1"/>
          <c:tx>
            <c:strRef>
              <c:f>'Ceny 2'!$D$5</c:f>
              <c:strCache>
                <c:ptCount val="1"/>
                <c:pt idx="0">
                  <c:v>Potraviny a nealkoholické nápoje</c:v>
                </c:pt>
              </c:strCache>
            </c:strRef>
          </c:tx>
          <c:spPr>
            <a:ln w="19050">
              <a:solidFill>
                <a:srgbClr val="0071BC"/>
              </a:solidFill>
            </a:ln>
          </c:spPr>
          <c:marker>
            <c:symbol val="none"/>
          </c:marker>
          <c:cat>
            <c:multiLvlStrRef>
              <c:f>'Ceny 2'!$A$22:$B$45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2'!$D$22:$D$45</c:f>
              <c:numCache>
                <c:formatCode>0.0</c:formatCode>
                <c:ptCount val="24"/>
                <c:pt idx="0">
                  <c:v>-1.7000000000000028</c:v>
                </c:pt>
                <c:pt idx="1">
                  <c:v>-2.4000000000000057</c:v>
                </c:pt>
                <c:pt idx="2">
                  <c:v>-0.79999999999999716</c:v>
                </c:pt>
                <c:pt idx="3">
                  <c:v>1.2000000000000028</c:v>
                </c:pt>
                <c:pt idx="4" formatCode="General">
                  <c:v>4.2000000000000028</c:v>
                </c:pt>
                <c:pt idx="5" formatCode="General">
                  <c:v>4.5</c:v>
                </c:pt>
                <c:pt idx="6">
                  <c:v>5.7</c:v>
                </c:pt>
                <c:pt idx="7">
                  <c:v>6.3</c:v>
                </c:pt>
                <c:pt idx="8">
                  <c:v>2.9</c:v>
                </c:pt>
                <c:pt idx="9" formatCode="#\ ##0.0_ ;\-#\ ##0.0\ ">
                  <c:v>2.2999999999999998</c:v>
                </c:pt>
                <c:pt idx="10">
                  <c:v>0.6</c:v>
                </c:pt>
                <c:pt idx="11">
                  <c:v>-0.5</c:v>
                </c:pt>
                <c:pt idx="12">
                  <c:v>1</c:v>
                </c:pt>
                <c:pt idx="13">
                  <c:v>2.5</c:v>
                </c:pt>
                <c:pt idx="14">
                  <c:v>3.5</c:v>
                </c:pt>
                <c:pt idx="15">
                  <c:v>4.3</c:v>
                </c:pt>
                <c:pt idx="16">
                  <c:v>6.1</c:v>
                </c:pt>
                <c:pt idx="17">
                  <c:v>6.5</c:v>
                </c:pt>
                <c:pt idx="18">
                  <c:v>4</c:v>
                </c:pt>
                <c:pt idx="19">
                  <c:v>1.7</c:v>
                </c:pt>
                <c:pt idx="20">
                  <c:v>0.3</c:v>
                </c:pt>
                <c:pt idx="21">
                  <c:v>-0.8</c:v>
                </c:pt>
                <c:pt idx="22">
                  <c:v>1.4</c:v>
                </c:pt>
                <c:pt idx="23">
                  <c:v>2.2999999999999998</c:v>
                </c:pt>
              </c:numCache>
            </c:numRef>
          </c:val>
          <c:smooth val="0"/>
          <c:extLst>
            <c:ext xmlns:c16="http://schemas.microsoft.com/office/drawing/2014/chart" uri="{C3380CC4-5D6E-409C-BE32-E72D297353CC}">
              <c16:uniqueId val="{00000001-EE6D-4903-8536-1D14F742A2C6}"/>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2'!$F$22:$F$45</c:f>
              <c:numCache>
                <c:formatCode>0.0</c:formatCode>
                <c:ptCount val="24"/>
                <c:pt idx="0">
                  <c:v>0.90000000000000568</c:v>
                </c:pt>
                <c:pt idx="1">
                  <c:v>0.5</c:v>
                </c:pt>
                <c:pt idx="2">
                  <c:v>0.40000000000000568</c:v>
                </c:pt>
                <c:pt idx="3">
                  <c:v>0.59999999999999432</c:v>
                </c:pt>
                <c:pt idx="4" formatCode="General">
                  <c:v>0.79999999999999716</c:v>
                </c:pt>
                <c:pt idx="5" formatCode="General">
                  <c:v>1.5</c:v>
                </c:pt>
                <c:pt idx="6">
                  <c:v>2.1</c:v>
                </c:pt>
                <c:pt idx="7">
                  <c:v>2.2000000000000002</c:v>
                </c:pt>
                <c:pt idx="8">
                  <c:v>2.2999999999999998</c:v>
                </c:pt>
                <c:pt idx="9">
                  <c:v>2.6</c:v>
                </c:pt>
                <c:pt idx="10">
                  <c:v>3.2</c:v>
                </c:pt>
                <c:pt idx="11">
                  <c:v>3.8</c:v>
                </c:pt>
                <c:pt idx="12">
                  <c:v>5.4</c:v>
                </c:pt>
                <c:pt idx="13">
                  <c:v>5.7</c:v>
                </c:pt>
                <c:pt idx="14">
                  <c:v>5.2</c:v>
                </c:pt>
                <c:pt idx="15">
                  <c:v>5</c:v>
                </c:pt>
                <c:pt idx="16">
                  <c:v>4.2</c:v>
                </c:pt>
                <c:pt idx="17">
                  <c:v>3.2</c:v>
                </c:pt>
                <c:pt idx="18">
                  <c:v>2.7</c:v>
                </c:pt>
                <c:pt idx="19">
                  <c:v>1.4</c:v>
                </c:pt>
                <c:pt idx="20">
                  <c:v>0.6</c:v>
                </c:pt>
                <c:pt idx="21">
                  <c:v>1.3</c:v>
                </c:pt>
                <c:pt idx="22">
                  <c:v>3.6</c:v>
                </c:pt>
                <c:pt idx="23">
                  <c:v>5.6</c:v>
                </c:pt>
              </c:numCache>
            </c:numRef>
          </c:val>
          <c:smooth val="0"/>
          <c:extLst>
            <c:ext xmlns:c16="http://schemas.microsoft.com/office/drawing/2014/chart" uri="{C3380CC4-5D6E-409C-BE32-E72D297353CC}">
              <c16:uniqueId val="{00000002-EE6D-4903-8536-1D14F742A2C6}"/>
            </c:ext>
          </c:extLst>
        </c:ser>
        <c:ser>
          <c:idx val="4"/>
          <c:order val="3"/>
          <c:tx>
            <c:strRef>
              <c:f>'Ceny 2'!$G$5</c:f>
              <c:strCache>
                <c:ptCount val="1"/>
                <c:pt idx="0">
                  <c:v>Doprava</c:v>
                </c:pt>
              </c:strCache>
            </c:strRef>
          </c:tx>
          <c:spPr>
            <a:ln w="19050">
              <a:solidFill>
                <a:srgbClr val="FFC000"/>
              </a:solidFill>
            </a:ln>
          </c:spPr>
          <c:marker>
            <c:symbol val="none"/>
          </c:marker>
          <c:cat>
            <c:multiLvlStrRef>
              <c:f>'Ceny 2'!$A$22:$B$45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2'!$G$22:$G$45</c:f>
              <c:numCache>
                <c:formatCode>General</c:formatCode>
                <c:ptCount val="24"/>
                <c:pt idx="0">
                  <c:v>-2.7000000000000028</c:v>
                </c:pt>
                <c:pt idx="1">
                  <c:v>-2.9000000000000057</c:v>
                </c:pt>
                <c:pt idx="2">
                  <c:v>-2.2999999999999972</c:v>
                </c:pt>
                <c:pt idx="3">
                  <c:v>1.0999999999999943</c:v>
                </c:pt>
                <c:pt idx="4">
                  <c:v>6</c:v>
                </c:pt>
                <c:pt idx="5">
                  <c:v>3.9000000000000057</c:v>
                </c:pt>
                <c:pt idx="6" formatCode="0.0">
                  <c:v>2.5</c:v>
                </c:pt>
                <c:pt idx="7" formatCode="0.0">
                  <c:v>2.5</c:v>
                </c:pt>
                <c:pt idx="8" formatCode="0.0">
                  <c:v>1</c:v>
                </c:pt>
                <c:pt idx="9" formatCode="0.0">
                  <c:v>3</c:v>
                </c:pt>
                <c:pt idx="10" formatCode="0.0">
                  <c:v>4.5</c:v>
                </c:pt>
                <c:pt idx="11" formatCode="0.0">
                  <c:v>2.6</c:v>
                </c:pt>
                <c:pt idx="12" formatCode="0.0">
                  <c:v>0.6</c:v>
                </c:pt>
                <c:pt idx="13" formatCode="0.0">
                  <c:v>0.8</c:v>
                </c:pt>
                <c:pt idx="14" formatCode="0.0">
                  <c:v>-0.2</c:v>
                </c:pt>
                <c:pt idx="15" formatCode="0.0">
                  <c:v>0.5</c:v>
                </c:pt>
                <c:pt idx="16">
                  <c:v>1.7</c:v>
                </c:pt>
                <c:pt idx="17" formatCode="0.0">
                  <c:v>-3.4</c:v>
                </c:pt>
                <c:pt idx="18" formatCode="0.0">
                  <c:v>-0.2</c:v>
                </c:pt>
                <c:pt idx="19" formatCode="0.0">
                  <c:v>0.6</c:v>
                </c:pt>
                <c:pt idx="20" formatCode="0.0">
                  <c:v>2.4</c:v>
                </c:pt>
                <c:pt idx="21" formatCode="0.0">
                  <c:v>9.1</c:v>
                </c:pt>
                <c:pt idx="22" formatCode="0.0">
                  <c:v>8.8000000000000007</c:v>
                </c:pt>
                <c:pt idx="23" formatCode="0.0">
                  <c:v>13.1</c:v>
                </c:pt>
              </c:numCache>
            </c:numRef>
          </c:val>
          <c:smooth val="0"/>
          <c:extLst>
            <c:ext xmlns:c16="http://schemas.microsoft.com/office/drawing/2014/chart" uri="{C3380CC4-5D6E-409C-BE32-E72D297353CC}">
              <c16:uniqueId val="{00000003-EE6D-4903-8536-1D14F742A2C6}"/>
            </c:ext>
          </c:extLst>
        </c:ser>
        <c:ser>
          <c:idx val="2"/>
          <c:order val="4"/>
          <c:tx>
            <c:strRef>
              <c:f>'Ceny 2'!$E$5</c:f>
              <c:strCache>
                <c:ptCount val="1"/>
                <c:pt idx="0">
                  <c:v>Alkoholické nápoje a tabák</c:v>
                </c:pt>
              </c:strCache>
            </c:strRef>
          </c:tx>
          <c:spPr>
            <a:ln w="19050">
              <a:solidFill>
                <a:schemeClr val="accent2"/>
              </a:solidFill>
            </a:ln>
          </c:spPr>
          <c:marker>
            <c:symbol val="none"/>
          </c:marker>
          <c:cat>
            <c:multiLvlStrRef>
              <c:f>'Ceny 2'!$A$22:$B$45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2'!$E$22:$E$45</c:f>
              <c:numCache>
                <c:formatCode>0.0</c:formatCode>
                <c:ptCount val="24"/>
                <c:pt idx="0">
                  <c:v>3.5</c:v>
                </c:pt>
                <c:pt idx="1">
                  <c:v>4.4000000000000057</c:v>
                </c:pt>
                <c:pt idx="2">
                  <c:v>4.5</c:v>
                </c:pt>
                <c:pt idx="3">
                  <c:v>5.2000000000000028</c:v>
                </c:pt>
                <c:pt idx="4" formatCode="General">
                  <c:v>3.4000000000000057</c:v>
                </c:pt>
                <c:pt idx="5" formatCode="General">
                  <c:v>0.79999999999999716</c:v>
                </c:pt>
                <c:pt idx="6">
                  <c:v>1.3</c:v>
                </c:pt>
                <c:pt idx="7">
                  <c:v>1.5</c:v>
                </c:pt>
                <c:pt idx="8">
                  <c:v>2.5</c:v>
                </c:pt>
                <c:pt idx="9">
                  <c:v>3.6</c:v>
                </c:pt>
                <c:pt idx="10">
                  <c:v>2.8</c:v>
                </c:pt>
                <c:pt idx="11">
                  <c:v>3.1</c:v>
                </c:pt>
                <c:pt idx="12">
                  <c:v>3.3</c:v>
                </c:pt>
                <c:pt idx="13">
                  <c:v>1.7</c:v>
                </c:pt>
                <c:pt idx="14">
                  <c:v>1.9</c:v>
                </c:pt>
                <c:pt idx="15">
                  <c:v>1.8</c:v>
                </c:pt>
                <c:pt idx="16" formatCode="General">
                  <c:v>3.5</c:v>
                </c:pt>
                <c:pt idx="17">
                  <c:v>6.6</c:v>
                </c:pt>
                <c:pt idx="18">
                  <c:v>10.3</c:v>
                </c:pt>
                <c:pt idx="19">
                  <c:v>9.9</c:v>
                </c:pt>
                <c:pt idx="20">
                  <c:v>9.9</c:v>
                </c:pt>
                <c:pt idx="21">
                  <c:v>9.8000000000000007</c:v>
                </c:pt>
                <c:pt idx="22">
                  <c:v>6.5</c:v>
                </c:pt>
                <c:pt idx="23">
                  <c:v>7.7</c:v>
                </c:pt>
              </c:numCache>
            </c:numRef>
          </c:val>
          <c:smooth val="0"/>
          <c:extLst>
            <c:ext xmlns:c16="http://schemas.microsoft.com/office/drawing/2014/chart" uri="{C3380CC4-5D6E-409C-BE32-E72D297353CC}">
              <c16:uniqueId val="{00000004-EE6D-4903-8536-1D14F742A2C6}"/>
            </c:ext>
          </c:extLst>
        </c:ser>
        <c:ser>
          <c:idx val="5"/>
          <c:order val="5"/>
          <c:tx>
            <c:strRef>
              <c:f>'Ceny 2'!$H$5</c:f>
              <c:strCache>
                <c:ptCount val="1"/>
                <c:pt idx="0">
                  <c:v>Stravování a ubytování</c:v>
                </c:pt>
              </c:strCache>
            </c:strRef>
          </c:tx>
          <c:spPr>
            <a:ln w="19050">
              <a:solidFill>
                <a:srgbClr val="7030A0"/>
              </a:solidFill>
            </a:ln>
          </c:spPr>
          <c:marker>
            <c:symbol val="none"/>
          </c:marker>
          <c:cat>
            <c:multiLvlStrRef>
              <c:f>'Ceny 2'!$A$22:$B$45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2'!$H$22:$H$45</c:f>
              <c:numCache>
                <c:formatCode>###\ ###\ ##0.0</c:formatCode>
                <c:ptCount val="24"/>
                <c:pt idx="0">
                  <c:v>1.2000000000000028</c:v>
                </c:pt>
                <c:pt idx="1">
                  <c:v>1.0999999999999943</c:v>
                </c:pt>
                <c:pt idx="2">
                  <c:v>1.2000000000000028</c:v>
                </c:pt>
                <c:pt idx="3">
                  <c:v>2.7000000000000028</c:v>
                </c:pt>
                <c:pt idx="4">
                  <c:v>5.2000000000000028</c:v>
                </c:pt>
                <c:pt idx="5">
                  <c:v>5.7999999999999972</c:v>
                </c:pt>
                <c:pt idx="6">
                  <c:v>6.2999999999999972</c:v>
                </c:pt>
                <c:pt idx="7" formatCode="0.0">
                  <c:v>5.6</c:v>
                </c:pt>
                <c:pt idx="8" formatCode="0.0">
                  <c:v>3.5</c:v>
                </c:pt>
                <c:pt idx="9" formatCode="0.0">
                  <c:v>3.6</c:v>
                </c:pt>
                <c:pt idx="10" formatCode="0.0">
                  <c:v>3.5</c:v>
                </c:pt>
                <c:pt idx="11" formatCode="0.0">
                  <c:v>3.7</c:v>
                </c:pt>
                <c:pt idx="12" formatCode="0.0">
                  <c:v>3.8</c:v>
                </c:pt>
                <c:pt idx="13" formatCode="0.0">
                  <c:v>4</c:v>
                </c:pt>
                <c:pt idx="14" formatCode="0.0">
                  <c:v>4.5</c:v>
                </c:pt>
                <c:pt idx="15" formatCode="0.0">
                  <c:v>4.5999999999999996</c:v>
                </c:pt>
                <c:pt idx="16" formatCode="0.0">
                  <c:v>5.5</c:v>
                </c:pt>
                <c:pt idx="17" formatCode="0.0">
                  <c:v>5.0999999999999996</c:v>
                </c:pt>
                <c:pt idx="18" formatCode="0.0">
                  <c:v>4.9000000000000004</c:v>
                </c:pt>
                <c:pt idx="19" formatCode="0.0">
                  <c:v>4.3</c:v>
                </c:pt>
                <c:pt idx="20" formatCode="0.0">
                  <c:v>3</c:v>
                </c:pt>
                <c:pt idx="21" formatCode="0.0">
                  <c:v>2.9</c:v>
                </c:pt>
                <c:pt idx="22" formatCode="0.0">
                  <c:v>4.5999999999999996</c:v>
                </c:pt>
                <c:pt idx="23" formatCode="0.0">
                  <c:v>6.8</c:v>
                </c:pt>
              </c:numCache>
            </c:numRef>
          </c:val>
          <c:smooth val="0"/>
          <c:extLst>
            <c:ext xmlns:c16="http://schemas.microsoft.com/office/drawing/2014/chart" uri="{C3380CC4-5D6E-409C-BE32-E72D297353CC}">
              <c16:uniqueId val="{00000005-EE6D-4903-8536-1D14F742A2C6}"/>
            </c:ext>
          </c:extLst>
        </c:ser>
        <c:dLbls>
          <c:showLegendKey val="0"/>
          <c:showVal val="0"/>
          <c:showCatName val="0"/>
          <c:showSerName val="0"/>
          <c:showPercent val="0"/>
          <c:showBubbleSize val="0"/>
        </c:dLbls>
        <c:marker val="1"/>
        <c:smooth val="0"/>
        <c:axId val="270120064"/>
        <c:axId val="270121600"/>
      </c:lineChart>
      <c:catAx>
        <c:axId val="27012006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121600"/>
        <c:crosses val="autoZero"/>
        <c:auto val="1"/>
        <c:lblAlgn val="ctr"/>
        <c:lblOffset val="100"/>
        <c:noMultiLvlLbl val="0"/>
      </c:catAx>
      <c:valAx>
        <c:axId val="270121600"/>
        <c:scaling>
          <c:orientation val="minMax"/>
          <c:min val="-4"/>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120064"/>
        <c:crosses val="autoZero"/>
        <c:crossBetween val="between"/>
        <c:majorUnit val="1"/>
      </c:valAx>
      <c:spPr>
        <a:ln>
          <a:solidFill>
            <a:schemeClr val="tx1"/>
          </a:solidFill>
        </a:ln>
      </c:spPr>
    </c:plotArea>
    <c:legend>
      <c:legendPos val="b"/>
      <c:layout>
        <c:manualLayout>
          <c:xMode val="edge"/>
          <c:yMode val="edge"/>
          <c:x val="5.3882134414049307E-2"/>
          <c:y val="0.85444938788566116"/>
          <c:w val="0.92202296521445437"/>
          <c:h val="0.1381645293553171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341875831204752E-2"/>
          <c:y val="2.9569886214146503E-2"/>
          <c:w val="0.91029511726583778"/>
          <c:h val="0.73556653157716956"/>
        </c:manualLayout>
      </c:layout>
      <c:barChart>
        <c:barDir val="col"/>
        <c:grouping val="clustered"/>
        <c:varyColors val="0"/>
        <c:ser>
          <c:idx val="0"/>
          <c:order val="0"/>
          <c:tx>
            <c:strRef>
              <c:f>'Ceny 1'!$C$5</c:f>
              <c:strCache>
                <c:ptCount val="1"/>
                <c:pt idx="0">
                  <c:v>Realizované ceny starších bytů, ČR</c:v>
                </c:pt>
              </c:strCache>
            </c:strRef>
          </c:tx>
          <c:spPr>
            <a:solidFill>
              <a:schemeClr val="bg1">
                <a:lumMod val="65000"/>
              </a:schemeClr>
            </a:solidFill>
            <a:ln w="19050">
              <a:noFill/>
            </a:ln>
          </c:spPr>
          <c:invertIfNegative val="0"/>
          <c:cat>
            <c:multiLvlStrRef>
              <c:f>'Ceny 1'!$A$22:$B$45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1'!$C$22:$C$45</c:f>
              <c:numCache>
                <c:formatCode>General</c:formatCode>
                <c:ptCount val="24"/>
                <c:pt idx="0">
                  <c:v>8.9000000000000057</c:v>
                </c:pt>
                <c:pt idx="1">
                  <c:v>10.299999999999997</c:v>
                </c:pt>
                <c:pt idx="2">
                  <c:v>12.299999999999997</c:v>
                </c:pt>
                <c:pt idx="3">
                  <c:v>14.599999999999994</c:v>
                </c:pt>
                <c:pt idx="4">
                  <c:v>17.200000000000003</c:v>
                </c:pt>
                <c:pt idx="5">
                  <c:v>18.700000000000003</c:v>
                </c:pt>
                <c:pt idx="6">
                  <c:v>15.799999999999997</c:v>
                </c:pt>
                <c:pt idx="7">
                  <c:v>12</c:v>
                </c:pt>
                <c:pt idx="8">
                  <c:v>9.2000000000000028</c:v>
                </c:pt>
                <c:pt idx="9">
                  <c:v>8</c:v>
                </c:pt>
                <c:pt idx="10">
                  <c:v>9.4000000000000057</c:v>
                </c:pt>
                <c:pt idx="11">
                  <c:v>11.400000000000006</c:v>
                </c:pt>
                <c:pt idx="12">
                  <c:v>11.299999999999997</c:v>
                </c:pt>
                <c:pt idx="13">
                  <c:v>10.599999999999994</c:v>
                </c:pt>
                <c:pt idx="14">
                  <c:v>9.5</c:v>
                </c:pt>
                <c:pt idx="15">
                  <c:v>9.4000000000000057</c:v>
                </c:pt>
                <c:pt idx="16">
                  <c:v>10.599999999999994</c:v>
                </c:pt>
                <c:pt idx="17">
                  <c:v>10.200000000000003</c:v>
                </c:pt>
                <c:pt idx="18">
                  <c:v>11.200000000000003</c:v>
                </c:pt>
                <c:pt idx="19">
                  <c:v>13.299999999999997</c:v>
                </c:pt>
                <c:pt idx="20">
                  <c:v>15.200000000000003</c:v>
                </c:pt>
                <c:pt idx="21">
                  <c:v>17.900000000000006</c:v>
                </c:pt>
                <c:pt idx="22">
                  <c:v>21.299999999999997</c:v>
                </c:pt>
                <c:pt idx="23">
                  <c:v>25.200000000000003</c:v>
                </c:pt>
              </c:numCache>
            </c:numRef>
          </c:val>
          <c:extLst>
            <c:ext xmlns:c16="http://schemas.microsoft.com/office/drawing/2014/chart" uri="{C3380CC4-5D6E-409C-BE32-E72D297353CC}">
              <c16:uniqueId val="{00000000-5D06-4151-AF94-B51DEBC3A96E}"/>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invertIfNegative val="0"/>
          <c:cat>
            <c:multiLvlStrRef>
              <c:f>'Ceny 1'!$A$22:$B$45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1'!$D$22:$D$45</c:f>
              <c:numCache>
                <c:formatCode>General</c:formatCode>
                <c:ptCount val="24"/>
                <c:pt idx="0">
                  <c:v>5.7999999999999972</c:v>
                </c:pt>
                <c:pt idx="1">
                  <c:v>7.5</c:v>
                </c:pt>
                <c:pt idx="2">
                  <c:v>9.4000000000000057</c:v>
                </c:pt>
                <c:pt idx="3">
                  <c:v>13.900000000000006</c:v>
                </c:pt>
                <c:pt idx="4">
                  <c:v>16.200000000000003</c:v>
                </c:pt>
                <c:pt idx="5">
                  <c:v>19</c:v>
                </c:pt>
                <c:pt idx="6">
                  <c:v>16.400000000000006</c:v>
                </c:pt>
                <c:pt idx="7">
                  <c:v>11.099999999999994</c:v>
                </c:pt>
                <c:pt idx="8">
                  <c:v>8.2999999999999972</c:v>
                </c:pt>
                <c:pt idx="9">
                  <c:v>4</c:v>
                </c:pt>
                <c:pt idx="10">
                  <c:v>6</c:v>
                </c:pt>
                <c:pt idx="11">
                  <c:v>8.7000000000000028</c:v>
                </c:pt>
                <c:pt idx="12">
                  <c:v>9.4000000000000057</c:v>
                </c:pt>
                <c:pt idx="13">
                  <c:v>8.7000000000000028</c:v>
                </c:pt>
                <c:pt idx="14">
                  <c:v>6.5</c:v>
                </c:pt>
                <c:pt idx="15">
                  <c:v>7.0999999999999943</c:v>
                </c:pt>
                <c:pt idx="16">
                  <c:v>6.2000000000000028</c:v>
                </c:pt>
                <c:pt idx="17">
                  <c:v>8</c:v>
                </c:pt>
                <c:pt idx="18">
                  <c:v>9.4000000000000057</c:v>
                </c:pt>
                <c:pt idx="19">
                  <c:v>10.599999999999994</c:v>
                </c:pt>
                <c:pt idx="20">
                  <c:v>14.299999999999997</c:v>
                </c:pt>
                <c:pt idx="21">
                  <c:v>15.799999999999997</c:v>
                </c:pt>
                <c:pt idx="22">
                  <c:v>16.599999999999994</c:v>
                </c:pt>
                <c:pt idx="23">
                  <c:v>20</c:v>
                </c:pt>
              </c:numCache>
            </c:numRef>
          </c:val>
          <c:extLst>
            <c:ext xmlns:c16="http://schemas.microsoft.com/office/drawing/2014/chart" uri="{C3380CC4-5D6E-409C-BE32-E72D297353CC}">
              <c16:uniqueId val="{00000001-5D06-4151-AF94-B51DEBC3A96E}"/>
            </c:ext>
          </c:extLst>
        </c:ser>
        <c:dLbls>
          <c:showLegendKey val="0"/>
          <c:showVal val="0"/>
          <c:showCatName val="0"/>
          <c:showSerName val="0"/>
          <c:showPercent val="0"/>
          <c:showBubbleSize val="0"/>
        </c:dLbls>
        <c:gapWidth val="95"/>
        <c:axId val="270057856"/>
        <c:axId val="270059392"/>
      </c:barChart>
      <c:lineChart>
        <c:grouping val="standard"/>
        <c:varyColors val="0"/>
        <c:ser>
          <c:idx val="2"/>
          <c:order val="2"/>
          <c:tx>
            <c:strRef>
              <c:f>'Ceny 1'!$E$5</c:f>
              <c:strCache>
                <c:ptCount val="1"/>
                <c:pt idx="0">
                  <c:v>Nabídkové ceny bytů, ČR</c:v>
                </c:pt>
              </c:strCache>
            </c:strRef>
          </c:tx>
          <c:spPr>
            <a:ln w="19050">
              <a:solidFill>
                <a:schemeClr val="accent2"/>
              </a:solidFill>
            </a:ln>
          </c:spPr>
          <c:marker>
            <c:symbol val="none"/>
          </c:marker>
          <c:cat>
            <c:multiLvlStrRef>
              <c:f>'Ceny 1'!$A$22:$B$45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1'!$E$22:$E$45</c:f>
              <c:numCache>
                <c:formatCode>0.0</c:formatCode>
                <c:ptCount val="24"/>
                <c:pt idx="0">
                  <c:v>10.204081632653043</c:v>
                </c:pt>
                <c:pt idx="1">
                  <c:v>10.321969696969703</c:v>
                </c:pt>
                <c:pt idx="2">
                  <c:v>9.8982423681776197</c:v>
                </c:pt>
                <c:pt idx="3">
                  <c:v>9.918845807033378</c:v>
                </c:pt>
                <c:pt idx="4">
                  <c:v>9.5238095238095184</c:v>
                </c:pt>
                <c:pt idx="5" formatCode="General">
                  <c:v>9.5278969957081472</c:v>
                </c:pt>
                <c:pt idx="6" formatCode="General">
                  <c:v>12.542087542087543</c:v>
                </c:pt>
                <c:pt idx="7" formatCode="General">
                  <c:v>12.469237079573418</c:v>
                </c:pt>
                <c:pt idx="8" formatCode="General">
                  <c:v>12.801932367149746</c:v>
                </c:pt>
                <c:pt idx="9" formatCode="General">
                  <c:v>12.225705329153584</c:v>
                </c:pt>
                <c:pt idx="10" formatCode="General">
                  <c:v>9.498878085265531</c:v>
                </c:pt>
                <c:pt idx="11" formatCode="General">
                  <c:v>8.4609773887673185</c:v>
                </c:pt>
                <c:pt idx="12" formatCode="General">
                  <c:v>7.4232690935046435</c:v>
                </c:pt>
                <c:pt idx="13" formatCode="General">
                  <c:v>5.7262569832402335</c:v>
                </c:pt>
                <c:pt idx="14" formatCode="General">
                  <c:v>5.1912568306010911</c:v>
                </c:pt>
                <c:pt idx="15" formatCode="General">
                  <c:v>5.5144586415601964</c:v>
                </c:pt>
                <c:pt idx="16" formatCode="General">
                  <c:v>6.0465116279069662</c:v>
                </c:pt>
                <c:pt idx="17" formatCode="General">
                  <c:v>7.1334214002641829</c:v>
                </c:pt>
                <c:pt idx="18" formatCode="General">
                  <c:v>7.9870129870129887</c:v>
                </c:pt>
                <c:pt idx="19" formatCode="General">
                  <c:v>7.6481835564053569</c:v>
                </c:pt>
                <c:pt idx="20" formatCode="General">
                  <c:v>7.6441102756892292</c:v>
                </c:pt>
                <c:pt idx="21" formatCode="General">
                  <c:v>7.9531442663378584</c:v>
                </c:pt>
                <c:pt idx="22" formatCode="General">
                  <c:v>9.3205051112447421</c:v>
                </c:pt>
                <c:pt idx="23" formatCode="General">
                  <c:v>12.433392539964473</c:v>
                </c:pt>
              </c:numCache>
            </c:numRef>
          </c:val>
          <c:smooth val="0"/>
          <c:extLst>
            <c:ext xmlns:c16="http://schemas.microsoft.com/office/drawing/2014/chart" uri="{C3380CC4-5D6E-409C-BE32-E72D297353CC}">
              <c16:uniqueId val="{00000002-5D06-4151-AF94-B51DEBC3A96E}"/>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1'!$F$22:$F$45</c:f>
              <c:numCache>
                <c:formatCode>0.0</c:formatCode>
                <c:ptCount val="24"/>
                <c:pt idx="0">
                  <c:v>10.196779964221832</c:v>
                </c:pt>
                <c:pt idx="1">
                  <c:v>10.549258936355699</c:v>
                </c:pt>
                <c:pt idx="2">
                  <c:v>9.7706032285471451</c:v>
                </c:pt>
                <c:pt idx="3">
                  <c:v>11.323896752706062</c:v>
                </c:pt>
                <c:pt idx="4">
                  <c:v>13.636363636363626</c:v>
                </c:pt>
                <c:pt idx="5" formatCode="General">
                  <c:v>14.589905362776051</c:v>
                </c:pt>
                <c:pt idx="6" formatCode="General">
                  <c:v>18.266253869969049</c:v>
                </c:pt>
                <c:pt idx="7" formatCode="General">
                  <c:v>18.773373223635019</c:v>
                </c:pt>
                <c:pt idx="8" formatCode="General">
                  <c:v>15.071428571428555</c:v>
                </c:pt>
                <c:pt idx="9" formatCode="General">
                  <c:v>14.24638678596007</c:v>
                </c:pt>
                <c:pt idx="10" formatCode="General">
                  <c:v>10.732984293193695</c:v>
                </c:pt>
                <c:pt idx="11" formatCode="General">
                  <c:v>8.7531486146095574</c:v>
                </c:pt>
                <c:pt idx="12" formatCode="General">
                  <c:v>8.3178150217256359</c:v>
                </c:pt>
                <c:pt idx="13" formatCode="General">
                  <c:v>4.9397590361445651</c:v>
                </c:pt>
                <c:pt idx="14" formatCode="General">
                  <c:v>3.3096926713947994</c:v>
                </c:pt>
                <c:pt idx="15" formatCode="General">
                  <c:v>2.9530978575564575</c:v>
                </c:pt>
                <c:pt idx="16" formatCode="General">
                  <c:v>3.5530085959885298</c:v>
                </c:pt>
                <c:pt idx="17" formatCode="General">
                  <c:v>5.2812858783008068</c:v>
                </c:pt>
                <c:pt idx="18" formatCode="General">
                  <c:v>6.2356979405034281</c:v>
                </c:pt>
                <c:pt idx="19" formatCode="General">
                  <c:v>5.1743532058492718</c:v>
                </c:pt>
                <c:pt idx="20" formatCode="General">
                  <c:v>4.759269507470961</c:v>
                </c:pt>
                <c:pt idx="21" formatCode="General">
                  <c:v>4.5256270447110012</c:v>
                </c:pt>
                <c:pt idx="22" formatCode="General">
                  <c:v>6.2466343564889826</c:v>
                </c:pt>
                <c:pt idx="23" formatCode="General">
                  <c:v>9.1443850267379503</c:v>
                </c:pt>
              </c:numCache>
            </c:numRef>
          </c:val>
          <c:smooth val="0"/>
          <c:extLst>
            <c:ext xmlns:c16="http://schemas.microsoft.com/office/drawing/2014/chart" uri="{C3380CC4-5D6E-409C-BE32-E72D297353CC}">
              <c16:uniqueId val="{00000003-5D06-4151-AF94-B51DEBC3A96E}"/>
            </c:ext>
          </c:extLst>
        </c:ser>
        <c:dLbls>
          <c:showLegendKey val="0"/>
          <c:showVal val="0"/>
          <c:showCatName val="0"/>
          <c:showSerName val="0"/>
          <c:showPercent val="0"/>
          <c:showBubbleSize val="0"/>
        </c:dLbls>
        <c:marker val="1"/>
        <c:smooth val="0"/>
        <c:axId val="270057856"/>
        <c:axId val="270059392"/>
      </c:lineChart>
      <c:catAx>
        <c:axId val="27005785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059392"/>
        <c:crosses val="autoZero"/>
        <c:auto val="1"/>
        <c:lblAlgn val="ctr"/>
        <c:lblOffset val="100"/>
        <c:noMultiLvlLbl val="0"/>
      </c:catAx>
      <c:valAx>
        <c:axId val="270059392"/>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057856"/>
        <c:crosses val="autoZero"/>
        <c:crossBetween val="between"/>
        <c:majorUnit val="2"/>
      </c:valAx>
      <c:spPr>
        <a:ln>
          <a:solidFill>
            <a:schemeClr val="tx1"/>
          </a:solidFill>
        </a:ln>
      </c:spPr>
    </c:plotArea>
    <c:legend>
      <c:legendPos val="b"/>
      <c:layout>
        <c:manualLayout>
          <c:xMode val="edge"/>
          <c:yMode val="edge"/>
          <c:x val="6.5291845221760153E-2"/>
          <c:y val="0.88817854328492629"/>
          <c:w val="0.90803571805535011"/>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10469436001351E-2"/>
          <c:y val="2.181131592422042E-2"/>
          <c:w val="0.91678305292267426"/>
          <c:h val="0.71663233141956562"/>
        </c:manualLayout>
      </c:layout>
      <c:barChart>
        <c:barDir val="col"/>
        <c:grouping val="clustered"/>
        <c:varyColors val="0"/>
        <c:ser>
          <c:idx val="0"/>
          <c:order val="0"/>
          <c:tx>
            <c:strRef>
              <c:f>'Ceny 4'!$C$5</c:f>
              <c:strCache>
                <c:ptCount val="1"/>
                <c:pt idx="0">
                  <c:v>Celkem</c:v>
                </c:pt>
              </c:strCache>
            </c:strRef>
          </c:tx>
          <c:spPr>
            <a:solidFill>
              <a:schemeClr val="bg1">
                <a:lumMod val="65000"/>
              </a:schemeClr>
            </a:solidFill>
            <a:ln w="19050">
              <a:noFill/>
            </a:ln>
          </c:spPr>
          <c:invertIfNegative val="0"/>
          <c:cat>
            <c:multiLvlStrRef>
              <c:f>'Ceny 4'!$A$42:$B$113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'Ceny 4'!$C$42:$C$113</c:f>
              <c:numCache>
                <c:formatCode>0.0</c:formatCode>
                <c:ptCount val="72"/>
                <c:pt idx="0">
                  <c:v>-3.4000000000000057</c:v>
                </c:pt>
                <c:pt idx="1">
                  <c:v>-4</c:v>
                </c:pt>
                <c:pt idx="2">
                  <c:v>-4.5</c:v>
                </c:pt>
                <c:pt idx="3">
                  <c:v>-4.7000000000000028</c:v>
                </c:pt>
                <c:pt idx="4">
                  <c:v>-4.7999999999999972</c:v>
                </c:pt>
                <c:pt idx="5">
                  <c:v>-4.4000000000000057</c:v>
                </c:pt>
                <c:pt idx="6">
                  <c:v>-4</c:v>
                </c:pt>
                <c:pt idx="7">
                  <c:v>-3.4000000000000057</c:v>
                </c:pt>
                <c:pt idx="8">
                  <c:v>-2.4000000000000057</c:v>
                </c:pt>
                <c:pt idx="9">
                  <c:v>-1.7000000000000028</c:v>
                </c:pt>
                <c:pt idx="10">
                  <c:v>-1.2999999999999972</c:v>
                </c:pt>
                <c:pt idx="11">
                  <c:v>-0.40000000000000568</c:v>
                </c:pt>
                <c:pt idx="12" formatCode="General">
                  <c:v>2.0999999999999943</c:v>
                </c:pt>
                <c:pt idx="13" formatCode="General">
                  <c:v>3.0999999999999943</c:v>
                </c:pt>
                <c:pt idx="14">
                  <c:v>3</c:v>
                </c:pt>
                <c:pt idx="15">
                  <c:v>3.2000000000000028</c:v>
                </c:pt>
                <c:pt idx="16" formatCode="General">
                  <c:v>2.2999999999999972</c:v>
                </c:pt>
                <c:pt idx="17" formatCode="General">
                  <c:v>1.2999999999999972</c:v>
                </c:pt>
                <c:pt idx="18" formatCode="General">
                  <c:v>1.1000000000000001</c:v>
                </c:pt>
                <c:pt idx="19" formatCode="General">
                  <c:v>1.4</c:v>
                </c:pt>
                <c:pt idx="20" formatCode="General">
                  <c:v>1.7</c:v>
                </c:pt>
                <c:pt idx="21" formatCode="General">
                  <c:v>1.1000000000000001</c:v>
                </c:pt>
                <c:pt idx="22" formatCode="General">
                  <c:v>0.9</c:v>
                </c:pt>
                <c:pt idx="23" formatCode="General">
                  <c:v>0.7</c:v>
                </c:pt>
                <c:pt idx="24" formatCode="General">
                  <c:v>0.5</c:v>
                </c:pt>
                <c:pt idx="25" formatCode="General">
                  <c:v>-0.3</c:v>
                </c:pt>
                <c:pt idx="26" formatCode="General">
                  <c:v>0.1</c:v>
                </c:pt>
                <c:pt idx="27" formatCode="General">
                  <c:v>0</c:v>
                </c:pt>
                <c:pt idx="28" formatCode="General">
                  <c:v>1.5</c:v>
                </c:pt>
                <c:pt idx="29" formatCode="General">
                  <c:v>2.9</c:v>
                </c:pt>
                <c:pt idx="30" formatCode="General">
                  <c:v>3.4</c:v>
                </c:pt>
                <c:pt idx="31" formatCode="General">
                  <c:v>3.3</c:v>
                </c:pt>
                <c:pt idx="32" formatCode="General">
                  <c:v>3.2</c:v>
                </c:pt>
                <c:pt idx="33" formatCode="General">
                  <c:v>3.9</c:v>
                </c:pt>
                <c:pt idx="34" formatCode="General">
                  <c:v>3.9</c:v>
                </c:pt>
                <c:pt idx="35" formatCode="General">
                  <c:v>2.4</c:v>
                </c:pt>
                <c:pt idx="36" formatCode="General">
                  <c:v>2.9</c:v>
                </c:pt>
                <c:pt idx="37" formatCode="General">
                  <c:v>3.6</c:v>
                </c:pt>
                <c:pt idx="38" formatCode="General">
                  <c:v>3.8</c:v>
                </c:pt>
                <c:pt idx="39" formatCode="General">
                  <c:v>4.3</c:v>
                </c:pt>
                <c:pt idx="40" formatCode="General">
                  <c:v>3.8</c:v>
                </c:pt>
                <c:pt idx="41" formatCode="General">
                  <c:v>2.5</c:v>
                </c:pt>
                <c:pt idx="42" formatCode="General">
                  <c:v>2.1</c:v>
                </c:pt>
                <c:pt idx="43" formatCode="General">
                  <c:v>2.1</c:v>
                </c:pt>
                <c:pt idx="44" formatCode="General">
                  <c:v>1.9</c:v>
                </c:pt>
                <c:pt idx="45" formatCode="General">
                  <c:v>0.9</c:v>
                </c:pt>
                <c:pt idx="46" formatCode="General">
                  <c:v>0.9</c:v>
                </c:pt>
                <c:pt idx="47" formatCode="General">
                  <c:v>2.1</c:v>
                </c:pt>
                <c:pt idx="48" formatCode="General">
                  <c:v>2.4</c:v>
                </c:pt>
                <c:pt idx="49" formatCode="General">
                  <c:v>1.4</c:v>
                </c:pt>
                <c:pt idx="50" formatCode="General">
                  <c:v>0.4</c:v>
                </c:pt>
                <c:pt idx="51" formatCode="General">
                  <c:v>-0.8</c:v>
                </c:pt>
                <c:pt idx="52" formatCode="General">
                  <c:v>-0.9</c:v>
                </c:pt>
                <c:pt idx="53" formatCode="General">
                  <c:v>-0.3</c:v>
                </c:pt>
                <c:pt idx="54" formatCode="General">
                  <c:v>-0.1</c:v>
                </c:pt>
                <c:pt idx="55" formatCode="General">
                  <c:v>-0.5</c:v>
                </c:pt>
                <c:pt idx="56" formatCode="General">
                  <c:v>-0.4</c:v>
                </c:pt>
                <c:pt idx="57" formatCode="General">
                  <c:v>0.3</c:v>
                </c:pt>
                <c:pt idx="58" formatCode="General">
                  <c:v>-0.1</c:v>
                </c:pt>
                <c:pt idx="59" formatCode="General">
                  <c:v>0</c:v>
                </c:pt>
                <c:pt idx="60" formatCode="General">
                  <c:v>0</c:v>
                </c:pt>
                <c:pt idx="61" formatCode="General">
                  <c:v>1.4</c:v>
                </c:pt>
                <c:pt idx="62" formatCode="General">
                  <c:v>3.3</c:v>
                </c:pt>
                <c:pt idx="63" formatCode="General">
                  <c:v>4.5999999999999996</c:v>
                </c:pt>
                <c:pt idx="64" formatCode="General">
                  <c:v>5.0999999999999996</c:v>
                </c:pt>
                <c:pt idx="65" formatCode="General">
                  <c:v>6.1</c:v>
                </c:pt>
                <c:pt idx="66" formatCode="General">
                  <c:v>7.8</c:v>
                </c:pt>
                <c:pt idx="67" formatCode="General">
                  <c:v>9.3000000000000007</c:v>
                </c:pt>
                <c:pt idx="68" formatCode="General">
                  <c:v>9.9</c:v>
                </c:pt>
                <c:pt idx="69" formatCode="General">
                  <c:v>11.6</c:v>
                </c:pt>
                <c:pt idx="70" formatCode="General">
                  <c:v>13.5</c:v>
                </c:pt>
                <c:pt idx="71" formatCode="General">
                  <c:v>13.2</c:v>
                </c:pt>
              </c:numCache>
            </c:numRef>
          </c:val>
          <c:extLst>
            <c:ext xmlns:c16="http://schemas.microsoft.com/office/drawing/2014/chart" uri="{C3380CC4-5D6E-409C-BE32-E72D297353CC}">
              <c16:uniqueId val="{00000000-2824-4E10-936F-99AD3AD0C866}"/>
            </c:ext>
          </c:extLst>
        </c:ser>
        <c:dLbls>
          <c:showLegendKey val="0"/>
          <c:showVal val="0"/>
          <c:showCatName val="0"/>
          <c:showSerName val="0"/>
          <c:showPercent val="0"/>
          <c:showBubbleSize val="0"/>
        </c:dLbls>
        <c:gapWidth val="96"/>
        <c:axId val="271374208"/>
        <c:axId val="271375744"/>
      </c:barChart>
      <c:lineChart>
        <c:grouping val="standard"/>
        <c:varyColors val="0"/>
        <c:ser>
          <c:idx val="1"/>
          <c:order val="1"/>
          <c:tx>
            <c:strRef>
              <c:f>'Ceny 4'!$D$5</c:f>
              <c:strCache>
                <c:ptCount val="1"/>
                <c:pt idx="0">
                  <c:v>Těžba a dobývání</c:v>
                </c:pt>
              </c:strCache>
            </c:strRef>
          </c:tx>
          <c:spPr>
            <a:ln w="19050">
              <a:solidFill>
                <a:srgbClr val="7DBB2D"/>
              </a:solidFill>
            </a:ln>
          </c:spPr>
          <c:marker>
            <c:symbol val="none"/>
          </c:marker>
          <c:cat>
            <c:multiLvlStrRef>
              <c:f>'Ceny 4'!$A$42:$B$113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'Ceny 4'!$D$42:$D$113</c:f>
              <c:numCache>
                <c:formatCode>0.0</c:formatCode>
                <c:ptCount val="72"/>
                <c:pt idx="0">
                  <c:v>-6.5999999999999943</c:v>
                </c:pt>
                <c:pt idx="1">
                  <c:v>-6.0999999999999943</c:v>
                </c:pt>
                <c:pt idx="2">
                  <c:v>-6.5</c:v>
                </c:pt>
                <c:pt idx="3">
                  <c:v>-7</c:v>
                </c:pt>
                <c:pt idx="4">
                  <c:v>-7.0999999999999943</c:v>
                </c:pt>
                <c:pt idx="5">
                  <c:v>-7.2999999999999972</c:v>
                </c:pt>
                <c:pt idx="6">
                  <c:v>-6.5999999999999943</c:v>
                </c:pt>
                <c:pt idx="7">
                  <c:v>-6</c:v>
                </c:pt>
                <c:pt idx="8">
                  <c:v>-4.9000000000000057</c:v>
                </c:pt>
                <c:pt idx="9">
                  <c:v>-5.2000000000000028</c:v>
                </c:pt>
                <c:pt idx="10">
                  <c:v>-5.2999999999999972</c:v>
                </c:pt>
                <c:pt idx="11">
                  <c:v>-5.0999999999999943</c:v>
                </c:pt>
                <c:pt idx="12" formatCode="General">
                  <c:v>2.2999999999999972</c:v>
                </c:pt>
                <c:pt idx="13" formatCode="General">
                  <c:v>5.7999999999999972</c:v>
                </c:pt>
                <c:pt idx="14">
                  <c:v>6.2000000000000028</c:v>
                </c:pt>
                <c:pt idx="15">
                  <c:v>6.4000000000000057</c:v>
                </c:pt>
                <c:pt idx="16" formatCode="General">
                  <c:v>4.2999999999999972</c:v>
                </c:pt>
                <c:pt idx="17" formatCode="General">
                  <c:v>4.0999999999999943</c:v>
                </c:pt>
                <c:pt idx="18" formatCode="General">
                  <c:v>2.9</c:v>
                </c:pt>
                <c:pt idx="19" formatCode="General">
                  <c:v>1.7</c:v>
                </c:pt>
                <c:pt idx="20" formatCode="General">
                  <c:v>1.9</c:v>
                </c:pt>
                <c:pt idx="21" formatCode="General">
                  <c:v>3.4</c:v>
                </c:pt>
                <c:pt idx="22" formatCode="General">
                  <c:v>3.3</c:v>
                </c:pt>
                <c:pt idx="23" formatCode="General">
                  <c:v>3.6</c:v>
                </c:pt>
                <c:pt idx="24" formatCode="General">
                  <c:v>6.7</c:v>
                </c:pt>
                <c:pt idx="25" formatCode="General">
                  <c:v>5</c:v>
                </c:pt>
                <c:pt idx="26" formatCode="General">
                  <c:v>4.3</c:v>
                </c:pt>
                <c:pt idx="27" formatCode="General">
                  <c:v>4.5999999999999996</c:v>
                </c:pt>
                <c:pt idx="28" formatCode="General">
                  <c:v>7.4</c:v>
                </c:pt>
                <c:pt idx="29" formatCode="General">
                  <c:v>8</c:v>
                </c:pt>
                <c:pt idx="30" formatCode="General">
                  <c:v>8.4</c:v>
                </c:pt>
                <c:pt idx="31" formatCode="General">
                  <c:v>10.1</c:v>
                </c:pt>
                <c:pt idx="32" formatCode="General">
                  <c:v>9.9</c:v>
                </c:pt>
                <c:pt idx="33" formatCode="General">
                  <c:v>9</c:v>
                </c:pt>
                <c:pt idx="34" formatCode="General">
                  <c:v>9.1999999999999993</c:v>
                </c:pt>
                <c:pt idx="35" formatCode="General">
                  <c:v>8.3000000000000007</c:v>
                </c:pt>
                <c:pt idx="36" formatCode="General">
                  <c:v>7.9</c:v>
                </c:pt>
                <c:pt idx="37" formatCode="General">
                  <c:v>7.4</c:v>
                </c:pt>
                <c:pt idx="38" formatCode="General">
                  <c:v>8</c:v>
                </c:pt>
                <c:pt idx="39" formatCode="General">
                  <c:v>8.4</c:v>
                </c:pt>
                <c:pt idx="40" formatCode="General">
                  <c:v>7.5</c:v>
                </c:pt>
                <c:pt idx="41" formatCode="General">
                  <c:v>7.1</c:v>
                </c:pt>
                <c:pt idx="42" formatCode="General">
                  <c:v>6.9</c:v>
                </c:pt>
                <c:pt idx="43" formatCode="General">
                  <c:v>6.8</c:v>
                </c:pt>
                <c:pt idx="44" formatCode="General">
                  <c:v>6.6</c:v>
                </c:pt>
                <c:pt idx="45" formatCode="General">
                  <c:v>3.6</c:v>
                </c:pt>
                <c:pt idx="46" formatCode="General">
                  <c:v>3.2</c:v>
                </c:pt>
                <c:pt idx="47" formatCode="General">
                  <c:v>4.3</c:v>
                </c:pt>
                <c:pt idx="48" formatCode="General">
                  <c:v>-2.1</c:v>
                </c:pt>
                <c:pt idx="49" formatCode="General">
                  <c:v>-1.8</c:v>
                </c:pt>
                <c:pt idx="50" formatCode="General">
                  <c:v>-2.6</c:v>
                </c:pt>
                <c:pt idx="51" formatCode="General">
                  <c:v>-3.7</c:v>
                </c:pt>
                <c:pt idx="52" formatCode="General">
                  <c:v>-3.1</c:v>
                </c:pt>
                <c:pt idx="53" formatCode="General">
                  <c:v>-3.6</c:v>
                </c:pt>
                <c:pt idx="54" formatCode="General">
                  <c:v>-3.5</c:v>
                </c:pt>
                <c:pt idx="55" formatCode="General">
                  <c:v>-3.5</c:v>
                </c:pt>
                <c:pt idx="56" formatCode="General">
                  <c:v>-3.7</c:v>
                </c:pt>
                <c:pt idx="57" formatCode="General">
                  <c:v>-1.9</c:v>
                </c:pt>
                <c:pt idx="58" formatCode="General">
                  <c:v>-1.8</c:v>
                </c:pt>
                <c:pt idx="59" formatCode="General">
                  <c:v>-2.2000000000000002</c:v>
                </c:pt>
                <c:pt idx="60" formatCode="General">
                  <c:v>-0.3</c:v>
                </c:pt>
                <c:pt idx="61" formatCode="General">
                  <c:v>-0.8</c:v>
                </c:pt>
                <c:pt idx="62" formatCode="General">
                  <c:v>-0.3</c:v>
                </c:pt>
                <c:pt idx="63" formatCode="General">
                  <c:v>1</c:v>
                </c:pt>
                <c:pt idx="64" formatCode="General">
                  <c:v>0.3</c:v>
                </c:pt>
                <c:pt idx="65" formatCode="General">
                  <c:v>1.1000000000000001</c:v>
                </c:pt>
                <c:pt idx="66" formatCode="General">
                  <c:v>2</c:v>
                </c:pt>
                <c:pt idx="67" formatCode="General">
                  <c:v>3.6</c:v>
                </c:pt>
                <c:pt idx="68" formatCode="General">
                  <c:v>4.3</c:v>
                </c:pt>
                <c:pt idx="69" formatCode="General">
                  <c:v>12.7</c:v>
                </c:pt>
                <c:pt idx="70" formatCode="General">
                  <c:v>14</c:v>
                </c:pt>
                <c:pt idx="71" formatCode="General">
                  <c:v>14.6</c:v>
                </c:pt>
              </c:numCache>
            </c:numRef>
          </c:val>
          <c:smooth val="0"/>
          <c:extLst>
            <c:ext xmlns:c16="http://schemas.microsoft.com/office/drawing/2014/chart" uri="{C3380CC4-5D6E-409C-BE32-E72D297353CC}">
              <c16:uniqueId val="{00000001-2824-4E10-936F-99AD3AD0C866}"/>
            </c:ext>
          </c:extLst>
        </c:ser>
        <c:ser>
          <c:idx val="2"/>
          <c:order val="2"/>
          <c:tx>
            <c:strRef>
              <c:f>'Ceny 4'!$E$5</c:f>
              <c:strCache>
                <c:ptCount val="1"/>
                <c:pt idx="0">
                  <c:v>Zpracovatelský průmysl</c:v>
                </c:pt>
              </c:strCache>
            </c:strRef>
          </c:tx>
          <c:spPr>
            <a:ln w="19050">
              <a:solidFill>
                <a:srgbClr val="BD1B21"/>
              </a:solidFill>
            </a:ln>
          </c:spPr>
          <c:marker>
            <c:symbol val="none"/>
          </c:marker>
          <c:cat>
            <c:multiLvlStrRef>
              <c:f>'Ceny 4'!$A$42:$B$113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'Ceny 4'!$E$42:$E$113</c:f>
              <c:numCache>
                <c:formatCode>0.0</c:formatCode>
                <c:ptCount val="72"/>
                <c:pt idx="0">
                  <c:v>-3.2999999999999972</c:v>
                </c:pt>
                <c:pt idx="1">
                  <c:v>-4.0999999999999943</c:v>
                </c:pt>
                <c:pt idx="2">
                  <c:v>-4.5999999999999943</c:v>
                </c:pt>
                <c:pt idx="3">
                  <c:v>-4.9000000000000057</c:v>
                </c:pt>
                <c:pt idx="4">
                  <c:v>-5</c:v>
                </c:pt>
                <c:pt idx="5">
                  <c:v>-4.5</c:v>
                </c:pt>
                <c:pt idx="6">
                  <c:v>-4</c:v>
                </c:pt>
                <c:pt idx="7">
                  <c:v>-3.2000000000000028</c:v>
                </c:pt>
                <c:pt idx="8">
                  <c:v>-2</c:v>
                </c:pt>
                <c:pt idx="9">
                  <c:v>-1.0999999999999943</c:v>
                </c:pt>
                <c:pt idx="10">
                  <c:v>-0.59999999999999432</c:v>
                </c:pt>
                <c:pt idx="11">
                  <c:v>0.59999999999999432</c:v>
                </c:pt>
                <c:pt idx="12" formatCode="General">
                  <c:v>2.5999999999999943</c:v>
                </c:pt>
                <c:pt idx="13" formatCode="General">
                  <c:v>4</c:v>
                </c:pt>
                <c:pt idx="14">
                  <c:v>3.7999999999999972</c:v>
                </c:pt>
                <c:pt idx="15">
                  <c:v>4</c:v>
                </c:pt>
                <c:pt idx="16" formatCode="General">
                  <c:v>2.7999999999999972</c:v>
                </c:pt>
                <c:pt idx="17" formatCode="General">
                  <c:v>1.5</c:v>
                </c:pt>
                <c:pt idx="18" formatCode="General">
                  <c:v>1.4</c:v>
                </c:pt>
                <c:pt idx="19" formatCode="General">
                  <c:v>2</c:v>
                </c:pt>
                <c:pt idx="20" formatCode="General">
                  <c:v>2.1</c:v>
                </c:pt>
                <c:pt idx="21" formatCode="General">
                  <c:v>1.4</c:v>
                </c:pt>
                <c:pt idx="22" formatCode="General">
                  <c:v>1.1000000000000001</c:v>
                </c:pt>
                <c:pt idx="23" formatCode="General">
                  <c:v>0.9</c:v>
                </c:pt>
                <c:pt idx="24" formatCode="General">
                  <c:v>0.2</c:v>
                </c:pt>
                <c:pt idx="25" formatCode="General">
                  <c:v>-0.9</c:v>
                </c:pt>
                <c:pt idx="26" formatCode="General">
                  <c:v>-0.5</c:v>
                </c:pt>
                <c:pt idx="27" formatCode="General">
                  <c:v>-0.5</c:v>
                </c:pt>
                <c:pt idx="28" formatCode="General">
                  <c:v>1.3</c:v>
                </c:pt>
                <c:pt idx="29" formatCode="General">
                  <c:v>2.8</c:v>
                </c:pt>
                <c:pt idx="30" formatCode="General">
                  <c:v>3.4</c:v>
                </c:pt>
                <c:pt idx="31" formatCode="General">
                  <c:v>3.2</c:v>
                </c:pt>
                <c:pt idx="32" formatCode="General">
                  <c:v>3</c:v>
                </c:pt>
                <c:pt idx="33" formatCode="General">
                  <c:v>3.8</c:v>
                </c:pt>
                <c:pt idx="34" formatCode="General">
                  <c:v>3.9</c:v>
                </c:pt>
                <c:pt idx="35" formatCode="General">
                  <c:v>2.2000000000000002</c:v>
                </c:pt>
                <c:pt idx="36" formatCode="General">
                  <c:v>1.9</c:v>
                </c:pt>
                <c:pt idx="37" formatCode="General">
                  <c:v>2.9</c:v>
                </c:pt>
                <c:pt idx="38" formatCode="General">
                  <c:v>3</c:v>
                </c:pt>
                <c:pt idx="39" formatCode="General">
                  <c:v>3.5</c:v>
                </c:pt>
                <c:pt idx="40" formatCode="General">
                  <c:v>2.9</c:v>
                </c:pt>
                <c:pt idx="41" formatCode="General">
                  <c:v>1.4</c:v>
                </c:pt>
                <c:pt idx="42" formatCode="General">
                  <c:v>0.9</c:v>
                </c:pt>
                <c:pt idx="43" formatCode="General">
                  <c:v>0.8</c:v>
                </c:pt>
                <c:pt idx="44" formatCode="General">
                  <c:v>0.7</c:v>
                </c:pt>
                <c:pt idx="45" formatCode="General">
                  <c:v>-0.4</c:v>
                </c:pt>
                <c:pt idx="46" formatCode="General">
                  <c:v>-0.7</c:v>
                </c:pt>
                <c:pt idx="47" formatCode="General">
                  <c:v>0.8</c:v>
                </c:pt>
                <c:pt idx="48" formatCode="General">
                  <c:v>1.2</c:v>
                </c:pt>
                <c:pt idx="49" formatCode="General">
                  <c:v>-0.1</c:v>
                </c:pt>
                <c:pt idx="50" formatCode="General">
                  <c:v>-1.2</c:v>
                </c:pt>
                <c:pt idx="51" formatCode="General">
                  <c:v>-2.5</c:v>
                </c:pt>
                <c:pt idx="52" formatCode="General">
                  <c:v>-2.6</c:v>
                </c:pt>
                <c:pt idx="53" formatCode="General">
                  <c:v>-1.9</c:v>
                </c:pt>
                <c:pt idx="54" formatCode="General">
                  <c:v>-1.6</c:v>
                </c:pt>
                <c:pt idx="55" formatCode="General">
                  <c:v>-2</c:v>
                </c:pt>
                <c:pt idx="56" formatCode="General">
                  <c:v>-1.9</c:v>
                </c:pt>
                <c:pt idx="57" formatCode="General">
                  <c:v>-1.1000000000000001</c:v>
                </c:pt>
                <c:pt idx="58" formatCode="General">
                  <c:v>-1.4</c:v>
                </c:pt>
                <c:pt idx="59" formatCode="General">
                  <c:v>-1.2</c:v>
                </c:pt>
                <c:pt idx="60" formatCode="General">
                  <c:v>-0.3</c:v>
                </c:pt>
                <c:pt idx="61" formatCode="General">
                  <c:v>1.6</c:v>
                </c:pt>
                <c:pt idx="62" formatCode="General">
                  <c:v>4.0999999999999996</c:v>
                </c:pt>
                <c:pt idx="63" formatCode="General">
                  <c:v>5.6</c:v>
                </c:pt>
                <c:pt idx="64" formatCode="General">
                  <c:v>6.3</c:v>
                </c:pt>
                <c:pt idx="65" formatCode="General">
                  <c:v>7.4</c:v>
                </c:pt>
                <c:pt idx="66" formatCode="General">
                  <c:v>9.5</c:v>
                </c:pt>
                <c:pt idx="67" formatCode="General">
                  <c:v>11.4</c:v>
                </c:pt>
                <c:pt idx="68" formatCode="General">
                  <c:v>12</c:v>
                </c:pt>
                <c:pt idx="69" formatCode="General">
                  <c:v>13.4</c:v>
                </c:pt>
                <c:pt idx="70" formatCode="General">
                  <c:v>15.4</c:v>
                </c:pt>
                <c:pt idx="71" formatCode="General">
                  <c:v>14.7</c:v>
                </c:pt>
              </c:numCache>
            </c:numRef>
          </c:val>
          <c:smooth val="0"/>
          <c:extLst>
            <c:ext xmlns:c16="http://schemas.microsoft.com/office/drawing/2014/chart" uri="{C3380CC4-5D6E-409C-BE32-E72D297353CC}">
              <c16:uniqueId val="{00000002-2824-4E10-936F-99AD3AD0C866}"/>
            </c:ext>
          </c:extLst>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'Ceny 4'!$F$42:$F$113</c:f>
              <c:numCache>
                <c:formatCode>0.0</c:formatCode>
                <c:ptCount val="72"/>
                <c:pt idx="0">
                  <c:v>-4</c:v>
                </c:pt>
                <c:pt idx="1">
                  <c:v>-4.0999999999999943</c:v>
                </c:pt>
                <c:pt idx="2">
                  <c:v>-4.0999999999999943</c:v>
                </c:pt>
                <c:pt idx="3">
                  <c:v>-4</c:v>
                </c:pt>
                <c:pt idx="4">
                  <c:v>-4</c:v>
                </c:pt>
                <c:pt idx="5">
                  <c:v>-4.0999999999999943</c:v>
                </c:pt>
                <c:pt idx="6">
                  <c:v>-4</c:v>
                </c:pt>
                <c:pt idx="7">
                  <c:v>-4</c:v>
                </c:pt>
                <c:pt idx="8">
                  <c:v>-4.0999999999999943</c:v>
                </c:pt>
                <c:pt idx="9">
                  <c:v>-4.0999999999999943</c:v>
                </c:pt>
                <c:pt idx="10">
                  <c:v>-4.0999999999999943</c:v>
                </c:pt>
                <c:pt idx="11">
                  <c:v>-4.0999999999999943</c:v>
                </c:pt>
                <c:pt idx="12" formatCode="General">
                  <c:v>-1.0999999999999943</c:v>
                </c:pt>
                <c:pt idx="13" formatCode="General">
                  <c:v>-1.2000000000000028</c:v>
                </c:pt>
                <c:pt idx="14">
                  <c:v>-1.2000000000000028</c:v>
                </c:pt>
                <c:pt idx="15">
                  <c:v>-1.4000000000000057</c:v>
                </c:pt>
                <c:pt idx="16" formatCode="General">
                  <c:v>-1.2999999999999972</c:v>
                </c:pt>
                <c:pt idx="17" formatCode="General">
                  <c:v>-1.0999999999999943</c:v>
                </c:pt>
                <c:pt idx="18" formatCode="General">
                  <c:v>-1.1000000000000001</c:v>
                </c:pt>
                <c:pt idx="19" formatCode="General">
                  <c:v>-1.3</c:v>
                </c:pt>
                <c:pt idx="20" formatCode="General">
                  <c:v>-1.1000000000000001</c:v>
                </c:pt>
                <c:pt idx="21" formatCode="General">
                  <c:v>-1.1000000000000001</c:v>
                </c:pt>
                <c:pt idx="22" formatCode="General">
                  <c:v>-1.1000000000000001</c:v>
                </c:pt>
                <c:pt idx="23" formatCode="General">
                  <c:v>-1.1000000000000001</c:v>
                </c:pt>
                <c:pt idx="24" formatCode="General">
                  <c:v>1.5</c:v>
                </c:pt>
                <c:pt idx="25" formatCode="General">
                  <c:v>1.6</c:v>
                </c:pt>
                <c:pt idx="26" formatCode="General">
                  <c:v>1.6</c:v>
                </c:pt>
                <c:pt idx="27" formatCode="General">
                  <c:v>1.7</c:v>
                </c:pt>
                <c:pt idx="28" formatCode="General">
                  <c:v>1.7</c:v>
                </c:pt>
                <c:pt idx="29" formatCode="General">
                  <c:v>2.2999999999999998</c:v>
                </c:pt>
                <c:pt idx="30" formatCode="General">
                  <c:v>2.2999999999999998</c:v>
                </c:pt>
                <c:pt idx="31" formatCode="General">
                  <c:v>2.6</c:v>
                </c:pt>
                <c:pt idx="32" formatCode="General">
                  <c:v>2.7</c:v>
                </c:pt>
                <c:pt idx="33" formatCode="General">
                  <c:v>2.8</c:v>
                </c:pt>
                <c:pt idx="34" formatCode="General">
                  <c:v>2.8</c:v>
                </c:pt>
                <c:pt idx="35" formatCode="General">
                  <c:v>2.8</c:v>
                </c:pt>
                <c:pt idx="36" formatCode="General">
                  <c:v>7.2</c:v>
                </c:pt>
                <c:pt idx="37" formatCode="General">
                  <c:v>7.5</c:v>
                </c:pt>
                <c:pt idx="38" formatCode="General">
                  <c:v>8.4</c:v>
                </c:pt>
                <c:pt idx="39" formatCode="General">
                  <c:v>8.1999999999999993</c:v>
                </c:pt>
                <c:pt idx="40" formatCode="General">
                  <c:v>8.6</c:v>
                </c:pt>
                <c:pt idx="41" formatCode="General">
                  <c:v>7.9</c:v>
                </c:pt>
                <c:pt idx="42" formatCode="General">
                  <c:v>8</c:v>
                </c:pt>
                <c:pt idx="43" formatCode="General">
                  <c:v>7.7</c:v>
                </c:pt>
                <c:pt idx="44" formatCode="General">
                  <c:v>7.7</c:v>
                </c:pt>
                <c:pt idx="45" formatCode="General">
                  <c:v>7.5</c:v>
                </c:pt>
                <c:pt idx="46" formatCode="General">
                  <c:v>8.6999999999999993</c:v>
                </c:pt>
                <c:pt idx="47" formatCode="General">
                  <c:v>8.8000000000000007</c:v>
                </c:pt>
                <c:pt idx="48" formatCode="General">
                  <c:v>9.3000000000000007</c:v>
                </c:pt>
                <c:pt idx="49" formatCode="General">
                  <c:v>9</c:v>
                </c:pt>
                <c:pt idx="50" formatCode="General">
                  <c:v>8.3000000000000007</c:v>
                </c:pt>
                <c:pt idx="51" formatCode="General">
                  <c:v>8.6</c:v>
                </c:pt>
                <c:pt idx="52" formatCode="General">
                  <c:v>8</c:v>
                </c:pt>
                <c:pt idx="53" formatCode="General">
                  <c:v>8</c:v>
                </c:pt>
                <c:pt idx="54" formatCode="General">
                  <c:v>7.7</c:v>
                </c:pt>
                <c:pt idx="55" formatCode="General">
                  <c:v>7.9</c:v>
                </c:pt>
                <c:pt idx="56" formatCode="General">
                  <c:v>7.7</c:v>
                </c:pt>
                <c:pt idx="57" formatCode="General">
                  <c:v>7</c:v>
                </c:pt>
                <c:pt idx="58" formatCode="General">
                  <c:v>5.8</c:v>
                </c:pt>
                <c:pt idx="59" formatCode="General">
                  <c:v>5.6</c:v>
                </c:pt>
                <c:pt idx="60" formatCode="General">
                  <c:v>0.4</c:v>
                </c:pt>
                <c:pt idx="61" formatCode="General">
                  <c:v>0.4</c:v>
                </c:pt>
                <c:pt idx="62" formatCode="General">
                  <c:v>0.1</c:v>
                </c:pt>
                <c:pt idx="63" formatCode="General">
                  <c:v>-0.1</c:v>
                </c:pt>
                <c:pt idx="64" formatCode="General">
                  <c:v>0.2</c:v>
                </c:pt>
                <c:pt idx="65" formatCode="General">
                  <c:v>0.2</c:v>
                </c:pt>
                <c:pt idx="66" formatCode="General">
                  <c:v>0.5</c:v>
                </c:pt>
                <c:pt idx="67" formatCode="General">
                  <c:v>0.7</c:v>
                </c:pt>
                <c:pt idx="68" formatCode="General">
                  <c:v>1.2</c:v>
                </c:pt>
                <c:pt idx="69" formatCode="General">
                  <c:v>3.7</c:v>
                </c:pt>
                <c:pt idx="70" formatCode="General">
                  <c:v>5.6</c:v>
                </c:pt>
                <c:pt idx="71" formatCode="General">
                  <c:v>7.1</c:v>
                </c:pt>
              </c:numCache>
            </c:numRef>
          </c:val>
          <c:smooth val="0"/>
          <c:extLst>
            <c:ext xmlns:c16="http://schemas.microsoft.com/office/drawing/2014/chart" uri="{C3380CC4-5D6E-409C-BE32-E72D297353CC}">
              <c16:uniqueId val="{00000003-2824-4E10-936F-99AD3AD0C866}"/>
            </c:ext>
          </c:extLst>
        </c:ser>
        <c:ser>
          <c:idx val="4"/>
          <c:order val="4"/>
          <c:tx>
            <c:strRef>
              <c:f>'Ceny 4'!$G$5</c:f>
              <c:strCache>
                <c:ptCount val="1"/>
                <c:pt idx="0">
                  <c:v>Zás. vodou; odpadní vody</c:v>
                </c:pt>
              </c:strCache>
            </c:strRef>
          </c:tx>
          <c:spPr>
            <a:ln w="19050">
              <a:solidFill>
                <a:schemeClr val="accent1"/>
              </a:solidFill>
            </a:ln>
          </c:spPr>
          <c:marker>
            <c:symbol val="none"/>
          </c:marker>
          <c:cat>
            <c:multiLvlStrRef>
              <c:f>'Ceny 4'!$A$42:$B$113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'Ceny 4'!$G$42:$G$113</c:f>
              <c:numCache>
                <c:formatCode>General</c:formatCode>
                <c:ptCount val="72"/>
                <c:pt idx="0">
                  <c:v>0.5</c:v>
                </c:pt>
                <c:pt idx="1">
                  <c:v>0.5</c:v>
                </c:pt>
                <c:pt idx="2">
                  <c:v>0.5</c:v>
                </c:pt>
                <c:pt idx="3">
                  <c:v>1.5999999999999943</c:v>
                </c:pt>
                <c:pt idx="4">
                  <c:v>1.5999999999999943</c:v>
                </c:pt>
                <c:pt idx="5">
                  <c:v>1.5999999999999943</c:v>
                </c:pt>
                <c:pt idx="6">
                  <c:v>1.5999999999999943</c:v>
                </c:pt>
                <c:pt idx="7">
                  <c:v>1.5999999999999943</c:v>
                </c:pt>
                <c:pt idx="8">
                  <c:v>1.5999999999999943</c:v>
                </c:pt>
                <c:pt idx="9">
                  <c:v>1.5999999999999943</c:v>
                </c:pt>
                <c:pt idx="10">
                  <c:v>1.5999999999999943</c:v>
                </c:pt>
                <c:pt idx="11">
                  <c:v>1.5999999999999943</c:v>
                </c:pt>
                <c:pt idx="12">
                  <c:v>2.0999999999999943</c:v>
                </c:pt>
                <c:pt idx="13">
                  <c:v>2.0999999999999943</c:v>
                </c:pt>
                <c:pt idx="14" formatCode="0.0">
                  <c:v>2.0999999999999943</c:v>
                </c:pt>
                <c:pt idx="15" formatCode="0.0">
                  <c:v>1</c:v>
                </c:pt>
                <c:pt idx="16">
                  <c:v>1</c:v>
                </c:pt>
                <c:pt idx="17">
                  <c:v>1</c:v>
                </c:pt>
                <c:pt idx="18">
                  <c:v>1</c:v>
                </c:pt>
                <c:pt idx="19">
                  <c:v>1</c:v>
                </c:pt>
                <c:pt idx="20">
                  <c:v>1</c:v>
                </c:pt>
                <c:pt idx="21">
                  <c:v>1</c:v>
                </c:pt>
                <c:pt idx="22">
                  <c:v>1</c:v>
                </c:pt>
                <c:pt idx="23">
                  <c:v>1</c:v>
                </c:pt>
                <c:pt idx="24">
                  <c:v>1.9</c:v>
                </c:pt>
                <c:pt idx="25">
                  <c:v>1.9</c:v>
                </c:pt>
                <c:pt idx="26">
                  <c:v>1.9</c:v>
                </c:pt>
                <c:pt idx="27">
                  <c:v>1.9</c:v>
                </c:pt>
                <c:pt idx="28">
                  <c:v>1.9</c:v>
                </c:pt>
                <c:pt idx="29">
                  <c:v>1.9</c:v>
                </c:pt>
                <c:pt idx="30">
                  <c:v>1.9</c:v>
                </c:pt>
                <c:pt idx="31">
                  <c:v>1.9</c:v>
                </c:pt>
                <c:pt idx="32">
                  <c:v>1.9</c:v>
                </c:pt>
                <c:pt idx="33">
                  <c:v>1.9</c:v>
                </c:pt>
                <c:pt idx="34">
                  <c:v>1.9</c:v>
                </c:pt>
                <c:pt idx="35">
                  <c:v>1.9</c:v>
                </c:pt>
                <c:pt idx="36">
                  <c:v>2.9</c:v>
                </c:pt>
                <c:pt idx="37">
                  <c:v>2.9</c:v>
                </c:pt>
                <c:pt idx="38">
                  <c:v>2.9</c:v>
                </c:pt>
                <c:pt idx="39">
                  <c:v>2.9</c:v>
                </c:pt>
                <c:pt idx="40">
                  <c:v>2.9</c:v>
                </c:pt>
                <c:pt idx="41">
                  <c:v>2.9</c:v>
                </c:pt>
                <c:pt idx="42">
                  <c:v>2.9</c:v>
                </c:pt>
                <c:pt idx="43">
                  <c:v>2.9</c:v>
                </c:pt>
                <c:pt idx="44">
                  <c:v>2.9</c:v>
                </c:pt>
                <c:pt idx="45">
                  <c:v>2.9</c:v>
                </c:pt>
                <c:pt idx="46">
                  <c:v>2.9</c:v>
                </c:pt>
                <c:pt idx="47">
                  <c:v>2.9</c:v>
                </c:pt>
                <c:pt idx="48">
                  <c:v>5.4</c:v>
                </c:pt>
                <c:pt idx="49">
                  <c:v>5.4</c:v>
                </c:pt>
                <c:pt idx="50">
                  <c:v>5.4</c:v>
                </c:pt>
                <c:pt idx="51">
                  <c:v>5.4</c:v>
                </c:pt>
                <c:pt idx="52">
                  <c:v>6.4</c:v>
                </c:pt>
                <c:pt idx="53">
                  <c:v>6.4</c:v>
                </c:pt>
                <c:pt idx="54">
                  <c:v>6.4</c:v>
                </c:pt>
                <c:pt idx="55">
                  <c:v>6.4</c:v>
                </c:pt>
                <c:pt idx="56">
                  <c:v>6.4</c:v>
                </c:pt>
                <c:pt idx="57">
                  <c:v>6.4</c:v>
                </c:pt>
                <c:pt idx="58">
                  <c:v>6.4</c:v>
                </c:pt>
                <c:pt idx="59">
                  <c:v>6.4</c:v>
                </c:pt>
                <c:pt idx="60">
                  <c:v>6.9</c:v>
                </c:pt>
                <c:pt idx="61">
                  <c:v>6.9</c:v>
                </c:pt>
                <c:pt idx="62">
                  <c:v>6.9</c:v>
                </c:pt>
                <c:pt idx="63">
                  <c:v>6.9</c:v>
                </c:pt>
                <c:pt idx="64">
                  <c:v>5.9</c:v>
                </c:pt>
                <c:pt idx="65">
                  <c:v>5.9</c:v>
                </c:pt>
                <c:pt idx="66">
                  <c:v>5.9</c:v>
                </c:pt>
                <c:pt idx="67">
                  <c:v>5.9</c:v>
                </c:pt>
                <c:pt idx="68">
                  <c:v>5.9</c:v>
                </c:pt>
                <c:pt idx="69">
                  <c:v>5.9</c:v>
                </c:pt>
                <c:pt idx="70">
                  <c:v>5.9</c:v>
                </c:pt>
                <c:pt idx="71">
                  <c:v>5.9</c:v>
                </c:pt>
              </c:numCache>
            </c:numRef>
          </c:val>
          <c:smooth val="0"/>
          <c:extLst>
            <c:ext xmlns:c16="http://schemas.microsoft.com/office/drawing/2014/chart" uri="{C3380CC4-5D6E-409C-BE32-E72D297353CC}">
              <c16:uniqueId val="{00000004-2824-4E10-936F-99AD3AD0C866}"/>
            </c:ext>
          </c:extLst>
        </c:ser>
        <c:dLbls>
          <c:showLegendKey val="0"/>
          <c:showVal val="0"/>
          <c:showCatName val="0"/>
          <c:showSerName val="0"/>
          <c:showPercent val="0"/>
          <c:showBubbleSize val="0"/>
        </c:dLbls>
        <c:marker val="1"/>
        <c:smooth val="0"/>
        <c:axId val="271374208"/>
        <c:axId val="271375744"/>
      </c:lineChart>
      <c:catAx>
        <c:axId val="271374208"/>
        <c:scaling>
          <c:orientation val="minMax"/>
        </c:scaling>
        <c:delete val="0"/>
        <c:axPos val="b"/>
        <c:numFmt formatCode="General" sourceLinked="0"/>
        <c:majorTickMark val="out"/>
        <c:minorTickMark val="none"/>
        <c:tickLblPos val="low"/>
        <c:spPr>
          <a:ln>
            <a:solidFill>
              <a:schemeClr val="tx1"/>
            </a:solidFill>
          </a:ln>
        </c:spPr>
        <c:crossAx val="271375744"/>
        <c:crosses val="autoZero"/>
        <c:auto val="1"/>
        <c:lblAlgn val="ctr"/>
        <c:lblOffset val="100"/>
        <c:noMultiLvlLbl val="0"/>
      </c:catAx>
      <c:valAx>
        <c:axId val="271375744"/>
        <c:scaling>
          <c:orientation val="minMax"/>
          <c:max val="16"/>
          <c:min val="-8"/>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374208"/>
        <c:crosses val="autoZero"/>
        <c:crossBetween val="between"/>
        <c:majorUnit val="2"/>
      </c:valAx>
      <c:spPr>
        <a:ln>
          <a:solidFill>
            <a:schemeClr val="tx1"/>
          </a:solidFill>
        </a:ln>
      </c:spPr>
    </c:plotArea>
    <c:legend>
      <c:legendPos val="b"/>
      <c:layout>
        <c:manualLayout>
          <c:xMode val="edge"/>
          <c:yMode val="edge"/>
          <c:x val="6.1319022289766968E-2"/>
          <c:y val="0.86223931272106069"/>
          <c:w val="0.9143722952861455"/>
          <c:h val="0.12109402425765226"/>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4522051060224651E-2"/>
          <c:w val="0.84495121574960907"/>
          <c:h val="0.67557130739459548"/>
        </c:manualLayout>
      </c:layout>
      <c:barChart>
        <c:barDir val="col"/>
        <c:grouping val="stacked"/>
        <c:varyColors val="0"/>
        <c:ser>
          <c:idx val="0"/>
          <c:order val="0"/>
          <c:tx>
            <c:strRef>
              <c:f>'Trh práce 1-SNÚ'!$AC$7</c:f>
              <c:strCache>
                <c:ptCount val="1"/>
                <c:pt idx="0">
                  <c:v>Zemědělství, lesnictví a rybářství</c:v>
                </c:pt>
              </c:strCache>
            </c:strRef>
          </c:tx>
          <c:spPr>
            <a:solidFill>
              <a:srgbClr val="7DBB2D"/>
            </a:solidFill>
            <a:ln>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1-SNÚ'!$AC$28:$AC$56</c:f>
              <c:numCache>
                <c:formatCode>#\ ##0.0</c:formatCode>
                <c:ptCount val="29"/>
                <c:pt idx="0">
                  <c:v>-5.6677054184560781E-2</c:v>
                </c:pt>
                <c:pt idx="1">
                  <c:v>-5.1607322824015513E-2</c:v>
                </c:pt>
                <c:pt idx="2">
                  <c:v>-6.9891278713406377E-2</c:v>
                </c:pt>
                <c:pt idx="3">
                  <c:v>-0.14152766500586728</c:v>
                </c:pt>
                <c:pt idx="4">
                  <c:v>-0.11957614913941057</c:v>
                </c:pt>
                <c:pt idx="5">
                  <c:v>-3.02348639604662E-2</c:v>
                </c:pt>
                <c:pt idx="6">
                  <c:v>-4.7646022434106698E-2</c:v>
                </c:pt>
                <c:pt idx="7">
                  <c:v>5.3596790651858295E-2</c:v>
                </c:pt>
                <c:pt idx="8">
                  <c:v>0.10353112845488527</c:v>
                </c:pt>
                <c:pt idx="9">
                  <c:v>3.4547187522400186E-2</c:v>
                </c:pt>
                <c:pt idx="10">
                  <c:v>1.7808989286696726E-2</c:v>
                </c:pt>
                <c:pt idx="11">
                  <c:v>-9.5124644980561279E-2</c:v>
                </c:pt>
                <c:pt idx="12">
                  <c:v>3.2050098392482823E-2</c:v>
                </c:pt>
                <c:pt idx="13">
                  <c:v>2.9656752150723571E-2</c:v>
                </c:pt>
                <c:pt idx="14">
                  <c:v>1.6015798281392987E-2</c:v>
                </c:pt>
                <c:pt idx="15">
                  <c:v>8.185225491141454E-2</c:v>
                </c:pt>
                <c:pt idx="16">
                  <c:v>-3.1059507716079723E-2</c:v>
                </c:pt>
                <c:pt idx="17">
                  <c:v>-9.207748512930998E-2</c:v>
                </c:pt>
                <c:pt idx="18">
                  <c:v>-0.12566979454251256</c:v>
                </c:pt>
                <c:pt idx="19">
                  <c:v>-0.13346654214698095</c:v>
                </c:pt>
                <c:pt idx="20">
                  <c:v>-0.11129581706934633</c:v>
                </c:pt>
                <c:pt idx="21">
                  <c:v>-3.5239401139523695E-2</c:v>
                </c:pt>
                <c:pt idx="22">
                  <c:v>5.2608204632653276E-2</c:v>
                </c:pt>
                <c:pt idx="23">
                  <c:v>4.4272879849206082E-2</c:v>
                </c:pt>
                <c:pt idx="24">
                  <c:v>1.206569744457428E-2</c:v>
                </c:pt>
                <c:pt idx="25">
                  <c:v>-5.8581505694808828E-2</c:v>
                </c:pt>
                <c:pt idx="26">
                  <c:v>-8.8950126067353225E-2</c:v>
                </c:pt>
                <c:pt idx="27">
                  <c:v>-3.8876259187133444E-2</c:v>
                </c:pt>
              </c:numCache>
            </c:numRef>
          </c:val>
          <c:extLst>
            <c:ext xmlns:c16="http://schemas.microsoft.com/office/drawing/2014/chart" uri="{C3380CC4-5D6E-409C-BE32-E72D297353CC}">
              <c16:uniqueId val="{00000000-F121-4262-9D88-7A86881C0EAC}"/>
            </c:ext>
          </c:extLst>
        </c:ser>
        <c:ser>
          <c:idx val="1"/>
          <c:order val="1"/>
          <c:tx>
            <c:strRef>
              <c:f>'Trh práce 1-SNÚ'!$AD$7</c:f>
              <c:strCache>
                <c:ptCount val="1"/>
                <c:pt idx="0">
                  <c:v>Zpracovatelský průmysl</c:v>
                </c:pt>
              </c:strCache>
            </c:strRef>
          </c:tx>
          <c:spPr>
            <a:solidFill>
              <a:srgbClr val="A6CDE8"/>
            </a:solidFill>
            <a:ln>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1-SNÚ'!$AD$28:$AD$56</c:f>
              <c:numCache>
                <c:formatCode>#\ ##0.0</c:formatCode>
                <c:ptCount val="29"/>
                <c:pt idx="0">
                  <c:v>0.8973211837957854</c:v>
                </c:pt>
                <c:pt idx="1">
                  <c:v>0.93240500328089182</c:v>
                </c:pt>
                <c:pt idx="2">
                  <c:v>0.78322390473214842</c:v>
                </c:pt>
                <c:pt idx="3">
                  <c:v>0.92856953615549465</c:v>
                </c:pt>
                <c:pt idx="4">
                  <c:v>0.86888766422551245</c:v>
                </c:pt>
                <c:pt idx="5">
                  <c:v>0.63466218902728611</c:v>
                </c:pt>
                <c:pt idx="6">
                  <c:v>0.67030166755296461</c:v>
                </c:pt>
                <c:pt idx="7">
                  <c:v>0.52226112325646856</c:v>
                </c:pt>
                <c:pt idx="8">
                  <c:v>0.25692544860143091</c:v>
                </c:pt>
                <c:pt idx="9">
                  <c:v>0.4029301034533323</c:v>
                </c:pt>
                <c:pt idx="10">
                  <c:v>0.49305079188297163</c:v>
                </c:pt>
                <c:pt idx="11">
                  <c:v>0.4790569189501015</c:v>
                </c:pt>
                <c:pt idx="12">
                  <c:v>0.34915953751387369</c:v>
                </c:pt>
                <c:pt idx="13">
                  <c:v>0.29129979245897197</c:v>
                </c:pt>
                <c:pt idx="14">
                  <c:v>9.8459913388051989E-2</c:v>
                </c:pt>
                <c:pt idx="15">
                  <c:v>8.7027357678158501E-2</c:v>
                </c:pt>
                <c:pt idx="16">
                  <c:v>0.15622524191719908</c:v>
                </c:pt>
                <c:pt idx="17">
                  <c:v>-1.4335858201041258E-2</c:v>
                </c:pt>
                <c:pt idx="18">
                  <c:v>-0.16956473525850688</c:v>
                </c:pt>
                <c:pt idx="19">
                  <c:v>-0.55893946933332894</c:v>
                </c:pt>
                <c:pt idx="20">
                  <c:v>-0.94324538896959975</c:v>
                </c:pt>
                <c:pt idx="21">
                  <c:v>-1.2295778121418588</c:v>
                </c:pt>
                <c:pt idx="22">
                  <c:v>-1.234377103936751</c:v>
                </c:pt>
                <c:pt idx="23">
                  <c:v>-1.0657457809109596</c:v>
                </c:pt>
                <c:pt idx="24">
                  <c:v>-0.57049805382709806</c:v>
                </c:pt>
                <c:pt idx="25">
                  <c:v>-0.15973874374756808</c:v>
                </c:pt>
                <c:pt idx="26">
                  <c:v>5.7756657199897851E-2</c:v>
                </c:pt>
                <c:pt idx="27">
                  <c:v>0.18206387854158756</c:v>
                </c:pt>
              </c:numCache>
            </c:numRef>
          </c:val>
          <c:extLst>
            <c:ext xmlns:c16="http://schemas.microsoft.com/office/drawing/2014/chart" uri="{C3380CC4-5D6E-409C-BE32-E72D297353CC}">
              <c16:uniqueId val="{00000001-F121-4262-9D88-7A86881C0EAC}"/>
            </c:ext>
          </c:extLst>
        </c:ser>
        <c:ser>
          <c:idx val="2"/>
          <c:order val="2"/>
          <c:tx>
            <c:strRef>
              <c:f>'Trh práce 1-SNÚ'!$AE$7</c:f>
              <c:strCache>
                <c:ptCount val="1"/>
                <c:pt idx="0">
                  <c:v>Stavebnictví</c:v>
                </c:pt>
              </c:strCache>
            </c:strRef>
          </c:tx>
          <c:spPr>
            <a:solidFill>
              <a:srgbClr val="48AEE7"/>
            </a:solidFill>
            <a:ln w="19050">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1-SNÚ'!$AE$28:$AE$56</c:f>
              <c:numCache>
                <c:formatCode>#\ ##0.0</c:formatCode>
                <c:ptCount val="29"/>
                <c:pt idx="0">
                  <c:v>-0.10869652798016841</c:v>
                </c:pt>
                <c:pt idx="1">
                  <c:v>-0.10209615994424059</c:v>
                </c:pt>
                <c:pt idx="2">
                  <c:v>-0.16545690470928856</c:v>
                </c:pt>
                <c:pt idx="3">
                  <c:v>-0.17895019005421842</c:v>
                </c:pt>
                <c:pt idx="4">
                  <c:v>-0.11373322367009846</c:v>
                </c:pt>
                <c:pt idx="5">
                  <c:v>-0.12545154650943438</c:v>
                </c:pt>
                <c:pt idx="6">
                  <c:v>-3.1860386360670866E-2</c:v>
                </c:pt>
                <c:pt idx="7">
                  <c:v>1.8032205750158924E-2</c:v>
                </c:pt>
                <c:pt idx="8">
                  <c:v>-1.9444350441111414E-2</c:v>
                </c:pt>
                <c:pt idx="9">
                  <c:v>1.8614032242393937E-2</c:v>
                </c:pt>
                <c:pt idx="10">
                  <c:v>7.0286650681611176E-2</c:v>
                </c:pt>
                <c:pt idx="11">
                  <c:v>-6.0221710983330345E-2</c:v>
                </c:pt>
                <c:pt idx="12">
                  <c:v>9.978678488335628E-2</c:v>
                </c:pt>
                <c:pt idx="13">
                  <c:v>7.2735902872823929E-2</c:v>
                </c:pt>
                <c:pt idx="14">
                  <c:v>5.9649537087560163E-2</c:v>
                </c:pt>
                <c:pt idx="15">
                  <c:v>0.1162536574759572</c:v>
                </c:pt>
                <c:pt idx="16">
                  <c:v>2.9352533576366864E-2</c:v>
                </c:pt>
                <c:pt idx="17">
                  <c:v>9.3127798647895263E-2</c:v>
                </c:pt>
                <c:pt idx="18">
                  <c:v>0.10007825071187611</c:v>
                </c:pt>
                <c:pt idx="19">
                  <c:v>0.12319422069622019</c:v>
                </c:pt>
                <c:pt idx="20">
                  <c:v>0.2163727572715346</c:v>
                </c:pt>
                <c:pt idx="21">
                  <c:v>-8.4471727588227696E-3</c:v>
                </c:pt>
                <c:pt idx="22">
                  <c:v>7.7604469929050512E-2</c:v>
                </c:pt>
                <c:pt idx="23">
                  <c:v>0.12629596568001819</c:v>
                </c:pt>
                <c:pt idx="24">
                  <c:v>-5.7659577189048523E-2</c:v>
                </c:pt>
                <c:pt idx="25">
                  <c:v>0.15744952411439489</c:v>
                </c:pt>
                <c:pt idx="26">
                  <c:v>-3.7042244280103262E-2</c:v>
                </c:pt>
                <c:pt idx="27">
                  <c:v>6.0342141261348799E-2</c:v>
                </c:pt>
              </c:numCache>
            </c:numRef>
          </c:val>
          <c:extLst>
            <c:ext xmlns:c16="http://schemas.microsoft.com/office/drawing/2014/chart" uri="{C3380CC4-5D6E-409C-BE32-E72D297353CC}">
              <c16:uniqueId val="{00000002-F121-4262-9D88-7A86881C0EAC}"/>
            </c:ext>
          </c:extLst>
        </c:ser>
        <c:ser>
          <c:idx val="3"/>
          <c:order val="3"/>
          <c:tx>
            <c:strRef>
              <c:f>'Trh práce 1-SNÚ'!$AF$7</c:f>
              <c:strCache>
                <c:ptCount val="1"/>
                <c:pt idx="0">
                  <c:v>Obchod, doprava, ubytování a pohost.</c:v>
                </c:pt>
              </c:strCache>
            </c:strRef>
          </c:tx>
          <c:spPr>
            <a:solidFill>
              <a:srgbClr val="FDDEB3"/>
            </a:solidFill>
            <a:ln w="19050">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1-SNÚ'!$AF$28:$AF$56</c:f>
              <c:numCache>
                <c:formatCode>#\ ##0.0</c:formatCode>
                <c:ptCount val="29"/>
                <c:pt idx="0">
                  <c:v>0.21725549029484031</c:v>
                </c:pt>
                <c:pt idx="1">
                  <c:v>0.47973225414506893</c:v>
                </c:pt>
                <c:pt idx="2">
                  <c:v>0.31856511270432697</c:v>
                </c:pt>
                <c:pt idx="3">
                  <c:v>0.19833353853058974</c:v>
                </c:pt>
                <c:pt idx="4">
                  <c:v>6.3068653986030024E-2</c:v>
                </c:pt>
                <c:pt idx="5">
                  <c:v>0.14785774033727989</c:v>
                </c:pt>
                <c:pt idx="6">
                  <c:v>6.688175479221287E-3</c:v>
                </c:pt>
                <c:pt idx="7">
                  <c:v>0.15925244395982574</c:v>
                </c:pt>
                <c:pt idx="8">
                  <c:v>0.19450086237701714</c:v>
                </c:pt>
                <c:pt idx="9">
                  <c:v>-6.8447922443940921E-4</c:v>
                </c:pt>
                <c:pt idx="10">
                  <c:v>0.33618739157733363</c:v>
                </c:pt>
                <c:pt idx="11">
                  <c:v>0.18398562829243031</c:v>
                </c:pt>
                <c:pt idx="12">
                  <c:v>0.17924314286166321</c:v>
                </c:pt>
                <c:pt idx="13">
                  <c:v>0.42149330932798285</c:v>
                </c:pt>
                <c:pt idx="14">
                  <c:v>0.20459251153416669</c:v>
                </c:pt>
                <c:pt idx="15">
                  <c:v>0.19123680116101013</c:v>
                </c:pt>
                <c:pt idx="16">
                  <c:v>0.41047161840073582</c:v>
                </c:pt>
                <c:pt idx="17">
                  <c:v>0.14533022317687969</c:v>
                </c:pt>
                <c:pt idx="18">
                  <c:v>-1.374599866894316E-2</c:v>
                </c:pt>
                <c:pt idx="19">
                  <c:v>-5.1195924649759174E-2</c:v>
                </c:pt>
                <c:pt idx="20">
                  <c:v>-0.40407980401338806</c:v>
                </c:pt>
                <c:pt idx="21">
                  <c:v>-0.94494481700761324</c:v>
                </c:pt>
                <c:pt idx="22">
                  <c:v>-0.75454827954039783</c:v>
                </c:pt>
                <c:pt idx="23">
                  <c:v>-1.2550326678789345</c:v>
                </c:pt>
                <c:pt idx="24">
                  <c:v>-1.1433499380312484</c:v>
                </c:pt>
                <c:pt idx="25">
                  <c:v>-0.49829931621759876</c:v>
                </c:pt>
                <c:pt idx="26">
                  <c:v>-0.15152452455266935</c:v>
                </c:pt>
                <c:pt idx="27">
                  <c:v>0.26626747922638316</c:v>
                </c:pt>
              </c:numCache>
            </c:numRef>
          </c:val>
          <c:extLst>
            <c:ext xmlns:c16="http://schemas.microsoft.com/office/drawing/2014/chart" uri="{C3380CC4-5D6E-409C-BE32-E72D297353CC}">
              <c16:uniqueId val="{00000003-F121-4262-9D88-7A86881C0EAC}"/>
            </c:ext>
          </c:extLst>
        </c:ser>
        <c:ser>
          <c:idx val="4"/>
          <c:order val="4"/>
          <c:tx>
            <c:strRef>
              <c:f>'Trh práce 1-SNÚ'!$AG$7</c:f>
              <c:strCache>
                <c:ptCount val="1"/>
                <c:pt idx="0">
                  <c:v>Informační a komunikač. čin.</c:v>
                </c:pt>
              </c:strCache>
            </c:strRef>
          </c:tx>
          <c:spPr>
            <a:solidFill>
              <a:srgbClr val="F8A124"/>
            </a:solidFill>
            <a:ln w="19050">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1-SNÚ'!$AG$28:$AG$56</c:f>
              <c:numCache>
                <c:formatCode>#\ ##0.0</c:formatCode>
                <c:ptCount val="29"/>
                <c:pt idx="0">
                  <c:v>7.5857638402359439E-3</c:v>
                </c:pt>
                <c:pt idx="1">
                  <c:v>5.8337859602965066E-2</c:v>
                </c:pt>
                <c:pt idx="2">
                  <c:v>7.3076148277366471E-2</c:v>
                </c:pt>
                <c:pt idx="3">
                  <c:v>0.101592122918871</c:v>
                </c:pt>
                <c:pt idx="4">
                  <c:v>0.11899379776373163</c:v>
                </c:pt>
                <c:pt idx="5">
                  <c:v>0.11409419008550926</c:v>
                </c:pt>
                <c:pt idx="6">
                  <c:v>0.12987010483859668</c:v>
                </c:pt>
                <c:pt idx="7">
                  <c:v>0.16669217063926228</c:v>
                </c:pt>
                <c:pt idx="8">
                  <c:v>0.14027846527673005</c:v>
                </c:pt>
                <c:pt idx="9">
                  <c:v>0.1351276068914134</c:v>
                </c:pt>
                <c:pt idx="10">
                  <c:v>0.13451672611540119</c:v>
                </c:pt>
                <c:pt idx="11">
                  <c:v>0.11997176069642783</c:v>
                </c:pt>
                <c:pt idx="12">
                  <c:v>0.11565167779721315</c:v>
                </c:pt>
                <c:pt idx="13">
                  <c:v>0.13697970162157849</c:v>
                </c:pt>
                <c:pt idx="14">
                  <c:v>0.12890855314395611</c:v>
                </c:pt>
                <c:pt idx="15">
                  <c:v>0.14791858483650214</c:v>
                </c:pt>
                <c:pt idx="16">
                  <c:v>0.14590918081197787</c:v>
                </c:pt>
                <c:pt idx="17">
                  <c:v>8.1482217178668936E-2</c:v>
                </c:pt>
                <c:pt idx="18">
                  <c:v>0.13404655077835173</c:v>
                </c:pt>
                <c:pt idx="19">
                  <c:v>0.14640819444068129</c:v>
                </c:pt>
                <c:pt idx="20">
                  <c:v>0.2038062102293188</c:v>
                </c:pt>
                <c:pt idx="21">
                  <c:v>0.15911902598956371</c:v>
                </c:pt>
                <c:pt idx="22">
                  <c:v>0.16845309221485091</c:v>
                </c:pt>
                <c:pt idx="23">
                  <c:v>0.13904566814076619</c:v>
                </c:pt>
                <c:pt idx="24">
                  <c:v>0.11098217557313486</c:v>
                </c:pt>
                <c:pt idx="25">
                  <c:v>0.16790112522650527</c:v>
                </c:pt>
                <c:pt idx="26">
                  <c:v>0.11245770416818798</c:v>
                </c:pt>
                <c:pt idx="27">
                  <c:v>4.3610825444275837E-2</c:v>
                </c:pt>
              </c:numCache>
            </c:numRef>
          </c:val>
          <c:extLst>
            <c:ext xmlns:c16="http://schemas.microsoft.com/office/drawing/2014/chart" uri="{C3380CC4-5D6E-409C-BE32-E72D297353CC}">
              <c16:uniqueId val="{00000004-F121-4262-9D88-7A86881C0EAC}"/>
            </c:ext>
          </c:extLst>
        </c:ser>
        <c:ser>
          <c:idx val="5"/>
          <c:order val="5"/>
          <c:tx>
            <c:strRef>
              <c:f>'Trh práce 1-SNÚ'!$AH$7</c:f>
              <c:strCache>
                <c:ptCount val="1"/>
                <c:pt idx="0">
                  <c:v>Profesní, vědec., techn. a admin. čin.</c:v>
                </c:pt>
              </c:strCache>
            </c:strRef>
          </c:tx>
          <c:spPr>
            <a:solidFill>
              <a:srgbClr val="E8C0BE"/>
            </a:solidFill>
            <a:ln w="19050">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1-SNÚ'!$AH$28:$AH$56</c:f>
              <c:numCache>
                <c:formatCode>#\ ##0.0</c:formatCode>
                <c:ptCount val="29"/>
                <c:pt idx="0">
                  <c:v>0.10653478180808044</c:v>
                </c:pt>
                <c:pt idx="1">
                  <c:v>0.12599643340418387</c:v>
                </c:pt>
                <c:pt idx="2">
                  <c:v>0.26797844214547623</c:v>
                </c:pt>
                <c:pt idx="3">
                  <c:v>0.33512738074273013</c:v>
                </c:pt>
                <c:pt idx="4">
                  <c:v>0.23895818115359482</c:v>
                </c:pt>
                <c:pt idx="5">
                  <c:v>0.24936049791884499</c:v>
                </c:pt>
                <c:pt idx="6">
                  <c:v>0.24520740186355397</c:v>
                </c:pt>
                <c:pt idx="7">
                  <c:v>0.26629223246396738</c:v>
                </c:pt>
                <c:pt idx="8">
                  <c:v>0.40401039249864829</c:v>
                </c:pt>
                <c:pt idx="9">
                  <c:v>0.35370463922906481</c:v>
                </c:pt>
                <c:pt idx="10">
                  <c:v>0.31524569095555699</c:v>
                </c:pt>
                <c:pt idx="11">
                  <c:v>0.14696965180455621</c:v>
                </c:pt>
                <c:pt idx="12">
                  <c:v>0.1718005862096757</c:v>
                </c:pt>
                <c:pt idx="13">
                  <c:v>0.14108515593321466</c:v>
                </c:pt>
                <c:pt idx="14">
                  <c:v>9.7714992537754661E-2</c:v>
                </c:pt>
                <c:pt idx="15">
                  <c:v>0.19309834891883168</c:v>
                </c:pt>
                <c:pt idx="16">
                  <c:v>-1.7477930865320849E-2</c:v>
                </c:pt>
                <c:pt idx="17">
                  <c:v>-1.9200468181857312E-2</c:v>
                </c:pt>
                <c:pt idx="18">
                  <c:v>-2.754735035266059E-2</c:v>
                </c:pt>
                <c:pt idx="19">
                  <c:v>-0.21095077330513856</c:v>
                </c:pt>
                <c:pt idx="20">
                  <c:v>-0.16421146757214683</c:v>
                </c:pt>
                <c:pt idx="21">
                  <c:v>-0.27534110509954046</c:v>
                </c:pt>
                <c:pt idx="22">
                  <c:v>-0.39281161197175457</c:v>
                </c:pt>
                <c:pt idx="23">
                  <c:v>-0.22225133506938682</c:v>
                </c:pt>
                <c:pt idx="24">
                  <c:v>-0.23006375173502383</c:v>
                </c:pt>
                <c:pt idx="25">
                  <c:v>0.11667514491041682</c:v>
                </c:pt>
                <c:pt idx="26">
                  <c:v>0.19334701796810982</c:v>
                </c:pt>
                <c:pt idx="27">
                  <c:v>9.1484646801357192E-2</c:v>
                </c:pt>
              </c:numCache>
            </c:numRef>
          </c:val>
          <c:extLst>
            <c:ext xmlns:c16="http://schemas.microsoft.com/office/drawing/2014/chart" uri="{C3380CC4-5D6E-409C-BE32-E72D297353CC}">
              <c16:uniqueId val="{00000005-F121-4262-9D88-7A86881C0EAC}"/>
            </c:ext>
          </c:extLst>
        </c:ser>
        <c:ser>
          <c:idx val="6"/>
          <c:order val="6"/>
          <c:tx>
            <c:strRef>
              <c:f>'Trh práce 1-SNÚ'!$AI$7</c:f>
              <c:strCache>
                <c:ptCount val="1"/>
                <c:pt idx="0">
                  <c:v>Veř.spr.,obrana, vzděl.,zdrav.a soc.péče</c:v>
                </c:pt>
              </c:strCache>
            </c:strRef>
          </c:tx>
          <c:spPr>
            <a:solidFill>
              <a:srgbClr val="D58D8B"/>
            </a:solidFill>
            <a:ln>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1-SNÚ'!$AI$28:$AI$56</c:f>
              <c:numCache>
                <c:formatCode>#\ ##0.0</c:formatCode>
                <c:ptCount val="29"/>
                <c:pt idx="0">
                  <c:v>0.22808387339320821</c:v>
                </c:pt>
                <c:pt idx="1">
                  <c:v>0.23731519476564394</c:v>
                </c:pt>
                <c:pt idx="2">
                  <c:v>0.11834818987059058</c:v>
                </c:pt>
                <c:pt idx="3">
                  <c:v>0.11257926718085437</c:v>
                </c:pt>
                <c:pt idx="4">
                  <c:v>0.34574201174059122</c:v>
                </c:pt>
                <c:pt idx="5">
                  <c:v>0.35302288864044334</c:v>
                </c:pt>
                <c:pt idx="6">
                  <c:v>0.44180506724700391</c:v>
                </c:pt>
                <c:pt idx="7">
                  <c:v>0.52441422245051739</c:v>
                </c:pt>
                <c:pt idx="8">
                  <c:v>0.4402223883053985</c:v>
                </c:pt>
                <c:pt idx="9">
                  <c:v>0.48225364024114387</c:v>
                </c:pt>
                <c:pt idx="10">
                  <c:v>0.54201601935673571</c:v>
                </c:pt>
                <c:pt idx="11">
                  <c:v>0.53510914430457346</c:v>
                </c:pt>
                <c:pt idx="12">
                  <c:v>0.4041402471607079</c:v>
                </c:pt>
                <c:pt idx="13">
                  <c:v>0.44415766669222101</c:v>
                </c:pt>
                <c:pt idx="14">
                  <c:v>0.30949599027729074</c:v>
                </c:pt>
                <c:pt idx="15">
                  <c:v>0.28546834866193815</c:v>
                </c:pt>
                <c:pt idx="16">
                  <c:v>0.18663535729751846</c:v>
                </c:pt>
                <c:pt idx="17">
                  <c:v>0.12854363343247277</c:v>
                </c:pt>
                <c:pt idx="18">
                  <c:v>0.15565267754524093</c:v>
                </c:pt>
                <c:pt idx="19">
                  <c:v>0.18823384737281104</c:v>
                </c:pt>
                <c:pt idx="20">
                  <c:v>0.39758494148644485</c:v>
                </c:pt>
                <c:pt idx="21">
                  <c:v>0.34783988347308897</c:v>
                </c:pt>
                <c:pt idx="22">
                  <c:v>0.48822845370744922</c:v>
                </c:pt>
                <c:pt idx="23">
                  <c:v>0.42506399334354628</c:v>
                </c:pt>
                <c:pt idx="24">
                  <c:v>0.43959172348757725</c:v>
                </c:pt>
                <c:pt idx="25">
                  <c:v>0.55815678039647132</c:v>
                </c:pt>
                <c:pt idx="26">
                  <c:v>0.54342996935015864</c:v>
                </c:pt>
                <c:pt idx="27">
                  <c:v>0.59746076346106969</c:v>
                </c:pt>
              </c:numCache>
            </c:numRef>
          </c:val>
          <c:extLst>
            <c:ext xmlns:c16="http://schemas.microsoft.com/office/drawing/2014/chart" uri="{C3380CC4-5D6E-409C-BE32-E72D297353CC}">
              <c16:uniqueId val="{00000006-F121-4262-9D88-7A86881C0EAC}"/>
            </c:ext>
          </c:extLst>
        </c:ser>
        <c:ser>
          <c:idx val="7"/>
          <c:order val="7"/>
          <c:tx>
            <c:strRef>
              <c:f>'Trh práce 1-SNÚ'!$AJ$7</c:f>
              <c:strCache>
                <c:ptCount val="1"/>
                <c:pt idx="0">
                  <c:v>Ostatní odvětví*</c:v>
                </c:pt>
              </c:strCache>
            </c:strRef>
          </c:tx>
          <c:spPr>
            <a:solidFill>
              <a:schemeClr val="bg1">
                <a:lumMod val="85000"/>
              </a:schemeClr>
            </a:solidFill>
            <a:ln>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1-SNÚ'!$AJ$28:$AJ$56</c:f>
              <c:numCache>
                <c:formatCode>#\ ##0.0</c:formatCode>
                <c:ptCount val="29"/>
                <c:pt idx="0">
                  <c:v>-5.233390960245677E-2</c:v>
                </c:pt>
                <c:pt idx="1">
                  <c:v>8.3788315003249514E-2</c:v>
                </c:pt>
                <c:pt idx="2">
                  <c:v>4.7987973307275944E-2</c:v>
                </c:pt>
                <c:pt idx="3">
                  <c:v>-2.0669078124050264E-2</c:v>
                </c:pt>
                <c:pt idx="4">
                  <c:v>0.12695259989801055</c:v>
                </c:pt>
                <c:pt idx="5">
                  <c:v>7.2154885803612609E-2</c:v>
                </c:pt>
                <c:pt idx="6">
                  <c:v>0.1033294200118309</c:v>
                </c:pt>
                <c:pt idx="7">
                  <c:v>0.18514730658825221</c:v>
                </c:pt>
                <c:pt idx="8">
                  <c:v>-4.7740946953249951E-2</c:v>
                </c:pt>
                <c:pt idx="9">
                  <c:v>-2.5097571562778392E-3</c:v>
                </c:pt>
                <c:pt idx="10">
                  <c:v>4.0668288968128352E-2</c:v>
                </c:pt>
                <c:pt idx="11">
                  <c:v>3.8449826749381966E-2</c:v>
                </c:pt>
                <c:pt idx="12">
                  <c:v>0.19957356976671253</c:v>
                </c:pt>
                <c:pt idx="13">
                  <c:v>0.1982053353284452</c:v>
                </c:pt>
                <c:pt idx="14">
                  <c:v>1.7449770918215368E-2</c:v>
                </c:pt>
                <c:pt idx="15">
                  <c:v>1.7777781087196014E-2</c:v>
                </c:pt>
                <c:pt idx="16">
                  <c:v>-3.7497768873474988E-2</c:v>
                </c:pt>
                <c:pt idx="17">
                  <c:v>2.0932564159875149E-2</c:v>
                </c:pt>
                <c:pt idx="18">
                  <c:v>0.11376889636604499</c:v>
                </c:pt>
                <c:pt idx="19">
                  <c:v>0.12518241194475455</c:v>
                </c:pt>
                <c:pt idx="20">
                  <c:v>7.6392830628521424E-2</c:v>
                </c:pt>
                <c:pt idx="21">
                  <c:v>-0.14874369423144443</c:v>
                </c:pt>
                <c:pt idx="22">
                  <c:v>-0.14330946500071517</c:v>
                </c:pt>
                <c:pt idx="23">
                  <c:v>-0.23261739750486451</c:v>
                </c:pt>
                <c:pt idx="24">
                  <c:v>-0.19227272701999015</c:v>
                </c:pt>
                <c:pt idx="25">
                  <c:v>9.9262064422017543E-3</c:v>
                </c:pt>
                <c:pt idx="26">
                  <c:v>-5.6219479046573727E-2</c:v>
                </c:pt>
                <c:pt idx="27">
                  <c:v>6.4039252760950044E-2</c:v>
                </c:pt>
              </c:numCache>
            </c:numRef>
          </c:val>
          <c:extLst>
            <c:ext xmlns:c16="http://schemas.microsoft.com/office/drawing/2014/chart" uri="{C3380CC4-5D6E-409C-BE32-E72D297353CC}">
              <c16:uniqueId val="{00000007-F121-4262-9D88-7A86881C0EAC}"/>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1-SNÚ'!$AK$7</c:f>
              <c:strCache>
                <c:ptCount val="1"/>
                <c:pt idx="0">
                  <c:v>Zaměstnanost celkem</c:v>
                </c:pt>
              </c:strCache>
            </c:strRef>
          </c:tx>
          <c:spPr>
            <a:ln w="22225">
              <a:solidFill>
                <a:schemeClr val="tx1">
                  <a:lumMod val="95000"/>
                  <a:lumOff val="5000"/>
                </a:schemeClr>
              </a:solidFill>
            </a:ln>
          </c:spPr>
          <c:marker>
            <c:symbol val="none"/>
          </c:marker>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1-SNÚ'!$AK$28:$AK$56</c:f>
              <c:numCache>
                <c:formatCode>#\ ##0.0</c:formatCode>
                <c:ptCount val="29"/>
                <c:pt idx="0">
                  <c:v>1.2390736013649644</c:v>
                </c:pt>
                <c:pt idx="1">
                  <c:v>1.763871577433747</c:v>
                </c:pt>
                <c:pt idx="2">
                  <c:v>1.3738315876144895</c:v>
                </c:pt>
                <c:pt idx="3">
                  <c:v>1.335054912344404</c:v>
                </c:pt>
                <c:pt idx="4">
                  <c:v>1.5292935359579616</c:v>
                </c:pt>
                <c:pt idx="5">
                  <c:v>1.4154659813430754</c:v>
                </c:pt>
                <c:pt idx="6">
                  <c:v>1.5176954281983939</c:v>
                </c:pt>
                <c:pt idx="7">
                  <c:v>1.8956884957603108</c:v>
                </c:pt>
                <c:pt idx="8">
                  <c:v>1.4722833881197488</c:v>
                </c:pt>
                <c:pt idx="9">
                  <c:v>1.4239829731990312</c:v>
                </c:pt>
                <c:pt idx="10">
                  <c:v>1.9497805488244353</c:v>
                </c:pt>
                <c:pt idx="11">
                  <c:v>1.3481965748335796</c:v>
                </c:pt>
                <c:pt idx="12">
                  <c:v>1.5514056445856852</c:v>
                </c:pt>
                <c:pt idx="13">
                  <c:v>1.7356136163859617</c:v>
                </c:pt>
                <c:pt idx="14">
                  <c:v>0.93228706716838872</c:v>
                </c:pt>
                <c:pt idx="15">
                  <c:v>1.1206331347310083</c:v>
                </c:pt>
                <c:pt idx="16">
                  <c:v>0.84255872454892256</c:v>
                </c:pt>
                <c:pt idx="17">
                  <c:v>0.34380262508358328</c:v>
                </c:pt>
                <c:pt idx="18">
                  <c:v>0.16701849657889056</c:v>
                </c:pt>
                <c:pt idx="19">
                  <c:v>-0.37153403498074056</c:v>
                </c:pt>
                <c:pt idx="20">
                  <c:v>-0.72867573800866126</c:v>
                </c:pt>
                <c:pt idx="21">
                  <c:v>-2.1353350929161508</c:v>
                </c:pt>
                <c:pt idx="22">
                  <c:v>-1.7381522399656149</c:v>
                </c:pt>
                <c:pt idx="23">
                  <c:v>-2.0409686743506086</c:v>
                </c:pt>
                <c:pt idx="24">
                  <c:v>-1.6312044512971227</c:v>
                </c:pt>
                <c:pt idx="25">
                  <c:v>0.29348921543001438</c:v>
                </c:pt>
                <c:pt idx="26">
                  <c:v>0.5732549747396547</c:v>
                </c:pt>
                <c:pt idx="27">
                  <c:v>1.2663927283098388</c:v>
                </c:pt>
              </c:numCache>
            </c:numRef>
          </c:val>
          <c:smooth val="0"/>
          <c:extLst>
            <c:ext xmlns:c16="http://schemas.microsoft.com/office/drawing/2014/chart" uri="{C3380CC4-5D6E-409C-BE32-E72D297353CC}">
              <c16:uniqueId val="{00000008-F121-4262-9D88-7A86881C0EAC}"/>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1-SNÚ'!$AL$7</c:f>
              <c:strCache>
                <c:ptCount val="1"/>
              </c:strCache>
            </c:strRef>
          </c:tx>
          <c:spPr>
            <a:ln>
              <a:noFill/>
            </a:ln>
          </c:spPr>
          <c:marker>
            <c:symbol val="none"/>
          </c:marker>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1-SNÚ'!$AL$28:$AL$56</c:f>
              <c:numCache>
                <c:formatCode>General</c:formatCode>
                <c:ptCount val="29"/>
              </c:numCache>
            </c:numRef>
          </c:val>
          <c:smooth val="0"/>
          <c:extLst>
            <c:ext xmlns:c16="http://schemas.microsoft.com/office/drawing/2014/chart" uri="{C3380CC4-5D6E-409C-BE32-E72D297353CC}">
              <c16:uniqueId val="{00000009-F121-4262-9D88-7A86881C0EAC}"/>
            </c:ext>
          </c:extLst>
        </c:ser>
        <c:ser>
          <c:idx val="10"/>
          <c:order val="10"/>
          <c:tx>
            <c:strRef>
              <c:f>'Trh práce 1-SNÚ'!$AM$7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1-SNÚ'!$AM$28:$AM$56</c:f>
              <c:numCache>
                <c:formatCode>General</c:formatCode>
                <c:ptCount val="29"/>
                <c:pt idx="0">
                  <c:v>-1.9</c:v>
                </c:pt>
                <c:pt idx="1">
                  <c:v>4.0999999999999996</c:v>
                </c:pt>
                <c:pt idx="2">
                  <c:v>4.7</c:v>
                </c:pt>
                <c:pt idx="3">
                  <c:v>8.8000000000000007</c:v>
                </c:pt>
                <c:pt idx="4">
                  <c:v>9.8000000000000007</c:v>
                </c:pt>
                <c:pt idx="5">
                  <c:v>10</c:v>
                </c:pt>
                <c:pt idx="6">
                  <c:v>4.2</c:v>
                </c:pt>
                <c:pt idx="7">
                  <c:v>9.1999999999999993</c:v>
                </c:pt>
                <c:pt idx="8">
                  <c:v>12.1</c:v>
                </c:pt>
                <c:pt idx="9">
                  <c:v>5.9</c:v>
                </c:pt>
                <c:pt idx="10">
                  <c:v>8.9</c:v>
                </c:pt>
                <c:pt idx="11">
                  <c:v>7.2</c:v>
                </c:pt>
                <c:pt idx="12">
                  <c:v>10.8</c:v>
                </c:pt>
                <c:pt idx="13">
                  <c:v>10.4</c:v>
                </c:pt>
                <c:pt idx="14">
                  <c:v>8.3000000000000007</c:v>
                </c:pt>
                <c:pt idx="15">
                  <c:v>6.5</c:v>
                </c:pt>
                <c:pt idx="16">
                  <c:v>3.1</c:v>
                </c:pt>
                <c:pt idx="17">
                  <c:v>2.5</c:v>
                </c:pt>
                <c:pt idx="18">
                  <c:v>1.6</c:v>
                </c:pt>
                <c:pt idx="19">
                  <c:v>-2.7</c:v>
                </c:pt>
                <c:pt idx="20">
                  <c:v>1.5</c:v>
                </c:pt>
                <c:pt idx="21">
                  <c:v>-17.399999999999999</c:v>
                </c:pt>
                <c:pt idx="22">
                  <c:v>-11.6</c:v>
                </c:pt>
                <c:pt idx="23">
                  <c:v>-5.9</c:v>
                </c:pt>
                <c:pt idx="24">
                  <c:v>0.1</c:v>
                </c:pt>
                <c:pt idx="25">
                  <c:v>9.4</c:v>
                </c:pt>
                <c:pt idx="26">
                  <c:v>6.4</c:v>
                </c:pt>
                <c:pt idx="27">
                  <c:v>2.9</c:v>
                </c:pt>
                <c:pt idx="28">
                  <c:v>8.1999999999999993</c:v>
                </c:pt>
              </c:numCache>
            </c:numRef>
          </c:val>
          <c:smooth val="0"/>
          <c:extLst>
            <c:ext xmlns:c16="http://schemas.microsoft.com/office/drawing/2014/chart" uri="{C3380CC4-5D6E-409C-BE32-E72D297353CC}">
              <c16:uniqueId val="{0000000A-F121-4262-9D88-7A86881C0EAC}"/>
            </c:ext>
          </c:extLst>
        </c:ser>
        <c:ser>
          <c:idx val="11"/>
          <c:order val="11"/>
          <c:tx>
            <c:strRef>
              <c:f>'Trh práce 1-SNÚ'!$AN$7</c:f>
              <c:strCache>
                <c:ptCount val="1"/>
                <c:pt idx="0">
                  <c:v>Očekávání zaměstnanosti (stavebnictví)</c:v>
                </c:pt>
              </c:strCache>
            </c:strRef>
          </c:tx>
          <c:spPr>
            <a:ln w="15875">
              <a:solidFill>
                <a:srgbClr val="00B0F0"/>
              </a:solidFill>
              <a:prstDash val="sysDot"/>
            </a:ln>
          </c:spPr>
          <c:marker>
            <c:symbol val="none"/>
          </c:marker>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1-SNÚ'!$AN$28:$AN$56</c:f>
              <c:numCache>
                <c:formatCode>General</c:formatCode>
                <c:ptCount val="29"/>
                <c:pt idx="0">
                  <c:v>-1.9</c:v>
                </c:pt>
                <c:pt idx="1">
                  <c:v>7.3</c:v>
                </c:pt>
                <c:pt idx="2">
                  <c:v>0.6</c:v>
                </c:pt>
                <c:pt idx="3">
                  <c:v>2.2999999999999998</c:v>
                </c:pt>
                <c:pt idx="4">
                  <c:v>-0.9</c:v>
                </c:pt>
                <c:pt idx="5">
                  <c:v>-8</c:v>
                </c:pt>
                <c:pt idx="6">
                  <c:v>-6.3</c:v>
                </c:pt>
                <c:pt idx="7">
                  <c:v>-7.2</c:v>
                </c:pt>
                <c:pt idx="8">
                  <c:v>-7.7</c:v>
                </c:pt>
                <c:pt idx="9">
                  <c:v>-15.4</c:v>
                </c:pt>
                <c:pt idx="10">
                  <c:v>-9.3000000000000007</c:v>
                </c:pt>
                <c:pt idx="11">
                  <c:v>-3.2</c:v>
                </c:pt>
                <c:pt idx="12">
                  <c:v>4.3</c:v>
                </c:pt>
                <c:pt idx="13">
                  <c:v>4.3</c:v>
                </c:pt>
                <c:pt idx="14">
                  <c:v>8</c:v>
                </c:pt>
                <c:pt idx="15">
                  <c:v>11.4</c:v>
                </c:pt>
                <c:pt idx="16">
                  <c:v>8.8000000000000007</c:v>
                </c:pt>
                <c:pt idx="17">
                  <c:v>10</c:v>
                </c:pt>
                <c:pt idx="18">
                  <c:v>3.9</c:v>
                </c:pt>
                <c:pt idx="19">
                  <c:v>10.9</c:v>
                </c:pt>
                <c:pt idx="20">
                  <c:v>6.7</c:v>
                </c:pt>
                <c:pt idx="21">
                  <c:v>-3.6</c:v>
                </c:pt>
                <c:pt idx="22">
                  <c:v>-0.6</c:v>
                </c:pt>
                <c:pt idx="23">
                  <c:v>-3.1</c:v>
                </c:pt>
                <c:pt idx="24">
                  <c:v>2.1</c:v>
                </c:pt>
                <c:pt idx="25">
                  <c:v>3.6</c:v>
                </c:pt>
                <c:pt idx="26">
                  <c:v>3</c:v>
                </c:pt>
                <c:pt idx="27">
                  <c:v>8.4</c:v>
                </c:pt>
                <c:pt idx="28">
                  <c:v>10.3</c:v>
                </c:pt>
              </c:numCache>
            </c:numRef>
          </c:val>
          <c:smooth val="0"/>
          <c:extLst>
            <c:ext xmlns:c16="http://schemas.microsoft.com/office/drawing/2014/chart" uri="{C3380CC4-5D6E-409C-BE32-E72D297353CC}">
              <c16:uniqueId val="{0000000B-F121-4262-9D88-7A86881C0EAC}"/>
            </c:ext>
          </c:extLst>
        </c:ser>
        <c:ser>
          <c:idx val="12"/>
          <c:order val="12"/>
          <c:tx>
            <c:strRef>
              <c:f>'Trh práce 1-SNÚ'!$AO$7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1-SNÚ'!$AO$28:$AO$56</c:f>
              <c:numCache>
                <c:formatCode>General</c:formatCode>
                <c:ptCount val="29"/>
                <c:pt idx="0">
                  <c:v>15.5</c:v>
                </c:pt>
                <c:pt idx="1">
                  <c:v>5.4</c:v>
                </c:pt>
                <c:pt idx="2">
                  <c:v>3.4</c:v>
                </c:pt>
                <c:pt idx="3">
                  <c:v>-2.4</c:v>
                </c:pt>
                <c:pt idx="4">
                  <c:v>15.7</c:v>
                </c:pt>
                <c:pt idx="5">
                  <c:v>19.600000000000001</c:v>
                </c:pt>
                <c:pt idx="6">
                  <c:v>20.9</c:v>
                </c:pt>
                <c:pt idx="7">
                  <c:v>18.399999999999999</c:v>
                </c:pt>
                <c:pt idx="8">
                  <c:v>15.8</c:v>
                </c:pt>
                <c:pt idx="9">
                  <c:v>19.3</c:v>
                </c:pt>
                <c:pt idx="10">
                  <c:v>19.899999999999999</c:v>
                </c:pt>
                <c:pt idx="11">
                  <c:v>13.8</c:v>
                </c:pt>
                <c:pt idx="12">
                  <c:v>26.7</c:v>
                </c:pt>
                <c:pt idx="13">
                  <c:v>31.9</c:v>
                </c:pt>
                <c:pt idx="14">
                  <c:v>28.3</c:v>
                </c:pt>
                <c:pt idx="15">
                  <c:v>18.2</c:v>
                </c:pt>
                <c:pt idx="16">
                  <c:v>11.7</c:v>
                </c:pt>
                <c:pt idx="17">
                  <c:v>13.7</c:v>
                </c:pt>
                <c:pt idx="18">
                  <c:v>12.9</c:v>
                </c:pt>
                <c:pt idx="19">
                  <c:v>14.5</c:v>
                </c:pt>
                <c:pt idx="20">
                  <c:v>11.1</c:v>
                </c:pt>
                <c:pt idx="21">
                  <c:v>-6.9</c:v>
                </c:pt>
                <c:pt idx="22">
                  <c:v>-4.8</c:v>
                </c:pt>
                <c:pt idx="23">
                  <c:v>1.3</c:v>
                </c:pt>
                <c:pt idx="24">
                  <c:v>4.2</c:v>
                </c:pt>
                <c:pt idx="25">
                  <c:v>11.5</c:v>
                </c:pt>
                <c:pt idx="26">
                  <c:v>10.199999999999999</c:v>
                </c:pt>
                <c:pt idx="27">
                  <c:v>11.7</c:v>
                </c:pt>
                <c:pt idx="28">
                  <c:v>11</c:v>
                </c:pt>
              </c:numCache>
            </c:numRef>
          </c:val>
          <c:smooth val="0"/>
          <c:extLst>
            <c:ext xmlns:c16="http://schemas.microsoft.com/office/drawing/2014/chart" uri="{C3380CC4-5D6E-409C-BE32-E72D297353CC}">
              <c16:uniqueId val="{0000000C-F121-4262-9D88-7A86881C0EAC}"/>
            </c:ext>
          </c:extLst>
        </c:ser>
        <c:ser>
          <c:idx val="13"/>
          <c:order val="13"/>
          <c:tx>
            <c:strRef>
              <c:f>'Trh práce 1-SNÚ'!$AP$7</c:f>
              <c:strCache>
                <c:ptCount val="1"/>
                <c:pt idx="0">
                  <c:v>Očekávání zaměstnanosti (vybr. služby)</c:v>
                </c:pt>
              </c:strCache>
            </c:strRef>
          </c:tx>
          <c:spPr>
            <a:ln w="15875">
              <a:solidFill>
                <a:srgbClr val="C00000"/>
              </a:solidFill>
              <a:prstDash val="sysDot"/>
            </a:ln>
          </c:spPr>
          <c:marker>
            <c:symbol val="none"/>
          </c:marker>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1-SNÚ'!$AP$28:$AP$56</c:f>
              <c:numCache>
                <c:formatCode>General</c:formatCode>
                <c:ptCount val="29"/>
                <c:pt idx="0">
                  <c:v>-15.7</c:v>
                </c:pt>
                <c:pt idx="1">
                  <c:v>-21.3</c:v>
                </c:pt>
                <c:pt idx="2">
                  <c:v>2.6</c:v>
                </c:pt>
                <c:pt idx="3">
                  <c:v>3.8</c:v>
                </c:pt>
                <c:pt idx="4">
                  <c:v>2.6</c:v>
                </c:pt>
                <c:pt idx="5">
                  <c:v>24.7</c:v>
                </c:pt>
                <c:pt idx="6">
                  <c:v>-1.7</c:v>
                </c:pt>
                <c:pt idx="7">
                  <c:v>7.2</c:v>
                </c:pt>
                <c:pt idx="8">
                  <c:v>11.7</c:v>
                </c:pt>
                <c:pt idx="9">
                  <c:v>11.5</c:v>
                </c:pt>
                <c:pt idx="10">
                  <c:v>19.8</c:v>
                </c:pt>
                <c:pt idx="11">
                  <c:v>2.8</c:v>
                </c:pt>
                <c:pt idx="12">
                  <c:v>14.9</c:v>
                </c:pt>
                <c:pt idx="13">
                  <c:v>10.5</c:v>
                </c:pt>
                <c:pt idx="14">
                  <c:v>9</c:v>
                </c:pt>
                <c:pt idx="15">
                  <c:v>-5.2</c:v>
                </c:pt>
                <c:pt idx="16">
                  <c:v>-8.1</c:v>
                </c:pt>
                <c:pt idx="17">
                  <c:v>-6.9</c:v>
                </c:pt>
                <c:pt idx="18">
                  <c:v>-8.3000000000000007</c:v>
                </c:pt>
                <c:pt idx="19">
                  <c:v>-11.7</c:v>
                </c:pt>
                <c:pt idx="20">
                  <c:v>-20.3</c:v>
                </c:pt>
                <c:pt idx="21">
                  <c:v>-33.700000000000003</c:v>
                </c:pt>
                <c:pt idx="22">
                  <c:v>-33.299999999999997</c:v>
                </c:pt>
                <c:pt idx="23">
                  <c:v>-27.3</c:v>
                </c:pt>
                <c:pt idx="24">
                  <c:v>-28</c:v>
                </c:pt>
                <c:pt idx="25">
                  <c:v>-29.7</c:v>
                </c:pt>
                <c:pt idx="26">
                  <c:v>-16.899999999999999</c:v>
                </c:pt>
                <c:pt idx="27">
                  <c:v>-12.3</c:v>
                </c:pt>
                <c:pt idx="28">
                  <c:v>-6.6</c:v>
                </c:pt>
              </c:numCache>
            </c:numRef>
          </c:val>
          <c:smooth val="0"/>
          <c:extLst>
            <c:ext xmlns:c16="http://schemas.microsoft.com/office/drawing/2014/chart" uri="{C3380CC4-5D6E-409C-BE32-E72D297353CC}">
              <c16:uniqueId val="{0000000D-F121-4262-9D88-7A86881C0EAC}"/>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5"/>
        </c:scaling>
        <c:delete val="0"/>
        <c:axPos val="l"/>
        <c:majorGridlines>
          <c:spPr>
            <a:ln w="6350">
              <a:solidFill>
                <a:schemeClr val="bg1">
                  <a:lumMod val="75000"/>
                </a:schemeClr>
              </a:solidFill>
            </a:ln>
          </c:spPr>
        </c:majorGridlines>
        <c:title>
          <c:tx>
            <c:rich>
              <a:bodyPr/>
              <a:lstStyle/>
              <a:p>
                <a:pPr>
                  <a:defRPr sz="700" b="0" i="1"/>
                </a:pPr>
                <a:r>
                  <a:rPr lang="cs-CZ" sz="700" b="0" i="1"/>
                  <a:t>Příspěvky k růstu zaměstnanosti</a:t>
                </a:r>
              </a:p>
            </c:rich>
          </c:tx>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Očekávání vývoje zaměstnanosti</a:t>
                </a:r>
              </a:p>
            </c:rich>
          </c:tx>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1.5472441370721637E-2"/>
          <c:y val="0.77992823117070742"/>
          <c:w val="0.96005692595618608"/>
          <c:h val="0.211946183153499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3584199323558972"/>
          <c:h val="0.75393509070294773"/>
        </c:manualLayout>
      </c:layout>
      <c:barChart>
        <c:barDir val="col"/>
        <c:grouping val="clustered"/>
        <c:varyColors val="0"/>
        <c:ser>
          <c:idx val="0"/>
          <c:order val="0"/>
          <c:tx>
            <c:strRef>
              <c:f>'Trh práce-2b'!$A$29</c:f>
              <c:strCache>
                <c:ptCount val="1"/>
                <c:pt idx="0">
                  <c:v>Míra nezaměstnanosti mužů (levá osa)</c:v>
                </c:pt>
              </c:strCache>
            </c:strRef>
          </c:tx>
          <c:spPr>
            <a:solidFill>
              <a:srgbClr val="BCBCBC"/>
            </a:solidFill>
          </c:spPr>
          <c:invertIfNegative val="0"/>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práce-2b'!$B$29:$AD$29</c:f>
              <c:numCache>
                <c:formatCode>0.0</c:formatCode>
                <c:ptCount val="29"/>
                <c:pt idx="0">
                  <c:v>5.0290014664854814</c:v>
                </c:pt>
                <c:pt idx="1">
                  <c:v>4.3009457153014301</c:v>
                </c:pt>
                <c:pt idx="2">
                  <c:v>4.0587125330367906</c:v>
                </c:pt>
                <c:pt idx="3">
                  <c:v>3.7969572912959282</c:v>
                </c:pt>
                <c:pt idx="4">
                  <c:v>3.6553332329093564</c:v>
                </c:pt>
                <c:pt idx="5">
                  <c:v>3.5539591184965933</c:v>
                </c:pt>
                <c:pt idx="6">
                  <c:v>3.3917790118720608</c:v>
                </c:pt>
                <c:pt idx="7">
                  <c:v>3.1612825593430807</c:v>
                </c:pt>
                <c:pt idx="8">
                  <c:v>2.697241045949077</c:v>
                </c:pt>
                <c:pt idx="9">
                  <c:v>2.48030986612476</c:v>
                </c:pt>
                <c:pt idx="10">
                  <c:v>2.2514120156942874</c:v>
                </c:pt>
                <c:pt idx="11">
                  <c:v>2.0863761423141498</c:v>
                </c:pt>
                <c:pt idx="12">
                  <c:v>1.895133304795128</c:v>
                </c:pt>
                <c:pt idx="13">
                  <c:v>1.8237411506101482</c:v>
                </c:pt>
                <c:pt idx="14">
                  <c:v>1.8904849959500023</c:v>
                </c:pt>
                <c:pt idx="15">
                  <c:v>1.6835180713381881</c:v>
                </c:pt>
                <c:pt idx="16">
                  <c:v>1.8022477920019948</c:v>
                </c:pt>
                <c:pt idx="17">
                  <c:v>1.668280325539877</c:v>
                </c:pt>
                <c:pt idx="18">
                  <c:v>1.7671536991907173</c:v>
                </c:pt>
                <c:pt idx="19">
                  <c:v>1.8600482599066901</c:v>
                </c:pt>
                <c:pt idx="20">
                  <c:v>1.8422311021306721</c:v>
                </c:pt>
                <c:pt idx="21">
                  <c:v>2.2752544160230044</c:v>
                </c:pt>
                <c:pt idx="22">
                  <c:v>2.5137825740824611</c:v>
                </c:pt>
                <c:pt idx="23">
                  <c:v>2.5711644664036886</c:v>
                </c:pt>
                <c:pt idx="24">
                  <c:v>2.6527196825033972</c:v>
                </c:pt>
                <c:pt idx="25">
                  <c:v>2.5406738205349781</c:v>
                </c:pt>
                <c:pt idx="26">
                  <c:v>2.2839644676610145</c:v>
                </c:pt>
                <c:pt idx="27">
                  <c:v>1.9665394735259405</c:v>
                </c:pt>
              </c:numCache>
            </c:numRef>
          </c:val>
          <c:extLst>
            <c:ext xmlns:c16="http://schemas.microsoft.com/office/drawing/2014/chart" uri="{C3380CC4-5D6E-409C-BE32-E72D297353CC}">
              <c16:uniqueId val="{00000000-ECF4-449A-BF2B-6921FE616A90}"/>
            </c:ext>
          </c:extLst>
        </c:ser>
        <c:ser>
          <c:idx val="1"/>
          <c:order val="1"/>
          <c:tx>
            <c:strRef>
              <c:f>'Trh práce-2b'!$A$30</c:f>
              <c:strCache>
                <c:ptCount val="1"/>
                <c:pt idx="0">
                  <c:v>Míra nezaměstnanosti žen (levá osa)</c:v>
                </c:pt>
              </c:strCache>
            </c:strRef>
          </c:tx>
          <c:spPr>
            <a:solidFill>
              <a:schemeClr val="bg1">
                <a:lumMod val="95000"/>
              </a:schemeClr>
            </a:solidFill>
            <a:ln>
              <a:solidFill>
                <a:schemeClr val="bg1">
                  <a:lumMod val="65000"/>
                </a:schemeClr>
              </a:solidFill>
            </a:ln>
          </c:spPr>
          <c:invertIfNegative val="0"/>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práce-2b'!$B$30:$AD$30</c:f>
              <c:numCache>
                <c:formatCode>0.0</c:formatCode>
                <c:ptCount val="29"/>
                <c:pt idx="0">
                  <c:v>6.9394779965253726</c:v>
                </c:pt>
                <c:pt idx="1">
                  <c:v>6.1781503503313715</c:v>
                </c:pt>
                <c:pt idx="2">
                  <c:v>5.9641936009467287</c:v>
                </c:pt>
                <c:pt idx="3">
                  <c:v>5.6630580280378586</c:v>
                </c:pt>
                <c:pt idx="4">
                  <c:v>5.0707579080892717</c:v>
                </c:pt>
                <c:pt idx="5">
                  <c:v>4.8222524149082213</c:v>
                </c:pt>
                <c:pt idx="6">
                  <c:v>4.7881707902001311</c:v>
                </c:pt>
                <c:pt idx="7">
                  <c:v>4.3460462284586621</c:v>
                </c:pt>
                <c:pt idx="8">
                  <c:v>4.2801834373251353</c:v>
                </c:pt>
                <c:pt idx="9">
                  <c:v>3.9072859467171228</c:v>
                </c:pt>
                <c:pt idx="10">
                  <c:v>3.3965176024170414</c:v>
                </c:pt>
                <c:pt idx="11">
                  <c:v>3.0081056202038514</c:v>
                </c:pt>
                <c:pt idx="12">
                  <c:v>2.9433805466677296</c:v>
                </c:pt>
                <c:pt idx="13">
                  <c:v>2.9105432738455903</c:v>
                </c:pt>
                <c:pt idx="14">
                  <c:v>2.8531062017543412</c:v>
                </c:pt>
                <c:pt idx="15">
                  <c:v>2.6506471270765348</c:v>
                </c:pt>
                <c:pt idx="16">
                  <c:v>2.2578393592374222</c:v>
                </c:pt>
                <c:pt idx="17">
                  <c:v>2.4932430957470935</c:v>
                </c:pt>
                <c:pt idx="18">
                  <c:v>2.551673663527803</c:v>
                </c:pt>
                <c:pt idx="19">
                  <c:v>2.4451341420556951</c:v>
                </c:pt>
                <c:pt idx="20">
                  <c:v>2.0472262390551008</c:v>
                </c:pt>
                <c:pt idx="21">
                  <c:v>2.8385232771182185</c:v>
                </c:pt>
                <c:pt idx="22">
                  <c:v>3.3525545053635519</c:v>
                </c:pt>
                <c:pt idx="23">
                  <c:v>3.8839073696202768</c:v>
                </c:pt>
                <c:pt idx="24">
                  <c:v>4.1450763292723929</c:v>
                </c:pt>
                <c:pt idx="25">
                  <c:v>3.9358600172887765</c:v>
                </c:pt>
                <c:pt idx="26">
                  <c:v>3.2650225641396453</c:v>
                </c:pt>
                <c:pt idx="27">
                  <c:v>2.6862730964186547</c:v>
                </c:pt>
              </c:numCache>
            </c:numRef>
          </c:val>
          <c:extLst>
            <c:ext xmlns:c16="http://schemas.microsoft.com/office/drawing/2014/chart" uri="{C3380CC4-5D6E-409C-BE32-E72D297353CC}">
              <c16:uniqueId val="{00000001-ECF4-449A-BF2B-6921FE616A90}"/>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práce-2b'!$A$31</c:f>
              <c:strCache>
                <c:ptCount val="1"/>
                <c:pt idx="0">
                  <c:v>Podíl nezam. déle než 1 rok (pravá osa)</c:v>
                </c:pt>
              </c:strCache>
            </c:strRef>
          </c:tx>
          <c:spPr>
            <a:ln w="15875">
              <a:solidFill>
                <a:srgbClr val="9A4D00"/>
              </a:solidFill>
              <a:prstDash val="sysDash"/>
            </a:ln>
          </c:spPr>
          <c:marker>
            <c:symbol val="none"/>
          </c:marker>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práce-2b'!$B$31:$AD$31</c:f>
              <c:numCache>
                <c:formatCode>0.0</c:formatCode>
                <c:ptCount val="29"/>
                <c:pt idx="0">
                  <c:v>45.762175838077162</c:v>
                </c:pt>
                <c:pt idx="1">
                  <c:v>46.715049656226128</c:v>
                </c:pt>
                <c:pt idx="2">
                  <c:v>48.521400778210108</c:v>
                </c:pt>
                <c:pt idx="3">
                  <c:v>48.542458808618512</c:v>
                </c:pt>
                <c:pt idx="4">
                  <c:v>45.847750865051907</c:v>
                </c:pt>
                <c:pt idx="5">
                  <c:v>43.490701001430608</c:v>
                </c:pt>
                <c:pt idx="6">
                  <c:v>39.295774647887328</c:v>
                </c:pt>
                <c:pt idx="7">
                  <c:v>39.196242171189979</c:v>
                </c:pt>
                <c:pt idx="8">
                  <c:v>37.093275488069416</c:v>
                </c:pt>
                <c:pt idx="9">
                  <c:v>37.366099558916197</c:v>
                </c:pt>
                <c:pt idx="10">
                  <c:v>32.798931195724784</c:v>
                </c:pt>
                <c:pt idx="11">
                  <c:v>31.546231546231553</c:v>
                </c:pt>
                <c:pt idx="12">
                  <c:v>31.741140215716484</c:v>
                </c:pt>
                <c:pt idx="13">
                  <c:v>30.28764805414551</c:v>
                </c:pt>
                <c:pt idx="14">
                  <c:v>28.796223446105422</c:v>
                </c:pt>
                <c:pt idx="15">
                  <c:v>31.317689530685922</c:v>
                </c:pt>
                <c:pt idx="16">
                  <c:v>32.360984503190522</c:v>
                </c:pt>
                <c:pt idx="17">
                  <c:v>32.2265625</c:v>
                </c:pt>
                <c:pt idx="18">
                  <c:v>26.979982593559615</c:v>
                </c:pt>
                <c:pt idx="19">
                  <c:v>28.623853211009177</c:v>
                </c:pt>
                <c:pt idx="20">
                  <c:v>29.4</c:v>
                </c:pt>
                <c:pt idx="21">
                  <c:v>20.823436262866192</c:v>
                </c:pt>
                <c:pt idx="22">
                  <c:v>20.012995451591941</c:v>
                </c:pt>
                <c:pt idx="23">
                  <c:v>21.521335807050093</c:v>
                </c:pt>
                <c:pt idx="24">
                  <c:v>19.387186629526461</c:v>
                </c:pt>
                <c:pt idx="25">
                  <c:v>28.499369482976043</c:v>
                </c:pt>
                <c:pt idx="26">
                  <c:v>28.84615384615385</c:v>
                </c:pt>
                <c:pt idx="27">
                  <c:v>44.632290786136942</c:v>
                </c:pt>
              </c:numCache>
            </c:numRef>
          </c:val>
          <c:smooth val="0"/>
          <c:extLst>
            <c:ext xmlns:c16="http://schemas.microsoft.com/office/drawing/2014/chart" uri="{C3380CC4-5D6E-409C-BE32-E72D297353CC}">
              <c16:uniqueId val="{00000002-ECF4-449A-BF2B-6921FE616A90}"/>
            </c:ext>
          </c:extLst>
        </c:ser>
        <c:ser>
          <c:idx val="3"/>
          <c:order val="3"/>
          <c:tx>
            <c:strRef>
              <c:f>'Trh práce-2b'!$A$32</c:f>
              <c:strCache>
                <c:ptCount val="1"/>
                <c:pt idx="0">
                  <c:v>Podíl osob do 25 let mezi nezam. (pr. osa)</c:v>
                </c:pt>
              </c:strCache>
            </c:strRef>
          </c:tx>
          <c:spPr>
            <a:ln w="15875">
              <a:solidFill>
                <a:srgbClr val="00B050"/>
              </a:solidFill>
              <a:prstDash val="sysDash"/>
            </a:ln>
          </c:spPr>
          <c:marker>
            <c:symbol val="none"/>
          </c:marker>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práce-2b'!$B$32:$AD$32</c:f>
              <c:numCache>
                <c:formatCode>0.0</c:formatCode>
                <c:ptCount val="29"/>
                <c:pt idx="0">
                  <c:v>15.528146742567998</c:v>
                </c:pt>
                <c:pt idx="1">
                  <c:v>15.699006875477464</c:v>
                </c:pt>
                <c:pt idx="2">
                  <c:v>17.548638132295721</c:v>
                </c:pt>
                <c:pt idx="3">
                  <c:v>16.603295310519645</c:v>
                </c:pt>
                <c:pt idx="4">
                  <c:v>13.711072664359861</c:v>
                </c:pt>
                <c:pt idx="5">
                  <c:v>15.450643776824036</c:v>
                </c:pt>
                <c:pt idx="6">
                  <c:v>18.122065727699532</c:v>
                </c:pt>
                <c:pt idx="7">
                  <c:v>18.684759916492691</c:v>
                </c:pt>
                <c:pt idx="8">
                  <c:v>14.75054229934924</c:v>
                </c:pt>
                <c:pt idx="9">
                  <c:v>16.320100819155638</c:v>
                </c:pt>
                <c:pt idx="10">
                  <c:v>18.837675350701407</c:v>
                </c:pt>
                <c:pt idx="11">
                  <c:v>14.996114996114999</c:v>
                </c:pt>
                <c:pt idx="12">
                  <c:v>14.560862865947611</c:v>
                </c:pt>
                <c:pt idx="13">
                  <c:v>17.00507614213198</c:v>
                </c:pt>
                <c:pt idx="14">
                  <c:v>18.09598741148702</c:v>
                </c:pt>
                <c:pt idx="15">
                  <c:v>16.15523465703971</c:v>
                </c:pt>
                <c:pt idx="16">
                  <c:v>14.311759343664537</c:v>
                </c:pt>
                <c:pt idx="17">
                  <c:v>15.52734375</c:v>
                </c:pt>
                <c:pt idx="18">
                  <c:v>15.491731940818102</c:v>
                </c:pt>
                <c:pt idx="19">
                  <c:v>13.761467889908257</c:v>
                </c:pt>
                <c:pt idx="20">
                  <c:v>13.477851083883131</c:v>
                </c:pt>
                <c:pt idx="21">
                  <c:v>14.251781472684085</c:v>
                </c:pt>
                <c:pt idx="22">
                  <c:v>16.829109811565949</c:v>
                </c:pt>
                <c:pt idx="23">
                  <c:v>15.779702970297031</c:v>
                </c:pt>
                <c:pt idx="24">
                  <c:v>14.312267657992564</c:v>
                </c:pt>
                <c:pt idx="25">
                  <c:v>11.368421052631577</c:v>
                </c:pt>
                <c:pt idx="26">
                  <c:v>15.789473684210527</c:v>
                </c:pt>
                <c:pt idx="27">
                  <c:v>16.619718309859159</c:v>
                </c:pt>
              </c:numCache>
            </c:numRef>
          </c:val>
          <c:smooth val="0"/>
          <c:extLst>
            <c:ext xmlns:c16="http://schemas.microsoft.com/office/drawing/2014/chart" uri="{C3380CC4-5D6E-409C-BE32-E72D297353CC}">
              <c16:uniqueId val="{00000003-ECF4-449A-BF2B-6921FE616A90}"/>
            </c:ext>
          </c:extLst>
        </c:ser>
        <c:ser>
          <c:idx val="6"/>
          <c:order val="4"/>
          <c:tx>
            <c:strRef>
              <c:f>'Trh práce-2b'!$A$33</c:f>
              <c:strCache>
                <c:ptCount val="1"/>
                <c:pt idx="0">
                  <c:v>Podíl osob nad 50 let mezi nezam. (pr. osa)</c:v>
                </c:pt>
              </c:strCache>
            </c:strRef>
          </c:tx>
          <c:spPr>
            <a:ln w="15875">
              <a:solidFill>
                <a:srgbClr val="0070C0"/>
              </a:solidFill>
              <a:prstDash val="sysDash"/>
            </a:ln>
          </c:spPr>
          <c:marker>
            <c:symbol val="none"/>
          </c:marker>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práce-2b'!$B$33:$AD$33</c:f>
              <c:numCache>
                <c:formatCode>0.0</c:formatCode>
                <c:ptCount val="29"/>
                <c:pt idx="0">
                  <c:v>23.213156230234031</c:v>
                </c:pt>
                <c:pt idx="1">
                  <c:v>24.140565317035907</c:v>
                </c:pt>
                <c:pt idx="2">
                  <c:v>22.451361867704282</c:v>
                </c:pt>
                <c:pt idx="3">
                  <c:v>23.954372623574148</c:v>
                </c:pt>
                <c:pt idx="4">
                  <c:v>28.157439446366784</c:v>
                </c:pt>
                <c:pt idx="5">
                  <c:v>26.180257510729614</c:v>
                </c:pt>
                <c:pt idx="6">
                  <c:v>22.86384976525822</c:v>
                </c:pt>
                <c:pt idx="7">
                  <c:v>24.947807933194156</c:v>
                </c:pt>
                <c:pt idx="8">
                  <c:v>26.138828633405641</c:v>
                </c:pt>
                <c:pt idx="9">
                  <c:v>24.763705103969755</c:v>
                </c:pt>
                <c:pt idx="10">
                  <c:v>23.380093520374086</c:v>
                </c:pt>
                <c:pt idx="11">
                  <c:v>23.931623931623935</c:v>
                </c:pt>
                <c:pt idx="12">
                  <c:v>25.808936825885976</c:v>
                </c:pt>
                <c:pt idx="13">
                  <c:v>24.957698815566832</c:v>
                </c:pt>
                <c:pt idx="14">
                  <c:v>24.311565696302122</c:v>
                </c:pt>
                <c:pt idx="15">
                  <c:v>23.285198555956679</c:v>
                </c:pt>
                <c:pt idx="16">
                  <c:v>26.253418413855972</c:v>
                </c:pt>
                <c:pt idx="17">
                  <c:v>24.609374999999996</c:v>
                </c:pt>
                <c:pt idx="18">
                  <c:v>26.02262837249782</c:v>
                </c:pt>
                <c:pt idx="19">
                  <c:v>25.596330275229356</c:v>
                </c:pt>
                <c:pt idx="20">
                  <c:v>24.976437323279928</c:v>
                </c:pt>
                <c:pt idx="21">
                  <c:v>21.61520190023753</c:v>
                </c:pt>
                <c:pt idx="22">
                  <c:v>22.157244964262507</c:v>
                </c:pt>
                <c:pt idx="23">
                  <c:v>20.544554455445546</c:v>
                </c:pt>
                <c:pt idx="24">
                  <c:v>23.145566090351366</c:v>
                </c:pt>
                <c:pt idx="25">
                  <c:v>26.166456494325345</c:v>
                </c:pt>
                <c:pt idx="26">
                  <c:v>24.235077455692107</c:v>
                </c:pt>
              </c:numCache>
            </c:numRef>
          </c:val>
          <c:smooth val="0"/>
          <c:extLst>
            <c:ext xmlns:c16="http://schemas.microsoft.com/office/drawing/2014/chart" uri="{C3380CC4-5D6E-409C-BE32-E72D297353CC}">
              <c16:uniqueId val="{00000004-ECF4-449A-BF2B-6921FE616A90}"/>
            </c:ext>
          </c:extLst>
        </c:ser>
        <c:ser>
          <c:idx val="7"/>
          <c:order val="5"/>
          <c:tx>
            <c:strRef>
              <c:f>'Trh práce-2b'!$A$34</c:f>
              <c:strCache>
                <c:ptCount val="1"/>
                <c:pt idx="0">
                  <c:v>Ekon. neaktiv. chtějící pracovat (pr. osa)</c:v>
                </c:pt>
              </c:strCache>
            </c:strRef>
          </c:tx>
          <c:spPr>
            <a:ln w="15875">
              <a:solidFill>
                <a:schemeClr val="accent2">
                  <a:lumMod val="60000"/>
                  <a:lumOff val="40000"/>
                </a:schemeClr>
              </a:solidFill>
              <a:prstDash val="solid"/>
            </a:ln>
          </c:spPr>
          <c:marker>
            <c:symbol val="none"/>
          </c:marker>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práce-2b'!$B$34:$AD$34</c:f>
              <c:numCache>
                <c:formatCode>General</c:formatCode>
                <c:ptCount val="29"/>
                <c:pt idx="0">
                  <c:v>138.5</c:v>
                </c:pt>
                <c:pt idx="1">
                  <c:v>141.4</c:v>
                </c:pt>
                <c:pt idx="2">
                  <c:v>137.1</c:v>
                </c:pt>
                <c:pt idx="3">
                  <c:v>130.4</c:v>
                </c:pt>
                <c:pt idx="4">
                  <c:v>141</c:v>
                </c:pt>
                <c:pt idx="5">
                  <c:v>126.4</c:v>
                </c:pt>
                <c:pt idx="6">
                  <c:v>129.69999999999999</c:v>
                </c:pt>
                <c:pt idx="7">
                  <c:v>127.1</c:v>
                </c:pt>
                <c:pt idx="8" formatCode="0.0">
                  <c:v>133.1</c:v>
                </c:pt>
                <c:pt idx="9" formatCode="0.0">
                  <c:v>120.1</c:v>
                </c:pt>
                <c:pt idx="10" formatCode="0.0">
                  <c:v>121.3</c:v>
                </c:pt>
                <c:pt idx="11" formatCode="0.0">
                  <c:v>119.1</c:v>
                </c:pt>
                <c:pt idx="12" formatCode="0.0">
                  <c:v>113.5</c:v>
                </c:pt>
                <c:pt idx="13" formatCode="0.0">
                  <c:v>108.4</c:v>
                </c:pt>
                <c:pt idx="14" formatCode="0.0">
                  <c:v>110.3</c:v>
                </c:pt>
                <c:pt idx="15" formatCode="0.0">
                  <c:v>101.7</c:v>
                </c:pt>
                <c:pt idx="16" formatCode="0.0">
                  <c:v>104.6</c:v>
                </c:pt>
                <c:pt idx="17" formatCode="0.0">
                  <c:v>104.6</c:v>
                </c:pt>
                <c:pt idx="18" formatCode="0.0">
                  <c:v>97.6</c:v>
                </c:pt>
                <c:pt idx="19" formatCode="0.0">
                  <c:v>99.9</c:v>
                </c:pt>
                <c:pt idx="20" formatCode="0.0">
                  <c:v>93.4</c:v>
                </c:pt>
                <c:pt idx="21" formatCode="0.0">
                  <c:v>109.3</c:v>
                </c:pt>
                <c:pt idx="22" formatCode="0.0">
                  <c:v>98.8</c:v>
                </c:pt>
                <c:pt idx="23" formatCode="0.0">
                  <c:v>95.7</c:v>
                </c:pt>
                <c:pt idx="24" formatCode="0.0">
                  <c:v>108</c:v>
                </c:pt>
                <c:pt idx="25" formatCode="0.0">
                  <c:v>113.5</c:v>
                </c:pt>
                <c:pt idx="26" formatCode="0.0">
                  <c:v>66</c:v>
                </c:pt>
                <c:pt idx="27" formatCode="0.0">
                  <c:v>64.5</c:v>
                </c:pt>
              </c:numCache>
            </c:numRef>
          </c:val>
          <c:smooth val="0"/>
          <c:extLst>
            <c:ext xmlns:c16="http://schemas.microsoft.com/office/drawing/2014/chart" uri="{C3380CC4-5D6E-409C-BE32-E72D297353CC}">
              <c16:uniqueId val="{00000005-ECF4-449A-BF2B-6921FE616A90}"/>
            </c:ext>
          </c:extLst>
        </c:ser>
        <c:ser>
          <c:idx val="4"/>
          <c:order val="6"/>
          <c:tx>
            <c:strRef>
              <c:f>'Trh práce-2b'!$A$35</c:f>
              <c:strCache>
                <c:ptCount val="1"/>
                <c:pt idx="0">
                  <c:v>Očekávání vývoje nezam. (pravá osa)</c:v>
                </c:pt>
              </c:strCache>
            </c:strRef>
          </c:tx>
          <c:spPr>
            <a:ln w="9525">
              <a:solidFill>
                <a:schemeClr val="accent6">
                  <a:lumMod val="75000"/>
                </a:schemeClr>
              </a:solidFill>
              <a:prstDash val="sysDot"/>
            </a:ln>
          </c:spPr>
          <c:marker>
            <c:symbol val="circle"/>
            <c:size val="4"/>
            <c:spPr>
              <a:solidFill>
                <a:schemeClr val="accent6">
                  <a:lumMod val="75000"/>
                </a:schemeClr>
              </a:solidFill>
              <a:ln>
                <a:noFill/>
              </a:ln>
            </c:spPr>
          </c:marker>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práce-2b'!$B$35:$AD$35</c:f>
              <c:numCache>
                <c:formatCode>#\ ##0.0</c:formatCode>
                <c:ptCount val="29"/>
                <c:pt idx="0">
                  <c:v>12.2</c:v>
                </c:pt>
                <c:pt idx="1">
                  <c:v>7.3</c:v>
                </c:pt>
                <c:pt idx="2">
                  <c:v>12.3</c:v>
                </c:pt>
                <c:pt idx="3">
                  <c:v>4.9000000000000004</c:v>
                </c:pt>
                <c:pt idx="4">
                  <c:v>1.1000000000000001</c:v>
                </c:pt>
                <c:pt idx="5">
                  <c:v>8.5</c:v>
                </c:pt>
                <c:pt idx="6">
                  <c:v>7</c:v>
                </c:pt>
                <c:pt idx="7">
                  <c:v>3.6</c:v>
                </c:pt>
                <c:pt idx="8">
                  <c:v>-1.6</c:v>
                </c:pt>
                <c:pt idx="9">
                  <c:v>-4.0999999999999996</c:v>
                </c:pt>
                <c:pt idx="10">
                  <c:v>3.5</c:v>
                </c:pt>
                <c:pt idx="11">
                  <c:v>-0.2</c:v>
                </c:pt>
                <c:pt idx="12">
                  <c:v>-2.8</c:v>
                </c:pt>
                <c:pt idx="13">
                  <c:v>-3.4</c:v>
                </c:pt>
                <c:pt idx="14">
                  <c:v>1.7</c:v>
                </c:pt>
                <c:pt idx="15">
                  <c:v>5.5</c:v>
                </c:pt>
                <c:pt idx="16">
                  <c:v>6</c:v>
                </c:pt>
                <c:pt idx="17">
                  <c:v>6.8</c:v>
                </c:pt>
                <c:pt idx="18">
                  <c:v>13.9</c:v>
                </c:pt>
                <c:pt idx="19">
                  <c:v>12.8</c:v>
                </c:pt>
                <c:pt idx="20">
                  <c:v>16.2</c:v>
                </c:pt>
                <c:pt idx="21">
                  <c:v>48.6</c:v>
                </c:pt>
                <c:pt idx="22">
                  <c:v>46.7</c:v>
                </c:pt>
                <c:pt idx="23">
                  <c:v>59.5</c:v>
                </c:pt>
                <c:pt idx="24">
                  <c:v>51.5</c:v>
                </c:pt>
                <c:pt idx="25">
                  <c:v>17.8</c:v>
                </c:pt>
                <c:pt idx="26">
                  <c:v>14.2</c:v>
                </c:pt>
                <c:pt idx="27">
                  <c:v>24.8</c:v>
                </c:pt>
                <c:pt idx="28">
                  <c:v>15.5</c:v>
                </c:pt>
              </c:numCache>
            </c:numRef>
          </c:val>
          <c:smooth val="0"/>
          <c:extLst>
            <c:ext xmlns:c16="http://schemas.microsoft.com/office/drawing/2014/chart" uri="{C3380CC4-5D6E-409C-BE32-E72D297353CC}">
              <c16:uniqueId val="{00000006-ECF4-449A-BF2B-6921FE616A90}"/>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Míra nezaměstnanosti</a:t>
                </a:r>
              </a:p>
            </c:rich>
          </c:tx>
          <c:overlay val="0"/>
        </c:title>
        <c:numFmt formatCode="0.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42"/>
          <c:min val="-10"/>
        </c:scaling>
        <c:delete val="0"/>
        <c:axPos val="r"/>
        <c:title>
          <c:tx>
            <c:rich>
              <a:bodyPr/>
              <a:lstStyle/>
              <a:p>
                <a:pPr>
                  <a:defRPr sz="700" b="0" i="1"/>
                </a:pPr>
                <a:r>
                  <a:rPr lang="cs-CZ" sz="700" b="0" i="1"/>
                  <a:t>Ekon. neaktivní, vybr. skupiny nezam., očekávání nezam.</a:t>
                </a:r>
              </a:p>
            </c:rich>
          </c:tx>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1.0685740573357293E-2"/>
          <c:y val="0.85929280045351475"/>
          <c:w val="0.98428486364480727"/>
          <c:h val="0.13700935374149659"/>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Průměrná mzda celkem (reálně)</c:v>
                </c:pt>
              </c:strCache>
            </c:strRef>
          </c:tx>
          <c:spPr>
            <a:solidFill>
              <a:srgbClr val="C5C5C5"/>
            </a:solidFill>
            <a:ln w="19050">
              <a:noFill/>
            </a:ln>
          </c:spPr>
          <c:invertIfNegative val="0"/>
          <c:cat>
            <c:multiLvlStrRef>
              <c:f>'Trh práce 3'!$A$29:$B$56</c:f>
              <c:multiLvlStrCache>
                <c:ptCount val="2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lvl>
                <c:lvl>
                  <c:pt idx="0">
                    <c:v>2015</c:v>
                  </c:pt>
                  <c:pt idx="4">
                    <c:v>2016</c:v>
                  </c:pt>
                  <c:pt idx="8">
                    <c:v>2017</c:v>
                  </c:pt>
                  <c:pt idx="12">
                    <c:v>2018</c:v>
                  </c:pt>
                  <c:pt idx="16">
                    <c:v>2019</c:v>
                  </c:pt>
                  <c:pt idx="20">
                    <c:v>2020</c:v>
                  </c:pt>
                  <c:pt idx="24">
                    <c:v>2021</c:v>
                  </c:pt>
                </c:lvl>
              </c:multiLvlStrCache>
            </c:multiLvlStrRef>
          </c:cat>
          <c:val>
            <c:numRef>
              <c:f>'Trh práce 3'!$D$29:$D$56</c:f>
              <c:numCache>
                <c:formatCode>#\ ##0.0</c:formatCode>
                <c:ptCount val="28"/>
                <c:pt idx="0">
                  <c:v>2.2000000000000028</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4.9000000000000057</c:v>
                </c:pt>
                <c:pt idx="10">
                  <c:v>4.0999999999999943</c:v>
                </c:pt>
                <c:pt idx="11">
                  <c:v>5.0999999999999943</c:v>
                </c:pt>
                <c:pt idx="12">
                  <c:v>6.5</c:v>
                </c:pt>
                <c:pt idx="13">
                  <c:v>6.2999999999999972</c:v>
                </c:pt>
                <c:pt idx="14">
                  <c:v>5.9000000000000057</c:v>
                </c:pt>
                <c:pt idx="15">
                  <c:v>4.9000000000000057</c:v>
                </c:pt>
                <c:pt idx="16">
                  <c:v>5.5</c:v>
                </c:pt>
                <c:pt idx="17">
                  <c:v>5.0999999999999943</c:v>
                </c:pt>
                <c:pt idx="18">
                  <c:v>4.7999999999999972</c:v>
                </c:pt>
                <c:pt idx="19">
                  <c:v>4.5</c:v>
                </c:pt>
                <c:pt idx="20">
                  <c:v>0.20000000000000284</c:v>
                </c:pt>
                <c:pt idx="21">
                  <c:v>-3.5999999999999943</c:v>
                </c:pt>
                <c:pt idx="22">
                  <c:v>0.70000000000000284</c:v>
                </c:pt>
                <c:pt idx="23">
                  <c:v>2.5999999999999943</c:v>
                </c:pt>
                <c:pt idx="24">
                  <c:v>1.2000000000000028</c:v>
                </c:pt>
                <c:pt idx="25">
                  <c:v>8.4000000000000057</c:v>
                </c:pt>
                <c:pt idx="26">
                  <c:v>1.5</c:v>
                </c:pt>
                <c:pt idx="27">
                  <c:v>-2</c:v>
                </c:pt>
              </c:numCache>
            </c:numRef>
          </c:val>
          <c:extLst>
            <c:ext xmlns:c16="http://schemas.microsoft.com/office/drawing/2014/chart" uri="{C3380CC4-5D6E-409C-BE32-E72D297353CC}">
              <c16:uniqueId val="{00000000-273D-41FA-8F44-B5A985D68A11}"/>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prstDash val="sysDash"/>
            </a:ln>
          </c:spPr>
          <c:marker>
            <c:symbol val="none"/>
          </c:marker>
          <c:cat>
            <c:multiLvlStrRef>
              <c:f>'Trh práce 3'!$A$29:$B$56</c:f>
              <c:multiLvlStrCache>
                <c:ptCount val="2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lvl>
                <c:lvl>
                  <c:pt idx="0">
                    <c:v>2015</c:v>
                  </c:pt>
                  <c:pt idx="4">
                    <c:v>2016</c:v>
                  </c:pt>
                  <c:pt idx="8">
                    <c:v>2017</c:v>
                  </c:pt>
                  <c:pt idx="12">
                    <c:v>2018</c:v>
                  </c:pt>
                  <c:pt idx="16">
                    <c:v>2019</c:v>
                  </c:pt>
                  <c:pt idx="20">
                    <c:v>2020</c:v>
                  </c:pt>
                  <c:pt idx="24">
                    <c:v>2021</c:v>
                  </c:pt>
                </c:lvl>
              </c:multiLvlStrCache>
            </c:multiLvlStrRef>
          </c:cat>
          <c:val>
            <c:numRef>
              <c:f>'Trh práce 3'!$C$29:$C$56</c:f>
              <c:numCache>
                <c:formatCode>0.0</c:formatCode>
                <c:ptCount val="28"/>
                <c:pt idx="0">
                  <c:v>2.2999999999999972</c:v>
                </c:pt>
                <c:pt idx="1">
                  <c:v>3.2999999999999972</c:v>
                </c:pt>
                <c:pt idx="2">
                  <c:v>3.5</c:v>
                </c:pt>
                <c:pt idx="3">
                  <c:v>3.7000000000000028</c:v>
                </c:pt>
                <c:pt idx="4">
                  <c:v>4.7000000000000028</c:v>
                </c:pt>
                <c:pt idx="5">
                  <c:v>4</c:v>
                </c:pt>
                <c:pt idx="6">
                  <c:v>4.7000000000000028</c:v>
                </c:pt>
                <c:pt idx="7">
                  <c:v>4.4000000000000057</c:v>
                </c:pt>
                <c:pt idx="8">
                  <c:v>5.0999999999999943</c:v>
                </c:pt>
                <c:pt idx="9">
                  <c:v>7.2000000000000028</c:v>
                </c:pt>
                <c:pt idx="10">
                  <c:v>6.7000000000000028</c:v>
                </c:pt>
                <c:pt idx="11">
                  <c:v>7.7999999999999972</c:v>
                </c:pt>
                <c:pt idx="12">
                  <c:v>8.5</c:v>
                </c:pt>
                <c:pt idx="13">
                  <c:v>8.7000000000000028</c:v>
                </c:pt>
                <c:pt idx="14">
                  <c:v>8.4000000000000057</c:v>
                </c:pt>
                <c:pt idx="15">
                  <c:v>7.0999999999999943</c:v>
                </c:pt>
                <c:pt idx="16">
                  <c:v>8.2999999999999972</c:v>
                </c:pt>
                <c:pt idx="17">
                  <c:v>8</c:v>
                </c:pt>
                <c:pt idx="18">
                  <c:v>7.7000000000000028</c:v>
                </c:pt>
                <c:pt idx="19">
                  <c:v>7.5999999999999943</c:v>
                </c:pt>
                <c:pt idx="20">
                  <c:v>3.7999999999999972</c:v>
                </c:pt>
                <c:pt idx="21">
                  <c:v>-0.59999999999999432</c:v>
                </c:pt>
                <c:pt idx="22">
                  <c:v>4</c:v>
                </c:pt>
                <c:pt idx="23">
                  <c:v>5.2999999999999972</c:v>
                </c:pt>
                <c:pt idx="24">
                  <c:v>3.4000000000000057</c:v>
                </c:pt>
                <c:pt idx="25">
                  <c:v>11.5</c:v>
                </c:pt>
                <c:pt idx="26">
                  <c:v>5.7000000000000028</c:v>
                </c:pt>
                <c:pt idx="27">
                  <c:v>4</c:v>
                </c:pt>
              </c:numCache>
            </c:numRef>
          </c:val>
          <c:smooth val="0"/>
          <c:extLst>
            <c:ext xmlns:c16="http://schemas.microsoft.com/office/drawing/2014/chart" uri="{C3380CC4-5D6E-409C-BE32-E72D297353CC}">
              <c16:uniqueId val="{00000001-273D-41FA-8F44-B5A985D68A11}"/>
            </c:ext>
          </c:extLst>
        </c:ser>
        <c:ser>
          <c:idx val="5"/>
          <c:order val="2"/>
          <c:tx>
            <c:strRef>
              <c:f>'Trh práce 3'!$E$8</c:f>
              <c:strCache>
                <c:ptCount val="1"/>
                <c:pt idx="0">
                  <c:v>Prům. mzda v průmyslu (nominálně)</c:v>
                </c:pt>
              </c:strCache>
            </c:strRef>
          </c:tx>
          <c:spPr>
            <a:ln w="9525">
              <a:solidFill>
                <a:srgbClr val="C00000"/>
              </a:solidFill>
              <a:prstDash val="solid"/>
            </a:ln>
          </c:spPr>
          <c:marker>
            <c:symbol val="none"/>
          </c:marker>
          <c:cat>
            <c:multiLvlStrRef>
              <c:f>'Trh práce 3'!$A$29:$B$56</c:f>
              <c:multiLvlStrCache>
                <c:ptCount val="2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lvl>
                <c:lvl>
                  <c:pt idx="0">
                    <c:v>2015</c:v>
                  </c:pt>
                  <c:pt idx="4">
                    <c:v>2016</c:v>
                  </c:pt>
                  <c:pt idx="8">
                    <c:v>2017</c:v>
                  </c:pt>
                  <c:pt idx="12">
                    <c:v>2018</c:v>
                  </c:pt>
                  <c:pt idx="16">
                    <c:v>2019</c:v>
                  </c:pt>
                  <c:pt idx="20">
                    <c:v>2020</c:v>
                  </c:pt>
                  <c:pt idx="24">
                    <c:v>2021</c:v>
                  </c:pt>
                </c:lvl>
              </c:multiLvlStrCache>
            </c:multiLvlStrRef>
          </c:cat>
          <c:val>
            <c:numRef>
              <c:f>'Trh práce 3'!$E$29:$E$56</c:f>
              <c:numCache>
                <c:formatCode>0.0</c:formatCode>
                <c:ptCount val="28"/>
                <c:pt idx="0">
                  <c:v>1.6381118189372046</c:v>
                </c:pt>
                <c:pt idx="1">
                  <c:v>2.6920877025738719</c:v>
                </c:pt>
                <c:pt idx="2">
                  <c:v>3.010059729644766</c:v>
                </c:pt>
                <c:pt idx="3">
                  <c:v>2.9788308269320822</c:v>
                </c:pt>
                <c:pt idx="4">
                  <c:v>4.6482656596722052</c:v>
                </c:pt>
                <c:pt idx="5">
                  <c:v>3.9508373250157831</c:v>
                </c:pt>
                <c:pt idx="6">
                  <c:v>4.6540016784924205</c:v>
                </c:pt>
                <c:pt idx="7">
                  <c:v>3.8977412011906836</c:v>
                </c:pt>
                <c:pt idx="8">
                  <c:v>5.1746586808526445</c:v>
                </c:pt>
                <c:pt idx="9">
                  <c:v>8.0728701553848907</c:v>
                </c:pt>
                <c:pt idx="10">
                  <c:v>6.8272945979441602</c:v>
                </c:pt>
                <c:pt idx="11">
                  <c:v>7.0884454631252538</c:v>
                </c:pt>
                <c:pt idx="12">
                  <c:v>7.9018109790605564</c:v>
                </c:pt>
                <c:pt idx="13">
                  <c:v>8.1936869938853221</c:v>
                </c:pt>
                <c:pt idx="14">
                  <c:v>7.3566042242467802</c:v>
                </c:pt>
                <c:pt idx="15">
                  <c:v>7.6170092222467076</c:v>
                </c:pt>
                <c:pt idx="16">
                  <c:v>7.1985838851373387</c:v>
                </c:pt>
                <c:pt idx="17">
                  <c:v>7.0904869554591556</c:v>
                </c:pt>
                <c:pt idx="18">
                  <c:v>6.753964974732213</c:v>
                </c:pt>
                <c:pt idx="19">
                  <c:v>5.6242870930946793</c:v>
                </c:pt>
                <c:pt idx="20">
                  <c:v>3.2413919637942712</c:v>
                </c:pt>
                <c:pt idx="21">
                  <c:v>-4.9579232634431634</c:v>
                </c:pt>
                <c:pt idx="22">
                  <c:v>1.4528998451827988</c:v>
                </c:pt>
                <c:pt idx="23">
                  <c:v>2.5087223791327489</c:v>
                </c:pt>
                <c:pt idx="24">
                  <c:v>2.3754516912505039</c:v>
                </c:pt>
                <c:pt idx="25">
                  <c:v>10.745265179938173</c:v>
                </c:pt>
                <c:pt idx="26">
                  <c:v>5.2999178307313173</c:v>
                </c:pt>
                <c:pt idx="27">
                  <c:v>4.1545110750945469</c:v>
                </c:pt>
              </c:numCache>
            </c:numRef>
          </c:val>
          <c:smooth val="0"/>
          <c:extLst>
            <c:ext xmlns:c16="http://schemas.microsoft.com/office/drawing/2014/chart" uri="{C3380CC4-5D6E-409C-BE32-E72D297353CC}">
              <c16:uniqueId val="{00000002-273D-41FA-8F44-B5A985D68A11}"/>
            </c:ext>
          </c:extLst>
        </c:ser>
        <c:ser>
          <c:idx val="1"/>
          <c:order val="3"/>
          <c:tx>
            <c:strRef>
              <c:f>'Trh práce 3'!$F$8</c:f>
              <c:strCache>
                <c:ptCount val="1"/>
                <c:pt idx="0">
                  <c:v>Prům. mzda v obchodu (nominálně)</c:v>
                </c:pt>
              </c:strCache>
            </c:strRef>
          </c:tx>
          <c:spPr>
            <a:ln w="9525">
              <a:solidFill>
                <a:srgbClr val="0070C0"/>
              </a:solidFill>
              <a:prstDash val="solid"/>
            </a:ln>
          </c:spPr>
          <c:marker>
            <c:symbol val="none"/>
          </c:marker>
          <c:cat>
            <c:multiLvlStrRef>
              <c:f>'Trh práce 3'!$A$29:$B$56</c:f>
              <c:multiLvlStrCache>
                <c:ptCount val="2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lvl>
                <c:lvl>
                  <c:pt idx="0">
                    <c:v>2015</c:v>
                  </c:pt>
                  <c:pt idx="4">
                    <c:v>2016</c:v>
                  </c:pt>
                  <c:pt idx="8">
                    <c:v>2017</c:v>
                  </c:pt>
                  <c:pt idx="12">
                    <c:v>2018</c:v>
                  </c:pt>
                  <c:pt idx="16">
                    <c:v>2019</c:v>
                  </c:pt>
                  <c:pt idx="20">
                    <c:v>2020</c:v>
                  </c:pt>
                  <c:pt idx="24">
                    <c:v>2021</c:v>
                  </c:pt>
                </c:lvl>
              </c:multiLvlStrCache>
            </c:multiLvlStrRef>
          </c:cat>
          <c:val>
            <c:numRef>
              <c:f>'Trh práce 3'!$F$29:$F$56</c:f>
              <c:numCache>
                <c:formatCode>0.0</c:formatCode>
                <c:ptCount val="28"/>
                <c:pt idx="0">
                  <c:v>3.1055099144049194</c:v>
                </c:pt>
                <c:pt idx="1">
                  <c:v>3.9141414141414117</c:v>
                </c:pt>
                <c:pt idx="2">
                  <c:v>3.949146815340427</c:v>
                </c:pt>
                <c:pt idx="3">
                  <c:v>5.7916298497871423</c:v>
                </c:pt>
                <c:pt idx="4">
                  <c:v>5.6443202202661524</c:v>
                </c:pt>
                <c:pt idx="5">
                  <c:v>3.9570676387201189</c:v>
                </c:pt>
                <c:pt idx="6">
                  <c:v>4.9977652269310511</c:v>
                </c:pt>
                <c:pt idx="7">
                  <c:v>4.4950645406226215</c:v>
                </c:pt>
                <c:pt idx="8">
                  <c:v>5.6231243089559229</c:v>
                </c:pt>
                <c:pt idx="9">
                  <c:v>7.9284684614485457</c:v>
                </c:pt>
                <c:pt idx="10">
                  <c:v>7.693200727526019</c:v>
                </c:pt>
                <c:pt idx="11">
                  <c:v>8.3926754832146457</c:v>
                </c:pt>
                <c:pt idx="12">
                  <c:v>7.2416629280693883</c:v>
                </c:pt>
                <c:pt idx="13">
                  <c:v>7.0392029456356937</c:v>
                </c:pt>
                <c:pt idx="14">
                  <c:v>6.8381903769449082</c:v>
                </c:pt>
                <c:pt idx="15">
                  <c:v>6.6970570490044992</c:v>
                </c:pt>
                <c:pt idx="16">
                  <c:v>9.5345999651385682</c:v>
                </c:pt>
                <c:pt idx="17">
                  <c:v>7.4227708080399282</c:v>
                </c:pt>
                <c:pt idx="18">
                  <c:v>8.1629221041302316</c:v>
                </c:pt>
                <c:pt idx="19">
                  <c:v>6.3018346318170444</c:v>
                </c:pt>
                <c:pt idx="20">
                  <c:v>3.0935709739019757</c:v>
                </c:pt>
                <c:pt idx="21">
                  <c:v>-2.0939942862524816</c:v>
                </c:pt>
                <c:pt idx="22">
                  <c:v>1.6200752510961109</c:v>
                </c:pt>
                <c:pt idx="23">
                  <c:v>-0.64424611383651609</c:v>
                </c:pt>
                <c:pt idx="24">
                  <c:v>2.0622375895282801</c:v>
                </c:pt>
                <c:pt idx="25">
                  <c:v>9.4786121977810609</c:v>
                </c:pt>
                <c:pt idx="26">
                  <c:v>6.6003671970624254</c:v>
                </c:pt>
                <c:pt idx="27">
                  <c:v>8.9351576442593625</c:v>
                </c:pt>
              </c:numCache>
            </c:numRef>
          </c:val>
          <c:smooth val="0"/>
          <c:extLst>
            <c:ext xmlns:c16="http://schemas.microsoft.com/office/drawing/2014/chart" uri="{C3380CC4-5D6E-409C-BE32-E72D297353CC}">
              <c16:uniqueId val="{00000003-273D-41FA-8F44-B5A985D68A11}"/>
            </c:ext>
          </c:extLst>
        </c:ser>
        <c:ser>
          <c:idx val="2"/>
          <c:order val="4"/>
          <c:tx>
            <c:strRef>
              <c:f>'Trh práce 3'!$G$8</c:f>
              <c:strCache>
                <c:ptCount val="1"/>
                <c:pt idx="0">
                  <c:v>Prům. mzda ve veř. službách (nominálně)*</c:v>
                </c:pt>
              </c:strCache>
            </c:strRef>
          </c:tx>
          <c:spPr>
            <a:ln w="9525">
              <a:solidFill>
                <a:srgbClr val="00B050"/>
              </a:solidFill>
              <a:prstDash val="solid"/>
            </a:ln>
          </c:spPr>
          <c:marker>
            <c:symbol val="none"/>
          </c:marker>
          <c:cat>
            <c:multiLvlStrRef>
              <c:f>'Trh práce 3'!$A$29:$B$56</c:f>
              <c:multiLvlStrCache>
                <c:ptCount val="2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lvl>
                <c:lvl>
                  <c:pt idx="0">
                    <c:v>2015</c:v>
                  </c:pt>
                  <c:pt idx="4">
                    <c:v>2016</c:v>
                  </c:pt>
                  <c:pt idx="8">
                    <c:v>2017</c:v>
                  </c:pt>
                  <c:pt idx="12">
                    <c:v>2018</c:v>
                  </c:pt>
                  <c:pt idx="16">
                    <c:v>2019</c:v>
                  </c:pt>
                  <c:pt idx="20">
                    <c:v>2020</c:v>
                  </c:pt>
                  <c:pt idx="24">
                    <c:v>2021</c:v>
                  </c:pt>
                </c:lvl>
              </c:multiLvlStrCache>
            </c:multiLvlStrRef>
          </c:cat>
          <c:val>
            <c:numRef>
              <c:f>'Trh práce 3'!$G$29:$G$56</c:f>
              <c:numCache>
                <c:formatCode>0.0</c:formatCode>
                <c:ptCount val="28"/>
                <c:pt idx="0">
                  <c:v>3.2925091204842687</c:v>
                </c:pt>
                <c:pt idx="1">
                  <c:v>4.3135889286729565</c:v>
                </c:pt>
                <c:pt idx="2">
                  <c:v>3.8145419077079765</c:v>
                </c:pt>
                <c:pt idx="3">
                  <c:v>3.6381766938736746</c:v>
                </c:pt>
                <c:pt idx="4">
                  <c:v>4.64178325585614</c:v>
                </c:pt>
                <c:pt idx="5">
                  <c:v>3.8061258933532116</c:v>
                </c:pt>
                <c:pt idx="6">
                  <c:v>4.8526374704253925</c:v>
                </c:pt>
                <c:pt idx="7">
                  <c:v>6.1351981806606233</c:v>
                </c:pt>
                <c:pt idx="8">
                  <c:v>5.4566112929362163</c:v>
                </c:pt>
                <c:pt idx="9">
                  <c:v>7.3192456135909225</c:v>
                </c:pt>
                <c:pt idx="10">
                  <c:v>7.9981713137873953</c:v>
                </c:pt>
                <c:pt idx="11">
                  <c:v>10.484072576559427</c:v>
                </c:pt>
                <c:pt idx="12">
                  <c:v>12.179699393983398</c:v>
                </c:pt>
                <c:pt idx="13">
                  <c:v>11.89217733254111</c:v>
                </c:pt>
                <c:pt idx="14">
                  <c:v>11.361326321628667</c:v>
                </c:pt>
                <c:pt idx="15">
                  <c:v>6.1282038917470629</c:v>
                </c:pt>
                <c:pt idx="16">
                  <c:v>9.4162908795776019</c:v>
                </c:pt>
                <c:pt idx="17">
                  <c:v>9.3022383570098555</c:v>
                </c:pt>
                <c:pt idx="18">
                  <c:v>8.3925247282538464</c:v>
                </c:pt>
                <c:pt idx="19">
                  <c:v>11.041060141001239</c:v>
                </c:pt>
                <c:pt idx="20">
                  <c:v>4.0761706440969334</c:v>
                </c:pt>
                <c:pt idx="21">
                  <c:v>3.8609569062914204</c:v>
                </c:pt>
                <c:pt idx="22">
                  <c:v>7.6176258951069542</c:v>
                </c:pt>
                <c:pt idx="23">
                  <c:v>12.682983973452551</c:v>
                </c:pt>
                <c:pt idx="24">
                  <c:v>4.9818798199971184</c:v>
                </c:pt>
                <c:pt idx="25">
                  <c:v>17.938700198321527</c:v>
                </c:pt>
                <c:pt idx="26">
                  <c:v>5.6419466663737268</c:v>
                </c:pt>
                <c:pt idx="27">
                  <c:v>-0.14867678635997095</c:v>
                </c:pt>
              </c:numCache>
            </c:numRef>
          </c:val>
          <c:smooth val="0"/>
          <c:extLst>
            <c:ext xmlns:c16="http://schemas.microsoft.com/office/drawing/2014/chart" uri="{C3380CC4-5D6E-409C-BE32-E72D297353CC}">
              <c16:uniqueId val="{00000004-273D-41FA-8F44-B5A985D68A11}"/>
            </c:ext>
          </c:extLst>
        </c:ser>
        <c:ser>
          <c:idx val="3"/>
          <c:order val="5"/>
          <c:tx>
            <c:strRef>
              <c:f>'Trh práce 3'!$H$8</c:f>
              <c:strCache>
                <c:ptCount val="1"/>
                <c:pt idx="0">
                  <c:v>Mediánová mzda celkem (nominálně)</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3'!$A$29:$B$56</c:f>
              <c:multiLvlStrCache>
                <c:ptCount val="2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lvl>
                <c:lvl>
                  <c:pt idx="0">
                    <c:v>2015</c:v>
                  </c:pt>
                  <c:pt idx="4">
                    <c:v>2016</c:v>
                  </c:pt>
                  <c:pt idx="8">
                    <c:v>2017</c:v>
                  </c:pt>
                  <c:pt idx="12">
                    <c:v>2018</c:v>
                  </c:pt>
                  <c:pt idx="16">
                    <c:v>2019</c:v>
                  </c:pt>
                  <c:pt idx="20">
                    <c:v>2020</c:v>
                  </c:pt>
                  <c:pt idx="24">
                    <c:v>2021</c:v>
                  </c:pt>
                </c:lvl>
              </c:multiLvlStrCache>
            </c:multiLvlStrRef>
          </c:cat>
          <c:val>
            <c:numRef>
              <c:f>'Trh práce 3'!$H$29:$H$56</c:f>
              <c:numCache>
                <c:formatCode>0.0</c:formatCode>
                <c:ptCount val="28"/>
                <c:pt idx="0">
                  <c:v>0.70000000000000284</c:v>
                </c:pt>
                <c:pt idx="1">
                  <c:v>2.2999999999999972</c:v>
                </c:pt>
                <c:pt idx="2">
                  <c:v>3.7999999999999972</c:v>
                </c:pt>
                <c:pt idx="3">
                  <c:v>4.7000000000000028</c:v>
                </c:pt>
                <c:pt idx="4">
                  <c:v>6.7000000000000028</c:v>
                </c:pt>
                <c:pt idx="5">
                  <c:v>4.5999999999999943</c:v>
                </c:pt>
                <c:pt idx="6">
                  <c:v>5.2999999999999972</c:v>
                </c:pt>
                <c:pt idx="7">
                  <c:v>6.2000000000000028</c:v>
                </c:pt>
                <c:pt idx="8">
                  <c:v>4.9000000000000057</c:v>
                </c:pt>
                <c:pt idx="9">
                  <c:v>7.7000000000000028</c:v>
                </c:pt>
                <c:pt idx="10">
                  <c:v>7</c:v>
                </c:pt>
                <c:pt idx="11">
                  <c:v>8.9000000000000057</c:v>
                </c:pt>
                <c:pt idx="12">
                  <c:v>8.7000000000000028</c:v>
                </c:pt>
                <c:pt idx="13">
                  <c:v>9.7000000000000028</c:v>
                </c:pt>
                <c:pt idx="14">
                  <c:v>9.2999999999999972</c:v>
                </c:pt>
                <c:pt idx="15">
                  <c:v>6.7000000000000028</c:v>
                </c:pt>
                <c:pt idx="16">
                  <c:v>7.2000000000000028</c:v>
                </c:pt>
                <c:pt idx="17">
                  <c:v>6.4000000000000057</c:v>
                </c:pt>
                <c:pt idx="18">
                  <c:v>7.2999999999999972</c:v>
                </c:pt>
                <c:pt idx="19">
                  <c:v>6.4000000000000057</c:v>
                </c:pt>
                <c:pt idx="20">
                  <c:v>4.9000000000000057</c:v>
                </c:pt>
                <c:pt idx="21">
                  <c:v>-0.40000000000000568</c:v>
                </c:pt>
                <c:pt idx="22">
                  <c:v>5</c:v>
                </c:pt>
                <c:pt idx="23">
                  <c:v>5.2000000000000028</c:v>
                </c:pt>
                <c:pt idx="24">
                  <c:v>3</c:v>
                </c:pt>
                <c:pt idx="25">
                  <c:v>11.799999999999997</c:v>
                </c:pt>
                <c:pt idx="26">
                  <c:v>5.7000000000000028</c:v>
                </c:pt>
                <c:pt idx="27">
                  <c:v>4.9000000000000057</c:v>
                </c:pt>
              </c:numCache>
            </c:numRef>
          </c:val>
          <c:smooth val="0"/>
          <c:extLst>
            <c:ext xmlns:c16="http://schemas.microsoft.com/office/drawing/2014/chart" uri="{C3380CC4-5D6E-409C-BE32-E72D297353CC}">
              <c16:uniqueId val="{00000005-273D-41FA-8F44-B5A985D68A11}"/>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8"/>
          <c:min val="-6"/>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2"/>
      </c:valAx>
      <c:spPr>
        <a:ln>
          <a:solidFill>
            <a:schemeClr val="tx1"/>
          </a:solidFill>
        </a:ln>
      </c:spPr>
    </c:plotArea>
    <c:legend>
      <c:legendPos val="b"/>
      <c:layout>
        <c:manualLayout>
          <c:xMode val="edge"/>
          <c:yMode val="edge"/>
          <c:x val="9.1291858669558714E-3"/>
          <c:y val="0.87578174603174608"/>
          <c:w val="0.9774444484255399"/>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581433637284705E-2"/>
          <c:y val="2.1711264016309892E-2"/>
          <c:w val="0.93508633063154345"/>
          <c:h val="0.73130361364405005"/>
        </c:manualLayout>
      </c:layout>
      <c:barChart>
        <c:barDir val="col"/>
        <c:grouping val="clustered"/>
        <c:varyColors val="0"/>
        <c:ser>
          <c:idx val="0"/>
          <c:order val="0"/>
          <c:tx>
            <c:strRef>
              <c:f>'Měnové podmínky 1'!$C$5</c:f>
              <c:strCache>
                <c:ptCount val="1"/>
                <c:pt idx="0">
                  <c:v>2T repo sazba</c:v>
                </c:pt>
              </c:strCache>
            </c:strRef>
          </c:tx>
          <c:spPr>
            <a:solidFill>
              <a:schemeClr val="bg1">
                <a:lumMod val="65000"/>
              </a:schemeClr>
            </a:solidFill>
          </c:spPr>
          <c:invertIfNegative val="0"/>
          <c:cat>
            <c:multiLvlStrRef>
              <c:f>'Měnové podmínky 1'!$A$54:$B$125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'Měnové podmínky 1'!$C$54:$C$125</c:f>
              <c:numCache>
                <c:formatCode>General</c:formatCode>
                <c:ptCount val="72"/>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0.25</c:v>
                </c:pt>
                <c:pt idx="20">
                  <c:v>0.25</c:v>
                </c:pt>
                <c:pt idx="21">
                  <c:v>0.25</c:v>
                </c:pt>
                <c:pt idx="22">
                  <c:v>0.5</c:v>
                </c:pt>
                <c:pt idx="23">
                  <c:v>0.5</c:v>
                </c:pt>
                <c:pt idx="24">
                  <c:v>0.5</c:v>
                </c:pt>
                <c:pt idx="25">
                  <c:v>0.75</c:v>
                </c:pt>
                <c:pt idx="26">
                  <c:v>0.75</c:v>
                </c:pt>
                <c:pt idx="27">
                  <c:v>0.75</c:v>
                </c:pt>
                <c:pt idx="28">
                  <c:v>0.75</c:v>
                </c:pt>
                <c:pt idx="29">
                  <c:v>1</c:v>
                </c:pt>
                <c:pt idx="30">
                  <c:v>1</c:v>
                </c:pt>
                <c:pt idx="31">
                  <c:v>1.25</c:v>
                </c:pt>
                <c:pt idx="32">
                  <c:v>1.5</c:v>
                </c:pt>
                <c:pt idx="33">
                  <c:v>1.5</c:v>
                </c:pt>
                <c:pt idx="34">
                  <c:v>1.75</c:v>
                </c:pt>
                <c:pt idx="35">
                  <c:v>1.75</c:v>
                </c:pt>
                <c:pt idx="36">
                  <c:v>1.75</c:v>
                </c:pt>
                <c:pt idx="37">
                  <c:v>1.75</c:v>
                </c:pt>
                <c:pt idx="38">
                  <c:v>1.75</c:v>
                </c:pt>
                <c:pt idx="39">
                  <c:v>1.75</c:v>
                </c:pt>
                <c:pt idx="40">
                  <c:v>2</c:v>
                </c:pt>
                <c:pt idx="41">
                  <c:v>2</c:v>
                </c:pt>
                <c:pt idx="42">
                  <c:v>2</c:v>
                </c:pt>
                <c:pt idx="43">
                  <c:v>2</c:v>
                </c:pt>
                <c:pt idx="44">
                  <c:v>2</c:v>
                </c:pt>
                <c:pt idx="45">
                  <c:v>2</c:v>
                </c:pt>
                <c:pt idx="46">
                  <c:v>2</c:v>
                </c:pt>
                <c:pt idx="47">
                  <c:v>2</c:v>
                </c:pt>
                <c:pt idx="48">
                  <c:v>2</c:v>
                </c:pt>
                <c:pt idx="49">
                  <c:v>2.25</c:v>
                </c:pt>
                <c:pt idx="50">
                  <c:v>1</c:v>
                </c:pt>
                <c:pt idx="51">
                  <c:v>1</c:v>
                </c:pt>
                <c:pt idx="52">
                  <c:v>0.25</c:v>
                </c:pt>
                <c:pt idx="53">
                  <c:v>0.25</c:v>
                </c:pt>
                <c:pt idx="54">
                  <c:v>0.25</c:v>
                </c:pt>
                <c:pt idx="55">
                  <c:v>0.25</c:v>
                </c:pt>
                <c:pt idx="56">
                  <c:v>0.25</c:v>
                </c:pt>
                <c:pt idx="57">
                  <c:v>0.25</c:v>
                </c:pt>
                <c:pt idx="58">
                  <c:v>0.25</c:v>
                </c:pt>
                <c:pt idx="59">
                  <c:v>0.25</c:v>
                </c:pt>
                <c:pt idx="60">
                  <c:v>0.25</c:v>
                </c:pt>
                <c:pt idx="61">
                  <c:v>0.25</c:v>
                </c:pt>
                <c:pt idx="62">
                  <c:v>0.25</c:v>
                </c:pt>
                <c:pt idx="63">
                  <c:v>0.25</c:v>
                </c:pt>
                <c:pt idx="64">
                  <c:v>0.25</c:v>
                </c:pt>
                <c:pt idx="65">
                  <c:v>0.5</c:v>
                </c:pt>
                <c:pt idx="66">
                  <c:v>0.5</c:v>
                </c:pt>
                <c:pt idx="67">
                  <c:v>0.75</c:v>
                </c:pt>
                <c:pt idx="68">
                  <c:v>0.75</c:v>
                </c:pt>
                <c:pt idx="69">
                  <c:v>1.5</c:v>
                </c:pt>
                <c:pt idx="70">
                  <c:v>2.75</c:v>
                </c:pt>
                <c:pt idx="71">
                  <c:v>3.75</c:v>
                </c:pt>
              </c:numCache>
            </c:numRef>
          </c:val>
          <c:extLst>
            <c:ext xmlns:c16="http://schemas.microsoft.com/office/drawing/2014/chart" uri="{C3380CC4-5D6E-409C-BE32-E72D297353CC}">
              <c16:uniqueId val="{00000000-206D-44C9-9CA3-057242698866}"/>
            </c:ext>
          </c:extLst>
        </c:ser>
        <c:dLbls>
          <c:showLegendKey val="0"/>
          <c:showVal val="0"/>
          <c:showCatName val="0"/>
          <c:showSerName val="0"/>
          <c:showPercent val="0"/>
          <c:showBubbleSize val="0"/>
        </c:dLbls>
        <c:gapWidth val="31"/>
        <c:axId val="271742464"/>
        <c:axId val="271744000"/>
      </c:barChart>
      <c:lineChart>
        <c:grouping val="standard"/>
        <c:varyColors val="0"/>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'Měnové podmínky 1'!$F$54:$F$125</c:f>
              <c:numCache>
                <c:formatCode>General</c:formatCode>
                <c:ptCount val="72"/>
                <c:pt idx="0">
                  <c:v>-0.21</c:v>
                </c:pt>
                <c:pt idx="1">
                  <c:v>-0.18</c:v>
                </c:pt>
                <c:pt idx="2">
                  <c:v>-0.17</c:v>
                </c:pt>
                <c:pt idx="3">
                  <c:v>-0.08</c:v>
                </c:pt>
                <c:pt idx="4">
                  <c:v>-0.04</c:v>
                </c:pt>
                <c:pt idx="5">
                  <c:v>-0.05</c:v>
                </c:pt>
                <c:pt idx="6">
                  <c:v>-0.13</c:v>
                </c:pt>
                <c:pt idx="7">
                  <c:v>-0.22</c:v>
                </c:pt>
                <c:pt idx="8">
                  <c:v>-0.5</c:v>
                </c:pt>
                <c:pt idx="9">
                  <c:v>-0.74</c:v>
                </c:pt>
                <c:pt idx="10">
                  <c:v>-0.73</c:v>
                </c:pt>
                <c:pt idx="11">
                  <c:v>-0.81</c:v>
                </c:pt>
                <c:pt idx="12">
                  <c:v>-0.88</c:v>
                </c:pt>
                <c:pt idx="13">
                  <c:v>-0.53</c:v>
                </c:pt>
                <c:pt idx="14">
                  <c:v>-0.44</c:v>
                </c:pt>
                <c:pt idx="15">
                  <c:v>-0.23</c:v>
                </c:pt>
                <c:pt idx="16">
                  <c:v>-0.24</c:v>
                </c:pt>
                <c:pt idx="17">
                  <c:v>-0.25</c:v>
                </c:pt>
                <c:pt idx="18">
                  <c:v>-0.28999999999999998</c:v>
                </c:pt>
                <c:pt idx="19">
                  <c:v>-0.33</c:v>
                </c:pt>
                <c:pt idx="20">
                  <c:v>-0.28999999999999998</c:v>
                </c:pt>
                <c:pt idx="21">
                  <c:v>0.12</c:v>
                </c:pt>
                <c:pt idx="22">
                  <c:v>0.31</c:v>
                </c:pt>
                <c:pt idx="23">
                  <c:v>0.19</c:v>
                </c:pt>
                <c:pt idx="24">
                  <c:v>0.46</c:v>
                </c:pt>
                <c:pt idx="25">
                  <c:v>0.55000000000000004</c:v>
                </c:pt>
                <c:pt idx="26">
                  <c:v>0.62</c:v>
                </c:pt>
                <c:pt idx="27">
                  <c:v>0.6</c:v>
                </c:pt>
                <c:pt idx="28">
                  <c:v>0.7</c:v>
                </c:pt>
                <c:pt idx="29">
                  <c:v>0.89</c:v>
                </c:pt>
                <c:pt idx="30">
                  <c:v>1.0900000000000001</c:v>
                </c:pt>
                <c:pt idx="31">
                  <c:v>1.26</c:v>
                </c:pt>
                <c:pt idx="32">
                  <c:v>1.34</c:v>
                </c:pt>
                <c:pt idx="33">
                  <c:v>1.44</c:v>
                </c:pt>
                <c:pt idx="34">
                  <c:v>1.49</c:v>
                </c:pt>
                <c:pt idx="35">
                  <c:v>1.52</c:v>
                </c:pt>
                <c:pt idx="36">
                  <c:v>1.66</c:v>
                </c:pt>
                <c:pt idx="37">
                  <c:v>1.74</c:v>
                </c:pt>
                <c:pt idx="38">
                  <c:v>1.71</c:v>
                </c:pt>
                <c:pt idx="39">
                  <c:v>1.63</c:v>
                </c:pt>
                <c:pt idx="40">
                  <c:v>1.62</c:v>
                </c:pt>
                <c:pt idx="41">
                  <c:v>1.52</c:v>
                </c:pt>
                <c:pt idx="42">
                  <c:v>1.35</c:v>
                </c:pt>
                <c:pt idx="43">
                  <c:v>0.85</c:v>
                </c:pt>
                <c:pt idx="44">
                  <c:v>1.07</c:v>
                </c:pt>
                <c:pt idx="45">
                  <c:v>1.17</c:v>
                </c:pt>
                <c:pt idx="46">
                  <c:v>1.33</c:v>
                </c:pt>
                <c:pt idx="47">
                  <c:v>1.36</c:v>
                </c:pt>
                <c:pt idx="48">
                  <c:v>1.55</c:v>
                </c:pt>
                <c:pt idx="49">
                  <c:v>1.57</c:v>
                </c:pt>
                <c:pt idx="50">
                  <c:v>1.27</c:v>
                </c:pt>
                <c:pt idx="51">
                  <c:v>0.71</c:v>
                </c:pt>
                <c:pt idx="52">
                  <c:v>0.13</c:v>
                </c:pt>
                <c:pt idx="53">
                  <c:v>0.08</c:v>
                </c:pt>
                <c:pt idx="54">
                  <c:v>0.02</c:v>
                </c:pt>
                <c:pt idx="55">
                  <c:v>0.04</c:v>
                </c:pt>
                <c:pt idx="56">
                  <c:v>0.05</c:v>
                </c:pt>
                <c:pt idx="57">
                  <c:v>0</c:v>
                </c:pt>
                <c:pt idx="58">
                  <c:v>0.06</c:v>
                </c:pt>
                <c:pt idx="59">
                  <c:v>0.16</c:v>
                </c:pt>
                <c:pt idx="60">
                  <c:v>0.26</c:v>
                </c:pt>
                <c:pt idx="61">
                  <c:v>0.45</c:v>
                </c:pt>
                <c:pt idx="62">
                  <c:v>0.75</c:v>
                </c:pt>
                <c:pt idx="63">
                  <c:v>0.76</c:v>
                </c:pt>
                <c:pt idx="64">
                  <c:v>0.76</c:v>
                </c:pt>
                <c:pt idx="65">
                  <c:v>0.69</c:v>
                </c:pt>
                <c:pt idx="66">
                  <c:v>0.84</c:v>
                </c:pt>
                <c:pt idx="67">
                  <c:v>1.24</c:v>
                </c:pt>
                <c:pt idx="68">
                  <c:v>1.6</c:v>
                </c:pt>
                <c:pt idx="69">
                  <c:v>2.29</c:v>
                </c:pt>
                <c:pt idx="70">
                  <c:v>3</c:v>
                </c:pt>
                <c:pt idx="71">
                  <c:v>3.07</c:v>
                </c:pt>
              </c:numCache>
            </c:numRef>
          </c:val>
          <c:smooth val="0"/>
          <c:extLst>
            <c:ext xmlns:c16="http://schemas.microsoft.com/office/drawing/2014/chart" uri="{C3380CC4-5D6E-409C-BE32-E72D297353CC}">
              <c16:uniqueId val="{00000001-206D-44C9-9CA3-057242698866}"/>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'Měnové podmínky 1'!$D$54:$D$125</c:f>
              <c:numCache>
                <c:formatCode>General</c:formatCode>
                <c:ptCount val="72"/>
                <c:pt idx="0">
                  <c:v>0.28999999999999998</c:v>
                </c:pt>
                <c:pt idx="1">
                  <c:v>0.28000000000000003</c:v>
                </c:pt>
                <c:pt idx="2">
                  <c:v>0.28999999999999998</c:v>
                </c:pt>
                <c:pt idx="3">
                  <c:v>0.28999999999999998</c:v>
                </c:pt>
                <c:pt idx="4">
                  <c:v>0.28999999999999998</c:v>
                </c:pt>
                <c:pt idx="5">
                  <c:v>0.28999999999999998</c:v>
                </c:pt>
                <c:pt idx="6">
                  <c:v>0.28999999999999998</c:v>
                </c:pt>
                <c:pt idx="7">
                  <c:v>0.28999999999999998</c:v>
                </c:pt>
                <c:pt idx="8">
                  <c:v>0.28999999999999998</c:v>
                </c:pt>
                <c:pt idx="9">
                  <c:v>0.28999999999999998</c:v>
                </c:pt>
                <c:pt idx="10">
                  <c:v>0.28999999999999998</c:v>
                </c:pt>
                <c:pt idx="11">
                  <c:v>0.28999999999999998</c:v>
                </c:pt>
                <c:pt idx="12">
                  <c:v>0.28000000000000003</c:v>
                </c:pt>
                <c:pt idx="13">
                  <c:v>0.28000000000000003</c:v>
                </c:pt>
                <c:pt idx="14">
                  <c:v>0.28000000000000003</c:v>
                </c:pt>
                <c:pt idx="15">
                  <c:v>0.28999999999999998</c:v>
                </c:pt>
                <c:pt idx="16">
                  <c:v>0.3</c:v>
                </c:pt>
                <c:pt idx="17">
                  <c:v>0.3</c:v>
                </c:pt>
                <c:pt idx="18">
                  <c:v>0.3</c:v>
                </c:pt>
                <c:pt idx="19">
                  <c:v>0.43</c:v>
                </c:pt>
                <c:pt idx="20">
                  <c:v>0.46</c:v>
                </c:pt>
                <c:pt idx="21">
                  <c:v>0.51</c:v>
                </c:pt>
                <c:pt idx="22">
                  <c:v>0.71</c:v>
                </c:pt>
                <c:pt idx="23">
                  <c:v>0.75</c:v>
                </c:pt>
                <c:pt idx="24">
                  <c:v>0.77</c:v>
                </c:pt>
                <c:pt idx="25">
                  <c:v>0.9</c:v>
                </c:pt>
                <c:pt idx="26">
                  <c:v>0.9</c:v>
                </c:pt>
                <c:pt idx="27">
                  <c:v>0.9</c:v>
                </c:pt>
                <c:pt idx="28">
                  <c:v>0.9</c:v>
                </c:pt>
                <c:pt idx="29">
                  <c:v>0.93</c:v>
                </c:pt>
                <c:pt idx="30">
                  <c:v>1.18</c:v>
                </c:pt>
                <c:pt idx="31">
                  <c:v>1.45</c:v>
                </c:pt>
                <c:pt idx="32">
                  <c:v>1.54</c:v>
                </c:pt>
                <c:pt idx="33">
                  <c:v>1.76</c:v>
                </c:pt>
                <c:pt idx="34">
                  <c:v>1.99</c:v>
                </c:pt>
                <c:pt idx="35">
                  <c:v>2.0099999999999998</c:v>
                </c:pt>
                <c:pt idx="36">
                  <c:v>2.0099999999999998</c:v>
                </c:pt>
                <c:pt idx="37">
                  <c:v>2.0099999999999998</c:v>
                </c:pt>
                <c:pt idx="38">
                  <c:v>2.0299999999999998</c:v>
                </c:pt>
                <c:pt idx="39">
                  <c:v>2.02</c:v>
                </c:pt>
                <c:pt idx="40">
                  <c:v>2.19</c:v>
                </c:pt>
                <c:pt idx="41">
                  <c:v>2.17</c:v>
                </c:pt>
                <c:pt idx="42">
                  <c:v>2.16</c:v>
                </c:pt>
                <c:pt idx="43">
                  <c:v>2.14</c:v>
                </c:pt>
                <c:pt idx="44">
                  <c:v>2.14</c:v>
                </c:pt>
                <c:pt idx="45">
                  <c:v>2.17</c:v>
                </c:pt>
                <c:pt idx="46">
                  <c:v>2.1800000000000002</c:v>
                </c:pt>
                <c:pt idx="47">
                  <c:v>2.1800000000000002</c:v>
                </c:pt>
                <c:pt idx="48">
                  <c:v>2.17</c:v>
                </c:pt>
                <c:pt idx="49">
                  <c:v>2.34</c:v>
                </c:pt>
                <c:pt idx="50">
                  <c:v>2</c:v>
                </c:pt>
                <c:pt idx="51">
                  <c:v>0.97</c:v>
                </c:pt>
                <c:pt idx="52">
                  <c:v>0.46</c:v>
                </c:pt>
                <c:pt idx="53">
                  <c:v>0.34</c:v>
                </c:pt>
                <c:pt idx="54">
                  <c:v>0.34</c:v>
                </c:pt>
                <c:pt idx="55">
                  <c:v>0.34</c:v>
                </c:pt>
                <c:pt idx="56">
                  <c:v>0.34</c:v>
                </c:pt>
                <c:pt idx="57">
                  <c:v>0.35</c:v>
                </c:pt>
                <c:pt idx="58">
                  <c:v>0.35</c:v>
                </c:pt>
                <c:pt idx="59">
                  <c:v>0.35</c:v>
                </c:pt>
                <c:pt idx="60">
                  <c:v>0.36</c:v>
                </c:pt>
                <c:pt idx="61">
                  <c:v>0.36</c:v>
                </c:pt>
                <c:pt idx="62">
                  <c:v>0.36</c:v>
                </c:pt>
                <c:pt idx="63">
                  <c:v>0.36</c:v>
                </c:pt>
                <c:pt idx="64">
                  <c:v>0.37</c:v>
                </c:pt>
                <c:pt idx="65">
                  <c:v>0.48</c:v>
                </c:pt>
                <c:pt idx="66">
                  <c:v>0.69</c:v>
                </c:pt>
                <c:pt idx="67">
                  <c:v>0.94</c:v>
                </c:pt>
                <c:pt idx="68">
                  <c:v>1.1100000000000001</c:v>
                </c:pt>
                <c:pt idx="69">
                  <c:v>2.02</c:v>
                </c:pt>
                <c:pt idx="70">
                  <c:v>2.97</c:v>
                </c:pt>
                <c:pt idx="71">
                  <c:v>3.5</c:v>
                </c:pt>
              </c:numCache>
            </c:numRef>
          </c:val>
          <c:smooth val="0"/>
          <c:extLst>
            <c:ext xmlns:c16="http://schemas.microsoft.com/office/drawing/2014/chart" uri="{C3380CC4-5D6E-409C-BE32-E72D297353CC}">
              <c16:uniqueId val="{00000002-206D-44C9-9CA3-057242698866}"/>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'Měnové podmínky 1'!$G$54:$G$125</c:f>
              <c:numCache>
                <c:formatCode>General</c:formatCode>
                <c:ptCount val="72"/>
                <c:pt idx="0">
                  <c:v>0.04</c:v>
                </c:pt>
                <c:pt idx="1">
                  <c:v>-0.08</c:v>
                </c:pt>
                <c:pt idx="2">
                  <c:v>-0.1</c:v>
                </c:pt>
                <c:pt idx="3">
                  <c:v>0.04</c:v>
                </c:pt>
                <c:pt idx="4">
                  <c:v>7.0000000000000007E-2</c:v>
                </c:pt>
                <c:pt idx="5">
                  <c:v>0.05</c:v>
                </c:pt>
                <c:pt idx="6">
                  <c:v>-0.02</c:v>
                </c:pt>
                <c:pt idx="7">
                  <c:v>-0.09</c:v>
                </c:pt>
                <c:pt idx="8">
                  <c:v>-0.19</c:v>
                </c:pt>
                <c:pt idx="9">
                  <c:v>-0.17</c:v>
                </c:pt>
                <c:pt idx="10">
                  <c:v>-0.17</c:v>
                </c:pt>
                <c:pt idx="11">
                  <c:v>-0.21</c:v>
                </c:pt>
                <c:pt idx="12">
                  <c:v>-0.22</c:v>
                </c:pt>
                <c:pt idx="13">
                  <c:v>0.09</c:v>
                </c:pt>
                <c:pt idx="14">
                  <c:v>0.1</c:v>
                </c:pt>
                <c:pt idx="15">
                  <c:v>0.16</c:v>
                </c:pt>
                <c:pt idx="16">
                  <c:v>0.04</c:v>
                </c:pt>
                <c:pt idx="17">
                  <c:v>-0.03</c:v>
                </c:pt>
                <c:pt idx="18">
                  <c:v>0.14000000000000001</c:v>
                </c:pt>
                <c:pt idx="19">
                  <c:v>0.09</c:v>
                </c:pt>
                <c:pt idx="20">
                  <c:v>0.1</c:v>
                </c:pt>
                <c:pt idx="21">
                  <c:v>0.63</c:v>
                </c:pt>
                <c:pt idx="22">
                  <c:v>0.87</c:v>
                </c:pt>
                <c:pt idx="23">
                  <c:v>0.68</c:v>
                </c:pt>
                <c:pt idx="24">
                  <c:v>0.99</c:v>
                </c:pt>
                <c:pt idx="25">
                  <c:v>1.07</c:v>
                </c:pt>
                <c:pt idx="26">
                  <c:v>1.0900000000000001</c:v>
                </c:pt>
                <c:pt idx="27">
                  <c:v>1.05</c:v>
                </c:pt>
                <c:pt idx="28">
                  <c:v>1.21</c:v>
                </c:pt>
                <c:pt idx="29">
                  <c:v>1.41</c:v>
                </c:pt>
                <c:pt idx="30">
                  <c:v>1.44</c:v>
                </c:pt>
                <c:pt idx="31">
                  <c:v>1.55</c:v>
                </c:pt>
                <c:pt idx="32">
                  <c:v>1.7</c:v>
                </c:pt>
                <c:pt idx="33">
                  <c:v>1.81</c:v>
                </c:pt>
                <c:pt idx="34">
                  <c:v>1.79</c:v>
                </c:pt>
                <c:pt idx="35">
                  <c:v>1.71</c:v>
                </c:pt>
                <c:pt idx="36">
                  <c:v>1.6</c:v>
                </c:pt>
                <c:pt idx="37">
                  <c:v>1.61</c:v>
                </c:pt>
                <c:pt idx="38">
                  <c:v>1.7</c:v>
                </c:pt>
                <c:pt idx="39">
                  <c:v>1.63</c:v>
                </c:pt>
                <c:pt idx="40">
                  <c:v>1.57</c:v>
                </c:pt>
                <c:pt idx="41">
                  <c:v>1.43</c:v>
                </c:pt>
                <c:pt idx="42">
                  <c:v>1.31</c:v>
                </c:pt>
                <c:pt idx="43">
                  <c:v>0.89</c:v>
                </c:pt>
                <c:pt idx="44">
                  <c:v>1.1299999999999999</c:v>
                </c:pt>
                <c:pt idx="45">
                  <c:v>1.23</c:v>
                </c:pt>
                <c:pt idx="46">
                  <c:v>1.32</c:v>
                </c:pt>
                <c:pt idx="47">
                  <c:v>1.31</c:v>
                </c:pt>
                <c:pt idx="48">
                  <c:v>1.51</c:v>
                </c:pt>
                <c:pt idx="49">
                  <c:v>1.52</c:v>
                </c:pt>
                <c:pt idx="50">
                  <c:v>1.23</c:v>
                </c:pt>
                <c:pt idx="51">
                  <c:v>1.06</c:v>
                </c:pt>
                <c:pt idx="52">
                  <c:v>0.56999999999999995</c:v>
                </c:pt>
                <c:pt idx="53">
                  <c:v>0.52</c:v>
                </c:pt>
                <c:pt idx="54">
                  <c:v>0.52</c:v>
                </c:pt>
                <c:pt idx="55">
                  <c:v>0.57999999999999996</c:v>
                </c:pt>
                <c:pt idx="56">
                  <c:v>0.57999999999999996</c:v>
                </c:pt>
                <c:pt idx="57">
                  <c:v>0.54</c:v>
                </c:pt>
                <c:pt idx="58">
                  <c:v>0.66</c:v>
                </c:pt>
                <c:pt idx="59">
                  <c:v>0.8</c:v>
                </c:pt>
                <c:pt idx="60">
                  <c:v>0.82</c:v>
                </c:pt>
                <c:pt idx="61">
                  <c:v>1.06</c:v>
                </c:pt>
                <c:pt idx="62">
                  <c:v>1.4</c:v>
                </c:pt>
                <c:pt idx="63">
                  <c:v>1.43</c:v>
                </c:pt>
                <c:pt idx="64">
                  <c:v>1.47</c:v>
                </c:pt>
                <c:pt idx="65">
                  <c:v>1.55</c:v>
                </c:pt>
                <c:pt idx="66">
                  <c:v>1.63</c:v>
                </c:pt>
                <c:pt idx="67">
                  <c:v>1.68</c:v>
                </c:pt>
                <c:pt idx="68">
                  <c:v>1.87</c:v>
                </c:pt>
                <c:pt idx="69">
                  <c:v>2.37</c:v>
                </c:pt>
                <c:pt idx="70">
                  <c:v>2.84</c:v>
                </c:pt>
                <c:pt idx="71">
                  <c:v>2.84</c:v>
                </c:pt>
              </c:numCache>
            </c:numRef>
          </c:val>
          <c:smooth val="0"/>
          <c:extLst>
            <c:ext xmlns:c16="http://schemas.microsoft.com/office/drawing/2014/chart" uri="{C3380CC4-5D6E-409C-BE32-E72D297353CC}">
              <c16:uniqueId val="{00000003-206D-44C9-9CA3-057242698866}"/>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'Měnové podmínky 1'!$E$54:$E$125</c:f>
              <c:numCache>
                <c:formatCode>General</c:formatCode>
                <c:ptCount val="72"/>
                <c:pt idx="0">
                  <c:v>0.45</c:v>
                </c:pt>
                <c:pt idx="1">
                  <c:v>0.45</c:v>
                </c:pt>
                <c:pt idx="2">
                  <c:v>0.45</c:v>
                </c:pt>
                <c:pt idx="3">
                  <c:v>0.45</c:v>
                </c:pt>
                <c:pt idx="4">
                  <c:v>0.45</c:v>
                </c:pt>
                <c:pt idx="5">
                  <c:v>0.45</c:v>
                </c:pt>
                <c:pt idx="6">
                  <c:v>0.45</c:v>
                </c:pt>
                <c:pt idx="7">
                  <c:v>0.45</c:v>
                </c:pt>
                <c:pt idx="8">
                  <c:v>0.45</c:v>
                </c:pt>
                <c:pt idx="9">
                  <c:v>0.45</c:v>
                </c:pt>
                <c:pt idx="10">
                  <c:v>0.45</c:v>
                </c:pt>
                <c:pt idx="11">
                  <c:v>0.45</c:v>
                </c:pt>
                <c:pt idx="12">
                  <c:v>0.44</c:v>
                </c:pt>
                <c:pt idx="13">
                  <c:v>0.44</c:v>
                </c:pt>
                <c:pt idx="14">
                  <c:v>0.44</c:v>
                </c:pt>
                <c:pt idx="15">
                  <c:v>0.45</c:v>
                </c:pt>
                <c:pt idx="16">
                  <c:v>0.46</c:v>
                </c:pt>
                <c:pt idx="17">
                  <c:v>0.46</c:v>
                </c:pt>
                <c:pt idx="18">
                  <c:v>0.47</c:v>
                </c:pt>
                <c:pt idx="19">
                  <c:v>0.6</c:v>
                </c:pt>
                <c:pt idx="20">
                  <c:v>0.64</c:v>
                </c:pt>
                <c:pt idx="21">
                  <c:v>0.69</c:v>
                </c:pt>
                <c:pt idx="22">
                  <c:v>0.91</c:v>
                </c:pt>
                <c:pt idx="23">
                  <c:v>0.96</c:v>
                </c:pt>
                <c:pt idx="24">
                  <c:v>0.98</c:v>
                </c:pt>
                <c:pt idx="25">
                  <c:v>1.1100000000000001</c:v>
                </c:pt>
                <c:pt idx="26">
                  <c:v>1.1200000000000001</c:v>
                </c:pt>
                <c:pt idx="27">
                  <c:v>1.1200000000000001</c:v>
                </c:pt>
                <c:pt idx="28">
                  <c:v>1.1200000000000001</c:v>
                </c:pt>
                <c:pt idx="29">
                  <c:v>1.1499999999999999</c:v>
                </c:pt>
                <c:pt idx="30">
                  <c:v>1.39</c:v>
                </c:pt>
                <c:pt idx="31">
                  <c:v>1.67</c:v>
                </c:pt>
                <c:pt idx="32">
                  <c:v>1.79</c:v>
                </c:pt>
                <c:pt idx="33">
                  <c:v>1.95</c:v>
                </c:pt>
                <c:pt idx="34">
                  <c:v>2.1800000000000002</c:v>
                </c:pt>
                <c:pt idx="35">
                  <c:v>2.21</c:v>
                </c:pt>
                <c:pt idx="36">
                  <c:v>2.21</c:v>
                </c:pt>
                <c:pt idx="37">
                  <c:v>2.2000000000000002</c:v>
                </c:pt>
                <c:pt idx="38">
                  <c:v>2.2000000000000002</c:v>
                </c:pt>
                <c:pt idx="39">
                  <c:v>2.21</c:v>
                </c:pt>
                <c:pt idx="40">
                  <c:v>2.3199999999999998</c:v>
                </c:pt>
                <c:pt idx="41">
                  <c:v>2.29</c:v>
                </c:pt>
                <c:pt idx="42">
                  <c:v>2.2799999999999998</c:v>
                </c:pt>
                <c:pt idx="43">
                  <c:v>2.2200000000000002</c:v>
                </c:pt>
                <c:pt idx="44">
                  <c:v>2.2000000000000002</c:v>
                </c:pt>
                <c:pt idx="45">
                  <c:v>2.2799999999999998</c:v>
                </c:pt>
                <c:pt idx="46">
                  <c:v>2.2799999999999998</c:v>
                </c:pt>
                <c:pt idx="47">
                  <c:v>2.27</c:v>
                </c:pt>
                <c:pt idx="48">
                  <c:v>2.27</c:v>
                </c:pt>
                <c:pt idx="49">
                  <c:v>2.42</c:v>
                </c:pt>
                <c:pt idx="50">
                  <c:v>2.0099999999999998</c:v>
                </c:pt>
                <c:pt idx="51">
                  <c:v>0.92</c:v>
                </c:pt>
                <c:pt idx="52">
                  <c:v>0.51</c:v>
                </c:pt>
                <c:pt idx="53">
                  <c:v>0.43</c:v>
                </c:pt>
                <c:pt idx="54">
                  <c:v>0.43</c:v>
                </c:pt>
                <c:pt idx="55">
                  <c:v>0.43</c:v>
                </c:pt>
                <c:pt idx="56">
                  <c:v>0.44</c:v>
                </c:pt>
                <c:pt idx="57">
                  <c:v>0.43</c:v>
                </c:pt>
                <c:pt idx="58">
                  <c:v>0.44</c:v>
                </c:pt>
                <c:pt idx="59">
                  <c:v>0.49</c:v>
                </c:pt>
                <c:pt idx="60">
                  <c:v>0.49</c:v>
                </c:pt>
                <c:pt idx="61">
                  <c:v>0.54</c:v>
                </c:pt>
                <c:pt idx="62">
                  <c:v>0.56000000000000005</c:v>
                </c:pt>
                <c:pt idx="63">
                  <c:v>0.56000000000000005</c:v>
                </c:pt>
                <c:pt idx="64">
                  <c:v>0.67</c:v>
                </c:pt>
                <c:pt idx="65">
                  <c:v>0.78</c:v>
                </c:pt>
                <c:pt idx="66">
                  <c:v>1</c:v>
                </c:pt>
                <c:pt idx="67">
                  <c:v>1.3</c:v>
                </c:pt>
                <c:pt idx="68">
                  <c:v>1.52</c:v>
                </c:pt>
                <c:pt idx="69">
                  <c:v>2.44</c:v>
                </c:pt>
                <c:pt idx="70">
                  <c:v>3.5</c:v>
                </c:pt>
                <c:pt idx="71">
                  <c:v>3.96</c:v>
                </c:pt>
              </c:numCache>
            </c:numRef>
          </c:val>
          <c:smooth val="0"/>
          <c:extLst>
            <c:ext xmlns:c16="http://schemas.microsoft.com/office/drawing/2014/chart" uri="{C3380CC4-5D6E-409C-BE32-E72D297353CC}">
              <c16:uniqueId val="{00000004-206D-44C9-9CA3-057242698866}"/>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'Měnové podmínky 1'!$H$54:$H$125</c:f>
              <c:numCache>
                <c:formatCode>General</c:formatCode>
                <c:ptCount val="72"/>
                <c:pt idx="0">
                  <c:v>0.62</c:v>
                </c:pt>
                <c:pt idx="1">
                  <c:v>0.46</c:v>
                </c:pt>
                <c:pt idx="2">
                  <c:v>0.35</c:v>
                </c:pt>
                <c:pt idx="3">
                  <c:v>0.43</c:v>
                </c:pt>
                <c:pt idx="4">
                  <c:v>0.46</c:v>
                </c:pt>
                <c:pt idx="5">
                  <c:v>0.45</c:v>
                </c:pt>
                <c:pt idx="6">
                  <c:v>0.37</c:v>
                </c:pt>
                <c:pt idx="7">
                  <c:v>0.28999999999999998</c:v>
                </c:pt>
                <c:pt idx="8">
                  <c:v>0.25</c:v>
                </c:pt>
                <c:pt idx="9">
                  <c:v>0.37</c:v>
                </c:pt>
                <c:pt idx="10">
                  <c:v>0.55000000000000004</c:v>
                </c:pt>
                <c:pt idx="11">
                  <c:v>0.53</c:v>
                </c:pt>
                <c:pt idx="12">
                  <c:v>0.47</c:v>
                </c:pt>
                <c:pt idx="13">
                  <c:v>0.63</c:v>
                </c:pt>
                <c:pt idx="14">
                  <c:v>0.87</c:v>
                </c:pt>
                <c:pt idx="15">
                  <c:v>0.96</c:v>
                </c:pt>
                <c:pt idx="16">
                  <c:v>0.74</c:v>
                </c:pt>
                <c:pt idx="17">
                  <c:v>0.77</c:v>
                </c:pt>
                <c:pt idx="18">
                  <c:v>0.9</c:v>
                </c:pt>
                <c:pt idx="19">
                  <c:v>0.83</c:v>
                </c:pt>
                <c:pt idx="20">
                  <c:v>0.97</c:v>
                </c:pt>
                <c:pt idx="21">
                  <c:v>1.45</c:v>
                </c:pt>
                <c:pt idx="22">
                  <c:v>1.68</c:v>
                </c:pt>
                <c:pt idx="23">
                  <c:v>1.5</c:v>
                </c:pt>
                <c:pt idx="24">
                  <c:v>1.77</c:v>
                </c:pt>
                <c:pt idx="25">
                  <c:v>1.82</c:v>
                </c:pt>
                <c:pt idx="26">
                  <c:v>1.81</c:v>
                </c:pt>
                <c:pt idx="27">
                  <c:v>1.74</c:v>
                </c:pt>
                <c:pt idx="28">
                  <c:v>1.89</c:v>
                </c:pt>
                <c:pt idx="29">
                  <c:v>2.14</c:v>
                </c:pt>
                <c:pt idx="30">
                  <c:v>2.11</c:v>
                </c:pt>
                <c:pt idx="31">
                  <c:v>2.14</c:v>
                </c:pt>
                <c:pt idx="32">
                  <c:v>2.14</c:v>
                </c:pt>
                <c:pt idx="33">
                  <c:v>2.14</c:v>
                </c:pt>
                <c:pt idx="34">
                  <c:v>2.0699999999999998</c:v>
                </c:pt>
                <c:pt idx="35">
                  <c:v>2.0099999999999998</c:v>
                </c:pt>
                <c:pt idx="36">
                  <c:v>1.85</c:v>
                </c:pt>
                <c:pt idx="37">
                  <c:v>1.76</c:v>
                </c:pt>
                <c:pt idx="38">
                  <c:v>1.82</c:v>
                </c:pt>
                <c:pt idx="39">
                  <c:v>1.82</c:v>
                </c:pt>
                <c:pt idx="40">
                  <c:v>1.86</c:v>
                </c:pt>
                <c:pt idx="41">
                  <c:v>1.58</c:v>
                </c:pt>
                <c:pt idx="42">
                  <c:v>1.36</c:v>
                </c:pt>
                <c:pt idx="43">
                  <c:v>0.99</c:v>
                </c:pt>
                <c:pt idx="44">
                  <c:v>1.24</c:v>
                </c:pt>
                <c:pt idx="45">
                  <c:v>1.32</c:v>
                </c:pt>
                <c:pt idx="46">
                  <c:v>1.47</c:v>
                </c:pt>
                <c:pt idx="47">
                  <c:v>1.51</c:v>
                </c:pt>
                <c:pt idx="48">
                  <c:v>1.62</c:v>
                </c:pt>
                <c:pt idx="49">
                  <c:v>1.47</c:v>
                </c:pt>
                <c:pt idx="50">
                  <c:v>1.28</c:v>
                </c:pt>
                <c:pt idx="51">
                  <c:v>1.28</c:v>
                </c:pt>
                <c:pt idx="52">
                  <c:v>0.92</c:v>
                </c:pt>
                <c:pt idx="53">
                  <c:v>0.86</c:v>
                </c:pt>
                <c:pt idx="54">
                  <c:v>0.86</c:v>
                </c:pt>
                <c:pt idx="55">
                  <c:v>0.95</c:v>
                </c:pt>
                <c:pt idx="56">
                  <c:v>0.98</c:v>
                </c:pt>
                <c:pt idx="57">
                  <c:v>0.94</c:v>
                </c:pt>
                <c:pt idx="58">
                  <c:v>1.1200000000000001</c:v>
                </c:pt>
                <c:pt idx="59">
                  <c:v>1.26</c:v>
                </c:pt>
                <c:pt idx="60">
                  <c:v>1.28</c:v>
                </c:pt>
                <c:pt idx="61">
                  <c:v>1.49</c:v>
                </c:pt>
                <c:pt idx="62">
                  <c:v>1.87</c:v>
                </c:pt>
                <c:pt idx="63">
                  <c:v>1.86</c:v>
                </c:pt>
                <c:pt idx="64">
                  <c:v>1.74</c:v>
                </c:pt>
                <c:pt idx="65">
                  <c:v>1.67</c:v>
                </c:pt>
                <c:pt idx="66">
                  <c:v>1.72</c:v>
                </c:pt>
                <c:pt idx="67">
                  <c:v>1.74</c:v>
                </c:pt>
                <c:pt idx="68">
                  <c:v>1.9</c:v>
                </c:pt>
                <c:pt idx="69">
                  <c:v>2.34</c:v>
                </c:pt>
                <c:pt idx="70">
                  <c:v>2.62</c:v>
                </c:pt>
                <c:pt idx="71">
                  <c:v>2.62</c:v>
                </c:pt>
              </c:numCache>
            </c:numRef>
          </c:val>
          <c:smooth val="0"/>
          <c:extLst>
            <c:ext xmlns:c16="http://schemas.microsoft.com/office/drawing/2014/chart" uri="{C3380CC4-5D6E-409C-BE32-E72D297353CC}">
              <c16:uniqueId val="{00000005-206D-44C9-9CA3-057242698866}"/>
            </c:ext>
          </c:extLst>
        </c:ser>
        <c:dLbls>
          <c:showLegendKey val="0"/>
          <c:showVal val="0"/>
          <c:showCatName val="0"/>
          <c:showSerName val="0"/>
          <c:showPercent val="0"/>
          <c:showBubbleSize val="0"/>
        </c:dLbls>
        <c:marker val="1"/>
        <c:smooth val="0"/>
        <c:axId val="271742464"/>
        <c:axId val="271744000"/>
      </c:lineChart>
      <c:catAx>
        <c:axId val="271742464"/>
        <c:scaling>
          <c:orientation val="minMax"/>
        </c:scaling>
        <c:delete val="0"/>
        <c:axPos val="b"/>
        <c:numFmt formatCode="General" sourceLinked="0"/>
        <c:majorTickMark val="out"/>
        <c:minorTickMark val="none"/>
        <c:tickLblPos val="low"/>
        <c:spPr>
          <a:ln>
            <a:solidFill>
              <a:schemeClr val="tx1"/>
            </a:solidFill>
          </a:ln>
        </c:spPr>
        <c:crossAx val="271744000"/>
        <c:crosses val="autoZero"/>
        <c:auto val="1"/>
        <c:lblAlgn val="ctr"/>
        <c:lblOffset val="100"/>
        <c:noMultiLvlLbl val="0"/>
      </c:catAx>
      <c:valAx>
        <c:axId val="271744000"/>
        <c:scaling>
          <c:orientation val="minMax"/>
          <c:max val="4"/>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742464"/>
        <c:crosses val="autoZero"/>
        <c:crossBetween val="between"/>
        <c:majorUnit val="1"/>
      </c:valAx>
      <c:spPr>
        <a:ln>
          <a:solidFill>
            <a:schemeClr val="tx1"/>
          </a:solidFill>
        </a:ln>
      </c:spPr>
    </c:plotArea>
    <c:legend>
      <c:legendPos val="b"/>
      <c:layout>
        <c:manualLayout>
          <c:xMode val="edge"/>
          <c:yMode val="edge"/>
          <c:x val="4.7501055386693677E-2"/>
          <c:y val="0.87558269120103249"/>
          <c:w val="0.93350515028706516"/>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35993017189728E-2"/>
          <c:y val="1.7107238390107405E-2"/>
          <c:w val="0.83559968783080529"/>
          <c:h val="0.82188956339158548"/>
        </c:manualLayout>
      </c:layout>
      <c:barChart>
        <c:barDir val="col"/>
        <c:grouping val="clustered"/>
        <c:varyColors val="0"/>
        <c:ser>
          <c:idx val="2"/>
          <c:order val="4"/>
          <c:tx>
            <c:strRef>
              <c:f>'GRAF-1-Státní rozpočet-příjmy'!$A$40</c:f>
              <c:strCache>
                <c:ptCount val="1"/>
                <c:pt idx="0">
                  <c:v>Saldo státního rozpočtu (pravá osa)</c:v>
                </c:pt>
              </c:strCache>
            </c:strRef>
          </c:tx>
          <c:spPr>
            <a:solidFill>
              <a:sysClr val="window" lastClr="FFFFFF">
                <a:lumMod val="75000"/>
              </a:sysClr>
            </a:solidFill>
          </c:spPr>
          <c:invertIfNegative val="0"/>
          <c:cat>
            <c:strRef>
              <c:f>'GRAF-1-Státní rozpočet-příjmy'!$E$34:$R$35</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strCache>
            </c:strRef>
          </c:cat>
          <c:val>
            <c:numRef>
              <c:f>'GRAF-1-Státní rozpočet-příjmy'!$E$40:$R$40</c:f>
              <c:numCache>
                <c:formatCode>#\ ##0.0</c:formatCode>
                <c:ptCount val="14"/>
                <c:pt idx="0">
                  <c:v>-20.003</c:v>
                </c:pt>
                <c:pt idx="1">
                  <c:v>-192.39400000000001</c:v>
                </c:pt>
                <c:pt idx="2">
                  <c:v>-156.416</c:v>
                </c:pt>
                <c:pt idx="3">
                  <c:v>-142.77099999999999</c:v>
                </c:pt>
                <c:pt idx="4">
                  <c:v>-101</c:v>
                </c:pt>
                <c:pt idx="5">
                  <c:v>-81.263999999999996</c:v>
                </c:pt>
                <c:pt idx="6">
                  <c:v>-77.78</c:v>
                </c:pt>
                <c:pt idx="7">
                  <c:v>-62.8</c:v>
                </c:pt>
                <c:pt idx="8">
                  <c:v>61.77</c:v>
                </c:pt>
                <c:pt idx="9">
                  <c:v>-6.15</c:v>
                </c:pt>
                <c:pt idx="10">
                  <c:v>2.94</c:v>
                </c:pt>
                <c:pt idx="11">
                  <c:v>-28.52</c:v>
                </c:pt>
                <c:pt idx="12">
                  <c:v>-367.44997523070992</c:v>
                </c:pt>
                <c:pt idx="13">
                  <c:v>-419.68746344218994</c:v>
                </c:pt>
              </c:numCache>
            </c:numRef>
          </c:val>
          <c:extLst>
            <c:ext xmlns:c16="http://schemas.microsoft.com/office/drawing/2014/chart" uri="{C3380CC4-5D6E-409C-BE32-E72D297353CC}">
              <c16:uniqueId val="{00000000-85F9-4BDD-990E-8D21DF791820}"/>
            </c:ext>
          </c:extLst>
        </c:ser>
        <c:dLbls>
          <c:showLegendKey val="0"/>
          <c:showVal val="0"/>
          <c:showCatName val="0"/>
          <c:showSerName val="0"/>
          <c:showPercent val="0"/>
          <c:showBubbleSize val="0"/>
        </c:dLbls>
        <c:gapWidth val="43"/>
        <c:axId val="194477056"/>
        <c:axId val="194475520"/>
      </c:barChart>
      <c:lineChart>
        <c:grouping val="standard"/>
        <c:varyColors val="0"/>
        <c:ser>
          <c:idx val="0"/>
          <c:order val="0"/>
          <c:tx>
            <c:strRef>
              <c:f>'GRAF-1-Státní rozpočet-příjmy'!$A$36</c:f>
              <c:strCache>
                <c:ptCount val="1"/>
                <c:pt idx="0">
                  <c:v>DPH</c:v>
                </c:pt>
              </c:strCache>
            </c:strRef>
          </c:tx>
          <c:spPr>
            <a:ln w="19050">
              <a:solidFill>
                <a:srgbClr val="BD1B25"/>
              </a:solidFill>
            </a:ln>
          </c:spPr>
          <c:marker>
            <c:symbol val="none"/>
          </c:marker>
          <c:cat>
            <c:strRef>
              <c:f>'GRAF-1-Státní rozpočet-příjmy'!$E$34:$R$35</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strCache>
            </c:strRef>
          </c:cat>
          <c:val>
            <c:numRef>
              <c:f>'GRAF-1-Státní rozpočet-příjmy'!$E$36:$R$36</c:f>
              <c:numCache>
                <c:formatCode>0.0</c:formatCode>
                <c:ptCount val="14"/>
                <c:pt idx="0">
                  <c:v>7.9575260174295579</c:v>
                </c:pt>
                <c:pt idx="1">
                  <c:v>-0.61914651828048761</c:v>
                </c:pt>
                <c:pt idx="2">
                  <c:v>6.2852411182524435</c:v>
                </c:pt>
                <c:pt idx="3">
                  <c:v>2.1665739194954341</c:v>
                </c:pt>
                <c:pt idx="4">
                  <c:v>1.0312647518065461</c:v>
                </c:pt>
                <c:pt idx="5">
                  <c:v>10.865111598317938</c:v>
                </c:pt>
                <c:pt idx="6">
                  <c:v>4.674836283472743</c:v>
                </c:pt>
                <c:pt idx="7">
                  <c:v>2.7750247770069336</c:v>
                </c:pt>
                <c:pt idx="8">
                  <c:v>5.3881388621022381</c:v>
                </c:pt>
                <c:pt idx="9">
                  <c:v>9.138739563079028</c:v>
                </c:pt>
                <c:pt idx="10">
                  <c:v>8.2844267449172122</c:v>
                </c:pt>
                <c:pt idx="11">
                  <c:v>4.4229373336559235</c:v>
                </c:pt>
                <c:pt idx="12">
                  <c:v>-1.1889677782264414</c:v>
                </c:pt>
                <c:pt idx="13">
                  <c:v>8.7290514464571913</c:v>
                </c:pt>
              </c:numCache>
            </c:numRef>
          </c:val>
          <c:smooth val="0"/>
          <c:extLst>
            <c:ext xmlns:c16="http://schemas.microsoft.com/office/drawing/2014/chart" uri="{C3380CC4-5D6E-409C-BE32-E72D297353CC}">
              <c16:uniqueId val="{00000001-85F9-4BDD-990E-8D21DF791820}"/>
            </c:ext>
          </c:extLst>
        </c:ser>
        <c:ser>
          <c:idx val="1"/>
          <c:order val="1"/>
          <c:tx>
            <c:strRef>
              <c:f>'GRAF-1-Státní rozpočet-příjmy'!$A$37</c:f>
              <c:strCache>
                <c:ptCount val="1"/>
                <c:pt idx="0">
                  <c:v>Spotřební daň</c:v>
                </c:pt>
              </c:strCache>
            </c:strRef>
          </c:tx>
          <c:spPr>
            <a:ln w="19050">
              <a:solidFill>
                <a:srgbClr val="7DBB2D"/>
              </a:solidFill>
              <a:prstDash val="solid"/>
            </a:ln>
          </c:spPr>
          <c:marker>
            <c:symbol val="none"/>
          </c:marker>
          <c:cat>
            <c:strRef>
              <c:f>'GRAF-1-Státní rozpočet-příjmy'!$E$34:$R$35</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strCache>
            </c:strRef>
          </c:cat>
          <c:val>
            <c:numRef>
              <c:f>'GRAF-1-Státní rozpočet-příjmy'!$E$37:$R$37</c:f>
              <c:numCache>
                <c:formatCode>0.0</c:formatCode>
                <c:ptCount val="14"/>
                <c:pt idx="0">
                  <c:v>-4.2605253688377047</c:v>
                </c:pt>
                <c:pt idx="1">
                  <c:v>-1.4733518755167978</c:v>
                </c:pt>
                <c:pt idx="2">
                  <c:v>5.4932478828107207</c:v>
                </c:pt>
                <c:pt idx="3">
                  <c:v>6.0099804729876354</c:v>
                </c:pt>
                <c:pt idx="4">
                  <c:v>0.13644426251875075</c:v>
                </c:pt>
                <c:pt idx="5">
                  <c:v>-2.2891402098378535</c:v>
                </c:pt>
                <c:pt idx="6">
                  <c:v>-1.4712034583739921</c:v>
                </c:pt>
                <c:pt idx="7">
                  <c:v>6.5034321704055031</c:v>
                </c:pt>
                <c:pt idx="8">
                  <c:v>5.1362126245847008</c:v>
                </c:pt>
                <c:pt idx="9">
                  <c:v>2.9071604626177248</c:v>
                </c:pt>
                <c:pt idx="10">
                  <c:v>2.8495977399742003</c:v>
                </c:pt>
                <c:pt idx="11">
                  <c:v>-0.19705021794949573</c:v>
                </c:pt>
                <c:pt idx="12">
                  <c:v>-2.7816349769886841</c:v>
                </c:pt>
                <c:pt idx="13">
                  <c:v>-2.9872460318545677</c:v>
                </c:pt>
              </c:numCache>
            </c:numRef>
          </c:val>
          <c:smooth val="0"/>
          <c:extLst>
            <c:ext xmlns:c16="http://schemas.microsoft.com/office/drawing/2014/chart" uri="{C3380CC4-5D6E-409C-BE32-E72D297353CC}">
              <c16:uniqueId val="{00000002-85F9-4BDD-990E-8D21DF791820}"/>
            </c:ext>
          </c:extLst>
        </c:ser>
        <c:ser>
          <c:idx val="3"/>
          <c:order val="2"/>
          <c:tx>
            <c:strRef>
              <c:f>'GRAF-1-Státní rozpočet-příjmy'!$A$38</c:f>
              <c:strCache>
                <c:ptCount val="1"/>
                <c:pt idx="0">
                  <c:v>Daně z příjmů fyzic. osob ze závislé čin.</c:v>
                </c:pt>
              </c:strCache>
            </c:strRef>
          </c:tx>
          <c:spPr>
            <a:ln w="19050">
              <a:solidFill>
                <a:srgbClr val="0071BC"/>
              </a:solidFill>
              <a:prstDash val="solid"/>
            </a:ln>
          </c:spPr>
          <c:marker>
            <c:symbol val="none"/>
          </c:marker>
          <c:cat>
            <c:strRef>
              <c:f>'GRAF-1-Státní rozpočet-příjmy'!$E$34:$R$35</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strCache>
            </c:strRef>
          </c:cat>
          <c:val>
            <c:numRef>
              <c:f>'GRAF-1-Státní rozpočet-příjmy'!$E$38:$R$38</c:f>
              <c:numCache>
                <c:formatCode>0.0</c:formatCode>
                <c:ptCount val="14"/>
                <c:pt idx="0">
                  <c:v>-8.8693725769443859</c:v>
                </c:pt>
                <c:pt idx="1">
                  <c:v>-3.5943740232679318</c:v>
                </c:pt>
                <c:pt idx="2">
                  <c:v>0.72046109510085898</c:v>
                </c:pt>
                <c:pt idx="3">
                  <c:v>6.7328326180257534</c:v>
                </c:pt>
                <c:pt idx="4">
                  <c:v>0.35184719778837348</c:v>
                </c:pt>
                <c:pt idx="5">
                  <c:v>5.2925953752399835</c:v>
                </c:pt>
                <c:pt idx="6">
                  <c:v>3.7580274320145861</c:v>
                </c:pt>
                <c:pt idx="7">
                  <c:v>4.011614579353548</c:v>
                </c:pt>
                <c:pt idx="8">
                  <c:v>9.7487511019688498</c:v>
                </c:pt>
                <c:pt idx="9">
                  <c:v>13.2873686324386</c:v>
                </c:pt>
                <c:pt idx="10">
                  <c:v>14.441030489246032</c:v>
                </c:pt>
                <c:pt idx="11">
                  <c:v>11.673895084675763</c:v>
                </c:pt>
                <c:pt idx="12">
                  <c:v>-5.2524854091793571</c:v>
                </c:pt>
                <c:pt idx="13">
                  <c:v>-32.432390722060816</c:v>
                </c:pt>
              </c:numCache>
            </c:numRef>
          </c:val>
          <c:smooth val="0"/>
          <c:extLst>
            <c:ext xmlns:c16="http://schemas.microsoft.com/office/drawing/2014/chart" uri="{C3380CC4-5D6E-409C-BE32-E72D297353CC}">
              <c16:uniqueId val="{00000003-85F9-4BDD-990E-8D21DF791820}"/>
            </c:ext>
          </c:extLst>
        </c:ser>
        <c:ser>
          <c:idx val="4"/>
          <c:order val="3"/>
          <c:tx>
            <c:strRef>
              <c:f>'GRAF-1-Státní rozpočet-příjmy'!$A$39</c:f>
              <c:strCache>
                <c:ptCount val="1"/>
                <c:pt idx="0">
                  <c:v>Daně z příjmů právnických osob</c:v>
                </c:pt>
              </c:strCache>
            </c:strRef>
          </c:tx>
          <c:spPr>
            <a:ln w="19050">
              <a:noFill/>
            </a:ln>
          </c:spPr>
          <c:marker>
            <c:symbol val="diamond"/>
            <c:size val="6"/>
            <c:spPr>
              <a:solidFill>
                <a:srgbClr val="984807"/>
              </a:solidFill>
              <a:ln>
                <a:noFill/>
              </a:ln>
            </c:spPr>
          </c:marker>
          <c:cat>
            <c:strRef>
              <c:f>'GRAF-1-Státní rozpočet-příjmy'!$E$34:$R$35</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strCache>
            </c:strRef>
          </c:cat>
          <c:val>
            <c:numRef>
              <c:f>'GRAF-1-Státní rozpočet-příjmy'!$E$39:$R$39</c:f>
              <c:numCache>
                <c:formatCode>0.0</c:formatCode>
                <c:ptCount val="14"/>
                <c:pt idx="0">
                  <c:v>12.113766201855157</c:v>
                </c:pt>
                <c:pt idx="1">
                  <c:v>-34.469344145526264</c:v>
                </c:pt>
                <c:pt idx="2">
                  <c:v>3.5618729096990052</c:v>
                </c:pt>
                <c:pt idx="3">
                  <c:v>-4.6423381236880346</c:v>
                </c:pt>
                <c:pt idx="4">
                  <c:v>8.3735500804335032</c:v>
                </c:pt>
                <c:pt idx="5">
                  <c:v>-5.6875</c:v>
                </c:pt>
                <c:pt idx="6">
                  <c:v>9.6752816434725162</c:v>
                </c:pt>
                <c:pt idx="7">
                  <c:v>11.412386706948624</c:v>
                </c:pt>
                <c:pt idx="8">
                  <c:v>11.667005626737165</c:v>
                </c:pt>
                <c:pt idx="9">
                  <c:v>3.6000485672656595</c:v>
                </c:pt>
                <c:pt idx="10">
                  <c:v>1.9689422795194673</c:v>
                </c:pt>
                <c:pt idx="11">
                  <c:v>5.1089017872536004</c:v>
                </c:pt>
                <c:pt idx="12">
                  <c:v>-12.218154305953917</c:v>
                </c:pt>
                <c:pt idx="13">
                  <c:v>24.923332261143941</c:v>
                </c:pt>
              </c:numCache>
            </c:numRef>
          </c:val>
          <c:smooth val="0"/>
          <c:extLst>
            <c:ext xmlns:c16="http://schemas.microsoft.com/office/drawing/2014/chart" uri="{C3380CC4-5D6E-409C-BE32-E72D297353CC}">
              <c16:uniqueId val="{00000004-85F9-4BDD-990E-8D21DF791820}"/>
            </c:ext>
          </c:extLst>
        </c:ser>
        <c:dLbls>
          <c:showLegendKey val="0"/>
          <c:showVal val="0"/>
          <c:showCatName val="0"/>
          <c:showSerName val="0"/>
          <c:showPercent val="0"/>
          <c:showBubbleSize val="0"/>
        </c:dLbls>
        <c:marker val="1"/>
        <c:smooth val="0"/>
        <c:axId val="194467712"/>
        <c:axId val="194473984"/>
      </c:lineChart>
      <c:catAx>
        <c:axId val="194467712"/>
        <c:scaling>
          <c:orientation val="minMax"/>
        </c:scaling>
        <c:delete val="0"/>
        <c:axPos val="b"/>
        <c:numFmt formatCode="General" sourceLinked="1"/>
        <c:majorTickMark val="out"/>
        <c:minorTickMark val="none"/>
        <c:tickLblPos val="low"/>
        <c:spPr>
          <a:ln w="6350">
            <a:solidFill>
              <a:schemeClr val="tx1"/>
            </a:solidFill>
          </a:ln>
        </c:spPr>
        <c:crossAx val="194473984"/>
        <c:crosses val="autoZero"/>
        <c:auto val="1"/>
        <c:lblAlgn val="ctr"/>
        <c:lblOffset val="0"/>
        <c:noMultiLvlLbl val="0"/>
      </c:catAx>
      <c:valAx>
        <c:axId val="194473984"/>
        <c:scaling>
          <c:orientation val="minMax"/>
          <c:max val="30"/>
          <c:min val="-45"/>
        </c:scaling>
        <c:delete val="0"/>
        <c:axPos val="l"/>
        <c:majorGridlines>
          <c:spPr>
            <a:ln w="6350">
              <a:solidFill>
                <a:schemeClr val="bg1">
                  <a:lumMod val="75000"/>
                </a:schemeClr>
              </a:solidFill>
            </a:ln>
          </c:spPr>
        </c:majorGridlines>
        <c:title>
          <c:tx>
            <c:rich>
              <a:bodyPr/>
              <a:lstStyle/>
              <a:p>
                <a:pPr>
                  <a:defRPr sz="700" b="0" i="1"/>
                </a:pPr>
                <a:r>
                  <a:rPr lang="cs-CZ" sz="700" b="0" i="1"/>
                  <a:t>Vybrané druhy daňových příjmů (meziročně,</a:t>
                </a:r>
                <a:r>
                  <a:rPr lang="cs-CZ" sz="700" b="0" i="1" baseline="0"/>
                  <a:t> v %)</a:t>
                </a:r>
                <a:endParaRPr lang="cs-CZ" sz="700" b="0" i="1"/>
              </a:p>
            </c:rich>
          </c:tx>
          <c:overlay val="0"/>
        </c:title>
        <c:numFmt formatCode="0" sourceLinked="0"/>
        <c:majorTickMark val="out"/>
        <c:minorTickMark val="none"/>
        <c:tickLblPos val="nextTo"/>
        <c:spPr>
          <a:ln w="6350">
            <a:solidFill>
              <a:schemeClr val="tx1"/>
            </a:solidFill>
          </a:ln>
        </c:spPr>
        <c:crossAx val="194467712"/>
        <c:crosses val="autoZero"/>
        <c:crossBetween val="between"/>
        <c:majorUnit val="5"/>
      </c:valAx>
      <c:valAx>
        <c:axId val="194475520"/>
        <c:scaling>
          <c:orientation val="minMax"/>
          <c:max val="300"/>
          <c:min val="-450"/>
        </c:scaling>
        <c:delete val="0"/>
        <c:axPos val="r"/>
        <c:title>
          <c:tx>
            <c:rich>
              <a:bodyPr/>
              <a:lstStyle/>
              <a:p>
                <a:pPr>
                  <a:defRPr sz="700" b="0" i="1"/>
                </a:pPr>
                <a:r>
                  <a:rPr lang="cs-CZ" sz="700" b="0" i="1"/>
                  <a:t>Saldo státního rozpočtu (v mld. korun)</a:t>
                </a:r>
              </a:p>
            </c:rich>
          </c:tx>
          <c:overlay val="0"/>
        </c:title>
        <c:numFmt formatCode="#,##0" sourceLinked="0"/>
        <c:majorTickMark val="out"/>
        <c:minorTickMark val="none"/>
        <c:tickLblPos val="nextTo"/>
        <c:crossAx val="194477056"/>
        <c:crosses val="max"/>
        <c:crossBetween val="between"/>
        <c:majorUnit val="50"/>
      </c:valAx>
      <c:catAx>
        <c:axId val="194477056"/>
        <c:scaling>
          <c:orientation val="minMax"/>
        </c:scaling>
        <c:delete val="1"/>
        <c:axPos val="b"/>
        <c:numFmt formatCode="General" sourceLinked="1"/>
        <c:majorTickMark val="out"/>
        <c:minorTickMark val="none"/>
        <c:tickLblPos val="none"/>
        <c:crossAx val="194475520"/>
        <c:crosses val="autoZero"/>
        <c:auto val="1"/>
        <c:lblAlgn val="ctr"/>
        <c:lblOffset val="100"/>
        <c:noMultiLvlLbl val="0"/>
      </c:catAx>
      <c:spPr>
        <a:ln w="6350">
          <a:solidFill>
            <a:schemeClr val="tx1"/>
          </a:solidFill>
        </a:ln>
      </c:spPr>
    </c:plotArea>
    <c:legend>
      <c:legendPos val="b"/>
      <c:layout>
        <c:manualLayout>
          <c:xMode val="edge"/>
          <c:yMode val="edge"/>
          <c:x val="3.0344127578841362E-2"/>
          <c:y val="0.88304677703270718"/>
          <c:w val="0.91625051787327827"/>
          <c:h val="0.10979813644594019"/>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60484943049881E-2"/>
          <c:y val="1.7112323287741892E-2"/>
          <c:w val="0.82719862375806086"/>
          <c:h val="0.7675532098402662"/>
        </c:manualLayout>
      </c:layout>
      <c:barChart>
        <c:barDir val="col"/>
        <c:grouping val="clustered"/>
        <c:varyColors val="0"/>
        <c:ser>
          <c:idx val="0"/>
          <c:order val="0"/>
          <c:tx>
            <c:strRef>
              <c:f>'G2-Stání rozpočet-výdaje'!$B$31</c:f>
              <c:strCache>
                <c:ptCount val="1"/>
                <c:pt idx="0">
                  <c:v>Běžné výdaje celkem (pravá osa)</c:v>
                </c:pt>
              </c:strCache>
            </c:strRef>
          </c:tx>
          <c:spPr>
            <a:solidFill>
              <a:schemeClr val="bg1">
                <a:lumMod val="85000"/>
              </a:schemeClr>
            </a:solidFill>
            <a:ln>
              <a:noFill/>
            </a:ln>
          </c:spPr>
          <c:invertIfNegative val="0"/>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rozpočet-výdaje'!$B$35:$B$48</c:f>
              <c:numCache>
                <c:formatCode>0.0</c:formatCode>
                <c:ptCount val="14"/>
                <c:pt idx="0">
                  <c:v>975.86</c:v>
                </c:pt>
                <c:pt idx="1">
                  <c:v>1032.78</c:v>
                </c:pt>
                <c:pt idx="2">
                  <c:v>1021.89</c:v>
                </c:pt>
                <c:pt idx="3">
                  <c:v>1031.83</c:v>
                </c:pt>
                <c:pt idx="4">
                  <c:v>1038.76</c:v>
                </c:pt>
                <c:pt idx="5">
                  <c:v>1070.8130000000001</c:v>
                </c:pt>
                <c:pt idx="6">
                  <c:v>1100.1020000000001</c:v>
                </c:pt>
                <c:pt idx="7">
                  <c:v>1121.6600000000001</c:v>
                </c:pt>
                <c:pt idx="8">
                  <c:v>1135.57</c:v>
                </c:pt>
                <c:pt idx="9">
                  <c:v>1198.05</c:v>
                </c:pt>
                <c:pt idx="10">
                  <c:v>1284.5</c:v>
                </c:pt>
                <c:pt idx="11">
                  <c:v>1412.5989294339895</c:v>
                </c:pt>
                <c:pt idx="12">
                  <c:v>1670.3085864663701</c:v>
                </c:pt>
                <c:pt idx="13">
                  <c:v>1729.5240345791999</c:v>
                </c:pt>
              </c:numCache>
            </c:numRef>
          </c:val>
          <c:extLst>
            <c:ext xmlns:c16="http://schemas.microsoft.com/office/drawing/2014/chart" uri="{C3380CC4-5D6E-409C-BE32-E72D297353CC}">
              <c16:uniqueId val="{00000000-C891-40C0-A02F-461B1B8A2802}"/>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'G2-Stání rozpočet-výdaje'!$C$31</c:f>
              <c:strCache>
                <c:ptCount val="1"/>
                <c:pt idx="0">
                  <c:v>Platy státních zaměstnanců*</c:v>
                </c:pt>
              </c:strCache>
            </c:strRef>
          </c:tx>
          <c:spPr>
            <a:ln w="15875">
              <a:solidFill>
                <a:srgbClr val="984807"/>
              </a:solidFill>
            </a:ln>
          </c:spPr>
          <c:marker>
            <c:symbol val="none"/>
          </c:marker>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rozpočet-výdaje'!$C$35:$C$48</c:f>
              <c:numCache>
                <c:formatCode>0.0</c:formatCode>
                <c:ptCount val="14"/>
                <c:pt idx="0">
                  <c:v>97.33</c:v>
                </c:pt>
                <c:pt idx="1">
                  <c:v>100.19</c:v>
                </c:pt>
                <c:pt idx="2">
                  <c:v>97.67</c:v>
                </c:pt>
                <c:pt idx="3">
                  <c:v>89.6</c:v>
                </c:pt>
                <c:pt idx="4">
                  <c:v>90.45</c:v>
                </c:pt>
                <c:pt idx="5">
                  <c:v>92.375</c:v>
                </c:pt>
                <c:pt idx="6">
                  <c:v>96.582999999999998</c:v>
                </c:pt>
                <c:pt idx="7">
                  <c:v>104.19</c:v>
                </c:pt>
                <c:pt idx="8">
                  <c:v>109.86</c:v>
                </c:pt>
                <c:pt idx="9">
                  <c:v>120.08</c:v>
                </c:pt>
                <c:pt idx="10">
                  <c:v>133.9</c:v>
                </c:pt>
                <c:pt idx="11">
                  <c:v>143.72754730148006</c:v>
                </c:pt>
                <c:pt idx="12">
                  <c:v>150.49796216553</c:v>
                </c:pt>
                <c:pt idx="13">
                  <c:v>152.51231683097001</c:v>
                </c:pt>
              </c:numCache>
            </c:numRef>
          </c:val>
          <c:smooth val="0"/>
          <c:extLst>
            <c:ext xmlns:c16="http://schemas.microsoft.com/office/drawing/2014/chart" uri="{C3380CC4-5D6E-409C-BE32-E72D297353CC}">
              <c16:uniqueId val="{00000001-C891-40C0-A02F-461B1B8A2802}"/>
            </c:ext>
          </c:extLst>
        </c:ser>
        <c:ser>
          <c:idx val="6"/>
          <c:order val="2"/>
          <c:tx>
            <c:strRef>
              <c:f>'G2-Stání rozpočet-výdaje'!$D$31</c:f>
              <c:strCache>
                <c:ptCount val="1"/>
                <c:pt idx="0">
                  <c:v>Podpora v nezaměstnanosti</c:v>
                </c:pt>
              </c:strCache>
            </c:strRef>
          </c:tx>
          <c:spPr>
            <a:ln w="15875">
              <a:solidFill>
                <a:srgbClr val="0070C0"/>
              </a:solidFill>
            </a:ln>
          </c:spPr>
          <c:marker>
            <c:symbol val="none"/>
          </c:marker>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rozpočet-výdaje'!$D$35:$D$48</c:f>
              <c:numCache>
                <c:formatCode>0.0</c:formatCode>
                <c:ptCount val="14"/>
                <c:pt idx="0">
                  <c:v>7.11</c:v>
                </c:pt>
                <c:pt idx="1">
                  <c:v>15.077999999999999</c:v>
                </c:pt>
                <c:pt idx="2">
                  <c:v>13.355</c:v>
                </c:pt>
                <c:pt idx="3">
                  <c:v>10.349</c:v>
                </c:pt>
                <c:pt idx="4">
                  <c:v>8.76</c:v>
                </c:pt>
                <c:pt idx="5">
                  <c:v>9.65</c:v>
                </c:pt>
                <c:pt idx="6">
                  <c:v>9.2620000000000005</c:v>
                </c:pt>
                <c:pt idx="7">
                  <c:v>8.2759999999999998</c:v>
                </c:pt>
                <c:pt idx="8">
                  <c:v>8.2200000000000006</c:v>
                </c:pt>
                <c:pt idx="9">
                  <c:v>7.82</c:v>
                </c:pt>
                <c:pt idx="10">
                  <c:v>7.51</c:v>
                </c:pt>
                <c:pt idx="11">
                  <c:v>8.1136251569399995</c:v>
                </c:pt>
                <c:pt idx="12">
                  <c:v>10.524849742540001</c:v>
                </c:pt>
                <c:pt idx="13">
                  <c:v>9.9748101241900002</c:v>
                </c:pt>
              </c:numCache>
            </c:numRef>
          </c:val>
          <c:smooth val="0"/>
          <c:extLst>
            <c:ext xmlns:c16="http://schemas.microsoft.com/office/drawing/2014/chart" uri="{C3380CC4-5D6E-409C-BE32-E72D297353CC}">
              <c16:uniqueId val="{00000002-C891-40C0-A02F-461B1B8A2802}"/>
            </c:ext>
          </c:extLst>
        </c:ser>
        <c:ser>
          <c:idx val="7"/>
          <c:order val="3"/>
          <c:tx>
            <c:strRef>
              <c:f>'G2-Stání rozpočet-výdaje'!$E$31</c:f>
              <c:strCache>
                <c:ptCount val="1"/>
                <c:pt idx="0">
                  <c:v>Státní sociální podpora**</c:v>
                </c:pt>
              </c:strCache>
            </c:strRef>
          </c:tx>
          <c:spPr>
            <a:ln w="15875">
              <a:solidFill>
                <a:srgbClr val="00B050"/>
              </a:solidFill>
            </a:ln>
          </c:spPr>
          <c:marker>
            <c:symbol val="none"/>
          </c:marker>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rozpočet-výdaje'!$E$35:$E$48</c:f>
              <c:numCache>
                <c:formatCode>0.0</c:formatCode>
                <c:ptCount val="14"/>
                <c:pt idx="0">
                  <c:v>41.97</c:v>
                </c:pt>
                <c:pt idx="1">
                  <c:v>41.167999999999999</c:v>
                </c:pt>
                <c:pt idx="2">
                  <c:v>40.881</c:v>
                </c:pt>
                <c:pt idx="3">
                  <c:v>36.094000000000001</c:v>
                </c:pt>
                <c:pt idx="4">
                  <c:v>35.554000000000002</c:v>
                </c:pt>
                <c:pt idx="5">
                  <c:v>37.423000000000002</c:v>
                </c:pt>
                <c:pt idx="6">
                  <c:v>37.543999999999997</c:v>
                </c:pt>
                <c:pt idx="7">
                  <c:v>37.65</c:v>
                </c:pt>
                <c:pt idx="8">
                  <c:v>37.78</c:v>
                </c:pt>
                <c:pt idx="9">
                  <c:v>37.22</c:v>
                </c:pt>
                <c:pt idx="10">
                  <c:v>39.22</c:v>
                </c:pt>
                <c:pt idx="11">
                  <c:v>37.87859106618</c:v>
                </c:pt>
                <c:pt idx="12">
                  <c:v>51.685289497479999</c:v>
                </c:pt>
                <c:pt idx="13">
                  <c:v>48.818915255749999</c:v>
                </c:pt>
              </c:numCache>
            </c:numRef>
          </c:val>
          <c:smooth val="0"/>
          <c:extLst>
            <c:ext xmlns:c16="http://schemas.microsoft.com/office/drawing/2014/chart" uri="{C3380CC4-5D6E-409C-BE32-E72D297353CC}">
              <c16:uniqueId val="{00000003-C891-40C0-A02F-461B1B8A2802}"/>
            </c:ext>
          </c:extLst>
        </c:ser>
        <c:ser>
          <c:idx val="2"/>
          <c:order val="4"/>
          <c:tx>
            <c:strRef>
              <c:f>'G2-Stání rozpočet-výdaje'!$F$31</c:f>
              <c:strCache>
                <c:ptCount val="1"/>
                <c:pt idx="0">
                  <c:v>Dávky nemocenského pojištění</c:v>
                </c:pt>
              </c:strCache>
            </c:strRef>
          </c:tx>
          <c:spPr>
            <a:ln w="15875">
              <a:solidFill>
                <a:srgbClr val="00B0F0"/>
              </a:solidFill>
            </a:ln>
          </c:spPr>
          <c:marker>
            <c:symbol val="none"/>
          </c:marker>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rozpočet-výdaje'!$F$35:$F$48</c:f>
              <c:numCache>
                <c:formatCode>0.0</c:formatCode>
                <c:ptCount val="14"/>
                <c:pt idx="0">
                  <c:v>31.882000000000001</c:v>
                </c:pt>
                <c:pt idx="1">
                  <c:v>26.233000000000001</c:v>
                </c:pt>
                <c:pt idx="2">
                  <c:v>22.995999999999999</c:v>
                </c:pt>
                <c:pt idx="3">
                  <c:v>21.734000000000002</c:v>
                </c:pt>
                <c:pt idx="4">
                  <c:v>19.602</c:v>
                </c:pt>
                <c:pt idx="5">
                  <c:v>20.350000000000001</c:v>
                </c:pt>
                <c:pt idx="6">
                  <c:v>22.283000000000001</c:v>
                </c:pt>
                <c:pt idx="7">
                  <c:v>24.31</c:v>
                </c:pt>
                <c:pt idx="8">
                  <c:v>26.5</c:v>
                </c:pt>
                <c:pt idx="9">
                  <c:v>28.57</c:v>
                </c:pt>
                <c:pt idx="10">
                  <c:v>34.173699999999997</c:v>
                </c:pt>
                <c:pt idx="11">
                  <c:v>39.094712799999996</c:v>
                </c:pt>
                <c:pt idx="12">
                  <c:v>55.4</c:v>
                </c:pt>
                <c:pt idx="13">
                  <c:v>51.355800000000002</c:v>
                </c:pt>
              </c:numCache>
            </c:numRef>
          </c:val>
          <c:smooth val="0"/>
          <c:extLst>
            <c:ext xmlns:c16="http://schemas.microsoft.com/office/drawing/2014/chart" uri="{C3380CC4-5D6E-409C-BE32-E72D297353CC}">
              <c16:uniqueId val="{00000004-C891-40C0-A02F-461B1B8A2802}"/>
            </c:ext>
          </c:extLst>
        </c:ser>
        <c:ser>
          <c:idx val="3"/>
          <c:order val="5"/>
          <c:tx>
            <c:strRef>
              <c:f>'G2-Stání rozpočet-výdaje'!$G$31</c:f>
              <c:strCache>
                <c:ptCount val="1"/>
                <c:pt idx="0">
                  <c:v>Dávky sociální péče***</c:v>
                </c:pt>
              </c:strCache>
            </c:strRef>
          </c:tx>
          <c:spPr>
            <a:ln w="15875">
              <a:solidFill>
                <a:srgbClr val="7030A0"/>
              </a:solidFill>
            </a:ln>
          </c:spPr>
          <c:marker>
            <c:symbol val="none"/>
          </c:marker>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rozpočet-výdaje'!$G$35:$G$48</c:f>
              <c:numCache>
                <c:formatCode>0.0</c:formatCode>
                <c:ptCount val="14"/>
                <c:pt idx="0">
                  <c:v>23.542000000000002</c:v>
                </c:pt>
                <c:pt idx="1">
                  <c:v>24.256</c:v>
                </c:pt>
                <c:pt idx="2">
                  <c:v>25.292000000000002</c:v>
                </c:pt>
                <c:pt idx="3">
                  <c:v>24.966999999999999</c:v>
                </c:pt>
                <c:pt idx="4">
                  <c:v>27.695499999999999</c:v>
                </c:pt>
                <c:pt idx="5">
                  <c:v>31.978999999999999</c:v>
                </c:pt>
                <c:pt idx="6">
                  <c:v>33.622</c:v>
                </c:pt>
                <c:pt idx="7">
                  <c:v>33.621000000000002</c:v>
                </c:pt>
                <c:pt idx="8">
                  <c:v>34.295000000000002</c:v>
                </c:pt>
                <c:pt idx="9">
                  <c:v>34.439</c:v>
                </c:pt>
                <c:pt idx="10">
                  <c:v>33.990400000000001</c:v>
                </c:pt>
                <c:pt idx="11">
                  <c:v>36.831099999999999</c:v>
                </c:pt>
                <c:pt idx="12">
                  <c:v>40.510199999999998</c:v>
                </c:pt>
                <c:pt idx="13">
                  <c:v>40.537129800000002</c:v>
                </c:pt>
              </c:numCache>
            </c:numRef>
          </c:val>
          <c:smooth val="0"/>
          <c:extLst>
            <c:ext xmlns:c16="http://schemas.microsoft.com/office/drawing/2014/chart" uri="{C3380CC4-5D6E-409C-BE32-E72D297353CC}">
              <c16:uniqueId val="{00000005-C891-40C0-A02F-461B1B8A2802}"/>
            </c:ext>
          </c:extLst>
        </c:ser>
        <c:ser>
          <c:idx val="4"/>
          <c:order val="6"/>
          <c:tx>
            <c:strRef>
              <c:f>'G2-Stání rozpočet-výdaje'!$H$31</c:f>
              <c:strCache>
                <c:ptCount val="1"/>
                <c:pt idx="0">
                  <c:v>Neinvestič. nákupy a souvis. výdaje****</c:v>
                </c:pt>
              </c:strCache>
            </c:strRef>
          </c:tx>
          <c:spPr>
            <a:ln w="15875">
              <a:solidFill>
                <a:srgbClr val="F8A124"/>
              </a:solidFill>
              <a:prstDash val="solid"/>
            </a:ln>
          </c:spPr>
          <c:marker>
            <c:symbol val="none"/>
          </c:marker>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rozpočet-výdaje'!$H$35:$H$48</c:f>
              <c:numCache>
                <c:formatCode>0.0</c:formatCode>
                <c:ptCount val="14"/>
                <c:pt idx="0">
                  <c:v>71.581999999999994</c:v>
                </c:pt>
                <c:pt idx="1">
                  <c:v>69.73</c:v>
                </c:pt>
                <c:pt idx="2">
                  <c:v>65.116</c:v>
                </c:pt>
                <c:pt idx="3">
                  <c:v>57.98</c:v>
                </c:pt>
                <c:pt idx="4">
                  <c:v>53.174999999999997</c:v>
                </c:pt>
                <c:pt idx="5">
                  <c:v>54.192999999999998</c:v>
                </c:pt>
                <c:pt idx="6">
                  <c:v>54.751000000000005</c:v>
                </c:pt>
                <c:pt idx="7">
                  <c:v>62.36</c:v>
                </c:pt>
                <c:pt idx="8">
                  <c:v>57.560000000000009</c:v>
                </c:pt>
                <c:pt idx="9">
                  <c:v>62.76</c:v>
                </c:pt>
                <c:pt idx="10">
                  <c:v>68.41</c:v>
                </c:pt>
                <c:pt idx="11">
                  <c:v>66.430000000000007</c:v>
                </c:pt>
                <c:pt idx="12">
                  <c:v>77.884951001920001</c:v>
                </c:pt>
                <c:pt idx="13">
                  <c:v>79.132175103670008</c:v>
                </c:pt>
              </c:numCache>
            </c:numRef>
          </c:val>
          <c:smooth val="0"/>
          <c:extLst>
            <c:ext xmlns:c16="http://schemas.microsoft.com/office/drawing/2014/chart" uri="{C3380CC4-5D6E-409C-BE32-E72D297353CC}">
              <c16:uniqueId val="{00000006-C891-40C0-A02F-461B1B8A2802}"/>
            </c:ext>
          </c:extLst>
        </c:ser>
        <c:ser>
          <c:idx val="5"/>
          <c:order val="7"/>
          <c:tx>
            <c:strRef>
              <c:f>'G2-Stání rozpočet-výdaje'!$I$31</c:f>
              <c:strCache>
                <c:ptCount val="1"/>
                <c:pt idx="0">
                  <c:v>Státní dluh (čisté výdaje)*****</c:v>
                </c:pt>
              </c:strCache>
            </c:strRef>
          </c:tx>
          <c:spPr>
            <a:ln w="15875">
              <a:solidFill>
                <a:srgbClr val="BD1B25"/>
              </a:solidFill>
            </a:ln>
          </c:spPr>
          <c:marker>
            <c:symbol val="none"/>
          </c:marker>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rozpočet-výdaje'!$I$35:$I$48</c:f>
              <c:numCache>
                <c:formatCode>0.0</c:formatCode>
                <c:ptCount val="14"/>
                <c:pt idx="0">
                  <c:v>37.64</c:v>
                </c:pt>
                <c:pt idx="1">
                  <c:v>44.46</c:v>
                </c:pt>
                <c:pt idx="2">
                  <c:v>35.840000000000003</c:v>
                </c:pt>
                <c:pt idx="3">
                  <c:v>45.120000000000005</c:v>
                </c:pt>
                <c:pt idx="4">
                  <c:v>41.400000000000006</c:v>
                </c:pt>
                <c:pt idx="5">
                  <c:v>50.89</c:v>
                </c:pt>
                <c:pt idx="6">
                  <c:v>48.49</c:v>
                </c:pt>
                <c:pt idx="7">
                  <c:v>45.28</c:v>
                </c:pt>
                <c:pt idx="8">
                  <c:v>40.65</c:v>
                </c:pt>
                <c:pt idx="9">
                  <c:v>39.769999999999996</c:v>
                </c:pt>
                <c:pt idx="10">
                  <c:v>40.729999999999997</c:v>
                </c:pt>
                <c:pt idx="11">
                  <c:v>39.550577993799998</c:v>
                </c:pt>
                <c:pt idx="12">
                  <c:v>40.145474011320005</c:v>
                </c:pt>
                <c:pt idx="13">
                  <c:v>42.233847726199997</c:v>
                </c:pt>
              </c:numCache>
            </c:numRef>
          </c:val>
          <c:smooth val="0"/>
          <c:extLst>
            <c:ext xmlns:c16="http://schemas.microsoft.com/office/drawing/2014/chart" uri="{C3380CC4-5D6E-409C-BE32-E72D297353CC}">
              <c16:uniqueId val="{00000007-C891-40C0-A02F-461B1B8A2802}"/>
            </c:ext>
          </c:extLst>
        </c:ser>
        <c:ser>
          <c:idx val="8"/>
          <c:order val="8"/>
          <c:tx>
            <c:strRef>
              <c:f>'G2-Stání rozpočet-výdaje'!$J$31</c:f>
              <c:strCache>
                <c:ptCount val="1"/>
                <c:pt idx="0">
                  <c:v>Neinvestič. transfery podnikat. subjektům</c:v>
                </c:pt>
              </c:strCache>
            </c:strRef>
          </c:tx>
          <c:spPr>
            <a:ln w="15875">
              <a:solidFill>
                <a:schemeClr val="bg2">
                  <a:lumMod val="25000"/>
                </a:schemeClr>
              </a:solidFill>
              <a:prstDash val="sysDash"/>
            </a:ln>
          </c:spPr>
          <c:marker>
            <c:symbol val="none"/>
          </c:marker>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rozpočet-výdaje'!$J$35:$J$48</c:f>
              <c:numCache>
                <c:formatCode>0.00</c:formatCode>
                <c:ptCount val="14"/>
                <c:pt idx="0">
                  <c:v>26.108000000000001</c:v>
                </c:pt>
                <c:pt idx="1">
                  <c:v>28.491</c:v>
                </c:pt>
                <c:pt idx="2">
                  <c:v>28.100999999999999</c:v>
                </c:pt>
                <c:pt idx="3">
                  <c:v>33.262999999999998</c:v>
                </c:pt>
                <c:pt idx="4">
                  <c:v>35.61</c:v>
                </c:pt>
                <c:pt idx="5">
                  <c:v>35.03</c:v>
                </c:pt>
                <c:pt idx="6">
                  <c:v>41.23</c:v>
                </c:pt>
                <c:pt idx="7">
                  <c:v>39.14</c:v>
                </c:pt>
                <c:pt idx="8">
                  <c:v>44.23</c:v>
                </c:pt>
                <c:pt idx="9">
                  <c:v>48.3</c:v>
                </c:pt>
                <c:pt idx="10">
                  <c:v>57.32</c:v>
                </c:pt>
                <c:pt idx="11">
                  <c:v>57.932912725290002</c:v>
                </c:pt>
                <c:pt idx="12">
                  <c:v>106.75302514385</c:v>
                </c:pt>
                <c:pt idx="13">
                  <c:v>125.50813247993001</c:v>
                </c:pt>
              </c:numCache>
            </c:numRef>
          </c:val>
          <c:smooth val="0"/>
          <c:extLst>
            <c:ext xmlns:c16="http://schemas.microsoft.com/office/drawing/2014/chart" uri="{C3380CC4-5D6E-409C-BE32-E72D297353CC}">
              <c16:uniqueId val="{00000008-C891-40C0-A02F-461B1B8A2802}"/>
            </c:ext>
          </c:extLst>
        </c:ser>
        <c:ser>
          <c:idx val="9"/>
          <c:order val="9"/>
          <c:tx>
            <c:strRef>
              <c:f>'G2-Stání rozpočet-výdaje'!$K$31</c:f>
              <c:strCache>
                <c:ptCount val="1"/>
                <c:pt idx="0">
                  <c:v>Kapitálové výdaje</c:v>
                </c:pt>
              </c:strCache>
            </c:strRef>
          </c:tx>
          <c:spPr>
            <a:ln w="15875">
              <a:solidFill>
                <a:schemeClr val="tx1">
                  <a:lumMod val="95000"/>
                  <a:lumOff val="5000"/>
                </a:schemeClr>
              </a:solidFill>
            </a:ln>
          </c:spPr>
          <c:marker>
            <c:symbol val="none"/>
          </c:marker>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rozpočet-výdaje'!$K$35:$K$48</c:f>
              <c:numCache>
                <c:formatCode>0.0</c:formatCode>
                <c:ptCount val="14"/>
                <c:pt idx="0">
                  <c:v>108.08</c:v>
                </c:pt>
                <c:pt idx="1">
                  <c:v>134.22999999999999</c:v>
                </c:pt>
                <c:pt idx="2">
                  <c:v>134.91</c:v>
                </c:pt>
                <c:pt idx="3">
                  <c:v>123.69</c:v>
                </c:pt>
                <c:pt idx="4">
                  <c:v>113.62</c:v>
                </c:pt>
                <c:pt idx="5">
                  <c:v>102.315</c:v>
                </c:pt>
                <c:pt idx="6">
                  <c:v>111.50700000000001</c:v>
                </c:pt>
                <c:pt idx="7">
                  <c:v>175.66</c:v>
                </c:pt>
                <c:pt idx="8">
                  <c:v>84.27</c:v>
                </c:pt>
                <c:pt idx="9">
                  <c:v>81.75</c:v>
                </c:pt>
                <c:pt idx="10">
                  <c:v>116.46</c:v>
                </c:pt>
                <c:pt idx="11">
                  <c:v>139.13928546782003</c:v>
                </c:pt>
                <c:pt idx="12">
                  <c:v>172.62079654905</c:v>
                </c:pt>
                <c:pt idx="13">
                  <c:v>177.40106130625</c:v>
                </c:pt>
              </c:numCache>
            </c:numRef>
          </c:val>
          <c:smooth val="0"/>
          <c:extLst>
            <c:ext xmlns:c16="http://schemas.microsoft.com/office/drawing/2014/chart" uri="{C3380CC4-5D6E-409C-BE32-E72D297353CC}">
              <c16:uniqueId val="{00000009-C891-40C0-A02F-461B1B8A2802}"/>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180"/>
          <c:min val="0"/>
        </c:scaling>
        <c:delete val="0"/>
        <c:axPos val="l"/>
        <c:majorGridlines>
          <c:spPr>
            <a:ln w="6350">
              <a:solidFill>
                <a:schemeClr val="bg1">
                  <a:lumMod val="75000"/>
                </a:schemeClr>
              </a:solidFill>
            </a:ln>
          </c:spPr>
        </c:majorGridlines>
        <c:title>
          <c:tx>
            <c:rich>
              <a:bodyPr/>
              <a:lstStyle/>
              <a:p>
                <a:pPr>
                  <a:defRPr sz="700" b="0" i="1"/>
                </a:pPr>
                <a:r>
                  <a:rPr lang="cs-CZ" sz="700" b="0" i="1"/>
                  <a:t>Ostatní výdaje (v</a:t>
                </a:r>
                <a:r>
                  <a:rPr lang="cs-CZ" sz="700" b="0" i="1" u="none" strike="noStrike" kern="1200" baseline="0">
                    <a:solidFill>
                      <a:sysClr val="windowText" lastClr="000000"/>
                    </a:solidFill>
                    <a:latin typeface="Arial" panose="020B0604020202020204" pitchFamily="34" charset="0"/>
                    <a:ea typeface="+mn-ea"/>
                    <a:cs typeface="Arial" panose="020B0604020202020204" pitchFamily="34" charset="0"/>
                  </a:rPr>
                  <a:t> mld</a:t>
                </a:r>
                <a:r>
                  <a:rPr lang="cs-CZ" sz="700" b="0" i="1"/>
                  <a:t>. korun)</a:t>
                </a:r>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20"/>
      </c:valAx>
      <c:valAx>
        <c:axId val="72835072"/>
        <c:scaling>
          <c:orientation val="minMax"/>
          <c:max val="1800"/>
          <c:min val="0"/>
        </c:scaling>
        <c:delete val="0"/>
        <c:axPos val="r"/>
        <c:title>
          <c:tx>
            <c:rich>
              <a:bodyPr/>
              <a:lstStyle/>
              <a:p>
                <a:pPr>
                  <a:defRPr sz="700" b="0" i="1"/>
                </a:pPr>
                <a:r>
                  <a:rPr lang="cs-CZ" sz="700" b="0" i="1"/>
                  <a:t>Běžné výdaje celkem (v</a:t>
                </a:r>
                <a:r>
                  <a:rPr lang="cs-CZ" sz="700" b="0" i="1" u="none" strike="noStrike" kern="1200" baseline="0">
                    <a:solidFill>
                      <a:sysClr val="windowText" lastClr="000000"/>
                    </a:solidFill>
                    <a:latin typeface="Arial" panose="020B0604020202020204" pitchFamily="34" charset="0"/>
                    <a:ea typeface="+mn-ea"/>
                    <a:cs typeface="Arial" panose="020B0604020202020204" pitchFamily="34" charset="0"/>
                  </a:rPr>
                  <a:t> mld</a:t>
                </a:r>
                <a:r>
                  <a:rPr lang="cs-CZ" sz="700" b="0" i="1"/>
                  <a:t>. korun)</a:t>
                </a:r>
              </a:p>
            </c:rich>
          </c:tx>
          <c:overlay val="0"/>
        </c:title>
        <c:numFmt formatCode="0" sourceLinked="0"/>
        <c:majorTickMark val="out"/>
        <c:minorTickMark val="none"/>
        <c:tickLblPos val="nextTo"/>
        <c:spPr>
          <a:ln w="6350">
            <a:solidFill>
              <a:schemeClr val="tx1"/>
            </a:solidFill>
          </a:ln>
        </c:spPr>
        <c:crossAx val="72836608"/>
        <c:crosses val="max"/>
        <c:crossBetween val="between"/>
        <c:majorUnit val="20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1.3271238604906565E-2"/>
          <c:y val="0.83696214669034863"/>
          <c:w val="0.96476067347509487"/>
          <c:h val="0.15176133786848073"/>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45E-2"/>
          <c:y val="2.8458510079622041E-2"/>
          <c:w val="0.93688386524822698"/>
          <c:h val="0.6497469886299676"/>
        </c:manualLayout>
      </c:layout>
      <c:barChart>
        <c:barDir val="col"/>
        <c:grouping val="stacked"/>
        <c:varyColors val="0"/>
        <c:ser>
          <c:idx val="5"/>
          <c:order val="1"/>
          <c:tx>
            <c:strRef>
              <c:f>'souhrnná výkonnost 3'!$D$5</c:f>
              <c:strCache>
                <c:ptCount val="1"/>
                <c:pt idx="0">
                  <c:v>Výdaje na konečnou spotřebu domácností (vč. nezisk. inst.)</c:v>
                </c:pt>
              </c:strCache>
            </c:strRef>
          </c:tx>
          <c:spPr>
            <a:solidFill>
              <a:srgbClr val="0071BC"/>
            </a:solidFill>
            <a:ln>
              <a:noFill/>
            </a:ln>
          </c:spPr>
          <c:invertIfNegative val="0"/>
          <c:val>
            <c:numRef>
              <c:f>'souhrnná výkonnost 3'!$D$22:$D$45</c:f>
              <c:numCache>
                <c:formatCode>#\ ##0.0</c:formatCode>
                <c:ptCount val="24"/>
                <c:pt idx="0">
                  <c:v>0.93618616091517504</c:v>
                </c:pt>
                <c:pt idx="1">
                  <c:v>0.87008623065588986</c:v>
                </c:pt>
                <c:pt idx="2">
                  <c:v>1.088831374618116</c:v>
                </c:pt>
                <c:pt idx="3">
                  <c:v>0.98663697427429853</c:v>
                </c:pt>
                <c:pt idx="4">
                  <c:v>1.1317605173808631</c:v>
                </c:pt>
                <c:pt idx="5">
                  <c:v>1.4117084709383003</c:v>
                </c:pt>
                <c:pt idx="6">
                  <c:v>1.3280225164734749</c:v>
                </c:pt>
                <c:pt idx="7">
                  <c:v>1.0794473419672266</c:v>
                </c:pt>
                <c:pt idx="8">
                  <c:v>1.580542821710847</c:v>
                </c:pt>
                <c:pt idx="9">
                  <c:v>1.2036281398321482</c:v>
                </c:pt>
                <c:pt idx="10">
                  <c:v>0.99314647332669792</c:v>
                </c:pt>
                <c:pt idx="11">
                  <c:v>0.88688082354953479</c:v>
                </c:pt>
                <c:pt idx="12">
                  <c:v>0.92742283153358485</c:v>
                </c:pt>
                <c:pt idx="13">
                  <c:v>1.2648435786040815</c:v>
                </c:pt>
                <c:pt idx="14">
                  <c:v>1.0200882664173805</c:v>
                </c:pt>
                <c:pt idx="15">
                  <c:v>1.1768223210480195</c:v>
                </c:pt>
                <c:pt idx="16">
                  <c:v>-0.91830335911448924</c:v>
                </c:pt>
                <c:pt idx="17">
                  <c:v>-3.3026648907213207</c:v>
                </c:pt>
                <c:pt idx="18">
                  <c:v>-2.0346444917072359</c:v>
                </c:pt>
                <c:pt idx="19">
                  <c:v>-4.4970793086911476</c:v>
                </c:pt>
                <c:pt idx="20">
                  <c:v>-3.1666171635486613</c:v>
                </c:pt>
                <c:pt idx="21">
                  <c:v>1.6129832241900284</c:v>
                </c:pt>
                <c:pt idx="22">
                  <c:v>2.3018634017145203</c:v>
                </c:pt>
                <c:pt idx="23">
                  <c:v>3.7760323736067498</c:v>
                </c:pt>
              </c:numCache>
            </c:numRef>
          </c:val>
          <c:extLst>
            <c:ext xmlns:c16="http://schemas.microsoft.com/office/drawing/2014/chart" uri="{C3380CC4-5D6E-409C-BE32-E72D297353CC}">
              <c16:uniqueId val="{00000000-BA36-4CEA-9E92-DC2FCA587B2C}"/>
            </c:ext>
          </c:extLst>
        </c:ser>
        <c:ser>
          <c:idx val="4"/>
          <c:order val="2"/>
          <c:tx>
            <c:strRef>
              <c:f>'souhrnná výkonnost 3'!$E$5</c:f>
              <c:strCache>
                <c:ptCount val="1"/>
                <c:pt idx="0">
                  <c:v>Výdaje na konečnou spotřebu vládních institucí</c:v>
                </c:pt>
              </c:strCache>
            </c:strRef>
          </c:tx>
          <c:spPr>
            <a:solidFill>
              <a:srgbClr val="A6CDE8"/>
            </a:solidFill>
            <a:ln>
              <a:noFill/>
            </a:ln>
          </c:spPr>
          <c:invertIfNegative val="0"/>
          <c:val>
            <c:numRef>
              <c:f>'souhrnná výkonnost 3'!$E$22:$E$45</c:f>
              <c:numCache>
                <c:formatCode>#\ ##0.0</c:formatCode>
                <c:ptCount val="24"/>
                <c:pt idx="0">
                  <c:v>0.42019916860676243</c:v>
                </c:pt>
                <c:pt idx="1">
                  <c:v>0.46376177295031862</c:v>
                </c:pt>
                <c:pt idx="2">
                  <c:v>0.44114936351097495</c:v>
                </c:pt>
                <c:pt idx="3">
                  <c:v>0.47675559244176158</c:v>
                </c:pt>
                <c:pt idx="4">
                  <c:v>0.44404461559069486</c:v>
                </c:pt>
                <c:pt idx="5">
                  <c:v>0.37751399613724029</c:v>
                </c:pt>
                <c:pt idx="6">
                  <c:v>0.21407569926635237</c:v>
                </c:pt>
                <c:pt idx="7">
                  <c:v>0.2341267263946423</c:v>
                </c:pt>
                <c:pt idx="8">
                  <c:v>0.57862841580255708</c:v>
                </c:pt>
                <c:pt idx="9">
                  <c:v>0.55642773333565732</c:v>
                </c:pt>
                <c:pt idx="10">
                  <c:v>0.89021022766775593</c:v>
                </c:pt>
                <c:pt idx="11">
                  <c:v>0.75191010842186412</c:v>
                </c:pt>
                <c:pt idx="12">
                  <c:v>0.41419150368088392</c:v>
                </c:pt>
                <c:pt idx="13">
                  <c:v>0.52913615091977828</c:v>
                </c:pt>
                <c:pt idx="14">
                  <c:v>0.42716769248184294</c:v>
                </c:pt>
                <c:pt idx="15">
                  <c:v>0.3389878995673522</c:v>
                </c:pt>
                <c:pt idx="16">
                  <c:v>0.69883245212185363</c:v>
                </c:pt>
                <c:pt idx="17">
                  <c:v>0.61496658870765319</c:v>
                </c:pt>
                <c:pt idx="18">
                  <c:v>0.42402640924857915</c:v>
                </c:pt>
                <c:pt idx="19">
                  <c:v>1.1052744191656214</c:v>
                </c:pt>
                <c:pt idx="20">
                  <c:v>0.43060267369243149</c:v>
                </c:pt>
                <c:pt idx="21">
                  <c:v>0.11834552709108449</c:v>
                </c:pt>
                <c:pt idx="22">
                  <c:v>0.60318680439500438</c:v>
                </c:pt>
                <c:pt idx="23">
                  <c:v>-1.1695072118974701E-2</c:v>
                </c:pt>
              </c:numCache>
            </c:numRef>
          </c:val>
          <c:extLst>
            <c:ext xmlns:c16="http://schemas.microsoft.com/office/drawing/2014/chart" uri="{C3380CC4-5D6E-409C-BE32-E72D297353CC}">
              <c16:uniqueId val="{00000001-BA36-4CEA-9E92-DC2FCA587B2C}"/>
            </c:ext>
          </c:extLst>
        </c:ser>
        <c:ser>
          <c:idx val="3"/>
          <c:order val="3"/>
          <c:tx>
            <c:strRef>
              <c:f>'souhrnná výkonnost 3'!$G$5</c:f>
              <c:strCache>
                <c:ptCount val="1"/>
                <c:pt idx="0">
                  <c:v>Tvorba hrubého kapitálu</c:v>
                </c:pt>
              </c:strCache>
            </c:strRef>
          </c:tx>
          <c:spPr>
            <a:solidFill>
              <a:srgbClr val="BD1B21"/>
            </a:solidFill>
            <a:ln>
              <a:noFill/>
            </a:ln>
          </c:spPr>
          <c:invertIfNegative val="0"/>
          <c:val>
            <c:numRef>
              <c:f>'souhrnná výkonnost 3'!$G$22:$G$45</c:f>
              <c:numCache>
                <c:formatCode>#\ ##0.0</c:formatCode>
                <c:ptCount val="24"/>
                <c:pt idx="0">
                  <c:v>0.16571758684643292</c:v>
                </c:pt>
                <c:pt idx="1">
                  <c:v>-1.6231279926014353</c:v>
                </c:pt>
                <c:pt idx="2">
                  <c:v>-0.9230024021929123</c:v>
                </c:pt>
                <c:pt idx="3">
                  <c:v>-0.55002076148293633</c:v>
                </c:pt>
                <c:pt idx="4">
                  <c:v>-1.2630660286446516</c:v>
                </c:pt>
                <c:pt idx="5">
                  <c:v>0.84009326563270514</c:v>
                </c:pt>
                <c:pt idx="6">
                  <c:v>1.6097758497475534</c:v>
                </c:pt>
                <c:pt idx="7">
                  <c:v>2.3721301843681739</c:v>
                </c:pt>
                <c:pt idx="8">
                  <c:v>2.8713468902027719</c:v>
                </c:pt>
                <c:pt idx="9">
                  <c:v>1.5905888817549036</c:v>
                </c:pt>
                <c:pt idx="10">
                  <c:v>1.9208851743389141</c:v>
                </c:pt>
                <c:pt idx="11">
                  <c:v>0.56073143718343366</c:v>
                </c:pt>
                <c:pt idx="12">
                  <c:v>1.5826437930914861</c:v>
                </c:pt>
                <c:pt idx="13">
                  <c:v>-0.15800458401897696</c:v>
                </c:pt>
                <c:pt idx="14">
                  <c:v>5.6924086841567925E-2</c:v>
                </c:pt>
                <c:pt idx="15">
                  <c:v>2.5116661705287227</c:v>
                </c:pt>
                <c:pt idx="16">
                  <c:v>-0.61859997120139953</c:v>
                </c:pt>
                <c:pt idx="17">
                  <c:v>-0.1104431651754639</c:v>
                </c:pt>
                <c:pt idx="18">
                  <c:v>-3.8589775640830584</c:v>
                </c:pt>
                <c:pt idx="19">
                  <c:v>-5.2855728465562315</c:v>
                </c:pt>
                <c:pt idx="20">
                  <c:v>0.57922354924076469</c:v>
                </c:pt>
                <c:pt idx="21">
                  <c:v>2.2207484570789635</c:v>
                </c:pt>
                <c:pt idx="22">
                  <c:v>6.3746425914291196</c:v>
                </c:pt>
                <c:pt idx="23">
                  <c:v>6.2592975939505235</c:v>
                </c:pt>
              </c:numCache>
            </c:numRef>
          </c:val>
          <c:extLst>
            <c:ext xmlns:c16="http://schemas.microsoft.com/office/drawing/2014/chart" uri="{C3380CC4-5D6E-409C-BE32-E72D297353CC}">
              <c16:uniqueId val="{00000002-BA36-4CEA-9E92-DC2FCA587B2C}"/>
            </c:ext>
          </c:extLst>
        </c:ser>
        <c:ser>
          <c:idx val="1"/>
          <c:order val="4"/>
          <c:tx>
            <c:strRef>
              <c:f>'souhrnná výkonnost 3'!$F$5</c:f>
              <c:strCache>
                <c:ptCount val="1"/>
                <c:pt idx="0">
                  <c:v>Bilance zahraničního obchodu</c:v>
                </c:pt>
              </c:strCache>
            </c:strRef>
          </c:tx>
          <c:spPr>
            <a:solidFill>
              <a:srgbClr val="7DBB2D"/>
            </a:solidFill>
            <a:ln>
              <a:noFill/>
            </a:ln>
          </c:spPr>
          <c:invertIfNegative val="0"/>
          <c:val>
            <c:numRef>
              <c:f>'souhrnná výkonnost 3'!$F$22:$F$45</c:f>
              <c:numCache>
                <c:formatCode>#\ ##0.0</c:formatCode>
                <c:ptCount val="24"/>
                <c:pt idx="0">
                  <c:v>1.8167152604552226</c:v>
                </c:pt>
                <c:pt idx="1">
                  <c:v>2.4919364052715784</c:v>
                </c:pt>
                <c:pt idx="2">
                  <c:v>1.2934583130738089</c:v>
                </c:pt>
                <c:pt idx="3">
                  <c:v>1.1926166397447078</c:v>
                </c:pt>
                <c:pt idx="4">
                  <c:v>3.1780322387555695</c:v>
                </c:pt>
                <c:pt idx="5">
                  <c:v>3.4186500578903547</c:v>
                </c:pt>
                <c:pt idx="6">
                  <c:v>2.6451757604214197</c:v>
                </c:pt>
                <c:pt idx="7">
                  <c:v>2.134600536374907</c:v>
                </c:pt>
                <c:pt idx="8">
                  <c:v>-0.34846185861429246</c:v>
                </c:pt>
                <c:pt idx="9">
                  <c:v>-0.77956175506757264</c:v>
                </c:pt>
                <c:pt idx="10">
                  <c:v>-1.1814783274089611</c:v>
                </c:pt>
                <c:pt idx="11">
                  <c:v>0.25173122797348579</c:v>
                </c:pt>
                <c:pt idx="12">
                  <c:v>4.8271345411210476E-4</c:v>
                </c:pt>
                <c:pt idx="13">
                  <c:v>1.3310256349867293</c:v>
                </c:pt>
                <c:pt idx="14">
                  <c:v>1.3927593162025209</c:v>
                </c:pt>
                <c:pt idx="15">
                  <c:v>-1.1986582855082308</c:v>
                </c:pt>
                <c:pt idx="16">
                  <c:v>-0.70704049567154237</c:v>
                </c:pt>
                <c:pt idx="17">
                  <c:v>-8.1880750230478405</c:v>
                </c:pt>
                <c:pt idx="18">
                  <c:v>-4.2914045921098154E-2</c:v>
                </c:pt>
                <c:pt idx="19">
                  <c:v>3.3212284987957057</c:v>
                </c:pt>
                <c:pt idx="20">
                  <c:v>-0.16534204693329047</c:v>
                </c:pt>
                <c:pt idx="21">
                  <c:v>4.7252118989575322</c:v>
                </c:pt>
                <c:pt idx="22">
                  <c:v>-5.84839288431602</c:v>
                </c:pt>
                <c:pt idx="23">
                  <c:v>-6.4580960472915736</c:v>
                </c:pt>
              </c:numCache>
            </c:numRef>
          </c:val>
          <c:extLst>
            <c:ext xmlns:c16="http://schemas.microsoft.com/office/drawing/2014/chart" uri="{C3380CC4-5D6E-409C-BE32-E72D297353CC}">
              <c16:uniqueId val="{00000003-BA36-4CEA-9E92-DC2FCA587B2C}"/>
            </c:ext>
          </c:extLst>
        </c:ser>
        <c:dLbls>
          <c:showLegendKey val="0"/>
          <c:showVal val="0"/>
          <c:showCatName val="0"/>
          <c:showSerName val="0"/>
          <c:showPercent val="0"/>
          <c:showBubbleSize val="0"/>
        </c:dLbls>
        <c:gapWidth val="40"/>
        <c:overlap val="100"/>
        <c:axId val="267591040"/>
        <c:axId val="267605120"/>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'souhrnná výkonnost 3'!$C$22:$C$45</c:f>
              <c:numCache>
                <c:formatCode>#\ ##0.0</c:formatCode>
                <c:ptCount val="24"/>
                <c:pt idx="0">
                  <c:v>3.3935594356915999</c:v>
                </c:pt>
                <c:pt idx="1">
                  <c:v>2.2554753959572764</c:v>
                </c:pt>
                <c:pt idx="2">
                  <c:v>1.9595326225544341</c:v>
                </c:pt>
                <c:pt idx="3">
                  <c:v>2.1706344977514362</c:v>
                </c:pt>
                <c:pt idx="4">
                  <c:v>3.5703737623319967</c:v>
                </c:pt>
                <c:pt idx="5">
                  <c:v>6.1313612268321123</c:v>
                </c:pt>
                <c:pt idx="6">
                  <c:v>5.8793927561599588</c:v>
                </c:pt>
                <c:pt idx="7">
                  <c:v>5.8948496206722893</c:v>
                </c:pt>
                <c:pt idx="8">
                  <c:v>4.8044975547299202</c:v>
                </c:pt>
                <c:pt idx="9">
                  <c:v>2.6817571455975582</c:v>
                </c:pt>
                <c:pt idx="10">
                  <c:v>2.7294056681603536</c:v>
                </c:pt>
                <c:pt idx="11">
                  <c:v>2.5583059250702433</c:v>
                </c:pt>
                <c:pt idx="12">
                  <c:v>2.9672187450501895</c:v>
                </c:pt>
                <c:pt idx="13">
                  <c:v>3.0195256065361349</c:v>
                </c:pt>
                <c:pt idx="14">
                  <c:v>2.9551413626175673</c:v>
                </c:pt>
                <c:pt idx="15">
                  <c:v>2.8845629323214155</c:v>
                </c:pt>
                <c:pt idx="16">
                  <c:v>-1.4789706833147562</c:v>
                </c:pt>
                <c:pt idx="17">
                  <c:v>-10.941068998528863</c:v>
                </c:pt>
                <c:pt idx="18">
                  <c:v>-5.4805545556813797</c:v>
                </c:pt>
                <c:pt idx="19">
                  <c:v>-5.3144927200724794</c:v>
                </c:pt>
                <c:pt idx="20">
                  <c:v>-2.3042044581447954</c:v>
                </c:pt>
                <c:pt idx="21">
                  <c:v>8.7242144058262738</c:v>
                </c:pt>
                <c:pt idx="22">
                  <c:v>3.4881761054292042</c:v>
                </c:pt>
                <c:pt idx="23">
                  <c:v>3.6144825372438589</c:v>
                </c:pt>
              </c:numCache>
            </c:numRef>
          </c:val>
          <c:smooth val="0"/>
          <c:extLst>
            <c:ext xmlns:c16="http://schemas.microsoft.com/office/drawing/2014/chart" uri="{C3380CC4-5D6E-409C-BE32-E72D297353CC}">
              <c16:uniqueId val="{00000004-BA36-4CEA-9E92-DC2FCA587B2C}"/>
            </c:ext>
          </c:extLst>
        </c:ser>
        <c:dLbls>
          <c:showLegendKey val="0"/>
          <c:showVal val="0"/>
          <c:showCatName val="0"/>
          <c:showSerName val="0"/>
          <c:showPercent val="0"/>
          <c:showBubbleSize val="0"/>
        </c:dLbls>
        <c:marker val="1"/>
        <c:smooth val="0"/>
        <c:axId val="267591040"/>
        <c:axId val="267605120"/>
      </c:lineChart>
      <c:catAx>
        <c:axId val="267591040"/>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7605120"/>
        <c:crosses val="autoZero"/>
        <c:auto val="1"/>
        <c:lblAlgn val="ctr"/>
        <c:lblOffset val="100"/>
        <c:noMultiLvlLbl val="0"/>
      </c:catAx>
      <c:valAx>
        <c:axId val="267605120"/>
        <c:scaling>
          <c:orientation val="minMax"/>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591040"/>
        <c:crosses val="autoZero"/>
        <c:crossBetween val="between"/>
        <c:majorUnit val="3"/>
      </c:valAx>
      <c:spPr>
        <a:ln>
          <a:solidFill>
            <a:schemeClr val="tx1"/>
          </a:solidFill>
        </a:ln>
      </c:spPr>
    </c:plotArea>
    <c:legend>
      <c:legendPos val="b"/>
      <c:layout>
        <c:manualLayout>
          <c:xMode val="edge"/>
          <c:yMode val="edge"/>
          <c:x val="4.7571766295170556E-2"/>
          <c:y val="0.79301446583361457"/>
          <c:w val="0.9378159827760891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82E-2"/>
          <c:y val="2.9499886988623526E-2"/>
          <c:w val="0.9260266801756164"/>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4'!$C$22:$C$45</c:f>
              <c:numCache>
                <c:formatCode>#\ ##0.0</c:formatCode>
                <c:ptCount val="24"/>
                <c:pt idx="0">
                  <c:v>9.4765725889982E-2</c:v>
                </c:pt>
                <c:pt idx="1">
                  <c:v>0.15637528256042468</c:v>
                </c:pt>
                <c:pt idx="2">
                  <c:v>0.1869741986923065</c:v>
                </c:pt>
                <c:pt idx="3">
                  <c:v>7.7625901535376199E-2</c:v>
                </c:pt>
                <c:pt idx="4">
                  <c:v>-1.3383627512345413E-2</c:v>
                </c:pt>
                <c:pt idx="5">
                  <c:v>-0.10833526835550926</c:v>
                </c:pt>
                <c:pt idx="6">
                  <c:v>-0.17417145567790579</c:v>
                </c:pt>
                <c:pt idx="7">
                  <c:v>-5.6339788104083438E-2</c:v>
                </c:pt>
                <c:pt idx="8">
                  <c:v>3.3108455773835969E-2</c:v>
                </c:pt>
                <c:pt idx="9">
                  <c:v>6.7464623058102177E-2</c:v>
                </c:pt>
                <c:pt idx="10">
                  <c:v>0.13279889414520776</c:v>
                </c:pt>
                <c:pt idx="11">
                  <c:v>0.13730282461152749</c:v>
                </c:pt>
                <c:pt idx="12">
                  <c:v>8.2716288855485917E-2</c:v>
                </c:pt>
                <c:pt idx="13">
                  <c:v>9.2139384026042048E-2</c:v>
                </c:pt>
                <c:pt idx="14">
                  <c:v>0.10854763671027451</c:v>
                </c:pt>
                <c:pt idx="15">
                  <c:v>0.11881072235188453</c:v>
                </c:pt>
                <c:pt idx="16">
                  <c:v>0.14176672431872625</c:v>
                </c:pt>
                <c:pt idx="17">
                  <c:v>0.11249081704706697</c:v>
                </c:pt>
                <c:pt idx="18">
                  <c:v>0.13981604653752278</c:v>
                </c:pt>
                <c:pt idx="19">
                  <c:v>0.14108758003622204</c:v>
                </c:pt>
                <c:pt idx="20">
                  <c:v>0.17907455901827043</c:v>
                </c:pt>
                <c:pt idx="21">
                  <c:v>7.2580994222563006E-2</c:v>
                </c:pt>
                <c:pt idx="22">
                  <c:v>-1.6518947586400917E-2</c:v>
                </c:pt>
                <c:pt idx="23">
                  <c:v>-4.8864342909504272E-3</c:v>
                </c:pt>
              </c:numCache>
            </c:numRef>
          </c:val>
          <c:extLst>
            <c:ext xmlns:c16="http://schemas.microsoft.com/office/drawing/2014/chart" uri="{C3380CC4-5D6E-409C-BE32-E72D297353CC}">
              <c16:uniqueId val="{00000000-DD1F-4F30-A4CE-9BB2BC647EFD}"/>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4'!$D$22:$D$45</c:f>
              <c:numCache>
                <c:formatCode>#\ ##0.0</c:formatCode>
                <c:ptCount val="24"/>
                <c:pt idx="0">
                  <c:v>1.6106591209137211</c:v>
                </c:pt>
                <c:pt idx="1">
                  <c:v>0.76053941356552957</c:v>
                </c:pt>
                <c:pt idx="2">
                  <c:v>0.94570363726203222</c:v>
                </c:pt>
                <c:pt idx="3">
                  <c:v>1.2222885842881583</c:v>
                </c:pt>
                <c:pt idx="4">
                  <c:v>1.3672331304188452</c:v>
                </c:pt>
                <c:pt idx="5">
                  <c:v>3.1345037144202608</c:v>
                </c:pt>
                <c:pt idx="6">
                  <c:v>3.0577731838821371</c:v>
                </c:pt>
                <c:pt idx="7">
                  <c:v>2.3545310158669421</c:v>
                </c:pt>
                <c:pt idx="8">
                  <c:v>1.5576365516094002</c:v>
                </c:pt>
                <c:pt idx="9">
                  <c:v>0.11177812966818869</c:v>
                </c:pt>
                <c:pt idx="10">
                  <c:v>3.2580368933372936E-3</c:v>
                </c:pt>
                <c:pt idx="11">
                  <c:v>0.30391701062646553</c:v>
                </c:pt>
                <c:pt idx="12">
                  <c:v>0.83241284936767035</c:v>
                </c:pt>
                <c:pt idx="13">
                  <c:v>1.3015365945875272</c:v>
                </c:pt>
                <c:pt idx="14">
                  <c:v>1.3300175165245307</c:v>
                </c:pt>
                <c:pt idx="15">
                  <c:v>1.0288201442114486</c:v>
                </c:pt>
                <c:pt idx="16">
                  <c:v>-0.53997016525009367</c:v>
                </c:pt>
                <c:pt idx="17">
                  <c:v>-5.0059253286549321</c:v>
                </c:pt>
                <c:pt idx="18">
                  <c:v>-1.4512995132900004</c:v>
                </c:pt>
                <c:pt idx="19">
                  <c:v>-0.93383709307716245</c:v>
                </c:pt>
                <c:pt idx="20">
                  <c:v>0.24271724395204189</c:v>
                </c:pt>
                <c:pt idx="21">
                  <c:v>5.2181249784767765</c:v>
                </c:pt>
                <c:pt idx="22">
                  <c:v>-5.9668958535163859E-3</c:v>
                </c:pt>
                <c:pt idx="23">
                  <c:v>-0.83218811351061661</c:v>
                </c:pt>
              </c:numCache>
            </c:numRef>
          </c:val>
          <c:extLst>
            <c:ext xmlns:c16="http://schemas.microsoft.com/office/drawing/2014/chart" uri="{C3380CC4-5D6E-409C-BE32-E72D297353CC}">
              <c16:uniqueId val="{00000001-DD1F-4F30-A4CE-9BB2BC647EFD}"/>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4'!$E$22:$E$45</c:f>
              <c:numCache>
                <c:formatCode>#\ ##0.0</c:formatCode>
                <c:ptCount val="24"/>
                <c:pt idx="0">
                  <c:v>-0.60910811421333144</c:v>
                </c:pt>
                <c:pt idx="1">
                  <c:v>-0.22876574071995925</c:v>
                </c:pt>
                <c:pt idx="2">
                  <c:v>-0.20221592700743152</c:v>
                </c:pt>
                <c:pt idx="3">
                  <c:v>1.1159198434038675E-3</c:v>
                </c:pt>
                <c:pt idx="4">
                  <c:v>0.19369937090646161</c:v>
                </c:pt>
                <c:pt idx="5">
                  <c:v>8.7518834667852374E-2</c:v>
                </c:pt>
                <c:pt idx="6">
                  <c:v>0.12818764673017169</c:v>
                </c:pt>
                <c:pt idx="7">
                  <c:v>-3.2004861050359601E-2</c:v>
                </c:pt>
                <c:pt idx="8">
                  <c:v>-0.10299697854726397</c:v>
                </c:pt>
                <c:pt idx="9">
                  <c:v>-3.2072706595271713E-2</c:v>
                </c:pt>
                <c:pt idx="10" formatCode="General">
                  <c:v>8.1524592449955802E-2</c:v>
                </c:pt>
                <c:pt idx="11" formatCode="General">
                  <c:v>-6.1061461784250731E-2</c:v>
                </c:pt>
                <c:pt idx="12" formatCode="General">
                  <c:v>-0.20672058053663489</c:v>
                </c:pt>
                <c:pt idx="13" formatCode="General">
                  <c:v>-0.37407520858030863</c:v>
                </c:pt>
                <c:pt idx="14" formatCode="General">
                  <c:v>-0.71461913133162358</c:v>
                </c:pt>
                <c:pt idx="15" formatCode="General">
                  <c:v>-0.46214248963662286</c:v>
                </c:pt>
                <c:pt idx="16" formatCode="General">
                  <c:v>-0.81690718824149333</c:v>
                </c:pt>
                <c:pt idx="17" formatCode="General">
                  <c:v>-0.98259068427443541</c:v>
                </c:pt>
                <c:pt idx="18" formatCode="General">
                  <c:v>-0.69616872252867079</c:v>
                </c:pt>
                <c:pt idx="19" formatCode="General">
                  <c:v>-0.50667466553829965</c:v>
                </c:pt>
                <c:pt idx="20" formatCode="General">
                  <c:v>-5.7498028336359225E-2</c:v>
                </c:pt>
                <c:pt idx="21" formatCode="General">
                  <c:v>1.7794028640025772E-2</c:v>
                </c:pt>
                <c:pt idx="22" formatCode="General">
                  <c:v>-6.867840102346405E-2</c:v>
                </c:pt>
                <c:pt idx="23" formatCode="General">
                  <c:v>0.13921600992350913</c:v>
                </c:pt>
              </c:numCache>
            </c:numRef>
          </c:val>
          <c:extLst>
            <c:ext xmlns:c16="http://schemas.microsoft.com/office/drawing/2014/chart" uri="{C3380CC4-5D6E-409C-BE32-E72D297353CC}">
              <c16:uniqueId val="{00000002-DD1F-4F30-A4CE-9BB2BC647EFD}"/>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4'!$F$22:$F$45</c:f>
              <c:numCache>
                <c:formatCode>#\ ##0.0</c:formatCode>
                <c:ptCount val="24"/>
                <c:pt idx="0">
                  <c:v>-0.13118840376974297</c:v>
                </c:pt>
                <c:pt idx="1">
                  <c:v>-0.28594902920034482</c:v>
                </c:pt>
                <c:pt idx="2">
                  <c:v>-0.26701712597535621</c:v>
                </c:pt>
                <c:pt idx="3">
                  <c:v>-0.18704467160622129</c:v>
                </c:pt>
                <c:pt idx="4">
                  <c:v>-0.1200139265751739</c:v>
                </c:pt>
                <c:pt idx="5">
                  <c:v>0.12420386515100609</c:v>
                </c:pt>
                <c:pt idx="6">
                  <c:v>7.1592239994959186E-2</c:v>
                </c:pt>
                <c:pt idx="7">
                  <c:v>0.17310415185088521</c:v>
                </c:pt>
                <c:pt idx="8">
                  <c:v>0.12249795664753446</c:v>
                </c:pt>
                <c:pt idx="9">
                  <c:v>-4.2660685745634658E-3</c:v>
                </c:pt>
                <c:pt idx="10">
                  <c:v>-1.804304477728428E-2</c:v>
                </c:pt>
                <c:pt idx="11">
                  <c:v>-0.11218045217553656</c:v>
                </c:pt>
                <c:pt idx="12">
                  <c:v>-0.20636296686894753</c:v>
                </c:pt>
                <c:pt idx="13">
                  <c:v>-6.4792774942168993E-2</c:v>
                </c:pt>
                <c:pt idx="14">
                  <c:v>-7.9269271643787567E-2</c:v>
                </c:pt>
                <c:pt idx="15">
                  <c:v>-5.6020948993661966E-2</c:v>
                </c:pt>
                <c:pt idx="16">
                  <c:v>-0.19166724504190716</c:v>
                </c:pt>
                <c:pt idx="17">
                  <c:v>-0.60285314635125042</c:v>
                </c:pt>
                <c:pt idx="18">
                  <c:v>-0.54705863394275789</c:v>
                </c:pt>
                <c:pt idx="19">
                  <c:v>-0.62000534365189297</c:v>
                </c:pt>
                <c:pt idx="20">
                  <c:v>-0.35123055389716473</c:v>
                </c:pt>
                <c:pt idx="21">
                  <c:v>0.1313633063695519</c:v>
                </c:pt>
                <c:pt idx="22">
                  <c:v>0.19301461453144203</c:v>
                </c:pt>
                <c:pt idx="23">
                  <c:v>0.24724649400132864</c:v>
                </c:pt>
              </c:numCache>
            </c:numRef>
          </c:val>
          <c:extLst>
            <c:ext xmlns:c16="http://schemas.microsoft.com/office/drawing/2014/chart" uri="{C3380CC4-5D6E-409C-BE32-E72D297353CC}">
              <c16:uniqueId val="{00000003-DD1F-4F30-A4CE-9BB2BC647EFD}"/>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4'!$G$22:$G$45</c:f>
              <c:numCache>
                <c:formatCode>#\ ##0.0</c:formatCode>
                <c:ptCount val="24"/>
                <c:pt idx="0">
                  <c:v>2.2780910878465543</c:v>
                </c:pt>
                <c:pt idx="1">
                  <c:v>1.7791133450565915</c:v>
                </c:pt>
                <c:pt idx="2">
                  <c:v>1.1751996503140407</c:v>
                </c:pt>
                <c:pt idx="3">
                  <c:v>1.1971206910823469</c:v>
                </c:pt>
                <c:pt idx="4">
                  <c:v>2.1480829000947486</c:v>
                </c:pt>
                <c:pt idx="5">
                  <c:v>3.0747805417077498</c:v>
                </c:pt>
                <c:pt idx="6">
                  <c:v>2.9994469566684199</c:v>
                </c:pt>
                <c:pt idx="7">
                  <c:v>3.2896815901667287</c:v>
                </c:pt>
                <c:pt idx="8">
                  <c:v>3.1749514751083248</c:v>
                </c:pt>
                <c:pt idx="9">
                  <c:v>2.6275397496035438</c:v>
                </c:pt>
                <c:pt idx="10" formatCode="General">
                  <c:v>2.7719971256974341</c:v>
                </c:pt>
                <c:pt idx="11" formatCode="General">
                  <c:v>2.5972842205241453</c:v>
                </c:pt>
                <c:pt idx="12" formatCode="General">
                  <c:v>2.508296604685702</c:v>
                </c:pt>
                <c:pt idx="13" formatCode="General">
                  <c:v>2.0834684133018309</c:v>
                </c:pt>
                <c:pt idx="14" formatCode="General">
                  <c:v>2.1657395752754183</c:v>
                </c:pt>
                <c:pt idx="15" formatCode="General">
                  <c:v>2.2150289387573601</c:v>
                </c:pt>
                <c:pt idx="16" formatCode="General">
                  <c:v>0.34230053373551261</c:v>
                </c:pt>
                <c:pt idx="17" formatCode="General">
                  <c:v>-4.6560146884593276</c:v>
                </c:pt>
                <c:pt idx="18" formatCode="General">
                  <c:v>-2.6811516290968198</c:v>
                </c:pt>
                <c:pt idx="19" formatCode="General">
                  <c:v>-3.0565525802031988</c:v>
                </c:pt>
                <c:pt idx="20" formatCode="General">
                  <c:v>-2.4438672761711628</c:v>
                </c:pt>
                <c:pt idx="21" formatCode="General">
                  <c:v>3.4300084237309272</c:v>
                </c:pt>
                <c:pt idx="22" formatCode="General">
                  <c:v>3.0384982581294651</c:v>
                </c:pt>
                <c:pt idx="23" formatCode="General">
                  <c:v>3.3466568230798779</c:v>
                </c:pt>
              </c:numCache>
            </c:numRef>
          </c:val>
          <c:extLst>
            <c:ext xmlns:c16="http://schemas.microsoft.com/office/drawing/2014/chart" uri="{C3380CC4-5D6E-409C-BE32-E72D297353CC}">
              <c16:uniqueId val="{00000004-DD1F-4F30-A4CE-9BB2BC647EFD}"/>
            </c:ext>
          </c:extLst>
        </c:ser>
        <c:dLbls>
          <c:showLegendKey val="0"/>
          <c:showVal val="0"/>
          <c:showCatName val="0"/>
          <c:showSerName val="0"/>
          <c:showPercent val="0"/>
          <c:showBubbleSize val="0"/>
        </c:dLbls>
        <c:gapWidth val="70"/>
        <c:overlap val="100"/>
        <c:axId val="269005952"/>
        <c:axId val="269007488"/>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'souhrnná výkonnost 4'!$H$22:$H$45</c:f>
              <c:numCache>
                <c:formatCode>#\ ##0.0</c:formatCode>
                <c:ptCount val="24"/>
                <c:pt idx="0">
                  <c:v>3.2432073755742579</c:v>
                </c:pt>
                <c:pt idx="1">
                  <c:v>2.1812977926827415</c:v>
                </c:pt>
                <c:pt idx="2">
                  <c:v>1.8386996228235262</c:v>
                </c:pt>
                <c:pt idx="3">
                  <c:v>2.3109605829682209</c:v>
                </c:pt>
                <c:pt idx="4">
                  <c:v>3.5756277740391482</c:v>
                </c:pt>
                <c:pt idx="5">
                  <c:v>6.3126226044967666</c:v>
                </c:pt>
                <c:pt idx="6">
                  <c:v>6.0829220489310671</c:v>
                </c:pt>
                <c:pt idx="7">
                  <c:v>5.7291078447527326</c:v>
                </c:pt>
                <c:pt idx="8">
                  <c:v>4.8981845225873855</c:v>
                </c:pt>
                <c:pt idx="9">
                  <c:v>2.7705379621629049</c:v>
                </c:pt>
                <c:pt idx="10">
                  <c:v>2.9716135031952859</c:v>
                </c:pt>
                <c:pt idx="11">
                  <c:v>2.8650954448108195</c:v>
                </c:pt>
                <c:pt idx="12">
                  <c:v>3.0103555185936557</c:v>
                </c:pt>
                <c:pt idx="13">
                  <c:v>3.0382784412400667</c:v>
                </c:pt>
                <c:pt idx="14">
                  <c:v>2.810283179001118</c:v>
                </c:pt>
                <c:pt idx="15">
                  <c:v>2.8446208831943522</c:v>
                </c:pt>
                <c:pt idx="16">
                  <c:v>-1.0644038654311032</c:v>
                </c:pt>
                <c:pt idx="17">
                  <c:v>-11.134782014990577</c:v>
                </c:pt>
                <c:pt idx="18">
                  <c:v>-5.2357382347572923</c:v>
                </c:pt>
                <c:pt idx="19">
                  <c:v>-4.9764580569393075</c:v>
                </c:pt>
                <c:pt idx="20">
                  <c:v>-2.4310027971896631</c:v>
                </c:pt>
                <c:pt idx="21">
                  <c:v>8.8697916322969519</c:v>
                </c:pt>
                <c:pt idx="22">
                  <c:v>3.1401516384107282</c:v>
                </c:pt>
                <c:pt idx="23">
                  <c:v>2.8965979758565936</c:v>
                </c:pt>
              </c:numCache>
            </c:numRef>
          </c:val>
          <c:smooth val="0"/>
          <c:extLst>
            <c:ext xmlns:c16="http://schemas.microsoft.com/office/drawing/2014/chart" uri="{C3380CC4-5D6E-409C-BE32-E72D297353CC}">
              <c16:uniqueId val="{00000005-DD1F-4F30-A4CE-9BB2BC647EFD}"/>
            </c:ext>
          </c:extLst>
        </c:ser>
        <c:dLbls>
          <c:showLegendKey val="0"/>
          <c:showVal val="0"/>
          <c:showCatName val="0"/>
          <c:showSerName val="0"/>
          <c:showPercent val="0"/>
          <c:showBubbleSize val="0"/>
        </c:dLbls>
        <c:marker val="1"/>
        <c:smooth val="0"/>
        <c:axId val="269005952"/>
        <c:axId val="269007488"/>
      </c:lineChart>
      <c:catAx>
        <c:axId val="26900595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9007488"/>
        <c:crosses val="autoZero"/>
        <c:auto val="1"/>
        <c:lblAlgn val="ctr"/>
        <c:lblOffset val="100"/>
        <c:noMultiLvlLbl val="0"/>
      </c:catAx>
      <c:valAx>
        <c:axId val="269007488"/>
        <c:scaling>
          <c:orientation val="minMax"/>
          <c:max val="9"/>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9005952"/>
        <c:crosses val="autoZero"/>
        <c:crossBetween val="between"/>
        <c:majorUnit val="3"/>
      </c:valAx>
      <c:spPr>
        <a:ln>
          <a:solidFill>
            <a:schemeClr val="tx1"/>
          </a:solidFill>
        </a:ln>
      </c:spPr>
    </c:plotArea>
    <c:legend>
      <c:legendPos val="b"/>
      <c:layout>
        <c:manualLayout>
          <c:xMode val="edge"/>
          <c:yMode val="edge"/>
          <c:x val="5.4144292468760548E-2"/>
          <c:y val="0.79016604750647301"/>
          <c:w val="0.92386482607227283"/>
          <c:h val="0.1946248452099494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964570317024053E-2"/>
          <c:y val="1.6203564535994225E-2"/>
          <c:w val="0.93146421518997324"/>
          <c:h val="0.72261665159978317"/>
        </c:manualLayout>
      </c:layout>
      <c:barChart>
        <c:barDir val="col"/>
        <c:grouping val="stacked"/>
        <c:varyColors val="0"/>
        <c:ser>
          <c:idx val="0"/>
          <c:order val="0"/>
          <c:tx>
            <c:strRef>
              <c:f>'GRAF příspěvky IPP'!$AX$27</c:f>
              <c:strCache>
                <c:ptCount val="1"/>
                <c:pt idx="0">
                  <c:v>Výroba dopravních prostředků (29, 30)</c:v>
                </c:pt>
              </c:strCache>
            </c:strRef>
          </c:tx>
          <c:spPr>
            <a:solidFill>
              <a:srgbClr val="E8AFB2"/>
            </a:solidFill>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IPP'!$AY$27:$BI$27</c:f>
              <c:numCache>
                <c:formatCode>0.0</c:formatCode>
                <c:ptCount val="11"/>
                <c:pt idx="0">
                  <c:v>4.0187040552281479</c:v>
                </c:pt>
                <c:pt idx="1">
                  <c:v>0.27559267265750659</c:v>
                </c:pt>
                <c:pt idx="2">
                  <c:v>-0.37158555124836035</c:v>
                </c:pt>
                <c:pt idx="3">
                  <c:v>2.2485645301168762</c:v>
                </c:pt>
                <c:pt idx="4">
                  <c:v>2.2460585189047308</c:v>
                </c:pt>
                <c:pt idx="5">
                  <c:v>2.1324764387372728</c:v>
                </c:pt>
                <c:pt idx="6">
                  <c:v>1.7874918438614782</c:v>
                </c:pt>
                <c:pt idx="7">
                  <c:v>0.63356806260005483</c:v>
                </c:pt>
                <c:pt idx="8">
                  <c:v>-1.6681964490201845E-2</c:v>
                </c:pt>
                <c:pt idx="9">
                  <c:v>-2.3389403330391949</c:v>
                </c:pt>
                <c:pt idx="10">
                  <c:v>1.1004281540367753</c:v>
                </c:pt>
              </c:numCache>
            </c:numRef>
          </c:val>
          <c:extLst>
            <c:ext xmlns:c16="http://schemas.microsoft.com/office/drawing/2014/chart" uri="{C3380CC4-5D6E-409C-BE32-E72D297353CC}">
              <c16:uniqueId val="{00000000-BBF1-4FAD-8669-4A4EE11445E6}"/>
            </c:ext>
          </c:extLst>
        </c:ser>
        <c:ser>
          <c:idx val="1"/>
          <c:order val="1"/>
          <c:tx>
            <c:strRef>
              <c:f>'GRAF příspěvky IPP'!$AX$28</c:f>
              <c:strCache>
                <c:ptCount val="1"/>
                <c:pt idx="0">
                  <c:v>Gumárenství, elektrotechnický pr. (22, 27)</c:v>
                </c:pt>
              </c:strCache>
            </c:strRef>
          </c:tx>
          <c:spPr>
            <a:solidFill>
              <a:srgbClr val="BD1B21"/>
            </a:solidFill>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IPP'!$AY$28:$BI$28</c:f>
              <c:numCache>
                <c:formatCode>0.0</c:formatCode>
                <c:ptCount val="11"/>
                <c:pt idx="0">
                  <c:v>1.0561338774336075</c:v>
                </c:pt>
                <c:pt idx="1">
                  <c:v>0.51953008943111678</c:v>
                </c:pt>
                <c:pt idx="2">
                  <c:v>8.9765115816348898E-2</c:v>
                </c:pt>
                <c:pt idx="3">
                  <c:v>0.86871515925583642</c:v>
                </c:pt>
                <c:pt idx="4">
                  <c:v>1.0707625358782411</c:v>
                </c:pt>
                <c:pt idx="5">
                  <c:v>0.41910973360039355</c:v>
                </c:pt>
                <c:pt idx="6">
                  <c:v>1.2013053357731418</c:v>
                </c:pt>
                <c:pt idx="7">
                  <c:v>0.4166398902590383</c:v>
                </c:pt>
                <c:pt idx="8">
                  <c:v>0.39132458065509379</c:v>
                </c:pt>
                <c:pt idx="9">
                  <c:v>-1.1404766766641485</c:v>
                </c:pt>
                <c:pt idx="10">
                  <c:v>1.4189264847146648</c:v>
                </c:pt>
              </c:numCache>
            </c:numRef>
          </c:val>
          <c:extLst>
            <c:ext xmlns:c16="http://schemas.microsoft.com/office/drawing/2014/chart" uri="{C3380CC4-5D6E-409C-BE32-E72D297353CC}">
              <c16:uniqueId val="{00000001-BBF1-4FAD-8669-4A4EE11445E6}"/>
            </c:ext>
          </c:extLst>
        </c:ser>
        <c:ser>
          <c:idx val="2"/>
          <c:order val="2"/>
          <c:tx>
            <c:strRef>
              <c:f>'GRAF příspěvky IPP'!$AX$29</c:f>
              <c:strCache>
                <c:ptCount val="1"/>
                <c:pt idx="0">
                  <c:v>Strojírenství (28)</c:v>
                </c:pt>
              </c:strCache>
            </c:strRef>
          </c:tx>
          <c:spPr>
            <a:solidFill>
              <a:srgbClr val="BFE3F7"/>
            </a:solidFill>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IPP'!$AY$29:$BI$29</c:f>
              <c:numCache>
                <c:formatCode>0.0</c:formatCode>
                <c:ptCount val="11"/>
                <c:pt idx="0">
                  <c:v>0.8820149645239056</c:v>
                </c:pt>
                <c:pt idx="1">
                  <c:v>0.2125728670028548</c:v>
                </c:pt>
                <c:pt idx="2">
                  <c:v>0.23027863853480524</c:v>
                </c:pt>
                <c:pt idx="3">
                  <c:v>0.29059305239257294</c:v>
                </c:pt>
                <c:pt idx="4">
                  <c:v>0.23933737728389862</c:v>
                </c:pt>
                <c:pt idx="5">
                  <c:v>0.19993549519672627</c:v>
                </c:pt>
                <c:pt idx="6">
                  <c:v>0.77144546321235496</c:v>
                </c:pt>
                <c:pt idx="7">
                  <c:v>0.14757910886737832</c:v>
                </c:pt>
                <c:pt idx="8">
                  <c:v>-6.8544223250247643E-2</c:v>
                </c:pt>
                <c:pt idx="9">
                  <c:v>-1.0549511596336691</c:v>
                </c:pt>
                <c:pt idx="10">
                  <c:v>0.68346484072350966</c:v>
                </c:pt>
              </c:numCache>
            </c:numRef>
          </c:val>
          <c:extLst>
            <c:ext xmlns:c16="http://schemas.microsoft.com/office/drawing/2014/chart" uri="{C3380CC4-5D6E-409C-BE32-E72D297353CC}">
              <c16:uniqueId val="{00000002-BBF1-4FAD-8669-4A4EE11445E6}"/>
            </c:ext>
          </c:extLst>
        </c:ser>
        <c:ser>
          <c:idx val="3"/>
          <c:order val="3"/>
          <c:tx>
            <c:strRef>
              <c:f>'GRAF příspěvky IPP'!$AX$30</c:f>
              <c:strCache>
                <c:ptCount val="1"/>
                <c:pt idx="0">
                  <c:v>Kovodělný průmysl (25)</c:v>
                </c:pt>
              </c:strCache>
            </c:strRef>
          </c:tx>
          <c:spPr>
            <a:solidFill>
              <a:srgbClr val="48AEE7"/>
            </a:solidFill>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IPP'!$AY$30:$BI$30</c:f>
              <c:numCache>
                <c:formatCode>0.0</c:formatCode>
                <c:ptCount val="11"/>
                <c:pt idx="0">
                  <c:v>0.47004717942139845</c:v>
                </c:pt>
                <c:pt idx="1">
                  <c:v>-5.3181834799391946E-2</c:v>
                </c:pt>
                <c:pt idx="2">
                  <c:v>0.23405360592326518</c:v>
                </c:pt>
                <c:pt idx="3">
                  <c:v>0.46286075204908445</c:v>
                </c:pt>
                <c:pt idx="4">
                  <c:v>0.76209689214442877</c:v>
                </c:pt>
                <c:pt idx="5">
                  <c:v>0.41678082791308829</c:v>
                </c:pt>
                <c:pt idx="6">
                  <c:v>0.78822249468106176</c:v>
                </c:pt>
                <c:pt idx="7">
                  <c:v>0.41632616980289383</c:v>
                </c:pt>
                <c:pt idx="8">
                  <c:v>-8.2911895741773378E-2</c:v>
                </c:pt>
                <c:pt idx="9">
                  <c:v>-0.78431333347895049</c:v>
                </c:pt>
                <c:pt idx="10">
                  <c:v>0.94371847243509843</c:v>
                </c:pt>
              </c:numCache>
            </c:numRef>
          </c:val>
          <c:extLst>
            <c:ext xmlns:c16="http://schemas.microsoft.com/office/drawing/2014/chart" uri="{C3380CC4-5D6E-409C-BE32-E72D297353CC}">
              <c16:uniqueId val="{00000003-BBF1-4FAD-8669-4A4EE11445E6}"/>
            </c:ext>
          </c:extLst>
        </c:ser>
        <c:ser>
          <c:idx val="4"/>
          <c:order val="4"/>
          <c:tx>
            <c:strRef>
              <c:f>'GRAF příspěvky IPP'!$AX$31</c:f>
              <c:strCache>
                <c:ptCount val="1"/>
                <c:pt idx="0">
                  <c:v>Hutnictví a slévárenství (24)</c:v>
                </c:pt>
              </c:strCache>
            </c:strRef>
          </c:tx>
          <c:spPr>
            <a:solidFill>
              <a:schemeClr val="accent3">
                <a:lumMod val="60000"/>
                <a:lumOff val="40000"/>
              </a:schemeClr>
            </a:solidFill>
            <a:ln>
              <a:noFill/>
            </a:ln>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IPP'!$AY$31:$BI$31</c:f>
              <c:numCache>
                <c:formatCode>0.0</c:formatCode>
                <c:ptCount val="11"/>
                <c:pt idx="0">
                  <c:v>0.2491058058288774</c:v>
                </c:pt>
                <c:pt idx="1">
                  <c:v>-0.33307225245083977</c:v>
                </c:pt>
                <c:pt idx="2">
                  <c:v>-5.2176280362576835E-2</c:v>
                </c:pt>
                <c:pt idx="3">
                  <c:v>9.1339936160471216E-2</c:v>
                </c:pt>
                <c:pt idx="4">
                  <c:v>-2.7582546328035994E-2</c:v>
                </c:pt>
                <c:pt idx="5">
                  <c:v>-3.5044086544851936E-2</c:v>
                </c:pt>
                <c:pt idx="6">
                  <c:v>-1.565550398235557E-2</c:v>
                </c:pt>
                <c:pt idx="7">
                  <c:v>8.0798811896574452E-2</c:v>
                </c:pt>
                <c:pt idx="8">
                  <c:v>-0.1773347710162278</c:v>
                </c:pt>
                <c:pt idx="9">
                  <c:v>-0.19482322473097899</c:v>
                </c:pt>
                <c:pt idx="10">
                  <c:v>0.31711489095879841</c:v>
                </c:pt>
              </c:numCache>
            </c:numRef>
          </c:val>
          <c:extLst>
            <c:ext xmlns:c16="http://schemas.microsoft.com/office/drawing/2014/chart" uri="{C3380CC4-5D6E-409C-BE32-E72D297353CC}">
              <c16:uniqueId val="{00000004-BBF1-4FAD-8669-4A4EE11445E6}"/>
            </c:ext>
          </c:extLst>
        </c:ser>
        <c:ser>
          <c:idx val="5"/>
          <c:order val="5"/>
          <c:tx>
            <c:strRef>
              <c:f>'GRAF příspěvky IPP'!$AX$32</c:f>
              <c:strCache>
                <c:ptCount val="1"/>
                <c:pt idx="0">
                  <c:v>Potravinářství a výroba nápojů (10, 11)</c:v>
                </c:pt>
              </c:strCache>
            </c:strRef>
          </c:tx>
          <c:spPr>
            <a:solidFill>
              <a:srgbClr val="92D050"/>
            </a:solidFill>
            <a:ln>
              <a:noFill/>
            </a:ln>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IPP'!$AY$32:$BI$32</c:f>
              <c:numCache>
                <c:formatCode>0.0</c:formatCode>
                <c:ptCount val="11"/>
                <c:pt idx="0">
                  <c:v>-0.10542549630649267</c:v>
                </c:pt>
                <c:pt idx="1">
                  <c:v>-9.8011923889022134E-2</c:v>
                </c:pt>
                <c:pt idx="2">
                  <c:v>-2.4691684344032211E-2</c:v>
                </c:pt>
                <c:pt idx="3">
                  <c:v>0.22632803152498732</c:v>
                </c:pt>
                <c:pt idx="4">
                  <c:v>0.2993124834917591</c:v>
                </c:pt>
                <c:pt idx="5">
                  <c:v>-1.0074757355259353E-2</c:v>
                </c:pt>
                <c:pt idx="6">
                  <c:v>0.13122571493171567</c:v>
                </c:pt>
                <c:pt idx="7">
                  <c:v>0.24105770459303671</c:v>
                </c:pt>
                <c:pt idx="8">
                  <c:v>4.50431383558988E-2</c:v>
                </c:pt>
                <c:pt idx="9">
                  <c:v>-0.13605811055761927</c:v>
                </c:pt>
                <c:pt idx="10">
                  <c:v>0.28282315383098583</c:v>
                </c:pt>
              </c:numCache>
            </c:numRef>
          </c:val>
          <c:extLst>
            <c:ext xmlns:c16="http://schemas.microsoft.com/office/drawing/2014/chart" uri="{C3380CC4-5D6E-409C-BE32-E72D297353CC}">
              <c16:uniqueId val="{00000005-BBF1-4FAD-8669-4A4EE11445E6}"/>
            </c:ext>
          </c:extLst>
        </c:ser>
        <c:ser>
          <c:idx val="6"/>
          <c:order val="6"/>
          <c:tx>
            <c:strRef>
              <c:f>'GRAF příspěvky IPP'!$AX$33</c:f>
              <c:strCache>
                <c:ptCount val="1"/>
                <c:pt idx="0">
                  <c:v>Výroba PC, elektronic. a optic. přístr. (26)</c:v>
                </c:pt>
              </c:strCache>
            </c:strRef>
          </c:tx>
          <c:spPr>
            <a:solidFill>
              <a:srgbClr val="FDDEB3"/>
            </a:solidFill>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IPP'!$AY$33:$BI$33</c:f>
              <c:numCache>
                <c:formatCode>0.0</c:formatCode>
                <c:ptCount val="11"/>
                <c:pt idx="0">
                  <c:v>-0.10359604880800667</c:v>
                </c:pt>
                <c:pt idx="1">
                  <c:v>-0.62775348873755987</c:v>
                </c:pt>
                <c:pt idx="2">
                  <c:v>0.25889985415802419</c:v>
                </c:pt>
                <c:pt idx="3">
                  <c:v>0.32500511993232978</c:v>
                </c:pt>
                <c:pt idx="4">
                  <c:v>1.9444712497032453E-2</c:v>
                </c:pt>
                <c:pt idx="5">
                  <c:v>6.9340308725786684E-2</c:v>
                </c:pt>
                <c:pt idx="6">
                  <c:v>0.24174726973565361</c:v>
                </c:pt>
                <c:pt idx="7">
                  <c:v>0.36797464154264958</c:v>
                </c:pt>
                <c:pt idx="8">
                  <c:v>-0.27300478009256213</c:v>
                </c:pt>
                <c:pt idx="9">
                  <c:v>-9.5520413536078555E-2</c:v>
                </c:pt>
                <c:pt idx="10">
                  <c:v>6.1349404829024776E-2</c:v>
                </c:pt>
              </c:numCache>
            </c:numRef>
          </c:val>
          <c:extLst>
            <c:ext xmlns:c16="http://schemas.microsoft.com/office/drawing/2014/chart" uri="{C3380CC4-5D6E-409C-BE32-E72D297353CC}">
              <c16:uniqueId val="{00000006-BBF1-4FAD-8669-4A4EE11445E6}"/>
            </c:ext>
          </c:extLst>
        </c:ser>
        <c:ser>
          <c:idx val="7"/>
          <c:order val="7"/>
          <c:tx>
            <c:strRef>
              <c:f>'GRAF příspěvky IPP'!$AX$34</c:f>
              <c:strCache>
                <c:ptCount val="1"/>
                <c:pt idx="0">
                  <c:v>Chemický a farmaceutický pr. (20, 21)</c:v>
                </c:pt>
              </c:strCache>
            </c:strRef>
          </c:tx>
          <c:spPr>
            <a:solidFill>
              <a:srgbClr val="F8A124"/>
            </a:solidFill>
            <a:ln>
              <a:noFill/>
            </a:ln>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IPP'!$AY$34:$BI$34</c:f>
              <c:numCache>
                <c:formatCode>0.0</c:formatCode>
                <c:ptCount val="11"/>
                <c:pt idx="0">
                  <c:v>-0.16156575585733979</c:v>
                </c:pt>
                <c:pt idx="1">
                  <c:v>8.6682655638041811E-2</c:v>
                </c:pt>
                <c:pt idx="2">
                  <c:v>-2.7149440767918046E-2</c:v>
                </c:pt>
                <c:pt idx="3">
                  <c:v>0.29845988497299419</c:v>
                </c:pt>
                <c:pt idx="4">
                  <c:v>-4.8215366302412521E-2</c:v>
                </c:pt>
                <c:pt idx="5">
                  <c:v>-0.17668220570989085</c:v>
                </c:pt>
                <c:pt idx="6">
                  <c:v>0.62602466997723716</c:v>
                </c:pt>
                <c:pt idx="7">
                  <c:v>8.9846852688779275E-2</c:v>
                </c:pt>
                <c:pt idx="8">
                  <c:v>0.10046501968954087</c:v>
                </c:pt>
                <c:pt idx="9">
                  <c:v>-9.0999749509208028E-2</c:v>
                </c:pt>
                <c:pt idx="10">
                  <c:v>0.34310143113188724</c:v>
                </c:pt>
              </c:numCache>
            </c:numRef>
          </c:val>
          <c:extLst>
            <c:ext xmlns:c16="http://schemas.microsoft.com/office/drawing/2014/chart" uri="{C3380CC4-5D6E-409C-BE32-E72D297353CC}">
              <c16:uniqueId val="{00000007-BBF1-4FAD-8669-4A4EE11445E6}"/>
            </c:ext>
          </c:extLst>
        </c:ser>
        <c:ser>
          <c:idx val="8"/>
          <c:order val="8"/>
          <c:tx>
            <c:strRef>
              <c:f>'GRAF příspěvky IPP'!$AX$35</c:f>
              <c:strCache>
                <c:ptCount val="1"/>
                <c:pt idx="0">
                  <c:v>Zbývající zpracovatelský průmysl</c:v>
                </c:pt>
              </c:strCache>
            </c:strRef>
          </c:tx>
          <c:spPr>
            <a:solidFill>
              <a:schemeClr val="bg1">
                <a:lumMod val="85000"/>
              </a:schemeClr>
            </a:solidFill>
            <a:ln w="19050">
              <a:noFill/>
            </a:ln>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IPP'!$AY$35:$BI$35</c:f>
              <c:numCache>
                <c:formatCode>0.0</c:formatCode>
                <c:ptCount val="11"/>
                <c:pt idx="0">
                  <c:v>-0.56916406339645897</c:v>
                </c:pt>
                <c:pt idx="1">
                  <c:v>-0.67742779643732831</c:v>
                </c:pt>
                <c:pt idx="2">
                  <c:v>0.49387110283879532</c:v>
                </c:pt>
                <c:pt idx="3">
                  <c:v>0.79463437886935173</c:v>
                </c:pt>
                <c:pt idx="4">
                  <c:v>0.38090270740310611</c:v>
                </c:pt>
                <c:pt idx="5">
                  <c:v>0.17970615335130233</c:v>
                </c:pt>
                <c:pt idx="6">
                  <c:v>0.72069777432432625</c:v>
                </c:pt>
                <c:pt idx="7">
                  <c:v>0.5297068811203568</c:v>
                </c:pt>
                <c:pt idx="8">
                  <c:v>-8.3812887789100177E-2</c:v>
                </c:pt>
                <c:pt idx="9">
                  <c:v>-0.35135335252020361</c:v>
                </c:pt>
                <c:pt idx="10">
                  <c:v>0.98876363368527698</c:v>
                </c:pt>
              </c:numCache>
            </c:numRef>
          </c:val>
          <c:extLst>
            <c:ext xmlns:c16="http://schemas.microsoft.com/office/drawing/2014/chart" uri="{C3380CC4-5D6E-409C-BE32-E72D297353CC}">
              <c16:uniqueId val="{00000008-BBF1-4FAD-8669-4A4EE11445E6}"/>
            </c:ext>
          </c:extLst>
        </c:ser>
        <c:ser>
          <c:idx val="9"/>
          <c:order val="9"/>
          <c:tx>
            <c:strRef>
              <c:f>'GRAF příspěvky IPP'!$AX$36</c:f>
              <c:strCache>
                <c:ptCount val="1"/>
                <c:pt idx="0">
                  <c:v>Těžba a energetika (B, D)</c:v>
                </c:pt>
              </c:strCache>
            </c:strRef>
          </c:tx>
          <c:spPr>
            <a:solidFill>
              <a:srgbClr val="808080"/>
            </a:solidFill>
            <a:ln w="28575">
              <a:noFill/>
            </a:ln>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IPP'!$AY$36:$BI$36</c:f>
              <c:numCache>
                <c:formatCode>0.0</c:formatCode>
                <c:ptCount val="11"/>
                <c:pt idx="0">
                  <c:v>-9.607120546763695E-2</c:v>
                </c:pt>
                <c:pt idx="1">
                  <c:v>-0.2109667662153778</c:v>
                </c:pt>
                <c:pt idx="2">
                  <c:v>-0.66791465814835604</c:v>
                </c:pt>
                <c:pt idx="3">
                  <c:v>-0.50641695797450248</c:v>
                </c:pt>
                <c:pt idx="4">
                  <c:v>-0.4354627250727533</c:v>
                </c:pt>
                <c:pt idx="5">
                  <c:v>-0.11818229951456684</c:v>
                </c:pt>
                <c:pt idx="6">
                  <c:v>0.48507387148538372</c:v>
                </c:pt>
                <c:pt idx="7">
                  <c:v>0.13857733752924239</c:v>
                </c:pt>
                <c:pt idx="8">
                  <c:v>-0.17877596012042432</c:v>
                </c:pt>
                <c:pt idx="9">
                  <c:v>-1.0008706198299531</c:v>
                </c:pt>
                <c:pt idx="10">
                  <c:v>0.50424113315397279</c:v>
                </c:pt>
              </c:numCache>
            </c:numRef>
          </c:val>
          <c:extLst>
            <c:ext xmlns:c16="http://schemas.microsoft.com/office/drawing/2014/chart" uri="{C3380CC4-5D6E-409C-BE32-E72D297353CC}">
              <c16:uniqueId val="{00000009-BBF1-4FAD-8669-4A4EE11445E6}"/>
            </c:ext>
          </c:extLst>
        </c:ser>
        <c:dLbls>
          <c:showLegendKey val="0"/>
          <c:showVal val="0"/>
          <c:showCatName val="0"/>
          <c:showSerName val="0"/>
          <c:showPercent val="0"/>
          <c:showBubbleSize val="0"/>
        </c:dLbls>
        <c:gapWidth val="70"/>
        <c:overlap val="100"/>
        <c:axId val="112768128"/>
        <c:axId val="112769664"/>
      </c:barChart>
      <c:lineChart>
        <c:grouping val="standard"/>
        <c:varyColors val="0"/>
        <c:ser>
          <c:idx val="10"/>
          <c:order val="10"/>
          <c:tx>
            <c:strRef>
              <c:f>'GRAF příspěvky IPP'!$AX$37</c:f>
              <c:strCache>
                <c:ptCount val="1"/>
                <c:pt idx="0">
                  <c:v>Produkce: průmysl celkem (NACE B až D)</c:v>
                </c:pt>
              </c:strCache>
            </c:strRef>
          </c:tx>
          <c:spPr>
            <a:ln w="19050">
              <a:noFill/>
              <a:prstDash val="sysDash"/>
            </a:ln>
          </c:spPr>
          <c:marker>
            <c:symbol val="circle"/>
            <c:size val="6"/>
            <c:spPr>
              <a:solidFill>
                <a:schemeClr val="bg1"/>
              </a:solidFill>
              <a:ln>
                <a:solidFill>
                  <a:schemeClr val="tx1">
                    <a:lumMod val="95000"/>
                    <a:lumOff val="5000"/>
                  </a:schemeClr>
                </a:solidFill>
              </a:ln>
            </c:spPr>
          </c:marker>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IPP'!$AY$37:$BI$37</c:f>
              <c:numCache>
                <c:formatCode>0.0</c:formatCode>
                <c:ptCount val="11"/>
                <c:pt idx="0">
                  <c:v>5.6401833126000014</c:v>
                </c:pt>
                <c:pt idx="1">
                  <c:v>-0.90603577779999966</c:v>
                </c:pt>
                <c:pt idx="2">
                  <c:v>0.16335070239999538</c:v>
                </c:pt>
                <c:pt idx="3">
                  <c:v>5.1000838873000021</c:v>
                </c:pt>
                <c:pt idx="4">
                  <c:v>4.5066545898999948</c:v>
                </c:pt>
                <c:pt idx="5">
                  <c:v>3.077365608400001</c:v>
                </c:pt>
                <c:pt idx="6">
                  <c:v>6.7375789339999983</c:v>
                </c:pt>
                <c:pt idx="7">
                  <c:v>3.0620754609000045</c:v>
                </c:pt>
                <c:pt idx="8">
                  <c:v>-0.34423374380000382</c:v>
                </c:pt>
                <c:pt idx="9">
                  <c:v>-7.1883069735000049</c:v>
                </c:pt>
                <c:pt idx="10">
                  <c:v>6.643931599499993</c:v>
                </c:pt>
              </c:numCache>
            </c:numRef>
          </c:val>
          <c:smooth val="0"/>
          <c:extLst>
            <c:ext xmlns:c16="http://schemas.microsoft.com/office/drawing/2014/chart" uri="{C3380CC4-5D6E-409C-BE32-E72D297353CC}">
              <c16:uniqueId val="{0000000A-BBF1-4FAD-8669-4A4EE11445E6}"/>
            </c:ext>
          </c:extLst>
        </c:ser>
        <c:ser>
          <c:idx val="11"/>
          <c:order val="11"/>
          <c:tx>
            <c:strRef>
              <c:f>'GRAF příspěvky IPP'!$AX$38</c:f>
              <c:strCache>
                <c:ptCount val="1"/>
              </c:strCache>
            </c:strRef>
          </c:tx>
          <c:spPr>
            <a:ln w="19050">
              <a:noFill/>
              <a:prstDash val="dash"/>
            </a:ln>
          </c:spPr>
          <c:marker>
            <c:symbol val="none"/>
          </c:marker>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IPP'!$AY$38:$BI$38</c:f>
              <c:numCache>
                <c:formatCode>General</c:formatCode>
                <c:ptCount val="11"/>
              </c:numCache>
            </c:numRef>
          </c:val>
          <c:smooth val="0"/>
          <c:extLst>
            <c:ext xmlns:c16="http://schemas.microsoft.com/office/drawing/2014/chart" uri="{C3380CC4-5D6E-409C-BE32-E72D297353CC}">
              <c16:uniqueId val="{0000000B-BBF1-4FAD-8669-4A4EE11445E6}"/>
            </c:ext>
          </c:extLst>
        </c:ser>
        <c:ser>
          <c:idx val="12"/>
          <c:order val="12"/>
          <c:tx>
            <c:strRef>
              <c:f>'GRAF příspěvky IPP'!$AX$39</c:f>
              <c:strCache>
                <c:ptCount val="1"/>
                <c:pt idx="0">
                  <c:v>Tržby: průmysl celkem</c:v>
                </c:pt>
              </c:strCache>
            </c:strRef>
          </c:tx>
          <c:spPr>
            <a:ln w="19050">
              <a:solidFill>
                <a:prstClr val="black">
                  <a:lumMod val="95000"/>
                  <a:lumOff val="5000"/>
                </a:prstClr>
              </a:solidFill>
              <a:prstDash val="sysDash"/>
            </a:ln>
          </c:spPr>
          <c:marker>
            <c:symbol val="none"/>
          </c:marker>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IPP'!$AY$39:$BI$39</c:f>
              <c:numCache>
                <c:formatCode>0.0</c:formatCode>
                <c:ptCount val="11"/>
                <c:pt idx="0">
                  <c:v>7.5249559659000056</c:v>
                </c:pt>
                <c:pt idx="1">
                  <c:v>2.0202466914000041</c:v>
                </c:pt>
                <c:pt idx="2">
                  <c:v>1.5219869785999975</c:v>
                </c:pt>
                <c:pt idx="3">
                  <c:v>9.1294819820000015</c:v>
                </c:pt>
                <c:pt idx="4">
                  <c:v>2.2410048244999956</c:v>
                </c:pt>
                <c:pt idx="5">
                  <c:v>0.82079141740000239</c:v>
                </c:pt>
                <c:pt idx="6">
                  <c:v>7.4675904977000016</c:v>
                </c:pt>
                <c:pt idx="7">
                  <c:v>3.519910568100002</c:v>
                </c:pt>
                <c:pt idx="8">
                  <c:v>0.89447335159999852</c:v>
                </c:pt>
                <c:pt idx="9">
                  <c:v>-6.1210800392999971</c:v>
                </c:pt>
                <c:pt idx="10">
                  <c:v>10.816976392399994</c:v>
                </c:pt>
              </c:numCache>
            </c:numRef>
          </c:val>
          <c:smooth val="0"/>
          <c:extLst>
            <c:ext xmlns:c16="http://schemas.microsoft.com/office/drawing/2014/chart" uri="{C3380CC4-5D6E-409C-BE32-E72D297353CC}">
              <c16:uniqueId val="{0000000C-BBF1-4FAD-8669-4A4EE11445E6}"/>
            </c:ext>
          </c:extLst>
        </c:ser>
        <c:ser>
          <c:idx val="13"/>
          <c:order val="13"/>
          <c:tx>
            <c:strRef>
              <c:f>'GRAF příspěvky IPP'!$AX$40</c:f>
              <c:strCache>
                <c:ptCount val="1"/>
                <c:pt idx="0">
                  <c:v>z toho z přímého vývozu</c:v>
                </c:pt>
              </c:strCache>
            </c:strRef>
          </c:tx>
          <c:spPr>
            <a:ln w="19050">
              <a:solidFill>
                <a:schemeClr val="bg1">
                  <a:lumMod val="65000"/>
                </a:schemeClr>
              </a:solidFill>
              <a:prstDash val="dash"/>
            </a:ln>
          </c:spPr>
          <c:marker>
            <c:symbol val="none"/>
          </c:marker>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IPP'!$AY$40:$BI$40</c:f>
              <c:numCache>
                <c:formatCode>0.0</c:formatCode>
                <c:ptCount val="11"/>
                <c:pt idx="0">
                  <c:v>15.469535951200001</c:v>
                </c:pt>
                <c:pt idx="1">
                  <c:v>3.247135339899998</c:v>
                </c:pt>
                <c:pt idx="2">
                  <c:v>4.0495693422000016</c:v>
                </c:pt>
                <c:pt idx="3">
                  <c:v>16.800712510500006</c:v>
                </c:pt>
                <c:pt idx="4">
                  <c:v>4.9151457015999966</c:v>
                </c:pt>
                <c:pt idx="5">
                  <c:v>2.2374406922999981</c:v>
                </c:pt>
                <c:pt idx="6">
                  <c:v>5.6719233272000054</c:v>
                </c:pt>
                <c:pt idx="7">
                  <c:v>2.8234489278000012</c:v>
                </c:pt>
                <c:pt idx="8">
                  <c:v>4.9321756000040295E-3</c:v>
                </c:pt>
                <c:pt idx="9">
                  <c:v>-6.0676591449000057</c:v>
                </c:pt>
                <c:pt idx="10">
                  <c:v>10.953112416799996</c:v>
                </c:pt>
              </c:numCache>
            </c:numRef>
          </c:val>
          <c:smooth val="0"/>
          <c:extLst>
            <c:ext xmlns:c16="http://schemas.microsoft.com/office/drawing/2014/chart" uri="{C3380CC4-5D6E-409C-BE32-E72D297353CC}">
              <c16:uniqueId val="{0000000D-BBF1-4FAD-8669-4A4EE11445E6}"/>
            </c:ext>
          </c:extLst>
        </c:ser>
        <c:dLbls>
          <c:showLegendKey val="0"/>
          <c:showVal val="0"/>
          <c:showCatName val="0"/>
          <c:showSerName val="0"/>
          <c:showPercent val="0"/>
          <c:showBubbleSize val="0"/>
        </c:dLbls>
        <c:marker val="1"/>
        <c:smooth val="0"/>
        <c:axId val="112768128"/>
        <c:axId val="11276966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18"/>
          <c:min val="-8"/>
        </c:scaling>
        <c:delete val="0"/>
        <c:axPos val="l"/>
        <c:majorGridlines>
          <c:spPr>
            <a:ln>
              <a:solidFill>
                <a:srgbClr val="BEBEBE"/>
              </a:solidFill>
            </a:ln>
          </c:spPr>
        </c:majorGridlines>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2"/>
      </c:valAx>
      <c:spPr>
        <a:noFill/>
        <a:ln w="6350">
          <a:solidFill>
            <a:prstClr val="black">
              <a:lumMod val="95000"/>
              <a:lumOff val="5000"/>
            </a:prstClr>
          </a:solidFill>
        </a:ln>
      </c:spPr>
    </c:plotArea>
    <c:legend>
      <c:legendPos val="r"/>
      <c:layout>
        <c:manualLayout>
          <c:xMode val="edge"/>
          <c:yMode val="edge"/>
          <c:x val="1.5823805509097771E-2"/>
          <c:y val="0.78581593103687919"/>
          <c:w val="0.97626833906393407"/>
          <c:h val="0.20017434930643618"/>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52E-2"/>
          <c:w val="0.84974974879787502"/>
          <c:h val="0.75764088390324136"/>
        </c:manualLayout>
      </c:layout>
      <c:barChart>
        <c:barDir val="col"/>
        <c:grouping val="clustered"/>
        <c:varyColors val="0"/>
        <c:ser>
          <c:idx val="0"/>
          <c:order val="0"/>
          <c:tx>
            <c:strRef>
              <c:f>'výkonnost odvětví 2'!$A$32</c:f>
              <c:strCache>
                <c:ptCount val="1"/>
                <c:pt idx="0">
                  <c:v>Průmyslové zakázky celkem</c:v>
                </c:pt>
              </c:strCache>
            </c:strRef>
          </c:tx>
          <c:spPr>
            <a:solidFill>
              <a:schemeClr val="bg1">
                <a:lumMod val="65000"/>
              </a:schemeClr>
            </a:solidFill>
            <a:ln>
              <a:noFill/>
            </a:ln>
          </c:spPr>
          <c:invertIfNegative val="0"/>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2'!$R$32:$AT$32</c:f>
              <c:numCache>
                <c:formatCode>##0.0</c:formatCode>
                <c:ptCount val="29"/>
                <c:pt idx="0">
                  <c:v>8.5341066790000042</c:v>
                </c:pt>
                <c:pt idx="1">
                  <c:v>6.3751337507000017</c:v>
                </c:pt>
                <c:pt idx="2">
                  <c:v>6.0389152520999971</c:v>
                </c:pt>
                <c:pt idx="3">
                  <c:v>5.2688806407000044</c:v>
                </c:pt>
                <c:pt idx="4">
                  <c:v>2.6303368083000009</c:v>
                </c:pt>
                <c:pt idx="5">
                  <c:v>7.5468571480000008</c:v>
                </c:pt>
                <c:pt idx="6">
                  <c:v>2.3582562295000002</c:v>
                </c:pt>
                <c:pt idx="7">
                  <c:v>6.6387502374000036</c:v>
                </c:pt>
                <c:pt idx="8">
                  <c:v>7.2930461770999955</c:v>
                </c:pt>
                <c:pt idx="9">
                  <c:v>8.1858416139999974</c:v>
                </c:pt>
                <c:pt idx="10">
                  <c:v>7.9475457356000021</c:v>
                </c:pt>
                <c:pt idx="11">
                  <c:v>7.3525292791999988</c:v>
                </c:pt>
                <c:pt idx="12">
                  <c:v>3.4332835439000036</c:v>
                </c:pt>
                <c:pt idx="13">
                  <c:v>3.7186041536999994</c:v>
                </c:pt>
                <c:pt idx="14">
                  <c:v>3.8026421203999945</c:v>
                </c:pt>
                <c:pt idx="15">
                  <c:v>3.106459229500004</c:v>
                </c:pt>
                <c:pt idx="16">
                  <c:v>3.2183595436000019</c:v>
                </c:pt>
                <c:pt idx="17">
                  <c:v>1.4149495925999958</c:v>
                </c:pt>
                <c:pt idx="18">
                  <c:v>-0.22815532609999423</c:v>
                </c:pt>
                <c:pt idx="19">
                  <c:v>-3.810834207100001</c:v>
                </c:pt>
                <c:pt idx="20">
                  <c:v>-2.0840873764000065</c:v>
                </c:pt>
                <c:pt idx="21">
                  <c:v>-27.668452791999997</c:v>
                </c:pt>
                <c:pt idx="22">
                  <c:v>-1.3192166399000058</c:v>
                </c:pt>
                <c:pt idx="23">
                  <c:v>7.1511733200999998</c:v>
                </c:pt>
                <c:pt idx="24">
                  <c:v>8.3933103138000007</c:v>
                </c:pt>
                <c:pt idx="25">
                  <c:v>47.920282285599995</c:v>
                </c:pt>
                <c:pt idx="26">
                  <c:v>7.3037126863000026</c:v>
                </c:pt>
                <c:pt idx="27">
                  <c:v>3.5943563839000063</c:v>
                </c:pt>
              </c:numCache>
            </c:numRef>
          </c:val>
          <c:extLst>
            <c:ext xmlns:c16="http://schemas.microsoft.com/office/drawing/2014/chart" uri="{C3380CC4-5D6E-409C-BE32-E72D297353CC}">
              <c16:uniqueId val="{00000000-6474-430D-B816-B3F40804216D}"/>
            </c:ext>
          </c:extLst>
        </c:ser>
        <c:dLbls>
          <c:showLegendKey val="0"/>
          <c:showVal val="0"/>
          <c:showCatName val="0"/>
          <c:showSerName val="0"/>
          <c:showPercent val="0"/>
          <c:showBubbleSize val="0"/>
        </c:dLbls>
        <c:gapWidth val="30"/>
        <c:axId val="112768128"/>
        <c:axId val="112769664"/>
      </c:barChart>
      <c:lineChart>
        <c:grouping val="standard"/>
        <c:varyColors val="0"/>
        <c:ser>
          <c:idx val="1"/>
          <c:order val="1"/>
          <c:tx>
            <c:strRef>
              <c:f>'výkonnost odvětví 2'!$A$33</c:f>
              <c:strCache>
                <c:ptCount val="1"/>
                <c:pt idx="0">
                  <c:v>z toho: zakázky z tuzemska</c:v>
                </c:pt>
              </c:strCache>
            </c:strRef>
          </c:tx>
          <c:spPr>
            <a:ln w="15875">
              <a:noFill/>
              <a:prstDash val="sysDot"/>
            </a:ln>
          </c:spPr>
          <c:marker>
            <c:symbol val="diamond"/>
            <c:size val="5"/>
            <c:spPr>
              <a:solidFill>
                <a:srgbClr val="984807"/>
              </a:solidFill>
              <a:ln>
                <a:noFill/>
              </a:ln>
            </c:spPr>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2'!$R$33:$AT$33</c:f>
              <c:numCache>
                <c:formatCode>##0.0</c:formatCode>
                <c:ptCount val="29"/>
                <c:pt idx="0">
                  <c:v>4.3678555678000066</c:v>
                </c:pt>
                <c:pt idx="1">
                  <c:v>9.9380074582000049</c:v>
                </c:pt>
                <c:pt idx="2">
                  <c:v>-2.8625917786000059</c:v>
                </c:pt>
                <c:pt idx="3">
                  <c:v>-0.24449638430000675</c:v>
                </c:pt>
                <c:pt idx="4">
                  <c:v>1.5608556055999969</c:v>
                </c:pt>
                <c:pt idx="5">
                  <c:v>1.4530189575000065</c:v>
                </c:pt>
                <c:pt idx="6">
                  <c:v>0.19507191760000353</c:v>
                </c:pt>
                <c:pt idx="7">
                  <c:v>2.810568046100002</c:v>
                </c:pt>
                <c:pt idx="8">
                  <c:v>12.6195755233</c:v>
                </c:pt>
                <c:pt idx="9">
                  <c:v>15.740843176200002</c:v>
                </c:pt>
                <c:pt idx="10">
                  <c:v>15.881411785300003</c:v>
                </c:pt>
                <c:pt idx="11">
                  <c:v>15.4396235432</c:v>
                </c:pt>
                <c:pt idx="12">
                  <c:v>1.4059943362999974</c:v>
                </c:pt>
                <c:pt idx="13">
                  <c:v>2.5119296337000065</c:v>
                </c:pt>
                <c:pt idx="14">
                  <c:v>4.7248831052000071</c:v>
                </c:pt>
                <c:pt idx="15">
                  <c:v>3.5273288478999945</c:v>
                </c:pt>
                <c:pt idx="16">
                  <c:v>8.0476176921000047</c:v>
                </c:pt>
                <c:pt idx="17">
                  <c:v>5.293639082599995</c:v>
                </c:pt>
                <c:pt idx="18">
                  <c:v>0.41940306940000482</c:v>
                </c:pt>
                <c:pt idx="19">
                  <c:v>-1.3456257084999947</c:v>
                </c:pt>
                <c:pt idx="20">
                  <c:v>5.5521264895999991</c:v>
                </c:pt>
                <c:pt idx="21">
                  <c:v>-25.896794335699994</c:v>
                </c:pt>
                <c:pt idx="22">
                  <c:v>-3.0500801793999983</c:v>
                </c:pt>
                <c:pt idx="23">
                  <c:v>6.9102540989999994</c:v>
                </c:pt>
                <c:pt idx="24">
                  <c:v>-2.8240111939999935</c:v>
                </c:pt>
                <c:pt idx="25">
                  <c:v>43.485654564800001</c:v>
                </c:pt>
                <c:pt idx="26">
                  <c:v>9.2738562507000069</c:v>
                </c:pt>
                <c:pt idx="27">
                  <c:v>5.3992358315999951</c:v>
                </c:pt>
              </c:numCache>
            </c:numRef>
          </c:val>
          <c:smooth val="0"/>
          <c:extLst>
            <c:ext xmlns:c16="http://schemas.microsoft.com/office/drawing/2014/chart" uri="{C3380CC4-5D6E-409C-BE32-E72D297353CC}">
              <c16:uniqueId val="{00000001-6474-430D-B816-B3F40804216D}"/>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2"/>
          <c:order val="2"/>
          <c:tx>
            <c:strRef>
              <c:f>'výkonnost odvětví 2'!$A$34</c:f>
              <c:strCache>
                <c:ptCount val="1"/>
                <c:pt idx="0">
                  <c:v>Využití výrob. kapacit v průmyslu celkem</c:v>
                </c:pt>
              </c:strCache>
            </c:strRef>
          </c:tx>
          <c:spPr>
            <a:ln w="15875">
              <a:solidFill>
                <a:schemeClr val="accent6">
                  <a:lumMod val="75000"/>
                </a:schemeClr>
              </a:solidFill>
            </a:ln>
          </c:spPr>
          <c:marker>
            <c:symbol val="none"/>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2'!$R$34:$AT$34</c:f>
              <c:numCache>
                <c:formatCode>##0.0</c:formatCode>
                <c:ptCount val="29"/>
                <c:pt idx="0">
                  <c:v>86.2</c:v>
                </c:pt>
                <c:pt idx="1">
                  <c:v>85</c:v>
                </c:pt>
                <c:pt idx="2">
                  <c:v>85.6</c:v>
                </c:pt>
                <c:pt idx="3">
                  <c:v>83.9</c:v>
                </c:pt>
                <c:pt idx="4">
                  <c:v>84.5</c:v>
                </c:pt>
                <c:pt idx="5">
                  <c:v>84.7</c:v>
                </c:pt>
                <c:pt idx="6">
                  <c:v>84.7</c:v>
                </c:pt>
                <c:pt idx="7">
                  <c:v>84.1</c:v>
                </c:pt>
                <c:pt idx="8">
                  <c:v>84.9</c:v>
                </c:pt>
                <c:pt idx="9">
                  <c:v>83.1</c:v>
                </c:pt>
                <c:pt idx="10">
                  <c:v>84.4</c:v>
                </c:pt>
                <c:pt idx="11">
                  <c:v>84.3</c:v>
                </c:pt>
                <c:pt idx="12">
                  <c:v>85.8</c:v>
                </c:pt>
                <c:pt idx="13">
                  <c:v>85.4</c:v>
                </c:pt>
                <c:pt idx="14">
                  <c:v>86.2</c:v>
                </c:pt>
                <c:pt idx="15">
                  <c:v>85.8</c:v>
                </c:pt>
                <c:pt idx="16">
                  <c:v>85.8</c:v>
                </c:pt>
                <c:pt idx="17">
                  <c:v>85.9</c:v>
                </c:pt>
                <c:pt idx="18">
                  <c:v>84.8</c:v>
                </c:pt>
                <c:pt idx="19">
                  <c:v>84.1</c:v>
                </c:pt>
                <c:pt idx="20">
                  <c:v>84.2</c:v>
                </c:pt>
                <c:pt idx="21">
                  <c:v>71</c:v>
                </c:pt>
                <c:pt idx="22">
                  <c:v>75.5</c:v>
                </c:pt>
                <c:pt idx="23">
                  <c:v>81.099999999999994</c:v>
                </c:pt>
                <c:pt idx="24">
                  <c:v>83.4</c:v>
                </c:pt>
                <c:pt idx="25">
                  <c:v>87.5</c:v>
                </c:pt>
                <c:pt idx="26">
                  <c:v>88.1</c:v>
                </c:pt>
                <c:pt idx="27">
                  <c:v>77.3</c:v>
                </c:pt>
                <c:pt idx="28">
                  <c:v>81.7</c:v>
                </c:pt>
              </c:numCache>
            </c:numRef>
          </c:val>
          <c:smooth val="0"/>
          <c:extLst>
            <c:ext xmlns:c16="http://schemas.microsoft.com/office/drawing/2014/chart" uri="{C3380CC4-5D6E-409C-BE32-E72D297353CC}">
              <c16:uniqueId val="{00000002-6474-430D-B816-B3F40804216D}"/>
            </c:ext>
          </c:extLst>
        </c:ser>
        <c:ser>
          <c:idx val="3"/>
          <c:order val="3"/>
          <c:tx>
            <c:strRef>
              <c:f>'výkonnost odvětví 2'!$A$35</c:f>
              <c:strCache>
                <c:ptCount val="1"/>
                <c:pt idx="0">
                  <c:v>Využití výrob. kapacit v automobil. prům.</c:v>
                </c:pt>
              </c:strCache>
            </c:strRef>
          </c:tx>
          <c:spPr>
            <a:ln w="15875">
              <a:solidFill>
                <a:schemeClr val="accent6">
                  <a:lumMod val="75000"/>
                </a:schemeClr>
              </a:solidFill>
              <a:prstDash val="sysDash"/>
            </a:ln>
          </c:spPr>
          <c:marker>
            <c:symbol val="none"/>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2'!$R$35:$AT$35</c:f>
              <c:numCache>
                <c:formatCode>0.0</c:formatCode>
                <c:ptCount val="29"/>
                <c:pt idx="0">
                  <c:v>92.8</c:v>
                </c:pt>
                <c:pt idx="1">
                  <c:v>91.1</c:v>
                </c:pt>
                <c:pt idx="2">
                  <c:v>93.1</c:v>
                </c:pt>
                <c:pt idx="3">
                  <c:v>88.7</c:v>
                </c:pt>
                <c:pt idx="4">
                  <c:v>91.6</c:v>
                </c:pt>
                <c:pt idx="5">
                  <c:v>90.3</c:v>
                </c:pt>
                <c:pt idx="6">
                  <c:v>93.1</c:v>
                </c:pt>
                <c:pt idx="7">
                  <c:v>90.9</c:v>
                </c:pt>
                <c:pt idx="8">
                  <c:v>93.2</c:v>
                </c:pt>
                <c:pt idx="9">
                  <c:v>87.3</c:v>
                </c:pt>
                <c:pt idx="10">
                  <c:v>90.7</c:v>
                </c:pt>
                <c:pt idx="11">
                  <c:v>90.5</c:v>
                </c:pt>
                <c:pt idx="12">
                  <c:v>91.1</c:v>
                </c:pt>
                <c:pt idx="13">
                  <c:v>91.6</c:v>
                </c:pt>
                <c:pt idx="14">
                  <c:v>92.1</c:v>
                </c:pt>
                <c:pt idx="15">
                  <c:v>93</c:v>
                </c:pt>
                <c:pt idx="16">
                  <c:v>92.8</c:v>
                </c:pt>
                <c:pt idx="17">
                  <c:v>93.6</c:v>
                </c:pt>
                <c:pt idx="18">
                  <c:v>92.3</c:v>
                </c:pt>
                <c:pt idx="19">
                  <c:v>93.4</c:v>
                </c:pt>
                <c:pt idx="20">
                  <c:v>90.5</c:v>
                </c:pt>
                <c:pt idx="21">
                  <c:v>50.8</c:v>
                </c:pt>
                <c:pt idx="22" formatCode="General">
                  <c:v>75.3</c:v>
                </c:pt>
                <c:pt idx="23" formatCode="General">
                  <c:v>90.9</c:v>
                </c:pt>
                <c:pt idx="24" formatCode="General">
                  <c:v>90.3</c:v>
                </c:pt>
                <c:pt idx="25" formatCode="General">
                  <c:v>99.1</c:v>
                </c:pt>
                <c:pt idx="26" formatCode="General">
                  <c:v>94.7</c:v>
                </c:pt>
                <c:pt idx="27" formatCode="General">
                  <c:v>56.5</c:v>
                </c:pt>
                <c:pt idx="28" formatCode="General">
                  <c:v>79.3</c:v>
                </c:pt>
              </c:numCache>
            </c:numRef>
          </c:val>
          <c:smooth val="0"/>
          <c:extLst>
            <c:ext xmlns:c16="http://schemas.microsoft.com/office/drawing/2014/chart" uri="{C3380CC4-5D6E-409C-BE32-E72D297353CC}">
              <c16:uniqueId val="{00000003-6474-430D-B816-B3F40804216D}"/>
            </c:ext>
          </c:extLst>
        </c:ser>
        <c:ser>
          <c:idx val="4"/>
          <c:order val="4"/>
          <c:tx>
            <c:strRef>
              <c:f>'výkonnost odvětví 2'!$A$36</c:f>
              <c:strCache>
                <c:ptCount val="1"/>
                <c:pt idx="0">
                  <c:v>Bariéra růstu: nedostatečná poptávka</c:v>
                </c:pt>
              </c:strCache>
            </c:strRef>
          </c:tx>
          <c:spPr>
            <a:ln w="15875">
              <a:solidFill>
                <a:srgbClr val="00B050"/>
              </a:solidFill>
            </a:ln>
          </c:spPr>
          <c:marker>
            <c:symbol val="none"/>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2'!$R$36:$AT$36</c:f>
              <c:numCache>
                <c:formatCode>#\ ##0.0</c:formatCode>
                <c:ptCount val="29"/>
                <c:pt idx="0">
                  <c:v>43.6</c:v>
                </c:pt>
                <c:pt idx="1">
                  <c:v>49.6</c:v>
                </c:pt>
                <c:pt idx="2">
                  <c:v>47.8</c:v>
                </c:pt>
                <c:pt idx="3">
                  <c:v>47.8</c:v>
                </c:pt>
                <c:pt idx="4">
                  <c:v>45.7</c:v>
                </c:pt>
                <c:pt idx="5">
                  <c:v>45.5</c:v>
                </c:pt>
                <c:pt idx="6">
                  <c:v>43</c:v>
                </c:pt>
                <c:pt idx="7">
                  <c:v>43.8</c:v>
                </c:pt>
                <c:pt idx="8">
                  <c:v>42.7</c:v>
                </c:pt>
                <c:pt idx="9">
                  <c:v>41.6</c:v>
                </c:pt>
                <c:pt idx="10">
                  <c:v>40.299999999999997</c:v>
                </c:pt>
                <c:pt idx="11">
                  <c:v>37.299999999999997</c:v>
                </c:pt>
                <c:pt idx="12">
                  <c:v>35.4</c:v>
                </c:pt>
                <c:pt idx="13">
                  <c:v>36</c:v>
                </c:pt>
                <c:pt idx="14">
                  <c:v>31.6</c:v>
                </c:pt>
                <c:pt idx="15">
                  <c:v>33.4</c:v>
                </c:pt>
                <c:pt idx="16">
                  <c:v>33.700000000000003</c:v>
                </c:pt>
                <c:pt idx="17">
                  <c:v>35.299999999999997</c:v>
                </c:pt>
                <c:pt idx="18">
                  <c:v>40.1</c:v>
                </c:pt>
                <c:pt idx="19">
                  <c:v>47.3</c:v>
                </c:pt>
                <c:pt idx="20">
                  <c:v>50.4</c:v>
                </c:pt>
                <c:pt idx="21">
                  <c:v>58.4</c:v>
                </c:pt>
                <c:pt idx="22">
                  <c:v>63.2</c:v>
                </c:pt>
                <c:pt idx="23">
                  <c:v>47.9</c:v>
                </c:pt>
                <c:pt idx="24">
                  <c:v>48.7</c:v>
                </c:pt>
                <c:pt idx="25">
                  <c:v>38.5</c:v>
                </c:pt>
                <c:pt idx="26">
                  <c:v>24.5</c:v>
                </c:pt>
                <c:pt idx="27">
                  <c:v>28.2</c:v>
                </c:pt>
                <c:pt idx="28">
                  <c:v>28</c:v>
                </c:pt>
              </c:numCache>
            </c:numRef>
          </c:val>
          <c:smooth val="0"/>
          <c:extLst>
            <c:ext xmlns:c16="http://schemas.microsoft.com/office/drawing/2014/chart" uri="{C3380CC4-5D6E-409C-BE32-E72D297353CC}">
              <c16:uniqueId val="{00000004-6474-430D-B816-B3F40804216D}"/>
            </c:ext>
          </c:extLst>
        </c:ser>
        <c:ser>
          <c:idx val="5"/>
          <c:order val="5"/>
          <c:tx>
            <c:strRef>
              <c:f>'výkonnost odvětví 2'!$A$37</c:f>
              <c:strCache>
                <c:ptCount val="1"/>
                <c:pt idx="0">
                  <c:v>Bariéra růstu: nedostatek pracovníků</c:v>
                </c:pt>
              </c:strCache>
            </c:strRef>
          </c:tx>
          <c:spPr>
            <a:ln w="15875">
              <a:solidFill>
                <a:srgbClr val="00B050"/>
              </a:solidFill>
              <a:prstDash val="dash"/>
            </a:ln>
          </c:spPr>
          <c:marker>
            <c:symbol val="none"/>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2'!$R$37:$AT$37</c:f>
              <c:numCache>
                <c:formatCode>#\ ##0.0</c:formatCode>
                <c:ptCount val="29"/>
                <c:pt idx="0">
                  <c:v>6.7</c:v>
                </c:pt>
                <c:pt idx="1">
                  <c:v>6.9</c:v>
                </c:pt>
                <c:pt idx="2">
                  <c:v>8.1</c:v>
                </c:pt>
                <c:pt idx="3">
                  <c:v>13.9</c:v>
                </c:pt>
                <c:pt idx="4">
                  <c:v>15.4</c:v>
                </c:pt>
                <c:pt idx="5">
                  <c:v>16.899999999999999</c:v>
                </c:pt>
                <c:pt idx="6">
                  <c:v>18.8</c:v>
                </c:pt>
                <c:pt idx="7">
                  <c:v>28.8</c:v>
                </c:pt>
                <c:pt idx="8">
                  <c:v>32.799999999999997</c:v>
                </c:pt>
                <c:pt idx="9">
                  <c:v>34.700000000000003</c:v>
                </c:pt>
                <c:pt idx="10">
                  <c:v>41.3</c:v>
                </c:pt>
                <c:pt idx="11">
                  <c:v>38.299999999999997</c:v>
                </c:pt>
                <c:pt idx="12">
                  <c:v>43.4</c:v>
                </c:pt>
                <c:pt idx="13">
                  <c:v>43.7</c:v>
                </c:pt>
                <c:pt idx="14">
                  <c:v>43.7</c:v>
                </c:pt>
                <c:pt idx="15">
                  <c:v>44.8</c:v>
                </c:pt>
                <c:pt idx="16">
                  <c:v>38.799999999999997</c:v>
                </c:pt>
                <c:pt idx="17">
                  <c:v>36.4</c:v>
                </c:pt>
                <c:pt idx="18">
                  <c:v>39.5</c:v>
                </c:pt>
                <c:pt idx="19">
                  <c:v>37.200000000000003</c:v>
                </c:pt>
                <c:pt idx="20">
                  <c:v>28.2</c:v>
                </c:pt>
                <c:pt idx="21">
                  <c:v>16.600000000000001</c:v>
                </c:pt>
                <c:pt idx="22">
                  <c:v>15.1</c:v>
                </c:pt>
                <c:pt idx="23">
                  <c:v>13.7</c:v>
                </c:pt>
                <c:pt idx="24">
                  <c:v>20.3</c:v>
                </c:pt>
                <c:pt idx="25">
                  <c:v>21.5</c:v>
                </c:pt>
                <c:pt idx="26">
                  <c:v>26.2</c:v>
                </c:pt>
                <c:pt idx="27">
                  <c:v>21</c:v>
                </c:pt>
                <c:pt idx="28">
                  <c:v>25</c:v>
                </c:pt>
              </c:numCache>
            </c:numRef>
          </c:val>
          <c:smooth val="0"/>
          <c:extLst>
            <c:ext xmlns:c16="http://schemas.microsoft.com/office/drawing/2014/chart" uri="{C3380CC4-5D6E-409C-BE32-E72D297353CC}">
              <c16:uniqueId val="{00000005-6474-430D-B816-B3F40804216D}"/>
            </c:ext>
          </c:extLst>
        </c:ser>
        <c:ser>
          <c:idx val="6"/>
          <c:order val="6"/>
          <c:tx>
            <c:strRef>
              <c:f>'výkonnost odvětví 2'!$A$38</c:f>
              <c:strCache>
                <c:ptCount val="1"/>
                <c:pt idx="0">
                  <c:v>Bariéra růstu: nedost. materiálu a zařízení</c:v>
                </c:pt>
              </c:strCache>
            </c:strRef>
          </c:tx>
          <c:spPr>
            <a:ln w="15875">
              <a:solidFill>
                <a:srgbClr val="92D050"/>
              </a:solidFill>
              <a:prstDash val="sysDash"/>
            </a:ln>
          </c:spPr>
          <c:marker>
            <c:symbol val="none"/>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2'!$R$38:$AT$38</c:f>
              <c:numCache>
                <c:formatCode>#\ ##0.0</c:formatCode>
                <c:ptCount val="29"/>
                <c:pt idx="0">
                  <c:v>7.8</c:v>
                </c:pt>
                <c:pt idx="1">
                  <c:v>10.1</c:v>
                </c:pt>
                <c:pt idx="2">
                  <c:v>10.5</c:v>
                </c:pt>
                <c:pt idx="3">
                  <c:v>10</c:v>
                </c:pt>
                <c:pt idx="4">
                  <c:v>11.1</c:v>
                </c:pt>
                <c:pt idx="5">
                  <c:v>7.1</c:v>
                </c:pt>
                <c:pt idx="6">
                  <c:v>8.5</c:v>
                </c:pt>
                <c:pt idx="7">
                  <c:v>7.8</c:v>
                </c:pt>
                <c:pt idx="8">
                  <c:v>9.9</c:v>
                </c:pt>
                <c:pt idx="9">
                  <c:v>7.8</c:v>
                </c:pt>
                <c:pt idx="10">
                  <c:v>10</c:v>
                </c:pt>
                <c:pt idx="11">
                  <c:v>20.8</c:v>
                </c:pt>
                <c:pt idx="12">
                  <c:v>13.9</c:v>
                </c:pt>
                <c:pt idx="13">
                  <c:v>12.8</c:v>
                </c:pt>
                <c:pt idx="14">
                  <c:v>14.1</c:v>
                </c:pt>
                <c:pt idx="15">
                  <c:v>20</c:v>
                </c:pt>
                <c:pt idx="16">
                  <c:v>27.1</c:v>
                </c:pt>
                <c:pt idx="17">
                  <c:v>26.8</c:v>
                </c:pt>
                <c:pt idx="18">
                  <c:v>23.8</c:v>
                </c:pt>
                <c:pt idx="19">
                  <c:v>9.4</c:v>
                </c:pt>
                <c:pt idx="20">
                  <c:v>17.399999999999999</c:v>
                </c:pt>
                <c:pt idx="21">
                  <c:v>11.5</c:v>
                </c:pt>
                <c:pt idx="22">
                  <c:v>7.6</c:v>
                </c:pt>
                <c:pt idx="23">
                  <c:v>8.6</c:v>
                </c:pt>
                <c:pt idx="24">
                  <c:v>19</c:v>
                </c:pt>
                <c:pt idx="25">
                  <c:v>31.2</c:v>
                </c:pt>
                <c:pt idx="26">
                  <c:v>46</c:v>
                </c:pt>
                <c:pt idx="27">
                  <c:v>44.1</c:v>
                </c:pt>
                <c:pt idx="28">
                  <c:v>39.6</c:v>
                </c:pt>
              </c:numCache>
            </c:numRef>
          </c:val>
          <c:smooth val="0"/>
          <c:extLst>
            <c:ext xmlns:c16="http://schemas.microsoft.com/office/drawing/2014/chart" uri="{C3380CC4-5D6E-409C-BE32-E72D297353CC}">
              <c16:uniqueId val="{00000006-6474-430D-B816-B3F40804216D}"/>
            </c:ext>
          </c:extLst>
        </c:ser>
        <c:ser>
          <c:idx val="7"/>
          <c:order val="7"/>
          <c:tx>
            <c:strRef>
              <c:f>'výkonnost odvětví 2'!$A$39</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2'!$R$39:$AT$39</c:f>
              <c:numCache>
                <c:formatCode>#\ ##0.0</c:formatCode>
                <c:ptCount val="29"/>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pt idx="26">
                  <c:v>-1.3</c:v>
                </c:pt>
                <c:pt idx="27">
                  <c:v>-5.3</c:v>
                </c:pt>
                <c:pt idx="28">
                  <c:v>-0.3</c:v>
                </c:pt>
              </c:numCache>
            </c:numRef>
          </c:val>
          <c:smooth val="0"/>
          <c:extLst>
            <c:ext xmlns:c16="http://schemas.microsoft.com/office/drawing/2014/chart" uri="{C3380CC4-5D6E-409C-BE32-E72D297353CC}">
              <c16:uniqueId val="{00000007-6474-430D-B816-B3F40804216D}"/>
            </c:ext>
          </c:extLst>
        </c:ser>
        <c:dLbls>
          <c:showLegendKey val="0"/>
          <c:showVal val="0"/>
          <c:showCatName val="0"/>
          <c:showSerName val="0"/>
          <c:showPercent val="0"/>
          <c:showBubbleSize val="0"/>
        </c:dLbls>
        <c:marker val="1"/>
        <c:smooth val="0"/>
        <c:axId val="1239819375"/>
        <c:axId val="1239826863"/>
      </c:lineChart>
      <c:catAx>
        <c:axId val="112768128"/>
        <c:scaling>
          <c:orientation val="minMax"/>
        </c:scaling>
        <c:delete val="0"/>
        <c:axPos val="b"/>
        <c:numFmt formatCode="General" sourceLinked="1"/>
        <c:majorTickMark val="out"/>
        <c:minorTickMark val="none"/>
        <c:tickLblPos val="low"/>
        <c:crossAx val="112769664"/>
        <c:crosses val="autoZero"/>
        <c:auto val="1"/>
        <c:lblAlgn val="ctr"/>
        <c:lblOffset val="0"/>
        <c:noMultiLvlLbl val="0"/>
      </c:catAx>
      <c:valAx>
        <c:axId val="112769664"/>
        <c:scaling>
          <c:orientation val="minMax"/>
          <c:max val="60"/>
          <c:min val="-40"/>
        </c:scaling>
        <c:delete val="0"/>
        <c:axPos val="l"/>
        <c:majorGridlines>
          <c:spPr>
            <a:ln>
              <a:solidFill>
                <a:srgbClr val="BEBEBE"/>
              </a:solidFill>
            </a:ln>
          </c:spPr>
        </c:majorGridlines>
        <c:title>
          <c:tx>
            <c:rich>
              <a:bodyPr/>
              <a:lstStyle/>
              <a:p>
                <a:pPr>
                  <a:defRPr sz="700" b="0" i="1"/>
                </a:pPr>
                <a:r>
                  <a:rPr lang="cs-CZ" sz="700" b="0" i="1"/>
                  <a:t>Zakázky</a:t>
                </a:r>
              </a:p>
            </c:rich>
          </c:tx>
          <c:overlay val="0"/>
        </c:title>
        <c:numFmt formatCode="0" sourceLinked="0"/>
        <c:majorTickMark val="out"/>
        <c:minorTickMark val="none"/>
        <c:tickLblPos val="nextTo"/>
        <c:crossAx val="112768128"/>
        <c:crosses val="autoZero"/>
        <c:crossBetween val="between"/>
        <c:majorUnit val="10"/>
      </c:valAx>
      <c:valAx>
        <c:axId val="1239826863"/>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a:t>Využití výrob.</a:t>
                </a:r>
                <a:r>
                  <a:rPr lang="cs-CZ" sz="700" b="0" i="1" baseline="0"/>
                  <a:t> </a:t>
                </a:r>
                <a:r>
                  <a:rPr lang="cs-CZ" sz="700" b="0" i="1"/>
                  <a:t>kapacit, bariéry růstu, </a:t>
                </a:r>
                <a:r>
                  <a:rPr lang="cs-CZ" sz="700" b="0" i="1" baseline="0">
                    <a:effectLst/>
                  </a:rPr>
                  <a:t>saldo důvěry</a:t>
                </a:r>
                <a:endParaRPr lang="cs-CZ" sz="700" i="1">
                  <a:effectLst/>
                </a:endParaRPr>
              </a:p>
            </c:rich>
          </c:tx>
          <c:overlay val="0"/>
        </c:title>
        <c:numFmt formatCode="#,##0" sourceLinked="0"/>
        <c:majorTickMark val="out"/>
        <c:minorTickMark val="none"/>
        <c:tickLblPos val="nextTo"/>
        <c:crossAx val="1239819375"/>
        <c:crosses val="max"/>
        <c:crossBetween val="between"/>
        <c:majorUnit val="10"/>
      </c:valAx>
      <c:catAx>
        <c:axId val="1239819375"/>
        <c:scaling>
          <c:orientation val="minMax"/>
        </c:scaling>
        <c:delete val="1"/>
        <c:axPos val="b"/>
        <c:numFmt formatCode="General" sourceLinked="1"/>
        <c:majorTickMark val="out"/>
        <c:minorTickMark val="none"/>
        <c:tickLblPos val="nextTo"/>
        <c:crossAx val="12398268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8.0033308468213139E-3"/>
          <c:y val="0.85586448957034"/>
          <c:w val="0.98749355022027863"/>
          <c:h val="0.13713064866950375"/>
        </c:manualLayout>
      </c:layout>
      <c:overlay val="0"/>
      <c:spPr>
        <a:ln w="6350">
          <a:solidFill>
            <a:prstClr val="black">
              <a:lumMod val="95000"/>
              <a:lumOff val="5000"/>
            </a:prstClr>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41623297994974E-2"/>
          <c:y val="2.1373653391166647E-2"/>
          <c:w val="0.85765756453827047"/>
          <c:h val="0.74711966440217237"/>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a:noFill/>
            </a:ln>
          </c:spPr>
          <c:invertIfNegative val="0"/>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3'!$Y$31:$Y$59</c:f>
              <c:numCache>
                <c:formatCode>0.0</c:formatCode>
                <c:ptCount val="29"/>
                <c:pt idx="0">
                  <c:v>6.1332628878020472</c:v>
                </c:pt>
                <c:pt idx="1">
                  <c:v>5.1611029387020881</c:v>
                </c:pt>
                <c:pt idx="2">
                  <c:v>0.82789337777956651</c:v>
                </c:pt>
                <c:pt idx="3">
                  <c:v>-1.792443206462254</c:v>
                </c:pt>
                <c:pt idx="4">
                  <c:v>-5.0624228474210264</c:v>
                </c:pt>
                <c:pt idx="5">
                  <c:v>-5.0837956877529207</c:v>
                </c:pt>
                <c:pt idx="6">
                  <c:v>0.80068413098652258</c:v>
                </c:pt>
                <c:pt idx="7">
                  <c:v>4.0229578720745067</c:v>
                </c:pt>
                <c:pt idx="8">
                  <c:v>2.3707415602985482</c:v>
                </c:pt>
                <c:pt idx="9">
                  <c:v>10.127474072202558</c:v>
                </c:pt>
                <c:pt idx="10">
                  <c:v>3.4985302779650396</c:v>
                </c:pt>
                <c:pt idx="11">
                  <c:v>2.7010793303841334</c:v>
                </c:pt>
                <c:pt idx="12">
                  <c:v>13.58981677167807</c:v>
                </c:pt>
                <c:pt idx="13">
                  <c:v>6.2954664988362632</c:v>
                </c:pt>
                <c:pt idx="14">
                  <c:v>7.7040894172433472</c:v>
                </c:pt>
                <c:pt idx="15">
                  <c:v>2.6018478445540052</c:v>
                </c:pt>
                <c:pt idx="16">
                  <c:v>2.902580138628347</c:v>
                </c:pt>
                <c:pt idx="17">
                  <c:v>2.4244946978317015</c:v>
                </c:pt>
                <c:pt idx="18">
                  <c:v>-0.69452357804114084</c:v>
                </c:pt>
                <c:pt idx="19">
                  <c:v>2.4262746292667692</c:v>
                </c:pt>
                <c:pt idx="20">
                  <c:v>-0.3509850836675944</c:v>
                </c:pt>
                <c:pt idx="21">
                  <c:v>-7.4196046801003988</c:v>
                </c:pt>
                <c:pt idx="22">
                  <c:v>-7.1685933920563025</c:v>
                </c:pt>
                <c:pt idx="23">
                  <c:v>-8.6185225202649214</c:v>
                </c:pt>
                <c:pt idx="24">
                  <c:v>-5.1411661804072324</c:v>
                </c:pt>
                <c:pt idx="25">
                  <c:v>3.2684432641148571</c:v>
                </c:pt>
                <c:pt idx="26">
                  <c:v>2.982124117225045</c:v>
                </c:pt>
                <c:pt idx="27">
                  <c:v>6.0632264260203561</c:v>
                </c:pt>
              </c:numCache>
            </c:numRef>
          </c:val>
          <c:extLst>
            <c:ext xmlns:c16="http://schemas.microsoft.com/office/drawing/2014/chart" uri="{C3380CC4-5D6E-409C-BE32-E72D297353CC}">
              <c16:uniqueId val="{00000000-B84C-4C96-AC96-B57268D9C420}"/>
            </c:ext>
          </c:extLst>
        </c:ser>
        <c:ser>
          <c:idx val="2"/>
          <c:order val="2"/>
          <c:tx>
            <c:strRef>
              <c:f>'výkonnost odvětví 3'!$Z$10</c:f>
              <c:strCache>
                <c:ptCount val="1"/>
                <c:pt idx="0">
                  <c:v>Inženýrské stavitelství (příspěvek v p. b.)</c:v>
                </c:pt>
              </c:strCache>
            </c:strRef>
          </c:tx>
          <c:spPr>
            <a:solidFill>
              <a:srgbClr val="E8AFB2"/>
            </a:solidFill>
            <a:ln>
              <a:noFill/>
            </a:ln>
          </c:spPr>
          <c:invertIfNegative val="0"/>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3'!$Z$31:$Z$59</c:f>
              <c:numCache>
                <c:formatCode>0.0</c:formatCode>
                <c:ptCount val="29"/>
                <c:pt idx="0">
                  <c:v>3.0644338505720308</c:v>
                </c:pt>
                <c:pt idx="1">
                  <c:v>6.8180179259183973</c:v>
                </c:pt>
                <c:pt idx="2">
                  <c:v>7.0179431775016399</c:v>
                </c:pt>
                <c:pt idx="3">
                  <c:v>2.730611648088177</c:v>
                </c:pt>
                <c:pt idx="4">
                  <c:v>-1.2082218219742173</c:v>
                </c:pt>
                <c:pt idx="5">
                  <c:v>-5.1375373424938786</c:v>
                </c:pt>
                <c:pt idx="6">
                  <c:v>-6.7128245144582364</c:v>
                </c:pt>
                <c:pt idx="7">
                  <c:v>-5.672093550500878</c:v>
                </c:pt>
                <c:pt idx="8">
                  <c:v>-3.2052093816174203</c:v>
                </c:pt>
                <c:pt idx="9">
                  <c:v>-1.1403993727014583</c:v>
                </c:pt>
                <c:pt idx="10">
                  <c:v>-1.4444952024671565</c:v>
                </c:pt>
                <c:pt idx="11">
                  <c:v>0.23728682710972981</c:v>
                </c:pt>
                <c:pt idx="12">
                  <c:v>1.7538255902919127</c:v>
                </c:pt>
                <c:pt idx="13">
                  <c:v>1.2042218152710626</c:v>
                </c:pt>
                <c:pt idx="14">
                  <c:v>4.7031010298825633</c:v>
                </c:pt>
                <c:pt idx="15">
                  <c:v>1.7060394592294705</c:v>
                </c:pt>
                <c:pt idx="16">
                  <c:v>0.73329395346685111</c:v>
                </c:pt>
                <c:pt idx="17">
                  <c:v>1.8741086038878019</c:v>
                </c:pt>
                <c:pt idx="18">
                  <c:v>0.7564974358767329</c:v>
                </c:pt>
                <c:pt idx="19">
                  <c:v>0.84455333356029649</c:v>
                </c:pt>
                <c:pt idx="20">
                  <c:v>3.2039225261120103</c:v>
                </c:pt>
                <c:pt idx="21">
                  <c:v>1.2159283677885731</c:v>
                </c:pt>
                <c:pt idx="22">
                  <c:v>-1.8702967995115634</c:v>
                </c:pt>
                <c:pt idx="23">
                  <c:v>0.34456386356438634</c:v>
                </c:pt>
                <c:pt idx="24">
                  <c:v>-4.149342813092647E-2</c:v>
                </c:pt>
                <c:pt idx="25">
                  <c:v>1.0291755083189913</c:v>
                </c:pt>
                <c:pt idx="26">
                  <c:v>-0.24413521365457616</c:v>
                </c:pt>
                <c:pt idx="27">
                  <c:v>-0.88219102636033031</c:v>
                </c:pt>
              </c:numCache>
            </c:numRef>
          </c:val>
          <c:extLst>
            <c:ext xmlns:c16="http://schemas.microsoft.com/office/drawing/2014/chart" uri="{C3380CC4-5D6E-409C-BE32-E72D297353CC}">
              <c16:uniqueId val="{00000001-B84C-4C96-AC96-B57268D9C420}"/>
            </c:ext>
          </c:extLst>
        </c:ser>
        <c:dLbls>
          <c:showLegendKey val="0"/>
          <c:showVal val="0"/>
          <c:showCatName val="0"/>
          <c:showSerName val="0"/>
          <c:showPercent val="0"/>
          <c:showBubbleSize val="0"/>
        </c:dLbls>
        <c:gapWidth val="30"/>
        <c:overlap val="100"/>
        <c:axId val="112768128"/>
        <c:axId val="112769664"/>
      </c:barChart>
      <c:lineChart>
        <c:grouping val="standard"/>
        <c:varyColors val="0"/>
        <c:ser>
          <c:idx val="0"/>
          <c:order val="0"/>
          <c:tx>
            <c:strRef>
              <c:f>'výkonnost odvětví 3'!$X$10</c:f>
              <c:strCache>
                <c:ptCount val="1"/>
                <c:pt idx="0">
                  <c:v>Celková stavební produkce</c:v>
                </c:pt>
              </c:strCache>
            </c:strRef>
          </c:tx>
          <c:spPr>
            <a:ln>
              <a:noFill/>
            </a:ln>
          </c:spPr>
          <c:marker>
            <c:symbol val="diamond"/>
            <c:size val="5"/>
            <c:spPr>
              <a:solidFill>
                <a:schemeClr val="bg1"/>
              </a:solidFill>
              <a:ln>
                <a:solidFill>
                  <a:schemeClr val="tx1">
                    <a:lumMod val="95000"/>
                    <a:lumOff val="5000"/>
                  </a:schemeClr>
                </a:solidFill>
              </a:ln>
            </c:spPr>
          </c:marker>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3'!$X$31:$X$59</c:f>
              <c:numCache>
                <c:formatCode>0.0</c:formatCode>
                <c:ptCount val="29"/>
                <c:pt idx="0">
                  <c:v>9.1976967383740771</c:v>
                </c:pt>
                <c:pt idx="1">
                  <c:v>11.979120864620469</c:v>
                </c:pt>
                <c:pt idx="2">
                  <c:v>7.8458365552812097</c:v>
                </c:pt>
                <c:pt idx="3">
                  <c:v>0.93816844162589064</c:v>
                </c:pt>
                <c:pt idx="4">
                  <c:v>-6.2706446693952387</c:v>
                </c:pt>
                <c:pt idx="5">
                  <c:v>-10.221333030246782</c:v>
                </c:pt>
                <c:pt idx="6">
                  <c:v>-5.9121403834717228</c:v>
                </c:pt>
                <c:pt idx="7">
                  <c:v>-1.6491356784263616</c:v>
                </c:pt>
                <c:pt idx="8">
                  <c:v>-0.83446782131888142</c:v>
                </c:pt>
                <c:pt idx="9">
                  <c:v>8.9870746995010791</c:v>
                </c:pt>
                <c:pt idx="10">
                  <c:v>2.0540350754978789</c:v>
                </c:pt>
                <c:pt idx="11">
                  <c:v>2.93836615749386</c:v>
                </c:pt>
                <c:pt idx="12">
                  <c:v>15.343642361969984</c:v>
                </c:pt>
                <c:pt idx="13">
                  <c:v>7.4996883141073454</c:v>
                </c:pt>
                <c:pt idx="14">
                  <c:v>12.407190447125899</c:v>
                </c:pt>
                <c:pt idx="15">
                  <c:v>4.3078873037834882</c:v>
                </c:pt>
                <c:pt idx="16">
                  <c:v>3.6358740920951789</c:v>
                </c:pt>
                <c:pt idx="17">
                  <c:v>4.2986033017194956</c:v>
                </c:pt>
                <c:pt idx="18">
                  <c:v>6.1973857835596391E-2</c:v>
                </c:pt>
                <c:pt idx="19">
                  <c:v>3.2708279628270702</c:v>
                </c:pt>
                <c:pt idx="20">
                  <c:v>2.8529374424444143</c:v>
                </c:pt>
                <c:pt idx="21">
                  <c:v>-6.2036763123118277</c:v>
                </c:pt>
                <c:pt idx="22">
                  <c:v>-9.0388901915678588</c:v>
                </c:pt>
                <c:pt idx="23">
                  <c:v>-8.2739586567005432</c:v>
                </c:pt>
                <c:pt idx="24">
                  <c:v>-5.1826596085381595</c:v>
                </c:pt>
                <c:pt idx="25">
                  <c:v>4.2976187724338644</c:v>
                </c:pt>
                <c:pt idx="26">
                  <c:v>2.7379889035704394</c:v>
                </c:pt>
                <c:pt idx="27">
                  <c:v>5.1810353996600185</c:v>
                </c:pt>
              </c:numCache>
            </c:numRef>
          </c:val>
          <c:smooth val="0"/>
          <c:extLst>
            <c:ext xmlns:c16="http://schemas.microsoft.com/office/drawing/2014/chart" uri="{C3380CC4-5D6E-409C-BE32-E72D297353CC}">
              <c16:uniqueId val="{00000002-B84C-4C96-AC96-B57268D9C420}"/>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3"/>
          <c:order val="3"/>
          <c:tx>
            <c:strRef>
              <c:f>'výkonnost odvětví 3'!$AA$10</c:f>
              <c:strCache>
                <c:ptCount val="1"/>
                <c:pt idx="0">
                  <c:v>Nové stavební zakázky v tuzemsku</c:v>
                </c:pt>
              </c:strCache>
            </c:strRef>
          </c:tx>
          <c:spPr>
            <a:ln w="15875">
              <a:solidFill>
                <a:srgbClr val="984807"/>
              </a:solidFill>
            </a:ln>
          </c:spPr>
          <c:marker>
            <c:symbol val="none"/>
          </c:marker>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3'!$AA$31:$AA$59</c:f>
              <c:numCache>
                <c:formatCode>0.0</c:formatCode>
                <c:ptCount val="29"/>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28.188227371706034</c:v>
                </c:pt>
                <c:pt idx="25">
                  <c:v>21.356647205514562</c:v>
                </c:pt>
                <c:pt idx="26">
                  <c:v>10.238212063911533</c:v>
                </c:pt>
                <c:pt idx="27">
                  <c:v>2.0582698922261216</c:v>
                </c:pt>
              </c:numCache>
            </c:numRef>
          </c:val>
          <c:smooth val="0"/>
          <c:extLst>
            <c:ext xmlns:c16="http://schemas.microsoft.com/office/drawing/2014/chart" uri="{C3380CC4-5D6E-409C-BE32-E72D297353CC}">
              <c16:uniqueId val="{00000003-B84C-4C96-AC96-B57268D9C420}"/>
            </c:ext>
          </c:extLst>
        </c:ser>
        <c:ser>
          <c:idx val="4"/>
          <c:order val="4"/>
          <c:tx>
            <c:strRef>
              <c:f>'výkonnost odvětví 3'!$AB$10</c:f>
              <c:strCache>
                <c:ptCount val="1"/>
                <c:pt idx="0">
                  <c:v>Bariéra růstu: nedostatečná poptávka</c:v>
                </c:pt>
              </c:strCache>
            </c:strRef>
          </c:tx>
          <c:spPr>
            <a:ln w="15875">
              <a:solidFill>
                <a:srgbClr val="00B050"/>
              </a:solidFill>
            </a:ln>
          </c:spPr>
          <c:marker>
            <c:symbol val="none"/>
          </c:marker>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3'!$AB$31:$AB$59</c:f>
              <c:numCache>
                <c:formatCode>#\ ##0.0</c:formatCode>
                <c:ptCount val="29"/>
                <c:pt idx="0">
                  <c:v>65.8</c:v>
                </c:pt>
                <c:pt idx="1">
                  <c:v>60.4</c:v>
                </c:pt>
                <c:pt idx="2">
                  <c:v>58.9</c:v>
                </c:pt>
                <c:pt idx="3">
                  <c:v>57.6</c:v>
                </c:pt>
                <c:pt idx="4">
                  <c:v>54.5</c:v>
                </c:pt>
                <c:pt idx="5">
                  <c:v>61.1</c:v>
                </c:pt>
                <c:pt idx="6">
                  <c:v>60.4</c:v>
                </c:pt>
                <c:pt idx="7">
                  <c:v>57</c:v>
                </c:pt>
                <c:pt idx="8">
                  <c:v>53.9</c:v>
                </c:pt>
                <c:pt idx="9">
                  <c:v>54.3</c:v>
                </c:pt>
                <c:pt idx="10">
                  <c:v>50</c:v>
                </c:pt>
                <c:pt idx="11">
                  <c:v>48.3</c:v>
                </c:pt>
                <c:pt idx="12">
                  <c:v>40.299999999999997</c:v>
                </c:pt>
                <c:pt idx="13">
                  <c:v>38.200000000000003</c:v>
                </c:pt>
                <c:pt idx="14">
                  <c:v>33.4</c:v>
                </c:pt>
                <c:pt idx="15">
                  <c:v>24.1</c:v>
                </c:pt>
                <c:pt idx="16">
                  <c:v>25.4</c:v>
                </c:pt>
                <c:pt idx="17">
                  <c:v>23.3</c:v>
                </c:pt>
                <c:pt idx="18">
                  <c:v>17.899999999999999</c:v>
                </c:pt>
                <c:pt idx="19">
                  <c:v>20.9</c:v>
                </c:pt>
                <c:pt idx="20">
                  <c:v>30.3</c:v>
                </c:pt>
                <c:pt idx="21">
                  <c:v>29.3</c:v>
                </c:pt>
                <c:pt idx="22">
                  <c:v>38.799999999999997</c:v>
                </c:pt>
                <c:pt idx="23" formatCode="General">
                  <c:v>41.2</c:v>
                </c:pt>
                <c:pt idx="24">
                  <c:v>31.3</c:v>
                </c:pt>
                <c:pt idx="25">
                  <c:v>34.200000000000003</c:v>
                </c:pt>
                <c:pt idx="26">
                  <c:v>23.8</c:v>
                </c:pt>
                <c:pt idx="27">
                  <c:v>20.5</c:v>
                </c:pt>
                <c:pt idx="28">
                  <c:v>19</c:v>
                </c:pt>
              </c:numCache>
            </c:numRef>
          </c:val>
          <c:smooth val="0"/>
          <c:extLst>
            <c:ext xmlns:c16="http://schemas.microsoft.com/office/drawing/2014/chart" uri="{C3380CC4-5D6E-409C-BE32-E72D297353CC}">
              <c16:uniqueId val="{00000004-B84C-4C96-AC96-B57268D9C420}"/>
            </c:ext>
          </c:extLst>
        </c:ser>
        <c:ser>
          <c:idx val="5"/>
          <c:order val="5"/>
          <c:tx>
            <c:strRef>
              <c:f>'výkonnost odvětví 3'!$AC$10</c:f>
              <c:strCache>
                <c:ptCount val="1"/>
                <c:pt idx="0">
                  <c:v>Bariéra růstu: nedostatek pracovníků</c:v>
                </c:pt>
              </c:strCache>
            </c:strRef>
          </c:tx>
          <c:spPr>
            <a:ln w="15875">
              <a:solidFill>
                <a:srgbClr val="00B050"/>
              </a:solidFill>
              <a:prstDash val="dash"/>
            </a:ln>
          </c:spPr>
          <c:marker>
            <c:symbol val="none"/>
          </c:marker>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3'!$AC$31:$AC$59</c:f>
              <c:numCache>
                <c:formatCode>#\ ##0.0</c:formatCode>
                <c:ptCount val="29"/>
                <c:pt idx="0">
                  <c:v>6.8</c:v>
                </c:pt>
                <c:pt idx="1">
                  <c:v>7.9</c:v>
                </c:pt>
                <c:pt idx="2">
                  <c:v>7.2</c:v>
                </c:pt>
                <c:pt idx="3">
                  <c:v>7</c:v>
                </c:pt>
                <c:pt idx="4">
                  <c:v>5.8</c:v>
                </c:pt>
                <c:pt idx="5">
                  <c:v>6.7</c:v>
                </c:pt>
                <c:pt idx="6">
                  <c:v>7.8</c:v>
                </c:pt>
                <c:pt idx="7">
                  <c:v>10.7</c:v>
                </c:pt>
                <c:pt idx="8">
                  <c:v>11.5</c:v>
                </c:pt>
                <c:pt idx="9">
                  <c:v>14</c:v>
                </c:pt>
                <c:pt idx="10">
                  <c:v>22.7</c:v>
                </c:pt>
                <c:pt idx="11">
                  <c:v>23.1</c:v>
                </c:pt>
                <c:pt idx="12">
                  <c:v>23.5</c:v>
                </c:pt>
                <c:pt idx="13">
                  <c:v>29.3</c:v>
                </c:pt>
                <c:pt idx="14">
                  <c:v>30.4</c:v>
                </c:pt>
                <c:pt idx="15">
                  <c:v>40.799999999999997</c:v>
                </c:pt>
                <c:pt idx="16">
                  <c:v>34.299999999999997</c:v>
                </c:pt>
                <c:pt idx="17">
                  <c:v>43</c:v>
                </c:pt>
                <c:pt idx="18">
                  <c:v>55</c:v>
                </c:pt>
                <c:pt idx="19">
                  <c:v>49.7</c:v>
                </c:pt>
                <c:pt idx="20">
                  <c:v>50</c:v>
                </c:pt>
                <c:pt idx="21">
                  <c:v>46.3</c:v>
                </c:pt>
                <c:pt idx="22">
                  <c:v>38.200000000000003</c:v>
                </c:pt>
                <c:pt idx="23" formatCode="0.0">
                  <c:v>34</c:v>
                </c:pt>
                <c:pt idx="24">
                  <c:v>43.6</c:v>
                </c:pt>
                <c:pt idx="25">
                  <c:v>32</c:v>
                </c:pt>
                <c:pt idx="26">
                  <c:v>42.6</c:v>
                </c:pt>
                <c:pt idx="27">
                  <c:v>45.2</c:v>
                </c:pt>
                <c:pt idx="28">
                  <c:v>51.7</c:v>
                </c:pt>
              </c:numCache>
            </c:numRef>
          </c:val>
          <c:smooth val="0"/>
          <c:extLst>
            <c:ext xmlns:c16="http://schemas.microsoft.com/office/drawing/2014/chart" uri="{C3380CC4-5D6E-409C-BE32-E72D297353CC}">
              <c16:uniqueId val="{00000005-B84C-4C96-AC96-B57268D9C420}"/>
            </c:ext>
          </c:extLst>
        </c:ser>
        <c:ser>
          <c:idx val="6"/>
          <c:order val="6"/>
          <c:tx>
            <c:strRef>
              <c:f>'výkonnost odvětví 3'!$AD$10</c:f>
              <c:strCache>
                <c:ptCount val="1"/>
                <c:pt idx="0">
                  <c:v>Bariéra růstu: nedost. materiálu a vybavení</c:v>
                </c:pt>
              </c:strCache>
            </c:strRef>
          </c:tx>
          <c:spPr>
            <a:ln w="15875">
              <a:solidFill>
                <a:srgbClr val="00B050"/>
              </a:solidFill>
              <a:prstDash val="sysDash"/>
            </a:ln>
          </c:spPr>
          <c:marker>
            <c:symbol val="none"/>
          </c:marker>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3'!$AD$31:$AD$59</c:f>
              <c:numCache>
                <c:formatCode>#\ ##0.0</c:formatCode>
                <c:ptCount val="29"/>
                <c:pt idx="0">
                  <c:v>0.2</c:v>
                </c:pt>
                <c:pt idx="1">
                  <c:v>0.5</c:v>
                </c:pt>
                <c:pt idx="2">
                  <c:v>3.7</c:v>
                </c:pt>
                <c:pt idx="3">
                  <c:v>0.3</c:v>
                </c:pt>
                <c:pt idx="4">
                  <c:v>0.9</c:v>
                </c:pt>
                <c:pt idx="5">
                  <c:v>0.8</c:v>
                </c:pt>
                <c:pt idx="6">
                  <c:v>0.1</c:v>
                </c:pt>
                <c:pt idx="7">
                  <c:v>1</c:v>
                </c:pt>
                <c:pt idx="8">
                  <c:v>0.6</c:v>
                </c:pt>
                <c:pt idx="9">
                  <c:v>0.5</c:v>
                </c:pt>
                <c:pt idx="10">
                  <c:v>2.4</c:v>
                </c:pt>
                <c:pt idx="11">
                  <c:v>3.5</c:v>
                </c:pt>
                <c:pt idx="12">
                  <c:v>5.7</c:v>
                </c:pt>
                <c:pt idx="13">
                  <c:v>2.4</c:v>
                </c:pt>
                <c:pt idx="14">
                  <c:v>5.6</c:v>
                </c:pt>
                <c:pt idx="15">
                  <c:v>3.3</c:v>
                </c:pt>
                <c:pt idx="16">
                  <c:v>4.5</c:v>
                </c:pt>
                <c:pt idx="17">
                  <c:v>6.7</c:v>
                </c:pt>
                <c:pt idx="18">
                  <c:v>4.3</c:v>
                </c:pt>
                <c:pt idx="19">
                  <c:v>4</c:v>
                </c:pt>
                <c:pt idx="20">
                  <c:v>2.1</c:v>
                </c:pt>
                <c:pt idx="21">
                  <c:v>4</c:v>
                </c:pt>
                <c:pt idx="22">
                  <c:v>0.3</c:v>
                </c:pt>
                <c:pt idx="23">
                  <c:v>0.7</c:v>
                </c:pt>
                <c:pt idx="24">
                  <c:v>1</c:v>
                </c:pt>
                <c:pt idx="25">
                  <c:v>3.9</c:v>
                </c:pt>
                <c:pt idx="26">
                  <c:v>14</c:v>
                </c:pt>
                <c:pt idx="27">
                  <c:v>22.3</c:v>
                </c:pt>
                <c:pt idx="28">
                  <c:v>26.3</c:v>
                </c:pt>
              </c:numCache>
            </c:numRef>
          </c:val>
          <c:smooth val="0"/>
          <c:extLst>
            <c:ext xmlns:c16="http://schemas.microsoft.com/office/drawing/2014/chart" uri="{C3380CC4-5D6E-409C-BE32-E72D297353CC}">
              <c16:uniqueId val="{00000006-B84C-4C96-AC96-B57268D9C420}"/>
            </c:ext>
          </c:extLst>
        </c:ser>
        <c:ser>
          <c:idx val="7"/>
          <c:order val="7"/>
          <c:tx>
            <c:strRef>
              <c:f>'výkonnost odvětví 3'!$AE$10</c:f>
              <c:strCache>
                <c:ptCount val="1"/>
                <c:pt idx="0">
                  <c:v>Saldo indikátoru důvěry ve stavebnictví</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3'!$AE$31:$AE$59</c:f>
              <c:numCache>
                <c:formatCode>0.0</c:formatCode>
                <c:ptCount val="29"/>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numCache>
            </c:numRef>
          </c:val>
          <c:smooth val="0"/>
          <c:extLst>
            <c:ext xmlns:c16="http://schemas.microsoft.com/office/drawing/2014/chart" uri="{C3380CC4-5D6E-409C-BE32-E72D297353CC}">
              <c16:uniqueId val="{00000007-B84C-4C96-AC96-B57268D9C420}"/>
            </c:ext>
          </c:extLst>
        </c:ser>
        <c:dLbls>
          <c:showLegendKey val="0"/>
          <c:showVal val="0"/>
          <c:showCatName val="0"/>
          <c:showSerName val="0"/>
          <c:showPercent val="0"/>
          <c:showBubbleSize val="0"/>
        </c:dLbls>
        <c:marker val="1"/>
        <c:smooth val="0"/>
        <c:axId val="1118074639"/>
        <c:axId val="1118080463"/>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30"/>
          <c:min val="-2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Příspěvky k změně stavební produkce</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5"/>
      </c:valAx>
      <c:valAx>
        <c:axId val="1118080463"/>
        <c:scaling>
          <c:orientation val="minMax"/>
          <c:max val="90"/>
          <c:min val="-6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Zakázky, saldo důvěry, bariéry růstu</a:t>
                </a: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18074639"/>
        <c:crosses val="max"/>
        <c:crossBetween val="between"/>
        <c:majorUnit val="15"/>
      </c:valAx>
      <c:catAx>
        <c:axId val="1118074639"/>
        <c:scaling>
          <c:orientation val="minMax"/>
        </c:scaling>
        <c:delete val="1"/>
        <c:axPos val="b"/>
        <c:numFmt formatCode="General" sourceLinked="1"/>
        <c:majorTickMark val="out"/>
        <c:minorTickMark val="none"/>
        <c:tickLblPos val="nextTo"/>
        <c:crossAx val="11180804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9.2069300125758653E-5"/>
          <c:y val="0.85936692045041818"/>
          <c:w val="0.99540838138221588"/>
          <c:h val="0.13362821778942557"/>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647319020345381"/>
          <c:h val="0.7103501120970378"/>
        </c:manualLayout>
      </c:layout>
      <c:barChart>
        <c:barDir val="col"/>
        <c:grouping val="stacked"/>
        <c:varyColors val="0"/>
        <c:ser>
          <c:idx val="0"/>
          <c:order val="1"/>
          <c:tx>
            <c:strRef>
              <c:f>'Služby-příspěvkyk růstu-4'!$D$25</c:f>
              <c:strCache>
                <c:ptCount val="1"/>
                <c:pt idx="0">
                  <c:v>Doprava a skladování</c:v>
                </c:pt>
              </c:strCache>
            </c:strRef>
          </c:tx>
          <c:spPr>
            <a:solidFill>
              <a:srgbClr val="92D050"/>
            </a:solidFill>
            <a:ln>
              <a:noFill/>
            </a:ln>
          </c:spPr>
          <c:invertIfNegative val="0"/>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růstu-4'!$D$38:$D$66</c:f>
              <c:numCache>
                <c:formatCode>0.0</c:formatCode>
                <c:ptCount val="29"/>
                <c:pt idx="0">
                  <c:v>0.17627373165999941</c:v>
                </c:pt>
                <c:pt idx="1">
                  <c:v>-4.1398260783598456E-2</c:v>
                </c:pt>
                <c:pt idx="2">
                  <c:v>0.20127676583260182</c:v>
                </c:pt>
                <c:pt idx="3">
                  <c:v>4.2331882175001848E-2</c:v>
                </c:pt>
                <c:pt idx="4">
                  <c:v>0.2604828945619988</c:v>
                </c:pt>
                <c:pt idx="5">
                  <c:v>0.2004471947790982</c:v>
                </c:pt>
                <c:pt idx="6">
                  <c:v>0.14004615678000035</c:v>
                </c:pt>
                <c:pt idx="7">
                  <c:v>0.860592831148001</c:v>
                </c:pt>
                <c:pt idx="8">
                  <c:v>1.6559965627289983</c:v>
                </c:pt>
                <c:pt idx="9">
                  <c:v>1.093454887462999</c:v>
                </c:pt>
                <c:pt idx="10">
                  <c:v>1.1374484601479997</c:v>
                </c:pt>
                <c:pt idx="11">
                  <c:v>0.60470809717899932</c:v>
                </c:pt>
                <c:pt idx="12">
                  <c:v>1.7518533558900011</c:v>
                </c:pt>
                <c:pt idx="13">
                  <c:v>1.9191714775479998</c:v>
                </c:pt>
                <c:pt idx="14">
                  <c:v>1.4689069805629986</c:v>
                </c:pt>
                <c:pt idx="15">
                  <c:v>0.49822211685500045</c:v>
                </c:pt>
                <c:pt idx="16">
                  <c:v>0.75210969494300106</c:v>
                </c:pt>
                <c:pt idx="17">
                  <c:v>-7.8943058121998602E-2</c:v>
                </c:pt>
                <c:pt idx="18">
                  <c:v>-0.67615596099700137</c:v>
                </c:pt>
                <c:pt idx="19">
                  <c:v>-0.53883087511919869</c:v>
                </c:pt>
                <c:pt idx="20">
                  <c:v>-1.7873099078691994</c:v>
                </c:pt>
                <c:pt idx="21">
                  <c:v>-6.8790162520431002</c:v>
                </c:pt>
                <c:pt idx="22">
                  <c:v>-4.2156758486250006</c:v>
                </c:pt>
                <c:pt idx="23">
                  <c:v>-1.7596921701599992</c:v>
                </c:pt>
                <c:pt idx="24">
                  <c:v>-0.1569416952537</c:v>
                </c:pt>
                <c:pt idx="25">
                  <c:v>6.9452061820127984</c:v>
                </c:pt>
                <c:pt idx="26">
                  <c:v>4.1021141164383979</c:v>
                </c:pt>
                <c:pt idx="27">
                  <c:v>4.5411081672439781</c:v>
                </c:pt>
              </c:numCache>
            </c:numRef>
          </c:val>
          <c:extLst>
            <c:ext xmlns:c16="http://schemas.microsoft.com/office/drawing/2014/chart" uri="{C3380CC4-5D6E-409C-BE32-E72D297353CC}">
              <c16:uniqueId val="{00000000-D1C5-4EBC-ABD9-F40B78A4CFA9}"/>
            </c:ext>
          </c:extLst>
        </c:ser>
        <c:ser>
          <c:idx val="1"/>
          <c:order val="2"/>
          <c:tx>
            <c:strRef>
              <c:f>'Služby-příspěvkyk růstu-4'!$E$25</c:f>
              <c:strCache>
                <c:ptCount val="1"/>
                <c:pt idx="0">
                  <c:v>Ubytování, stravování a pohostinství</c:v>
                </c:pt>
              </c:strCache>
            </c:strRef>
          </c:tx>
          <c:spPr>
            <a:solidFill>
              <a:srgbClr val="00B0F0"/>
            </a:solidFill>
            <a:ln>
              <a:noFill/>
            </a:ln>
          </c:spPr>
          <c:invertIfNegative val="0"/>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růstu-4'!$E$38:$E$66</c:f>
              <c:numCache>
                <c:formatCode>0.0</c:formatCode>
                <c:ptCount val="29"/>
                <c:pt idx="0">
                  <c:v>0.23064326026020021</c:v>
                </c:pt>
                <c:pt idx="1">
                  <c:v>0.65490030172000013</c:v>
                </c:pt>
                <c:pt idx="2">
                  <c:v>0.65615704203699965</c:v>
                </c:pt>
                <c:pt idx="3">
                  <c:v>0.40198126828160025</c:v>
                </c:pt>
                <c:pt idx="4">
                  <c:v>0.47264498177679992</c:v>
                </c:pt>
                <c:pt idx="5">
                  <c:v>0.16809598308499973</c:v>
                </c:pt>
                <c:pt idx="6">
                  <c:v>0.56785028038259988</c:v>
                </c:pt>
                <c:pt idx="7">
                  <c:v>0.60026021753880032</c:v>
                </c:pt>
                <c:pt idx="8">
                  <c:v>0.9071617575674995</c:v>
                </c:pt>
                <c:pt idx="9">
                  <c:v>1.2351843183736004</c:v>
                </c:pt>
                <c:pt idx="10">
                  <c:v>0.55372633890920031</c:v>
                </c:pt>
                <c:pt idx="11">
                  <c:v>0.45414701226059961</c:v>
                </c:pt>
                <c:pt idx="12">
                  <c:v>0.20562277238639989</c:v>
                </c:pt>
                <c:pt idx="13">
                  <c:v>4.6481198053399883E-2</c:v>
                </c:pt>
                <c:pt idx="14">
                  <c:v>5.8790755202600166E-2</c:v>
                </c:pt>
                <c:pt idx="15">
                  <c:v>-3.8611122396599744E-2</c:v>
                </c:pt>
                <c:pt idx="16">
                  <c:v>0.19877668230760023</c:v>
                </c:pt>
                <c:pt idx="17">
                  <c:v>0.19106550885020049</c:v>
                </c:pt>
                <c:pt idx="18">
                  <c:v>-2.1031638824599897E-2</c:v>
                </c:pt>
                <c:pt idx="19">
                  <c:v>-1.8881872245599823E-2</c:v>
                </c:pt>
                <c:pt idx="20">
                  <c:v>-1.157864857912162</c:v>
                </c:pt>
                <c:pt idx="21">
                  <c:v>-4.9674966649835008</c:v>
                </c:pt>
                <c:pt idx="22">
                  <c:v>-1.9520417393251031</c:v>
                </c:pt>
                <c:pt idx="23">
                  <c:v>-4.5017067627894241</c:v>
                </c:pt>
                <c:pt idx="24">
                  <c:v>-3.6938923324187498</c:v>
                </c:pt>
                <c:pt idx="25">
                  <c:v>1.3740162264831814</c:v>
                </c:pt>
                <c:pt idx="26">
                  <c:v>0.63496524511919994</c:v>
                </c:pt>
                <c:pt idx="27">
                  <c:v>2.8400409946004515</c:v>
                </c:pt>
              </c:numCache>
            </c:numRef>
          </c:val>
          <c:extLst>
            <c:ext xmlns:c16="http://schemas.microsoft.com/office/drawing/2014/chart" uri="{C3380CC4-5D6E-409C-BE32-E72D297353CC}">
              <c16:uniqueId val="{00000001-D1C5-4EBC-ABD9-F40B78A4CFA9}"/>
            </c:ext>
          </c:extLst>
        </c:ser>
        <c:ser>
          <c:idx val="2"/>
          <c:order val="3"/>
          <c:tx>
            <c:strRef>
              <c:f>'Služby-příspěvkyk růstu-4'!$F$25</c:f>
              <c:strCache>
                <c:ptCount val="1"/>
                <c:pt idx="0">
                  <c:v>Informační a komunikační činnosti</c:v>
                </c:pt>
              </c:strCache>
            </c:strRef>
          </c:tx>
          <c:spPr>
            <a:solidFill>
              <a:srgbClr val="E6E100"/>
            </a:solidFill>
            <a:ln>
              <a:noFill/>
            </a:ln>
          </c:spPr>
          <c:invertIfNegative val="0"/>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růstu-4'!$F$38:$F$66</c:f>
              <c:numCache>
                <c:formatCode>0.0</c:formatCode>
                <c:ptCount val="29"/>
                <c:pt idx="0">
                  <c:v>1.4083798915137009</c:v>
                </c:pt>
                <c:pt idx="1">
                  <c:v>0.82540650715499964</c:v>
                </c:pt>
                <c:pt idx="2">
                  <c:v>0.80424272675400077</c:v>
                </c:pt>
                <c:pt idx="3">
                  <c:v>1.3174140502479994</c:v>
                </c:pt>
                <c:pt idx="4">
                  <c:v>0.35985664064800121</c:v>
                </c:pt>
                <c:pt idx="5">
                  <c:v>0.1575138368199987</c:v>
                </c:pt>
                <c:pt idx="6">
                  <c:v>0.32598498922399954</c:v>
                </c:pt>
                <c:pt idx="7">
                  <c:v>0.17761340848900062</c:v>
                </c:pt>
                <c:pt idx="8">
                  <c:v>0.76438636704000096</c:v>
                </c:pt>
                <c:pt idx="9">
                  <c:v>0.98207704425299935</c:v>
                </c:pt>
                <c:pt idx="10">
                  <c:v>0.7709388166100013</c:v>
                </c:pt>
                <c:pt idx="11">
                  <c:v>0.58294315828299903</c:v>
                </c:pt>
                <c:pt idx="12">
                  <c:v>1.4398200028309998</c:v>
                </c:pt>
                <c:pt idx="13">
                  <c:v>0.76531943813199921</c:v>
                </c:pt>
                <c:pt idx="14">
                  <c:v>1.415831001736001</c:v>
                </c:pt>
                <c:pt idx="15">
                  <c:v>0.98684323348800107</c:v>
                </c:pt>
                <c:pt idx="16">
                  <c:v>1.2348474246799988</c:v>
                </c:pt>
                <c:pt idx="17">
                  <c:v>1.1603884990619995</c:v>
                </c:pt>
                <c:pt idx="18">
                  <c:v>0.91591834325400012</c:v>
                </c:pt>
                <c:pt idx="19">
                  <c:v>1.1621880049516005</c:v>
                </c:pt>
                <c:pt idx="20">
                  <c:v>0.8191341781949999</c:v>
                </c:pt>
                <c:pt idx="21">
                  <c:v>1.3223529237600361E-2</c:v>
                </c:pt>
                <c:pt idx="22">
                  <c:v>-0.20840783961799986</c:v>
                </c:pt>
                <c:pt idx="23">
                  <c:v>-0.54142483054800161</c:v>
                </c:pt>
                <c:pt idx="24">
                  <c:v>0.71345327861799956</c:v>
                </c:pt>
                <c:pt idx="25">
                  <c:v>1.5468236089918046</c:v>
                </c:pt>
                <c:pt idx="26">
                  <c:v>1.4415115757943988</c:v>
                </c:pt>
                <c:pt idx="27">
                  <c:v>1.9056402188684927</c:v>
                </c:pt>
              </c:numCache>
            </c:numRef>
          </c:val>
          <c:extLst>
            <c:ext xmlns:c16="http://schemas.microsoft.com/office/drawing/2014/chart" uri="{C3380CC4-5D6E-409C-BE32-E72D297353CC}">
              <c16:uniqueId val="{00000002-D1C5-4EBC-ABD9-F40B78A4CFA9}"/>
            </c:ext>
          </c:extLst>
        </c:ser>
        <c:ser>
          <c:idx val="4"/>
          <c:order val="4"/>
          <c:tx>
            <c:strRef>
              <c:f>'Služby-příspěvkyk růstu-4'!$G$25</c:f>
              <c:strCache>
                <c:ptCount val="1"/>
                <c:pt idx="0">
                  <c:v>Činnosti v oblasti nemovitostí</c:v>
                </c:pt>
              </c:strCache>
            </c:strRef>
          </c:tx>
          <c:spPr>
            <a:solidFill>
              <a:schemeClr val="accent5">
                <a:lumMod val="60000"/>
                <a:lumOff val="40000"/>
              </a:schemeClr>
            </a:solidFill>
            <a:ln>
              <a:noFill/>
              <a:prstDash val="sysDash"/>
            </a:ln>
          </c:spPr>
          <c:invertIfNegative val="0"/>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růstu-4'!$G$38:$G$66</c:f>
              <c:numCache>
                <c:formatCode>0.0</c:formatCode>
                <c:ptCount val="29"/>
                <c:pt idx="0">
                  <c:v>4.7588818498199993E-2</c:v>
                </c:pt>
                <c:pt idx="1">
                  <c:v>-7.3007550905993803E-3</c:v>
                </c:pt>
                <c:pt idx="2">
                  <c:v>0.12810762983039936</c:v>
                </c:pt>
                <c:pt idx="3">
                  <c:v>2.4617916117599462E-2</c:v>
                </c:pt>
                <c:pt idx="4">
                  <c:v>0.25752090895739993</c:v>
                </c:pt>
                <c:pt idx="5">
                  <c:v>-4.2228184845005496E-3</c:v>
                </c:pt>
                <c:pt idx="6">
                  <c:v>0.1499318310138007</c:v>
                </c:pt>
                <c:pt idx="7">
                  <c:v>-6.6530028186599532E-2</c:v>
                </c:pt>
                <c:pt idx="8">
                  <c:v>0.20977398058900024</c:v>
                </c:pt>
                <c:pt idx="9">
                  <c:v>0.44953617213779962</c:v>
                </c:pt>
                <c:pt idx="10">
                  <c:v>-2.2338348474500478E-2</c:v>
                </c:pt>
                <c:pt idx="11">
                  <c:v>0.13984723093739981</c:v>
                </c:pt>
                <c:pt idx="12">
                  <c:v>2.6966101253399585E-2</c:v>
                </c:pt>
                <c:pt idx="13">
                  <c:v>-0.24884766500039976</c:v>
                </c:pt>
                <c:pt idx="14">
                  <c:v>-0.12645184379759991</c:v>
                </c:pt>
                <c:pt idx="15">
                  <c:v>-0.22378801642200052</c:v>
                </c:pt>
                <c:pt idx="16">
                  <c:v>0.14753986907940025</c:v>
                </c:pt>
                <c:pt idx="17">
                  <c:v>-7.379708629200365E-3</c:v>
                </c:pt>
                <c:pt idx="18">
                  <c:v>-0.23287434101939938</c:v>
                </c:pt>
                <c:pt idx="19">
                  <c:v>-0.10147037326200034</c:v>
                </c:pt>
                <c:pt idx="20">
                  <c:v>0.42431890762080055</c:v>
                </c:pt>
                <c:pt idx="21">
                  <c:v>-0.29919163957060046</c:v>
                </c:pt>
                <c:pt idx="22">
                  <c:v>-0.26426338474666694</c:v>
                </c:pt>
                <c:pt idx="23">
                  <c:v>-0.23118426949069976</c:v>
                </c:pt>
                <c:pt idx="24">
                  <c:v>-0.20088632198500025</c:v>
                </c:pt>
                <c:pt idx="25">
                  <c:v>0.43472502460904949</c:v>
                </c:pt>
                <c:pt idx="26">
                  <c:v>2.7135230949999569E-3</c:v>
                </c:pt>
                <c:pt idx="27">
                  <c:v>0.23850631303799988</c:v>
                </c:pt>
              </c:numCache>
            </c:numRef>
          </c:val>
          <c:extLst>
            <c:ext xmlns:c16="http://schemas.microsoft.com/office/drawing/2014/chart" uri="{C3380CC4-5D6E-409C-BE32-E72D297353CC}">
              <c16:uniqueId val="{00000003-D1C5-4EBC-ABD9-F40B78A4CFA9}"/>
            </c:ext>
          </c:extLst>
        </c:ser>
        <c:ser>
          <c:idx val="5"/>
          <c:order val="5"/>
          <c:tx>
            <c:strRef>
              <c:f>'Služby-příspěvkyk růstu-4'!$H$25</c:f>
              <c:strCache>
                <c:ptCount val="1"/>
                <c:pt idx="0">
                  <c:v>Profesní, vědecké a technické činnosti</c:v>
                </c:pt>
              </c:strCache>
            </c:strRef>
          </c:tx>
          <c:spPr>
            <a:solidFill>
              <a:schemeClr val="accent6">
                <a:lumMod val="60000"/>
                <a:lumOff val="40000"/>
              </a:schemeClr>
            </a:solidFill>
            <a:ln>
              <a:noFill/>
            </a:ln>
          </c:spPr>
          <c:invertIfNegative val="0"/>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růstu-4'!$H$38:$H$66</c:f>
              <c:numCache>
                <c:formatCode>0.0</c:formatCode>
                <c:ptCount val="29"/>
                <c:pt idx="0">
                  <c:v>1.0468505532869989</c:v>
                </c:pt>
                <c:pt idx="1">
                  <c:v>0.72007462619999962</c:v>
                </c:pt>
                <c:pt idx="2">
                  <c:v>1.0906393004400001</c:v>
                </c:pt>
                <c:pt idx="3">
                  <c:v>-4.2990021238901367E-2</c:v>
                </c:pt>
                <c:pt idx="4">
                  <c:v>-0.43098075353700094</c:v>
                </c:pt>
                <c:pt idx="5">
                  <c:v>-1.3389465804999987</c:v>
                </c:pt>
                <c:pt idx="6">
                  <c:v>3.0728374200130306E-4</c:v>
                </c:pt>
                <c:pt idx="7">
                  <c:v>-0.3121071665494991</c:v>
                </c:pt>
                <c:pt idx="8">
                  <c:v>0.95807798756000018</c:v>
                </c:pt>
                <c:pt idx="9">
                  <c:v>0.59447839488779997</c:v>
                </c:pt>
                <c:pt idx="10">
                  <c:v>0.30863690562089996</c:v>
                </c:pt>
                <c:pt idx="11">
                  <c:v>0.42814590144940085</c:v>
                </c:pt>
                <c:pt idx="12">
                  <c:v>1.0521629274264988</c:v>
                </c:pt>
                <c:pt idx="13">
                  <c:v>0.5501113250554992</c:v>
                </c:pt>
                <c:pt idx="14">
                  <c:v>0.3596254694963989</c:v>
                </c:pt>
                <c:pt idx="15">
                  <c:v>-0.26680052765060136</c:v>
                </c:pt>
                <c:pt idx="16">
                  <c:v>0.70988848618690059</c:v>
                </c:pt>
                <c:pt idx="17">
                  <c:v>0.59156625867140045</c:v>
                </c:pt>
                <c:pt idx="18">
                  <c:v>-0.77754044718210014</c:v>
                </c:pt>
                <c:pt idx="19">
                  <c:v>-0.56889162351999967</c:v>
                </c:pt>
                <c:pt idx="20">
                  <c:v>-0.8629875625277994</c:v>
                </c:pt>
                <c:pt idx="21">
                  <c:v>-3.1826786933129991</c:v>
                </c:pt>
                <c:pt idx="22">
                  <c:v>-1.495126859429508</c:v>
                </c:pt>
                <c:pt idx="23">
                  <c:v>-1.5495215129057995</c:v>
                </c:pt>
                <c:pt idx="24">
                  <c:v>-1.5895367811931036</c:v>
                </c:pt>
                <c:pt idx="25">
                  <c:v>2.7169285281228999</c:v>
                </c:pt>
                <c:pt idx="26">
                  <c:v>1.7632854739205988</c:v>
                </c:pt>
                <c:pt idx="27">
                  <c:v>2.0934710358268047</c:v>
                </c:pt>
              </c:numCache>
            </c:numRef>
          </c:val>
          <c:extLst>
            <c:ext xmlns:c16="http://schemas.microsoft.com/office/drawing/2014/chart" uri="{C3380CC4-5D6E-409C-BE32-E72D297353CC}">
              <c16:uniqueId val="{00000004-D1C5-4EBC-ABD9-F40B78A4CFA9}"/>
            </c:ext>
          </c:extLst>
        </c:ser>
        <c:ser>
          <c:idx val="6"/>
          <c:order val="6"/>
          <c:tx>
            <c:strRef>
              <c:f>'Služby-příspěvkyk růstu-4'!$I$25</c:f>
              <c:strCache>
                <c:ptCount val="1"/>
                <c:pt idx="0">
                  <c:v>Administrativní a podpůrné činnosti</c:v>
                </c:pt>
              </c:strCache>
            </c:strRef>
          </c:tx>
          <c:spPr>
            <a:solidFill>
              <a:schemeClr val="accent1">
                <a:lumMod val="20000"/>
                <a:lumOff val="80000"/>
              </a:schemeClr>
            </a:solidFill>
            <a:ln>
              <a:noFill/>
            </a:ln>
          </c:spPr>
          <c:invertIfNegative val="0"/>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růstu-4'!$I$38:$I$66</c:f>
              <c:numCache>
                <c:formatCode>0.0</c:formatCode>
                <c:ptCount val="29"/>
                <c:pt idx="0">
                  <c:v>0.51550370389650024</c:v>
                </c:pt>
                <c:pt idx="1">
                  <c:v>0.62101310773750029</c:v>
                </c:pt>
                <c:pt idx="2">
                  <c:v>0.43506961802500044</c:v>
                </c:pt>
                <c:pt idx="3">
                  <c:v>0.50168865387909933</c:v>
                </c:pt>
                <c:pt idx="4">
                  <c:v>0.4550707532813994</c:v>
                </c:pt>
                <c:pt idx="5">
                  <c:v>0.16398578688570073</c:v>
                </c:pt>
                <c:pt idx="6">
                  <c:v>0.26977885261849965</c:v>
                </c:pt>
                <c:pt idx="7">
                  <c:v>0.51378188366290034</c:v>
                </c:pt>
                <c:pt idx="8">
                  <c:v>1.3201331730339996</c:v>
                </c:pt>
                <c:pt idx="9">
                  <c:v>1.0879288678141008</c:v>
                </c:pt>
                <c:pt idx="10">
                  <c:v>0.6413410787324999</c:v>
                </c:pt>
                <c:pt idx="11">
                  <c:v>0.30531118010650066</c:v>
                </c:pt>
                <c:pt idx="12">
                  <c:v>0.53332072309840028</c:v>
                </c:pt>
                <c:pt idx="13">
                  <c:v>0.3784029238782004</c:v>
                </c:pt>
                <c:pt idx="14">
                  <c:v>0.43569101400389965</c:v>
                </c:pt>
                <c:pt idx="15">
                  <c:v>-1.3079338160200678E-2</c:v>
                </c:pt>
                <c:pt idx="16">
                  <c:v>0.47288540072630031</c:v>
                </c:pt>
                <c:pt idx="17">
                  <c:v>0.12968213694649977</c:v>
                </c:pt>
                <c:pt idx="18">
                  <c:v>-0.12322397481159968</c:v>
                </c:pt>
                <c:pt idx="19">
                  <c:v>-0.21537552647130032</c:v>
                </c:pt>
                <c:pt idx="20">
                  <c:v>-1.1051686942920007</c:v>
                </c:pt>
                <c:pt idx="21">
                  <c:v>-4.3129281059486004</c:v>
                </c:pt>
                <c:pt idx="22">
                  <c:v>-4.446067523157895</c:v>
                </c:pt>
                <c:pt idx="23">
                  <c:v>-2.3716048373778</c:v>
                </c:pt>
                <c:pt idx="24">
                  <c:v>-1.4736020338190001</c:v>
                </c:pt>
                <c:pt idx="25">
                  <c:v>1.7704532307217178</c:v>
                </c:pt>
                <c:pt idx="26">
                  <c:v>1.8501751321200004</c:v>
                </c:pt>
                <c:pt idx="27">
                  <c:v>1.0500907454198474</c:v>
                </c:pt>
              </c:numCache>
            </c:numRef>
          </c:val>
          <c:extLst>
            <c:ext xmlns:c16="http://schemas.microsoft.com/office/drawing/2014/chart" uri="{C3380CC4-5D6E-409C-BE32-E72D297353CC}">
              <c16:uniqueId val="{00000005-D1C5-4EBC-ABD9-F40B78A4CFA9}"/>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růstu-4'!$C$25</c:f>
              <c:strCache>
                <c:ptCount val="1"/>
                <c:pt idx="0">
                  <c:v>Služby celkem</c:v>
                </c:pt>
              </c:strCache>
            </c:strRef>
          </c:tx>
          <c:spPr>
            <a:ln>
              <a:noFill/>
            </a:ln>
          </c:spPr>
          <c:marker>
            <c:symbol val="dash"/>
            <c:size val="9"/>
            <c:spPr>
              <a:solidFill>
                <a:schemeClr val="tx1">
                  <a:lumMod val="95000"/>
                  <a:lumOff val="5000"/>
                </a:schemeClr>
              </a:solidFill>
              <a:ln>
                <a:noFill/>
              </a:ln>
            </c:spPr>
          </c:marker>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růstu-4'!$C$38:$C$66</c:f>
              <c:numCache>
                <c:formatCode>0.0</c:formatCode>
                <c:ptCount val="29"/>
                <c:pt idx="0">
                  <c:v>3.3387856580999937</c:v>
                </c:pt>
                <c:pt idx="1">
                  <c:v>2.7067375338999966</c:v>
                </c:pt>
                <c:pt idx="2">
                  <c:v>3.2734904207</c:v>
                </c:pt>
                <c:pt idx="3">
                  <c:v>2.2083913160000037</c:v>
                </c:pt>
                <c:pt idx="4">
                  <c:v>1.3295921479000015</c:v>
                </c:pt>
                <c:pt idx="5">
                  <c:v>-0.87633228709999855</c:v>
                </c:pt>
                <c:pt idx="6">
                  <c:v>1.4335470749000052</c:v>
                </c:pt>
                <c:pt idx="7">
                  <c:v>1.6242102724999938</c:v>
                </c:pt>
                <c:pt idx="8">
                  <c:v>5.6462151451000011</c:v>
                </c:pt>
                <c:pt idx="9">
                  <c:v>5.4476828922000067</c:v>
                </c:pt>
                <c:pt idx="10">
                  <c:v>3.4016118395999939</c:v>
                </c:pt>
                <c:pt idx="11">
                  <c:v>2.5063195031000021</c:v>
                </c:pt>
                <c:pt idx="12">
                  <c:v>5.071288603499994</c:v>
                </c:pt>
                <c:pt idx="13">
                  <c:v>3.4823349595999957</c:v>
                </c:pt>
                <c:pt idx="14">
                  <c:v>3.6926675579999966</c:v>
                </c:pt>
                <c:pt idx="15">
                  <c:v>1.0671514554999959</c:v>
                </c:pt>
                <c:pt idx="16">
                  <c:v>3.5777212416000026</c:v>
                </c:pt>
                <c:pt idx="17">
                  <c:v>1.9765133558999963</c:v>
                </c:pt>
                <c:pt idx="18">
                  <c:v>-0.81695782319999921</c:v>
                </c:pt>
                <c:pt idx="19">
                  <c:v>-0.15568719549999344</c:v>
                </c:pt>
                <c:pt idx="20">
                  <c:v>-3.6980250129000041</c:v>
                </c:pt>
                <c:pt idx="21">
                  <c:v>-19.645345248799998</c:v>
                </c:pt>
                <c:pt idx="22">
                  <c:v>-12.600965308100001</c:v>
                </c:pt>
                <c:pt idx="23">
                  <c:v>-10.912584080000002</c:v>
                </c:pt>
                <c:pt idx="24">
                  <c:v>-6.4084553470000003</c:v>
                </c:pt>
                <c:pt idx="25">
                  <c:v>14.780549300900006</c:v>
                </c:pt>
                <c:pt idx="26">
                  <c:v>9.8381160276999964</c:v>
                </c:pt>
                <c:pt idx="27">
                  <c:v>12.662339231000004</c:v>
                </c:pt>
              </c:numCache>
            </c:numRef>
          </c:val>
          <c:smooth val="0"/>
          <c:extLst>
            <c:ext xmlns:c16="http://schemas.microsoft.com/office/drawing/2014/chart" uri="{C3380CC4-5D6E-409C-BE32-E72D297353CC}">
              <c16:uniqueId val="{00000006-D1C5-4EBC-ABD9-F40B78A4CFA9}"/>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růstu-4'!$J$25</c:f>
              <c:strCache>
                <c:ptCount val="1"/>
                <c:pt idx="0">
                  <c:v>Saldo indikátoru důvěry ve službách</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růstu-4'!$J$38:$J$66</c:f>
              <c:numCache>
                <c:formatCode>0.0</c:formatCode>
                <c:ptCount val="29"/>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numCache>
            </c:numRef>
          </c:val>
          <c:smooth val="0"/>
          <c:extLst>
            <c:ext xmlns:c16="http://schemas.microsoft.com/office/drawing/2014/chart" uri="{C3380CC4-5D6E-409C-BE32-E72D297353CC}">
              <c16:uniqueId val="{00000007-D1C5-4EBC-ABD9-F40B78A4CFA9}"/>
            </c:ext>
          </c:extLst>
        </c:ser>
        <c:ser>
          <c:idx val="8"/>
          <c:order val="8"/>
          <c:tx>
            <c:strRef>
              <c:f>'Služby-příspěvkyk růstu-4'!$K$25</c:f>
              <c:strCache>
                <c:ptCount val="1"/>
                <c:pt idx="0">
                  <c:v>Bariéra růstu: nedostatečná poptávka</c:v>
                </c:pt>
              </c:strCache>
            </c:strRef>
          </c:tx>
          <c:spPr>
            <a:ln w="15875">
              <a:solidFill>
                <a:schemeClr val="bg2">
                  <a:lumMod val="25000"/>
                </a:schemeClr>
              </a:solidFill>
            </a:ln>
          </c:spPr>
          <c:marker>
            <c:symbol val="none"/>
          </c:marker>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růstu-4'!$K$38:$K$66</c:f>
              <c:numCache>
                <c:formatCode>#\ ##0.0</c:formatCode>
                <c:ptCount val="29"/>
                <c:pt idx="0">
                  <c:v>26.2</c:v>
                </c:pt>
                <c:pt idx="1">
                  <c:v>29</c:v>
                </c:pt>
                <c:pt idx="2">
                  <c:v>26.9</c:v>
                </c:pt>
                <c:pt idx="3">
                  <c:v>23.3</c:v>
                </c:pt>
                <c:pt idx="4">
                  <c:v>24</c:v>
                </c:pt>
                <c:pt idx="5">
                  <c:v>24.5</c:v>
                </c:pt>
                <c:pt idx="6">
                  <c:v>21</c:v>
                </c:pt>
                <c:pt idx="7">
                  <c:v>23.3</c:v>
                </c:pt>
                <c:pt idx="8">
                  <c:v>26.2</c:v>
                </c:pt>
                <c:pt idx="9">
                  <c:v>20.5</c:v>
                </c:pt>
                <c:pt idx="10">
                  <c:v>19.899999999999999</c:v>
                </c:pt>
                <c:pt idx="11">
                  <c:v>20.9</c:v>
                </c:pt>
                <c:pt idx="12">
                  <c:v>17.3</c:v>
                </c:pt>
                <c:pt idx="13">
                  <c:v>18.600000000000001</c:v>
                </c:pt>
                <c:pt idx="14">
                  <c:v>18.899999999999999</c:v>
                </c:pt>
                <c:pt idx="15">
                  <c:v>19.8</c:v>
                </c:pt>
                <c:pt idx="16">
                  <c:v>20.7</c:v>
                </c:pt>
                <c:pt idx="17">
                  <c:v>17.100000000000001</c:v>
                </c:pt>
                <c:pt idx="18">
                  <c:v>21.7</c:v>
                </c:pt>
                <c:pt idx="19">
                  <c:v>14.1</c:v>
                </c:pt>
                <c:pt idx="20">
                  <c:v>20.399999999999999</c:v>
                </c:pt>
                <c:pt idx="21">
                  <c:v>29.1</c:v>
                </c:pt>
                <c:pt idx="22">
                  <c:v>30.9</c:v>
                </c:pt>
                <c:pt idx="23">
                  <c:v>39</c:v>
                </c:pt>
                <c:pt idx="24">
                  <c:v>35.799999999999997</c:v>
                </c:pt>
                <c:pt idx="25">
                  <c:v>37.1</c:v>
                </c:pt>
                <c:pt idx="26">
                  <c:v>30.9</c:v>
                </c:pt>
                <c:pt idx="27">
                  <c:v>26.8</c:v>
                </c:pt>
                <c:pt idx="28">
                  <c:v>30.4</c:v>
                </c:pt>
              </c:numCache>
            </c:numRef>
          </c:val>
          <c:smooth val="0"/>
          <c:extLst>
            <c:ext xmlns:c16="http://schemas.microsoft.com/office/drawing/2014/chart" uri="{C3380CC4-5D6E-409C-BE32-E72D297353CC}">
              <c16:uniqueId val="{00000008-D1C5-4EBC-ABD9-F40B78A4CFA9}"/>
            </c:ext>
          </c:extLst>
        </c:ser>
        <c:ser>
          <c:idx val="9"/>
          <c:order val="9"/>
          <c:tx>
            <c:strRef>
              <c:f>'Služby-příspěvkyk růstu-4'!$L$25</c:f>
              <c:strCache>
                <c:ptCount val="1"/>
                <c:pt idx="0">
                  <c:v>Bariéra růstu: nedostatek pracovníků</c:v>
                </c:pt>
              </c:strCache>
            </c:strRef>
          </c:tx>
          <c:spPr>
            <a:ln w="15875">
              <a:solidFill>
                <a:schemeClr val="bg2">
                  <a:lumMod val="25000"/>
                </a:schemeClr>
              </a:solidFill>
              <a:prstDash val="sysDash"/>
            </a:ln>
          </c:spPr>
          <c:marker>
            <c:symbol val="none"/>
          </c:marker>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růstu-4'!$L$38:$L$66</c:f>
              <c:numCache>
                <c:formatCode>#\ ##0.0</c:formatCode>
                <c:ptCount val="29"/>
                <c:pt idx="0">
                  <c:v>2.8</c:v>
                </c:pt>
                <c:pt idx="1">
                  <c:v>5.7</c:v>
                </c:pt>
                <c:pt idx="2">
                  <c:v>5.9</c:v>
                </c:pt>
                <c:pt idx="3">
                  <c:v>5.8</c:v>
                </c:pt>
                <c:pt idx="4">
                  <c:v>8.6999999999999993</c:v>
                </c:pt>
                <c:pt idx="5">
                  <c:v>4.5999999999999996</c:v>
                </c:pt>
                <c:pt idx="6">
                  <c:v>7.1</c:v>
                </c:pt>
                <c:pt idx="7">
                  <c:v>9.1</c:v>
                </c:pt>
                <c:pt idx="8">
                  <c:v>10.1</c:v>
                </c:pt>
                <c:pt idx="9">
                  <c:v>10</c:v>
                </c:pt>
                <c:pt idx="10">
                  <c:v>9.3000000000000007</c:v>
                </c:pt>
                <c:pt idx="11">
                  <c:v>12.2</c:v>
                </c:pt>
                <c:pt idx="12">
                  <c:v>14.2</c:v>
                </c:pt>
                <c:pt idx="13">
                  <c:v>16.600000000000001</c:v>
                </c:pt>
                <c:pt idx="14">
                  <c:v>17.3</c:v>
                </c:pt>
                <c:pt idx="15">
                  <c:v>18.600000000000001</c:v>
                </c:pt>
                <c:pt idx="16">
                  <c:v>19.600000000000001</c:v>
                </c:pt>
                <c:pt idx="17">
                  <c:v>16.600000000000001</c:v>
                </c:pt>
                <c:pt idx="18">
                  <c:v>21.2</c:v>
                </c:pt>
                <c:pt idx="19">
                  <c:v>19.100000000000001</c:v>
                </c:pt>
                <c:pt idx="20">
                  <c:v>19.7</c:v>
                </c:pt>
                <c:pt idx="21">
                  <c:v>12.1</c:v>
                </c:pt>
                <c:pt idx="22">
                  <c:v>9.8000000000000007</c:v>
                </c:pt>
                <c:pt idx="23">
                  <c:v>11.1</c:v>
                </c:pt>
                <c:pt idx="24">
                  <c:v>11.2</c:v>
                </c:pt>
                <c:pt idx="25">
                  <c:v>10.8</c:v>
                </c:pt>
                <c:pt idx="26">
                  <c:v>16.3</c:v>
                </c:pt>
                <c:pt idx="27">
                  <c:v>18.899999999999999</c:v>
                </c:pt>
                <c:pt idx="28">
                  <c:v>19.3</c:v>
                </c:pt>
              </c:numCache>
            </c:numRef>
          </c:val>
          <c:smooth val="0"/>
          <c:extLst>
            <c:ext xmlns:c16="http://schemas.microsoft.com/office/drawing/2014/chart" uri="{C3380CC4-5D6E-409C-BE32-E72D297353CC}">
              <c16:uniqueId val="{00000009-D1C5-4EBC-ABD9-F40B78A4CFA9}"/>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21"/>
        </c:scaling>
        <c:delete val="0"/>
        <c:axPos val="l"/>
        <c:majorGridlines>
          <c:spPr>
            <a:ln w="6350">
              <a:solidFill>
                <a:schemeClr val="bg1">
                  <a:lumMod val="75000"/>
                </a:schemeClr>
              </a:solidFill>
            </a:ln>
          </c:spPr>
        </c:majorGridlines>
        <c:title>
          <c:tx>
            <c:rich>
              <a:bodyPr/>
              <a:lstStyle/>
              <a:p>
                <a:pPr>
                  <a:defRPr sz="700" b="0" i="1"/>
                </a:pPr>
                <a:r>
                  <a:rPr lang="cs-CZ" sz="700" b="0" i="1"/>
                  <a:t>Příspěvky ke změně tržeb ve službách</a:t>
                </a:r>
              </a:p>
            </c:rich>
          </c:tx>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100"/>
          <c:min val="-20"/>
        </c:scaling>
        <c:delete val="0"/>
        <c:axPos val="r"/>
        <c:title>
          <c:tx>
            <c:rich>
              <a:bodyPr/>
              <a:lstStyle/>
              <a:p>
                <a:pPr>
                  <a:defRPr sz="700" b="0" i="1"/>
                </a:pPr>
                <a:r>
                  <a:rPr lang="cs-CZ" sz="700" b="0" i="1"/>
                  <a:t>Saldo důvěry, bariéry růstu</a:t>
                </a:r>
              </a:p>
            </c:rich>
          </c:tx>
          <c:layout>
            <c:manualLayout>
              <c:xMode val="edge"/>
              <c:yMode val="edge"/>
              <c:x val="0.97060568193100361"/>
              <c:y val="0.20830133644625787"/>
            </c:manualLayout>
          </c:layout>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6.4054887921738678E-5"/>
          <c:y val="0.81821506531821531"/>
          <c:w val="0.98649823440865303"/>
          <c:h val="0.17117269183021638"/>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647319020345381"/>
          <c:h val="0.77402356920644666"/>
        </c:manualLayout>
      </c:layout>
      <c:barChart>
        <c:barDir val="col"/>
        <c:grouping val="clustered"/>
        <c:varyColors val="0"/>
        <c:ser>
          <c:idx val="3"/>
          <c:order val="0"/>
          <c:tx>
            <c:strRef>
              <c:f>'výkonnost odvětví 5'!$C$10</c:f>
              <c:strCache>
                <c:ptCount val="1"/>
                <c:pt idx="0">
                  <c:v>Maloobchod (bez motor. segmentu)</c:v>
                </c:pt>
              </c:strCache>
            </c:strRef>
          </c:tx>
          <c:spPr>
            <a:solidFill>
              <a:srgbClr val="BEBEBE"/>
            </a:solidFill>
            <a:ln>
              <a:noFill/>
            </a:ln>
          </c:spPr>
          <c:invertIfNegative val="0"/>
          <c:cat>
            <c:multiLvlStrRef>
              <c:f>'výkonnost odvětví 5'!$A$31:$B$59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5'!$C$31:$C$59</c:f>
              <c:numCache>
                <c:formatCode>##0.0</c:formatCode>
                <c:ptCount val="29"/>
                <c:pt idx="0">
                  <c:v>5.9629437730999939</c:v>
                </c:pt>
                <c:pt idx="1">
                  <c:v>5.5942049784000005</c:v>
                </c:pt>
                <c:pt idx="2">
                  <c:v>5.5012484798999992</c:v>
                </c:pt>
                <c:pt idx="3">
                  <c:v>6.0276233044999969</c:v>
                </c:pt>
                <c:pt idx="4">
                  <c:v>5.2867215003000041</c:v>
                </c:pt>
                <c:pt idx="5">
                  <c:v>4.7635779651999997</c:v>
                </c:pt>
                <c:pt idx="6">
                  <c:v>4.7795776032999981</c:v>
                </c:pt>
                <c:pt idx="7">
                  <c:v>3.8964899322999997</c:v>
                </c:pt>
                <c:pt idx="8">
                  <c:v>5.2310555753000045</c:v>
                </c:pt>
                <c:pt idx="9">
                  <c:v>6.4725508764000068</c:v>
                </c:pt>
                <c:pt idx="10">
                  <c:v>5.9734111239999947</c:v>
                </c:pt>
                <c:pt idx="11">
                  <c:v>6.1682850682000065</c:v>
                </c:pt>
                <c:pt idx="12">
                  <c:v>6.3413097881000056</c:v>
                </c:pt>
                <c:pt idx="13">
                  <c:v>4.6706928929999947</c:v>
                </c:pt>
                <c:pt idx="14">
                  <c:v>4.2011641704000056</c:v>
                </c:pt>
                <c:pt idx="15">
                  <c:v>4.8161828603000032</c:v>
                </c:pt>
                <c:pt idx="16">
                  <c:v>5.6584053785000066</c:v>
                </c:pt>
                <c:pt idx="17">
                  <c:v>4.8300705571000009</c:v>
                </c:pt>
                <c:pt idx="18">
                  <c:v>4.5406581594999977</c:v>
                </c:pt>
                <c:pt idx="19">
                  <c:v>4.196988668399996</c:v>
                </c:pt>
                <c:pt idx="20">
                  <c:v>0.12908217749999551</c:v>
                </c:pt>
                <c:pt idx="21">
                  <c:v>-2.8976566630000065</c:v>
                </c:pt>
                <c:pt idx="22">
                  <c:v>1.3167079119999983</c:v>
                </c:pt>
                <c:pt idx="23">
                  <c:v>-2.0214892853999942</c:v>
                </c:pt>
                <c:pt idx="24">
                  <c:v>-0.25450931490000528</c:v>
                </c:pt>
                <c:pt idx="25">
                  <c:v>7.2758830861999968</c:v>
                </c:pt>
                <c:pt idx="26">
                  <c:v>3.9166814666999983</c:v>
                </c:pt>
                <c:pt idx="27">
                  <c:v>6.1668547292999989</c:v>
                </c:pt>
              </c:numCache>
            </c:numRef>
          </c:val>
          <c:extLst>
            <c:ext xmlns:c16="http://schemas.microsoft.com/office/drawing/2014/chart" uri="{C3380CC4-5D6E-409C-BE32-E72D297353CC}">
              <c16:uniqueId val="{00000000-B194-4A2A-AD3E-3194DB7D0EAE}"/>
            </c:ext>
          </c:extLst>
        </c:ser>
        <c:dLbls>
          <c:showLegendKey val="0"/>
          <c:showVal val="0"/>
          <c:showCatName val="0"/>
          <c:showSerName val="0"/>
          <c:showPercent val="0"/>
          <c:showBubbleSize val="0"/>
        </c:dLbls>
        <c:gapWidth val="31"/>
        <c:axId val="156100864"/>
        <c:axId val="156573696"/>
      </c:barChart>
      <c:lineChart>
        <c:grouping val="standard"/>
        <c:varyColors val="0"/>
        <c:ser>
          <c:idx val="0"/>
          <c:order val="1"/>
          <c:tx>
            <c:strRef>
              <c:f>'výkonnost odvětví 5'!$D$10</c:f>
              <c:strCache>
                <c:ptCount val="1"/>
                <c:pt idx="0">
                  <c:v>Maloobchod s nepotravinářským zbožím</c:v>
                </c:pt>
              </c:strCache>
            </c:strRef>
          </c:tx>
          <c:spPr>
            <a:ln w="15875">
              <a:solidFill>
                <a:srgbClr val="00B050"/>
              </a:solidFill>
            </a:ln>
          </c:spPr>
          <c:marker>
            <c:symbol val="none"/>
          </c:marker>
          <c:cat>
            <c:multiLvlStrRef>
              <c:f>'výkonnost odvětví 5'!$A$31:$B$59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5'!$D$31:$D$59</c:f>
              <c:numCache>
                <c:formatCode>0.0</c:formatCode>
                <c:ptCount val="29"/>
                <c:pt idx="0">
                  <c:v>7.2715196739000021</c:v>
                </c:pt>
                <c:pt idx="1">
                  <c:v>8.3670083482000024</c:v>
                </c:pt>
                <c:pt idx="2">
                  <c:v>5.8714962675999942</c:v>
                </c:pt>
                <c:pt idx="3">
                  <c:v>7.1796031766999988</c:v>
                </c:pt>
                <c:pt idx="4">
                  <c:v>5.992849787099999</c:v>
                </c:pt>
                <c:pt idx="5">
                  <c:v>5.3652608760999954</c:v>
                </c:pt>
                <c:pt idx="6">
                  <c:v>6.9198240850000019</c:v>
                </c:pt>
                <c:pt idx="7">
                  <c:v>7.0074928439999979</c:v>
                </c:pt>
                <c:pt idx="8">
                  <c:v>8.6852873061999958</c:v>
                </c:pt>
                <c:pt idx="9">
                  <c:v>9.2363312134999944</c:v>
                </c:pt>
                <c:pt idx="10">
                  <c:v>8.5628601745000026</c:v>
                </c:pt>
                <c:pt idx="11">
                  <c:v>8.8840041140000068</c:v>
                </c:pt>
                <c:pt idx="12">
                  <c:v>8.9088398325000071</c:v>
                </c:pt>
                <c:pt idx="13">
                  <c:v>7.5663649659999948</c:v>
                </c:pt>
                <c:pt idx="14">
                  <c:v>6.1198352104999998</c:v>
                </c:pt>
                <c:pt idx="15">
                  <c:v>7.7062771978000058</c:v>
                </c:pt>
                <c:pt idx="16">
                  <c:v>9.2922875281000046</c:v>
                </c:pt>
                <c:pt idx="17">
                  <c:v>7.0020782769999954</c:v>
                </c:pt>
                <c:pt idx="18">
                  <c:v>7.8244667778999997</c:v>
                </c:pt>
                <c:pt idx="19">
                  <c:v>6.6837416494000053</c:v>
                </c:pt>
                <c:pt idx="20">
                  <c:v>8.1510700699993777E-2</c:v>
                </c:pt>
                <c:pt idx="21">
                  <c:v>0.7559899058999946</c:v>
                </c:pt>
                <c:pt idx="22">
                  <c:v>3.6224656044999932</c:v>
                </c:pt>
                <c:pt idx="23">
                  <c:v>-1.9911408056999989</c:v>
                </c:pt>
                <c:pt idx="24">
                  <c:v>2.1065596202000023</c:v>
                </c:pt>
                <c:pt idx="25">
                  <c:v>11.361493757299996</c:v>
                </c:pt>
                <c:pt idx="26">
                  <c:v>7.6021912932999953</c:v>
                </c:pt>
                <c:pt idx="27">
                  <c:v>9.9294145094000044</c:v>
                </c:pt>
              </c:numCache>
            </c:numRef>
          </c:val>
          <c:smooth val="0"/>
          <c:extLst>
            <c:ext xmlns:c16="http://schemas.microsoft.com/office/drawing/2014/chart" uri="{C3380CC4-5D6E-409C-BE32-E72D297353CC}">
              <c16:uniqueId val="{00000001-B194-4A2A-AD3E-3194DB7D0EAE}"/>
            </c:ext>
          </c:extLst>
        </c:ser>
        <c:ser>
          <c:idx val="1"/>
          <c:order val="2"/>
          <c:tx>
            <c:strRef>
              <c:f>'výkonnost odvětví 5'!$E$10</c:f>
              <c:strCache>
                <c:ptCount val="1"/>
                <c:pt idx="0">
                  <c:v>Maloobchod s potravinami celkem </c:v>
                </c:pt>
              </c:strCache>
            </c:strRef>
          </c:tx>
          <c:spPr>
            <a:ln w="15875">
              <a:solidFill>
                <a:srgbClr val="0070C0"/>
              </a:solidFill>
            </a:ln>
          </c:spPr>
          <c:marker>
            <c:symbol val="none"/>
          </c:marker>
          <c:cat>
            <c:multiLvlStrRef>
              <c:f>'výkonnost odvětví 5'!$A$31:$B$59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5'!$E$31:$E$59</c:f>
              <c:numCache>
                <c:formatCode>0.0</c:formatCode>
                <c:ptCount val="29"/>
                <c:pt idx="0">
                  <c:v>4.5876844758000033</c:v>
                </c:pt>
                <c:pt idx="1">
                  <c:v>3.0424029370999932</c:v>
                </c:pt>
                <c:pt idx="2">
                  <c:v>4.9263563212000037</c:v>
                </c:pt>
                <c:pt idx="3">
                  <c:v>3.9150013738999974</c:v>
                </c:pt>
                <c:pt idx="4">
                  <c:v>4.5995763954000068</c:v>
                </c:pt>
                <c:pt idx="5">
                  <c:v>3.9376332190000056</c:v>
                </c:pt>
                <c:pt idx="6">
                  <c:v>2.591765420599998</c:v>
                </c:pt>
                <c:pt idx="7">
                  <c:v>-0.23256164999999385</c:v>
                </c:pt>
                <c:pt idx="8">
                  <c:v>1.8918609717999999</c:v>
                </c:pt>
                <c:pt idx="9">
                  <c:v>3.6041123518999996</c:v>
                </c:pt>
                <c:pt idx="10">
                  <c:v>3.0516559300999972</c:v>
                </c:pt>
                <c:pt idx="11">
                  <c:v>2.5811256036000003</c:v>
                </c:pt>
                <c:pt idx="12">
                  <c:v>3.7066780967000028</c:v>
                </c:pt>
                <c:pt idx="13">
                  <c:v>1.323651567400006</c:v>
                </c:pt>
                <c:pt idx="14">
                  <c:v>2.362942357600005</c:v>
                </c:pt>
                <c:pt idx="15">
                  <c:v>1.3214242518999981</c:v>
                </c:pt>
                <c:pt idx="16">
                  <c:v>1.6645836688999935</c:v>
                </c:pt>
                <c:pt idx="17">
                  <c:v>2.9944110046999981</c:v>
                </c:pt>
                <c:pt idx="18">
                  <c:v>1.5968521353999989</c:v>
                </c:pt>
                <c:pt idx="19">
                  <c:v>1.6366635083000034</c:v>
                </c:pt>
                <c:pt idx="20">
                  <c:v>2.4117608905000054</c:v>
                </c:pt>
                <c:pt idx="21">
                  <c:v>-3.0566916679999991</c:v>
                </c:pt>
                <c:pt idx="22">
                  <c:v>-1.0441902567999932</c:v>
                </c:pt>
                <c:pt idx="23">
                  <c:v>0.69822811010000407</c:v>
                </c:pt>
                <c:pt idx="24">
                  <c:v>-1.1475745756000038</c:v>
                </c:pt>
                <c:pt idx="25">
                  <c:v>1.1151025701999941</c:v>
                </c:pt>
                <c:pt idx="26">
                  <c:v>-0.78127660490000039</c:v>
                </c:pt>
                <c:pt idx="27">
                  <c:v>-0.50252165039999852</c:v>
                </c:pt>
              </c:numCache>
            </c:numRef>
          </c:val>
          <c:smooth val="0"/>
          <c:extLst>
            <c:ext xmlns:c16="http://schemas.microsoft.com/office/drawing/2014/chart" uri="{C3380CC4-5D6E-409C-BE32-E72D297353CC}">
              <c16:uniqueId val="{00000002-B194-4A2A-AD3E-3194DB7D0EAE}"/>
            </c:ext>
          </c:extLst>
        </c:ser>
        <c:ser>
          <c:idx val="2"/>
          <c:order val="3"/>
          <c:tx>
            <c:strRef>
              <c:f>'výkonnost odvětví 5'!$F$10</c:f>
              <c:strCache>
                <c:ptCount val="1"/>
                <c:pt idx="0">
                  <c:v>Mal. s potravinami ve special. prodejnách</c:v>
                </c:pt>
              </c:strCache>
            </c:strRef>
          </c:tx>
          <c:spPr>
            <a:ln w="15875">
              <a:solidFill>
                <a:srgbClr val="00B0F0"/>
              </a:solidFill>
              <a:prstDash val="sysDash"/>
            </a:ln>
          </c:spPr>
          <c:marker>
            <c:symbol val="none"/>
          </c:marker>
          <c:cat>
            <c:multiLvlStrRef>
              <c:f>'výkonnost odvětví 5'!$A$31:$B$59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5'!$F$31:$F$59</c:f>
              <c:numCache>
                <c:formatCode>0.0</c:formatCode>
                <c:ptCount val="29"/>
                <c:pt idx="0">
                  <c:v>2.6690178399999951</c:v>
                </c:pt>
                <c:pt idx="1">
                  <c:v>2.2128227439000057</c:v>
                </c:pt>
                <c:pt idx="2">
                  <c:v>1.9202398683000013</c:v>
                </c:pt>
                <c:pt idx="3">
                  <c:v>2.7073259998000054</c:v>
                </c:pt>
                <c:pt idx="4">
                  <c:v>4.1610559200999973</c:v>
                </c:pt>
                <c:pt idx="5">
                  <c:v>1.8660943609999947</c:v>
                </c:pt>
                <c:pt idx="6">
                  <c:v>4.7366658035000029</c:v>
                </c:pt>
                <c:pt idx="7">
                  <c:v>2.0187861211000069</c:v>
                </c:pt>
                <c:pt idx="8">
                  <c:v>3.4615535926999996</c:v>
                </c:pt>
                <c:pt idx="9">
                  <c:v>3.916856426199999</c:v>
                </c:pt>
                <c:pt idx="10">
                  <c:v>1.1265036291000001</c:v>
                </c:pt>
                <c:pt idx="11">
                  <c:v>3.3543429389000039</c:v>
                </c:pt>
                <c:pt idx="12">
                  <c:v>2.3535225098000012</c:v>
                </c:pt>
                <c:pt idx="13">
                  <c:v>0.45949150689999385</c:v>
                </c:pt>
                <c:pt idx="14">
                  <c:v>-0.3179062024999979</c:v>
                </c:pt>
                <c:pt idx="15">
                  <c:v>-2.0474008079000043</c:v>
                </c:pt>
                <c:pt idx="16">
                  <c:v>-0.49759468509999749</c:v>
                </c:pt>
                <c:pt idx="17">
                  <c:v>-1.2062333295999963</c:v>
                </c:pt>
                <c:pt idx="18">
                  <c:v>-2.1788461824999956</c:v>
                </c:pt>
                <c:pt idx="19">
                  <c:v>-1.4449130142999991</c:v>
                </c:pt>
                <c:pt idx="20">
                  <c:v>-5.2832493653999961</c:v>
                </c:pt>
                <c:pt idx="21">
                  <c:v>-21.630136793999995</c:v>
                </c:pt>
                <c:pt idx="22">
                  <c:v>-2.9377238973000033</c:v>
                </c:pt>
                <c:pt idx="23">
                  <c:v>-19.2276622901</c:v>
                </c:pt>
                <c:pt idx="24">
                  <c:v>-6.5251495061000071</c:v>
                </c:pt>
                <c:pt idx="25">
                  <c:v>4.0799849115999933</c:v>
                </c:pt>
                <c:pt idx="26">
                  <c:v>8.7569142999996075E-2</c:v>
                </c:pt>
                <c:pt idx="27">
                  <c:v>6.8164131789999942</c:v>
                </c:pt>
              </c:numCache>
            </c:numRef>
          </c:val>
          <c:smooth val="0"/>
          <c:extLst>
            <c:ext xmlns:c16="http://schemas.microsoft.com/office/drawing/2014/chart" uri="{C3380CC4-5D6E-409C-BE32-E72D297353CC}">
              <c16:uniqueId val="{00000003-B194-4A2A-AD3E-3194DB7D0EAE}"/>
            </c:ext>
          </c:extLst>
        </c:ser>
        <c:ser>
          <c:idx val="4"/>
          <c:order val="4"/>
          <c:tx>
            <c:strRef>
              <c:f>'výkonnost odvětví 5'!$G$10</c:f>
              <c:strCache>
                <c:ptCount val="1"/>
                <c:pt idx="0">
                  <c:v>Maloobchodní prodej PHM</c:v>
                </c:pt>
              </c:strCache>
            </c:strRef>
          </c:tx>
          <c:spPr>
            <a:ln w="15875">
              <a:solidFill>
                <a:schemeClr val="accent6">
                  <a:lumMod val="75000"/>
                </a:schemeClr>
              </a:solidFill>
            </a:ln>
          </c:spPr>
          <c:marker>
            <c:symbol val="none"/>
          </c:marker>
          <c:cat>
            <c:multiLvlStrRef>
              <c:f>'výkonnost odvětví 5'!$A$31:$B$59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5'!$G$31:$G$59</c:f>
              <c:numCache>
                <c:formatCode>0.0</c:formatCode>
                <c:ptCount val="29"/>
                <c:pt idx="0">
                  <c:v>6.1518283433999983</c:v>
                </c:pt>
                <c:pt idx="1">
                  <c:v>4.5607610110999985</c:v>
                </c:pt>
                <c:pt idx="2">
                  <c:v>6.1322263153000023</c:v>
                </c:pt>
                <c:pt idx="3">
                  <c:v>8.9560664269999961</c:v>
                </c:pt>
                <c:pt idx="4">
                  <c:v>5.1322984467000055</c:v>
                </c:pt>
                <c:pt idx="5">
                  <c:v>5.3476340171000061</c:v>
                </c:pt>
                <c:pt idx="6">
                  <c:v>4.6018851928999993</c:v>
                </c:pt>
                <c:pt idx="7">
                  <c:v>5.1791474957999952</c:v>
                </c:pt>
                <c:pt idx="8">
                  <c:v>4.2377818723000047</c:v>
                </c:pt>
                <c:pt idx="9">
                  <c:v>5.9231834445999993</c:v>
                </c:pt>
                <c:pt idx="10">
                  <c:v>6.277465477800007</c:v>
                </c:pt>
                <c:pt idx="11">
                  <c:v>6.3286157347999961</c:v>
                </c:pt>
                <c:pt idx="12">
                  <c:v>5.527956407800005</c:v>
                </c:pt>
                <c:pt idx="13">
                  <c:v>4.6539179964999988</c:v>
                </c:pt>
                <c:pt idx="14">
                  <c:v>3.0533633685000012</c:v>
                </c:pt>
                <c:pt idx="15">
                  <c:v>3.1034954821000014</c:v>
                </c:pt>
                <c:pt idx="16">
                  <c:v>4.7294051002999993</c:v>
                </c:pt>
                <c:pt idx="17">
                  <c:v>2.2193073045000062</c:v>
                </c:pt>
                <c:pt idx="18">
                  <c:v>1.5346987166000048</c:v>
                </c:pt>
                <c:pt idx="19">
                  <c:v>0.54012315949999845</c:v>
                </c:pt>
                <c:pt idx="20">
                  <c:v>-7.0431704789999969</c:v>
                </c:pt>
                <c:pt idx="21">
                  <c:v>-17.114932415300004</c:v>
                </c:pt>
                <c:pt idx="22">
                  <c:v>-0.40724422739999966</c:v>
                </c:pt>
                <c:pt idx="23">
                  <c:v>-11.329794839300007</c:v>
                </c:pt>
                <c:pt idx="24">
                  <c:v>-7.4498472892999956</c:v>
                </c:pt>
                <c:pt idx="25">
                  <c:v>10.003209825100001</c:v>
                </c:pt>
                <c:pt idx="26">
                  <c:v>3.3450686440999959</c:v>
                </c:pt>
                <c:pt idx="27">
                  <c:v>10.038771875400002</c:v>
                </c:pt>
              </c:numCache>
            </c:numRef>
          </c:val>
          <c:smooth val="0"/>
          <c:extLst>
            <c:ext xmlns:c16="http://schemas.microsoft.com/office/drawing/2014/chart" uri="{C3380CC4-5D6E-409C-BE32-E72D297353CC}">
              <c16:uniqueId val="{00000004-B194-4A2A-AD3E-3194DB7D0EAE}"/>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5"/>
          <c:order val="5"/>
          <c:tx>
            <c:strRef>
              <c:f>'výkonnost odvětví 5'!$H$10</c:f>
              <c:strCache>
                <c:ptCount val="1"/>
                <c:pt idx="0">
                  <c:v>Saldo indikátoru důvěry spotřebitelů</c:v>
                </c:pt>
              </c:strCache>
            </c:strRef>
          </c:tx>
          <c:spPr>
            <a:ln w="15875">
              <a:solidFill>
                <a:schemeClr val="bg1">
                  <a:lumMod val="75000"/>
                </a:schemeClr>
              </a:solidFill>
              <a:prstDash val="sysDash"/>
            </a:ln>
          </c:spPr>
          <c:marker>
            <c:symbol val="diamond"/>
            <c:size val="6"/>
            <c:spPr>
              <a:solidFill>
                <a:srgbClr val="FFFF00"/>
              </a:solidFill>
              <a:ln>
                <a:solidFill>
                  <a:schemeClr val="tx1">
                    <a:lumMod val="95000"/>
                    <a:lumOff val="5000"/>
                  </a:schemeClr>
                </a:solidFill>
              </a:ln>
            </c:spPr>
          </c:marker>
          <c:cat>
            <c:multiLvlStrRef>
              <c:f>'výkonnost odvětví 5'!$A$31:$B$59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5'!$H$31:$H$59</c:f>
              <c:numCache>
                <c:formatCode>0.0</c:formatCode>
                <c:ptCount val="29"/>
                <c:pt idx="0">
                  <c:v>-1.75</c:v>
                </c:pt>
                <c:pt idx="1">
                  <c:v>0.25</c:v>
                </c:pt>
                <c:pt idx="2">
                  <c:v>-3.75</c:v>
                </c:pt>
                <c:pt idx="3">
                  <c:v>-0.25</c:v>
                </c:pt>
                <c:pt idx="4">
                  <c:v>-1.5</c:v>
                </c:pt>
                <c:pt idx="5">
                  <c:v>0</c:v>
                </c:pt>
                <c:pt idx="6">
                  <c:v>-2.25</c:v>
                </c:pt>
                <c:pt idx="7">
                  <c:v>0.75</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numCache>
            </c:numRef>
          </c:val>
          <c:smooth val="0"/>
          <c:extLst>
            <c:ext xmlns:c16="http://schemas.microsoft.com/office/drawing/2014/chart" uri="{C3380CC4-5D6E-409C-BE32-E72D297353CC}">
              <c16:uniqueId val="{00000005-B194-4A2A-AD3E-3194DB7D0EAE}"/>
            </c:ext>
          </c:extLst>
        </c:ser>
        <c:dLbls>
          <c:showLegendKey val="0"/>
          <c:showVal val="0"/>
          <c:showCatName val="0"/>
          <c:showSerName val="0"/>
          <c:showPercent val="0"/>
          <c:showBubbleSize val="0"/>
        </c:dLbls>
        <c:marker val="1"/>
        <c:smooth val="0"/>
        <c:axId val="1300100448"/>
        <c:axId val="1300099616"/>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35"/>
        </c:scaling>
        <c:delete val="0"/>
        <c:axPos val="l"/>
        <c:majorGridlines>
          <c:spPr>
            <a:ln w="6350">
              <a:solidFill>
                <a:schemeClr val="bg1">
                  <a:lumMod val="75000"/>
                </a:schemeClr>
              </a:solidFill>
            </a:ln>
          </c:spPr>
        </c:majorGridlines>
        <c:title>
          <c:tx>
            <c:rich>
              <a:bodyPr/>
              <a:lstStyle/>
              <a:p>
                <a:pPr>
                  <a:defRPr sz="700" b="0" i="1"/>
                </a:pPr>
                <a:r>
                  <a:rPr lang="cs-CZ" sz="700" b="0" i="1"/>
                  <a:t>Tržby</a:t>
                </a:r>
              </a:p>
            </c:rich>
          </c:tx>
          <c:layout>
            <c:manualLayout>
              <c:xMode val="edge"/>
              <c:yMode val="edge"/>
              <c:x val="0"/>
              <c:y val="0.2922709169117092"/>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5"/>
      </c:valAx>
      <c:valAx>
        <c:axId val="1300099616"/>
        <c:scaling>
          <c:orientation val="minMax"/>
          <c:max val="30"/>
          <c:min val="-2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b="0" i="1" baseline="0">
                    <a:effectLst/>
                  </a:rPr>
                  <a:t>Saldo důvěry spotřebitelů</a:t>
                </a:r>
                <a:endParaRPr lang="cs-CZ" sz="700">
                  <a:effectLst/>
                </a:endParaRPr>
              </a:p>
            </c:rich>
          </c:tx>
          <c:layout>
            <c:manualLayout>
              <c:xMode val="edge"/>
              <c:yMode val="edge"/>
              <c:x val="0.97060568193100361"/>
              <c:y val="0.25775438813456547"/>
            </c:manualLayout>
          </c:layout>
          <c:overlay val="0"/>
        </c:title>
        <c:numFmt formatCode="0" sourceLinked="0"/>
        <c:majorTickMark val="out"/>
        <c:minorTickMark val="none"/>
        <c:tickLblPos val="nextTo"/>
        <c:txPr>
          <a:bodyPr/>
          <a:lstStyle/>
          <a:p>
            <a:pPr>
              <a:defRPr sz="800"/>
            </a:pPr>
            <a:endParaRPr lang="cs-CZ"/>
          </a:p>
        </c:txPr>
        <c:crossAx val="1300100448"/>
        <c:crosses val="max"/>
        <c:crossBetween val="between"/>
        <c:majorUnit val="5"/>
      </c:valAx>
      <c:catAx>
        <c:axId val="1300100448"/>
        <c:scaling>
          <c:orientation val="minMax"/>
        </c:scaling>
        <c:delete val="1"/>
        <c:axPos val="b"/>
        <c:numFmt formatCode="General" sourceLinked="1"/>
        <c:majorTickMark val="out"/>
        <c:minorTickMark val="none"/>
        <c:tickLblPos val="nextTo"/>
        <c:crossAx val="1300099616"/>
        <c:crosses val="autoZero"/>
        <c:auto val="1"/>
        <c:lblAlgn val="ctr"/>
        <c:lblOffset val="100"/>
        <c:noMultiLvlLbl val="0"/>
      </c:catAx>
      <c:spPr>
        <a:ln>
          <a:solidFill>
            <a:schemeClr val="tx1"/>
          </a:solidFill>
        </a:ln>
      </c:spPr>
    </c:plotArea>
    <c:legend>
      <c:legendPos val="r"/>
      <c:layout>
        <c:manualLayout>
          <c:xMode val="edge"/>
          <c:yMode val="edge"/>
          <c:x val="6.4094212627732858E-5"/>
          <c:y val="0.87481369385991214"/>
          <c:w val="0.98649823440865303"/>
          <c:h val="0.11811147757237564"/>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069916774474014E-2"/>
          <c:y val="4.15424531457926E-2"/>
          <c:w val="0.88202003907252513"/>
          <c:h val="0.80321247760439507"/>
        </c:manualLayout>
      </c:layout>
      <c:barChart>
        <c:barDir val="col"/>
        <c:grouping val="clustered"/>
        <c:varyColors val="0"/>
        <c:ser>
          <c:idx val="0"/>
          <c:order val="0"/>
          <c:tx>
            <c:strRef>
              <c:f>'Vnější vztahy_a'!$B$4</c:f>
              <c:strCache>
                <c:ptCount val="1"/>
                <c:pt idx="0">
                  <c:v>Vývoz</c:v>
                </c:pt>
              </c:strCache>
            </c:strRef>
          </c:tx>
          <c:spPr>
            <a:solidFill>
              <a:srgbClr val="0071BC"/>
            </a:solidFill>
            <a:ln>
              <a:noFill/>
            </a:ln>
            <a:effectLst/>
          </c:spPr>
          <c:invertIfNegative val="0"/>
          <c:cat>
            <c:strRef>
              <c:f>'Vnější vztahy_a'!$A$5:$A$20</c:f>
              <c:strCache>
                <c:ptCount val="16"/>
                <c:pt idx="0">
                  <c:v>2006</c:v>
                </c:pt>
                <c:pt idx="1">
                  <c:v>2007</c:v>
                </c:pt>
                <c:pt idx="2">
                  <c:v>2008</c:v>
                </c:pt>
                <c:pt idx="3">
                  <c:v>2009</c:v>
                </c:pt>
                <c:pt idx="4">
                  <c:v>2010</c:v>
                </c:pt>
                <c:pt idx="5">
                  <c:v>2011</c:v>
                </c:pt>
                <c:pt idx="6">
                  <c:v>2012</c:v>
                </c:pt>
                <c:pt idx="7">
                  <c:v>2013</c:v>
                </c:pt>
                <c:pt idx="8">
                  <c:v>2014</c:v>
                </c:pt>
                <c:pt idx="9">
                  <c:v> 2015</c:v>
                </c:pt>
                <c:pt idx="10">
                  <c:v>2016</c:v>
                </c:pt>
                <c:pt idx="11">
                  <c:v>2017</c:v>
                </c:pt>
                <c:pt idx="12">
                  <c:v>2018</c:v>
                </c:pt>
                <c:pt idx="13">
                  <c:v>2019</c:v>
                </c:pt>
                <c:pt idx="14">
                  <c:v>2020</c:v>
                </c:pt>
                <c:pt idx="15">
                  <c:v>2021</c:v>
                </c:pt>
              </c:strCache>
            </c:strRef>
          </c:cat>
          <c:val>
            <c:numRef>
              <c:f>'Vnější vztahy_a'!$B$5:$B$20</c:f>
              <c:numCache>
                <c:formatCode>General</c:formatCode>
                <c:ptCount val="16"/>
                <c:pt idx="0">
                  <c:v>11.002388269186975</c:v>
                </c:pt>
                <c:pt idx="1">
                  <c:v>10.669504790170311</c:v>
                </c:pt>
                <c:pt idx="2">
                  <c:v>-1.4825262579305303</c:v>
                </c:pt>
                <c:pt idx="3">
                  <c:v>-10.81189551944207</c:v>
                </c:pt>
                <c:pt idx="4">
                  <c:v>14.827022335007905</c:v>
                </c:pt>
                <c:pt idx="5">
                  <c:v>10.112037607700053</c:v>
                </c:pt>
                <c:pt idx="6">
                  <c:v>6.0251090942966021</c:v>
                </c:pt>
                <c:pt idx="7">
                  <c:v>2.2153513610284965</c:v>
                </c:pt>
                <c:pt idx="8">
                  <c:v>13.027208809035864</c:v>
                </c:pt>
                <c:pt idx="9">
                  <c:v>3.612768163576892</c:v>
                </c:pt>
                <c:pt idx="10">
                  <c:v>1.1074296541764621</c:v>
                </c:pt>
                <c:pt idx="11">
                  <c:v>6.4802705295808352</c:v>
                </c:pt>
                <c:pt idx="12">
                  <c:v>2.9418083571864679</c:v>
                </c:pt>
                <c:pt idx="13">
                  <c:v>2.0884439685547389</c:v>
                </c:pt>
                <c:pt idx="14">
                  <c:v>-5.6527823819801268</c:v>
                </c:pt>
                <c:pt idx="15">
                  <c:v>13.014676826275789</c:v>
                </c:pt>
              </c:numCache>
            </c:numRef>
          </c:val>
          <c:extLst>
            <c:ext xmlns:c16="http://schemas.microsoft.com/office/drawing/2014/chart" uri="{C3380CC4-5D6E-409C-BE32-E72D297353CC}">
              <c16:uniqueId val="{00000000-48A8-437F-9173-E3C55DDC2AD0}"/>
            </c:ext>
          </c:extLst>
        </c:ser>
        <c:ser>
          <c:idx val="1"/>
          <c:order val="1"/>
          <c:tx>
            <c:strRef>
              <c:f>'Vnější vztahy_a'!$C$4</c:f>
              <c:strCache>
                <c:ptCount val="1"/>
                <c:pt idx="0">
                  <c:v>Dovoz</c:v>
                </c:pt>
              </c:strCache>
            </c:strRef>
          </c:tx>
          <c:spPr>
            <a:solidFill>
              <a:srgbClr val="BD1B21"/>
            </a:solidFill>
            <a:ln>
              <a:noFill/>
            </a:ln>
            <a:effectLst/>
          </c:spPr>
          <c:invertIfNegative val="0"/>
          <c:cat>
            <c:strRef>
              <c:f>'Vnější vztahy_a'!$A$5:$A$20</c:f>
              <c:strCache>
                <c:ptCount val="16"/>
                <c:pt idx="0">
                  <c:v>2006</c:v>
                </c:pt>
                <c:pt idx="1">
                  <c:v>2007</c:v>
                </c:pt>
                <c:pt idx="2">
                  <c:v>2008</c:v>
                </c:pt>
                <c:pt idx="3">
                  <c:v>2009</c:v>
                </c:pt>
                <c:pt idx="4">
                  <c:v>2010</c:v>
                </c:pt>
                <c:pt idx="5">
                  <c:v>2011</c:v>
                </c:pt>
                <c:pt idx="6">
                  <c:v>2012</c:v>
                </c:pt>
                <c:pt idx="7">
                  <c:v>2013</c:v>
                </c:pt>
                <c:pt idx="8">
                  <c:v>2014</c:v>
                </c:pt>
                <c:pt idx="9">
                  <c:v> 2015</c:v>
                </c:pt>
                <c:pt idx="10">
                  <c:v>2016</c:v>
                </c:pt>
                <c:pt idx="11">
                  <c:v>2017</c:v>
                </c:pt>
                <c:pt idx="12">
                  <c:v>2018</c:v>
                </c:pt>
                <c:pt idx="13">
                  <c:v>2019</c:v>
                </c:pt>
                <c:pt idx="14">
                  <c:v>2020</c:v>
                </c:pt>
                <c:pt idx="15">
                  <c:v>2021</c:v>
                </c:pt>
              </c:strCache>
            </c:strRef>
          </c:cat>
          <c:val>
            <c:numRef>
              <c:f>'Vnější vztahy_a'!$C$5:$C$20</c:f>
              <c:numCache>
                <c:formatCode>General</c:formatCode>
                <c:ptCount val="16"/>
                <c:pt idx="0">
                  <c:v>11.21175795501606</c:v>
                </c:pt>
                <c:pt idx="1">
                  <c:v>11.781531485176759</c:v>
                </c:pt>
                <c:pt idx="2">
                  <c:v>-0.48030336572037585</c:v>
                </c:pt>
                <c:pt idx="3">
                  <c:v>-13.849775964188691</c:v>
                </c:pt>
                <c:pt idx="4">
                  <c:v>17.636423931022911</c:v>
                </c:pt>
                <c:pt idx="5">
                  <c:v>8.6415161627225725</c:v>
                </c:pt>
                <c:pt idx="6">
                  <c:v>4.0042767307394715</c:v>
                </c:pt>
                <c:pt idx="7">
                  <c:v>0.68681070942259659</c:v>
                </c:pt>
                <c:pt idx="8">
                  <c:v>12.071376353644107</c:v>
                </c:pt>
                <c:pt idx="9">
                  <c:v>4.2889556626306211</c:v>
                </c:pt>
                <c:pt idx="10">
                  <c:v>0.11038963287046219</c:v>
                </c:pt>
                <c:pt idx="11">
                  <c:v>6.8245079237178157</c:v>
                </c:pt>
                <c:pt idx="12">
                  <c:v>5.0260247733996772</c:v>
                </c:pt>
                <c:pt idx="13">
                  <c:v>0.80432261722678255</c:v>
                </c:pt>
                <c:pt idx="14">
                  <c:v>-6.8505122440267279</c:v>
                </c:pt>
                <c:pt idx="15">
                  <c:v>19.287984329911698</c:v>
                </c:pt>
              </c:numCache>
            </c:numRef>
          </c:val>
          <c:extLst>
            <c:ext xmlns:c16="http://schemas.microsoft.com/office/drawing/2014/chart" uri="{C3380CC4-5D6E-409C-BE32-E72D297353CC}">
              <c16:uniqueId val="{00000001-48A8-437F-9173-E3C55DDC2AD0}"/>
            </c:ext>
          </c:extLst>
        </c:ser>
        <c:dLbls>
          <c:showLegendKey val="0"/>
          <c:showVal val="0"/>
          <c:showCatName val="0"/>
          <c:showSerName val="0"/>
          <c:showPercent val="0"/>
          <c:showBubbleSize val="0"/>
        </c:dLbls>
        <c:gapWidth val="89"/>
        <c:axId val="1603910352"/>
        <c:axId val="1603910768"/>
      </c:barChart>
      <c:lineChart>
        <c:grouping val="standard"/>
        <c:varyColors val="0"/>
        <c:ser>
          <c:idx val="2"/>
          <c:order val="2"/>
          <c:tx>
            <c:strRef>
              <c:f>'Vnější vztahy_a'!$D$4</c:f>
              <c:strCache>
                <c:ptCount val="1"/>
                <c:pt idx="0">
                  <c:v>Bilance</c:v>
                </c:pt>
              </c:strCache>
            </c:strRef>
          </c:tx>
          <c:spPr>
            <a:ln w="28575" cap="rnd">
              <a:solidFill>
                <a:schemeClr val="tx1"/>
              </a:solidFill>
              <a:round/>
            </a:ln>
            <a:effectLst/>
          </c:spPr>
          <c:marker>
            <c:symbol val="none"/>
          </c:marker>
          <c:cat>
            <c:strRef>
              <c:f>'Vnější vztahy_a'!$A$5:$A$20</c:f>
              <c:strCache>
                <c:ptCount val="16"/>
                <c:pt idx="0">
                  <c:v>2006</c:v>
                </c:pt>
                <c:pt idx="1">
                  <c:v>2007</c:v>
                </c:pt>
                <c:pt idx="2">
                  <c:v>2008</c:v>
                </c:pt>
                <c:pt idx="3">
                  <c:v>2009</c:v>
                </c:pt>
                <c:pt idx="4">
                  <c:v>2010</c:v>
                </c:pt>
                <c:pt idx="5">
                  <c:v>2011</c:v>
                </c:pt>
                <c:pt idx="6">
                  <c:v>2012</c:v>
                </c:pt>
                <c:pt idx="7">
                  <c:v>2013</c:v>
                </c:pt>
                <c:pt idx="8">
                  <c:v>2014</c:v>
                </c:pt>
                <c:pt idx="9">
                  <c:v> 2015</c:v>
                </c:pt>
                <c:pt idx="10">
                  <c:v>2016</c:v>
                </c:pt>
                <c:pt idx="11">
                  <c:v>2017</c:v>
                </c:pt>
                <c:pt idx="12">
                  <c:v>2018</c:v>
                </c:pt>
                <c:pt idx="13">
                  <c:v>2019</c:v>
                </c:pt>
                <c:pt idx="14">
                  <c:v>2020</c:v>
                </c:pt>
                <c:pt idx="15">
                  <c:v>2021</c:v>
                </c:pt>
              </c:strCache>
            </c:strRef>
          </c:cat>
          <c:val>
            <c:numRef>
              <c:f>'Vnější vztahy_a'!$D$5:$D$20</c:f>
              <c:numCache>
                <c:formatCode>General</c:formatCode>
                <c:ptCount val="16"/>
                <c:pt idx="0">
                  <c:v>1.8</c:v>
                </c:pt>
                <c:pt idx="1">
                  <c:v>-21.241</c:v>
                </c:pt>
                <c:pt idx="2">
                  <c:v>-44.332000000000001</c:v>
                </c:pt>
                <c:pt idx="3">
                  <c:v>31.067</c:v>
                </c:pt>
                <c:pt idx="4">
                  <c:v>-20.579000000000001</c:v>
                </c:pt>
                <c:pt idx="5">
                  <c:v>11.977</c:v>
                </c:pt>
                <c:pt idx="6">
                  <c:v>64.41</c:v>
                </c:pt>
                <c:pt idx="7">
                  <c:v>106.518</c:v>
                </c:pt>
                <c:pt idx="8">
                  <c:v>146.00899999999999</c:v>
                </c:pt>
                <c:pt idx="9">
                  <c:v>130.97677807700001</c:v>
                </c:pt>
                <c:pt idx="10">
                  <c:v>163.65449183600001</c:v>
                </c:pt>
                <c:pt idx="11">
                  <c:v>163.466347926</c:v>
                </c:pt>
                <c:pt idx="12">
                  <c:v>98.465823833000002</c:v>
                </c:pt>
                <c:pt idx="13">
                  <c:v>145.694717411</c:v>
                </c:pt>
                <c:pt idx="14">
                  <c:v>179.93123328999999</c:v>
                </c:pt>
                <c:pt idx="15">
                  <c:v>-3.8677181819999999</c:v>
                </c:pt>
              </c:numCache>
            </c:numRef>
          </c:val>
          <c:smooth val="0"/>
          <c:extLst>
            <c:ext xmlns:c16="http://schemas.microsoft.com/office/drawing/2014/chart" uri="{C3380CC4-5D6E-409C-BE32-E72D297353CC}">
              <c16:uniqueId val="{00000002-48A8-437F-9173-E3C55DDC2AD0}"/>
            </c:ext>
          </c:extLst>
        </c:ser>
        <c:dLbls>
          <c:showLegendKey val="0"/>
          <c:showVal val="0"/>
          <c:showCatName val="0"/>
          <c:showSerName val="0"/>
          <c:showPercent val="0"/>
          <c:showBubbleSize val="0"/>
        </c:dLbls>
        <c:marker val="1"/>
        <c:smooth val="0"/>
        <c:axId val="1171842912"/>
        <c:axId val="1599917024"/>
      </c:lineChart>
      <c:catAx>
        <c:axId val="16039103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603910768"/>
        <c:crosses val="autoZero"/>
        <c:auto val="1"/>
        <c:lblAlgn val="ctr"/>
        <c:lblOffset val="100"/>
        <c:noMultiLvlLbl val="0"/>
      </c:catAx>
      <c:valAx>
        <c:axId val="1603910768"/>
        <c:scaling>
          <c:orientation val="minMax"/>
          <c:max val="20"/>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603910352"/>
        <c:crosses val="autoZero"/>
        <c:crossBetween val="between"/>
      </c:valAx>
      <c:valAx>
        <c:axId val="1599917024"/>
        <c:scaling>
          <c:orientation val="minMax"/>
          <c:min val="-15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171842912"/>
        <c:crosses val="max"/>
        <c:crossBetween val="between"/>
      </c:valAx>
      <c:catAx>
        <c:axId val="1171842912"/>
        <c:scaling>
          <c:orientation val="minMax"/>
        </c:scaling>
        <c:delete val="1"/>
        <c:axPos val="b"/>
        <c:numFmt formatCode="General" sourceLinked="1"/>
        <c:majorTickMark val="out"/>
        <c:minorTickMark val="none"/>
        <c:tickLblPos val="nextTo"/>
        <c:crossAx val="1599917024"/>
        <c:crosses val="autoZero"/>
        <c:auto val="1"/>
        <c:lblAlgn val="ctr"/>
        <c:lblOffset val="100"/>
        <c:noMultiLvlLbl val="0"/>
      </c:catAx>
      <c:spPr>
        <a:noFill/>
        <a:ln>
          <a:noFill/>
        </a:ln>
        <a:effectLst/>
      </c:spPr>
    </c:plotArea>
    <c:legend>
      <c:legendPos val="b"/>
      <c:layout>
        <c:manualLayout>
          <c:xMode val="edge"/>
          <c:yMode val="edge"/>
          <c:x val="6.7324160543034778E-2"/>
          <c:y val="0.92127482102101654"/>
          <c:w val="0.85470865828300857"/>
          <c:h val="5.6065659081278391E-2"/>
        </c:manualLayout>
      </c:layout>
      <c:overlay val="0"/>
      <c:spPr>
        <a:noFill/>
        <a:ln>
          <a:solidFill>
            <a:schemeClr val="tx1"/>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FAF1-FE5B-4AD3-B4B3-9B7DA326AECE}">
  <ds:schemaRefs>
    <ds:schemaRef ds:uri="http://schemas.openxmlformats.org/officeDocument/2006/bibliography"/>
  </ds:schemaRefs>
</ds:datastoreItem>
</file>

<file path=customXml/itemProps2.xml><?xml version="1.0" encoding="utf-8"?>
<ds:datastoreItem xmlns:ds="http://schemas.openxmlformats.org/officeDocument/2006/customXml" ds:itemID="{334B212E-034B-450F-A6D1-3E7ECF4B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1</Pages>
  <Words>16374</Words>
  <Characters>96609</Characters>
  <Application>Microsoft Office Word</Application>
  <DocSecurity>0</DocSecurity>
  <Lines>805</Lines>
  <Paragraphs>225</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112758</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4</cp:revision>
  <cp:lastPrinted>2019-04-08T10:52:00Z</cp:lastPrinted>
  <dcterms:created xsi:type="dcterms:W3CDTF">2022-03-21T10:52:00Z</dcterms:created>
  <dcterms:modified xsi:type="dcterms:W3CDTF">2022-03-21T10:55:00Z</dcterms:modified>
</cp:coreProperties>
</file>