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F1F3" w14:textId="5569004B" w:rsidR="00DF57D6" w:rsidRPr="009110F7" w:rsidRDefault="00DF57D6" w:rsidP="00DF57D6">
      <w:pPr>
        <w:pStyle w:val="Nadpis11"/>
      </w:pPr>
      <w:bookmarkStart w:id="0" w:name="_Toc58605374"/>
      <w:bookmarkStart w:id="1" w:name="_Toc66719930"/>
      <w:bookmarkStart w:id="2" w:name="_Toc532558287"/>
      <w:bookmarkStart w:id="3" w:name="_Toc58605375"/>
      <w:bookmarkStart w:id="4" w:name="_Toc74643856"/>
      <w:r>
        <w:t>4</w:t>
      </w:r>
      <w:r w:rsidRPr="009110F7">
        <w:t>.</w:t>
      </w:r>
      <w:r>
        <w:t> </w:t>
      </w:r>
      <w:r w:rsidRPr="009110F7">
        <w:t>Vnější vztahy</w:t>
      </w:r>
      <w:bookmarkEnd w:id="0"/>
      <w:bookmarkEnd w:id="1"/>
      <w:bookmarkEnd w:id="4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2"/>
        <w:gridCol w:w="223"/>
        <w:gridCol w:w="7654"/>
      </w:tblGrid>
      <w:tr w:rsidR="00DF57D6" w:rsidRPr="009110F7" w14:paraId="488BB10A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14FBE2CD" w14:textId="77777777" w:rsidR="00DF57D6" w:rsidRDefault="00DF57D6" w:rsidP="00D67D55">
            <w:pPr>
              <w:pStyle w:val="Marginlie"/>
            </w:pPr>
            <w:r>
              <w:t>Export v 1. čtvrtletí výrazně meziročně vzrostl.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1E389F0D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7D3A819F" w14:textId="77777777" w:rsidR="00DF57D6" w:rsidRPr="00AF6F98" w:rsidRDefault="00DF57D6" w:rsidP="00D67D5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V 1. čtvrtletí 2021 celková hodnota vývozu zboží dosáhla 988,7 mld. korun. Ve srovnání s loňským 1. kvartálem se tak vývoz zvýšil o 95,8 mld. korun (10,7 %). Meziroční srovnání je přitom značně ovlivněno nízkou základnou – loňské 1. čtvrtletí již negativně ovlivnily uzavírky klíčových podniků v ČR i EU. To je vidět i na podrobnějším pohledu na jednotlivé měsíce roku – hlavní podíl meziročního nárůstu vývozu totiž připadl na březen (87,8 mld. korun). Hodnota exportu v letošním 1. čtvrtletí ale i tak převýšila 1. čtvrtletí 2019 o 57,3 mld. korun (5,8 %).</w:t>
            </w:r>
          </w:p>
        </w:tc>
      </w:tr>
      <w:tr w:rsidR="00DF57D6" w:rsidRPr="009110F7" w14:paraId="579400B8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3213A546" w14:textId="77777777" w:rsidR="00DF57D6" w:rsidRDefault="00DF57D6" w:rsidP="00D67D55">
            <w:pPr>
              <w:pStyle w:val="Marginlie"/>
            </w:pPr>
            <w:r>
              <w:t>Nejvíce se navýšil vývoz do zemí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6B843B3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609F8A0" w14:textId="77777777" w:rsidR="00DF57D6" w:rsidRPr="00AF6F98" w:rsidRDefault="00DF57D6" w:rsidP="00D67D5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Hlavní porce meziročního nárůstu vývozu připadla na země Evropské unie (+86,0 mld. korun, 12,1 %), zatímco export mimo EU rostl mírněji (+10,1 mld., 5,6 %). To souviselo i s okolnostmi loňského propadu exportu – poklesl totiž zejména vývoz zboží, které putuje do EU, ať už to bylo přímo spotřební zboží, nebo subdodávky. Nejvíce se zvýšil export do Německa (+28,4 mld. korun, 10,1 %), do Polska (+10,8 mld., 18,8 %) a do Rakouska (6,8 mld., 18,7 %). Velmi vysoké byly také letošní přírůstky exportu do zemí, které byly v loňském 1. čtvrtletí nejvíce zasaženy pandemií – do Španělska (+6,1 mld., 25,1 %), Francie (+5,2 mld., 11,6 %) a Itálie (+4,0 mld., 12,1 %). Poměrně silný byl i nárůst exportu do Belgie (+3,3 mld. korun, 16,9 %). Meziročně poklesl vývoz do Velké Británie (–2,3 mld. korun, –5,9 %).</w:t>
            </w:r>
          </w:p>
        </w:tc>
      </w:tr>
      <w:tr w:rsidR="00DF57D6" w:rsidRPr="009110F7" w14:paraId="72715D8F" w14:textId="77777777" w:rsidTr="00D67D55">
        <w:trPr>
          <w:trHeight w:val="170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3EC7094" w14:textId="77777777" w:rsidR="00DF57D6" w:rsidRDefault="00DF57D6" w:rsidP="00D67D55">
            <w:pPr>
              <w:pStyle w:val="Marginlie"/>
            </w:pPr>
            <w:r>
              <w:t>Hlavní váha meziročního přírůstku spočívala na motorových vozidlech.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0A7C086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E919797" w14:textId="77777777" w:rsidR="00DF57D6" w:rsidRPr="00AF6F98" w:rsidRDefault="00DF57D6" w:rsidP="00D67D55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 xml:space="preserve">Největší meziroční nárůsty vývozu byly zaznamenány u artiklů, které loni výrazně ovlivnilo jarní uzavření provozů. Nejvíce se tedy v 1. čtvrtletí zvýšil export motorových vozidel (+31,8 mld. korun, 13,2 %) a elektrických zařízení (+12,9 mld., 17,0 %). Silně také vzrostl export počítačů, elektronických a optických přístrojů (+10,9 mld. korun, 12,0 %). Nárůst cen ropy dal výrazný impulz i hodnotě vývozu chemických látek a přípravků (+7,0 mld. korun, 16,1 %). Cenové vlivy se promítly i do růstu hodnoty vývozu základních kovů (+5,4 mld., 15,5 %). Navýšení vývozu strojů a zařízení o 5,6 mld. korun (5,6 %) bylo solidní, ale za ostatními segmenty zaostávalo. Významné byly i nárůsty exportu pryžových a plastových výrobků (+4,5 mld. korun, 9,3 %) a kovodělných výrobků (+4,5 mld., 8,0 %). Významnější pokles vývozu byl po loňském prudkém navýšení zaznamenán jen u ropy a zemního plynu </w:t>
            </w:r>
            <w:r>
              <w:rPr>
                <w:spacing w:val="-4"/>
              </w:rPr>
              <w:br/>
              <w:t>(–1,3 mld. korun, –94,2 %).</w:t>
            </w:r>
          </w:p>
        </w:tc>
      </w:tr>
      <w:tr w:rsidR="00DF57D6" w:rsidRPr="009110F7" w14:paraId="182A3EC8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021F3D3A" w14:textId="77777777" w:rsidR="00DF57D6" w:rsidRDefault="00DF57D6" w:rsidP="00D67D55">
            <w:pPr>
              <w:pStyle w:val="Marginlie"/>
            </w:pPr>
            <w:r>
              <w:t>Také dovoz silně rostl, jeho dynamika ale za vývozem zaostávala.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37C7A5E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596F26A4" w14:textId="77777777" w:rsidR="00DF57D6" w:rsidRPr="00AF6F98" w:rsidRDefault="00DF57D6" w:rsidP="00D67D55">
            <w:pPr>
              <w:rPr>
                <w:spacing w:val="-4"/>
              </w:rPr>
            </w:pPr>
            <w:r>
              <w:rPr>
                <w:spacing w:val="-4"/>
              </w:rPr>
              <w:t>Hodnota dovozu zboží v 1. čtvrtletí dosáhla 925,0 mld. korun. Import v 1. čtvrtletí také výrazněji meziročně vzrostl (o 69,3 mld. korun, 8,1 %), za vývozem ale nadále dynamika dovozu zaostávala. Oproti exportu byla teritoriální struktura nárůstu importu poněkud odlišná. Velmi silné bylo navýšení dovozu zboží ze zemí mimo EU (+29,6 mld. korun, 10,1 %) a import z EU rostl mírněji (+39,0 mld., 7,0 %). Velké navýšení dovozu ze zemí mimo EU mělo původ hlavně v přírůstku importu z Číny (+19,3 mld. korun, 20,9 %). Neobvykle vysoké bylo i navýšení dovozu z Japonska (+4,9 mld. korun, 31,1 %) a především posun cen ropy měl za následek přírůstek dovozu z Ruska o 3,7 mld. (19,2 %). V rámci zemí EU nejvíce narostl dovoz z Německa (+10,6 mld. korun, 4,8 %), Slovenska (+6,0 mld., 15,1 %) a Polska (+5,9 mld., 7,9 %).</w:t>
            </w:r>
          </w:p>
        </w:tc>
      </w:tr>
      <w:tr w:rsidR="00DF57D6" w:rsidRPr="009110F7" w14:paraId="5BCC00A9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27B747B7" w14:textId="77777777" w:rsidR="00DF57D6" w:rsidRDefault="00DF57D6" w:rsidP="00D67D55">
            <w:pPr>
              <w:pStyle w:val="Marginlie"/>
            </w:pPr>
            <w:r>
              <w:t>Také u importu největší přírůstek vykázala motorová vozidla.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D46EEC7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65432414" w14:textId="77777777" w:rsidR="00DF57D6" w:rsidRDefault="00DF57D6" w:rsidP="00D67D55">
            <w:pPr>
              <w:rPr>
                <w:spacing w:val="-4"/>
              </w:rPr>
            </w:pPr>
            <w:r>
              <w:rPr>
                <w:spacing w:val="-4"/>
              </w:rPr>
              <w:t xml:space="preserve">Z hlediska věcného členění nejvíce meziročně vzrostl dovoz motorových vozidel (+16,4 mld. korun, 12,6 %) a elektrických zařízení (+15,3 mld., 22,4 %), podobně jako tomu bylo u exportu. Dlouhodobě totiž funguje materiální provázanost dovozu a vývozu v těchto odvětvích. Velké navýšení vykázal i dovoz chemických látek a přípravků (+9,0 mld. korun, 12,5 %) a základních kovů (+8,8 mld., 14,2 %), u obou je přírůstek spojen s navýšením cen. Silný byl také přírůstek importu počítačů, elektronických a optických přístrojů (+7,2 mld. korun, 7,1 %), pryžových a plastových výrobků (+5,6 mld., 12,6 %) a základních farmaceutických výrobků (+4,4 mld., 14,3 %). Jen mírně rostl dovoz strojů a zařízení (+2,9 mld. korun, 3,6 %), což ukazuje na trvající oslabení domácí investiční poptávky. Výraznější meziroční poklesy byly zaznamenány u dovozu potravinářských výrobků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lastRenderedPageBreak/>
              <w:t xml:space="preserve">(–1,8 mld. korun, –4,3 %), ropy a zemního plynu (–1,6 mld., –6,9 %; březnový prudký nárůst nestačil kompenzovat propad z ledna a února) a ostatních dopravních prostředků </w:t>
            </w:r>
            <w:r>
              <w:rPr>
                <w:spacing w:val="-4"/>
              </w:rPr>
              <w:br/>
              <w:t>(–1,4 mld., –15,7 %).</w:t>
            </w:r>
          </w:p>
        </w:tc>
      </w:tr>
      <w:tr w:rsidR="00DF57D6" w:rsidRPr="009110F7" w14:paraId="1912520D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3C4234BA" w14:textId="77777777" w:rsidR="00DF57D6" w:rsidRDefault="00DF57D6" w:rsidP="00D67D55">
            <w:pPr>
              <w:pStyle w:val="Marginlie"/>
            </w:pPr>
            <w:r>
              <w:lastRenderedPageBreak/>
              <w:t>Přebytek bilance zahraničního obchodu se meziročně zvýšil.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2ED9B89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074BA0E" w14:textId="77777777" w:rsidR="00DF57D6" w:rsidRPr="00AF6F98" w:rsidRDefault="00DF57D6" w:rsidP="00D67D55">
            <w:pPr>
              <w:rPr>
                <w:spacing w:val="-4"/>
              </w:rPr>
            </w:pPr>
            <w:r>
              <w:rPr>
                <w:spacing w:val="-4"/>
              </w:rPr>
              <w:t xml:space="preserve">Bilance zahraničního obchodu se zbožím v 1. čtvrtletí dosáhla přebytku 63,7 mld. korun. Kladné saldo meziročně posílilo o 26,5 mld. korun a největší část nárůstu připadla na březen. Zlepšení bilance lze přičíst čistě obchodu s EU – tradiční přebytek se meziročně zlepšil o 47,0 mld. korun. Naopak obvyklý deficit obchodu se zeměmi mimo EU se po loňském zlepšení opět prohloubil, a to o 19,5 mld. korun na –132,7 mld., což je v rámci 1. čtvrtletí nejhorší zaznamenaný výsledek. Nejvíce ve směru meziročního zlepšení bilance působil obchod s Německem (+17,8 mld. korun), Polskem (+5,0 mld.), Rakouskem (+4,5 mld.) a Francií (+4,4 mld.). Velký příliv dovozu měl za následek výrazné prohloubení deficitu s Čínou (–18,6 mld. korun), podstatně se zhoršila také bilance s Japonskem </w:t>
            </w:r>
            <w:r>
              <w:rPr>
                <w:spacing w:val="-4"/>
              </w:rPr>
              <w:br/>
              <w:t>(–4,5 mld.) a Ruskem (–3,6 mld.).</w:t>
            </w:r>
          </w:p>
        </w:tc>
      </w:tr>
      <w:tr w:rsidR="00DF57D6" w:rsidRPr="009110F7" w14:paraId="62ACE1CA" w14:textId="77777777" w:rsidTr="00D67D55">
        <w:trPr>
          <w:trHeight w:val="145"/>
        </w:trPr>
        <w:tc>
          <w:tcPr>
            <w:tcW w:w="1762" w:type="dxa"/>
            <w:shd w:val="clear" w:color="auto" w:fill="auto"/>
            <w:tcMar>
              <w:left w:w="0" w:type="dxa"/>
            </w:tcMar>
          </w:tcPr>
          <w:p w14:paraId="6EE28195" w14:textId="77777777" w:rsidR="00DF57D6" w:rsidRDefault="00DF57D6" w:rsidP="00D67D55">
            <w:pPr>
              <w:pStyle w:val="Marginlie"/>
            </w:pPr>
            <w:r>
              <w:t>Ke zlepšení bilance nejvíce přispíval obchod s motorovými vozidly.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029213B3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390A7EBD" w14:textId="77777777" w:rsidR="00DF57D6" w:rsidRDefault="00DF57D6" w:rsidP="00D67D55">
            <w:pPr>
              <w:rPr>
                <w:spacing w:val="-4"/>
              </w:rPr>
            </w:pPr>
            <w:r>
              <w:rPr>
                <w:spacing w:val="-4"/>
              </w:rPr>
              <w:t>K meziročnímu zlepšení bilance v 1. čtvrtletí nejvíce přispěl obchod s motorovými vozidly (+15,5 mld. korun), počítači, elektronickými a optickými přístroji (+3,7 mld. korun) a kovodělnými výrobky (+3,6 mld.). Mezi výraznější patřilo také zlepšení obchodu se stroji a zařízeními (+2,6 mld.), potravinářskými výrobky (+2,6 mld.), oděvy (+2,2 mld.), koksem a rafinovanými ropnými produkty (+2,1 mld.) a produkty souvisejícími s odpadem (+1,9 mld.). Zhoršení bilance bylo největší v případě základních farmaceutických výrobků (–3,7 mld. korun) a dále u základních kovů (–3,4 mld.) a elektrických zařízení (–2,3 mld.).</w:t>
            </w:r>
          </w:p>
        </w:tc>
      </w:tr>
      <w:tr w:rsidR="00DF57D6" w:rsidRPr="009110F7" w14:paraId="03805C2A" w14:textId="77777777" w:rsidTr="00D67D55">
        <w:trPr>
          <w:trHeight w:val="106"/>
        </w:trPr>
        <w:tc>
          <w:tcPr>
            <w:tcW w:w="1762" w:type="dxa"/>
            <w:vMerge w:val="restart"/>
            <w:shd w:val="clear" w:color="auto" w:fill="auto"/>
            <w:tcMar>
              <w:left w:w="0" w:type="dxa"/>
            </w:tcMar>
          </w:tcPr>
          <w:p w14:paraId="1D5EFE04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043AE0D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1F791752" w14:textId="77777777" w:rsidR="00DF57D6" w:rsidRPr="00D75AC1" w:rsidRDefault="00DF57D6" w:rsidP="00D67D55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 8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 xml:space="preserve">(kumulace </w:t>
            </w:r>
            <w:r>
              <w:rPr>
                <w:spacing w:val="-4"/>
                <w:szCs w:val="20"/>
              </w:rPr>
              <w:t>1. čtvrtletí</w:t>
            </w:r>
            <w:r w:rsidRPr="00D75AC1">
              <w:rPr>
                <w:spacing w:val="-4"/>
                <w:szCs w:val="20"/>
              </w:rPr>
              <w:t>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DF57D6" w:rsidRPr="009110F7" w14:paraId="02CE595A" w14:textId="77777777" w:rsidTr="00D67D55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762" w:type="dxa"/>
            <w:vMerge/>
            <w:shd w:val="clear" w:color="auto" w:fill="auto"/>
          </w:tcPr>
          <w:p w14:paraId="6E5C73A6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6BCD9094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</w:tcPr>
          <w:p w14:paraId="48305F8C" w14:textId="77777777" w:rsidR="00DF57D6" w:rsidRPr="00AF6F98" w:rsidRDefault="00DF57D6" w:rsidP="00D67D55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1F57CA72" wp14:editId="05FE4711">
                  <wp:extent cx="4771467" cy="3553200"/>
                  <wp:effectExtent l="0" t="0" r="0" b="0"/>
                  <wp:docPr id="21" name="Graf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DF57D6" w:rsidRPr="009110F7" w14:paraId="1D37E740" w14:textId="77777777" w:rsidTr="00D67D55">
        <w:trPr>
          <w:trHeight w:val="106"/>
        </w:trPr>
        <w:tc>
          <w:tcPr>
            <w:tcW w:w="1762" w:type="dxa"/>
            <w:vMerge/>
            <w:shd w:val="clear" w:color="auto" w:fill="auto"/>
            <w:tcMar>
              <w:left w:w="0" w:type="dxa"/>
            </w:tcMar>
          </w:tcPr>
          <w:p w14:paraId="41467CDB" w14:textId="77777777" w:rsidR="00DF57D6" w:rsidRDefault="00DF57D6" w:rsidP="00D67D55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4830A903" w14:textId="77777777" w:rsidR="00DF57D6" w:rsidRDefault="00DF57D6" w:rsidP="00D67D5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4" w:type="dxa"/>
            <w:shd w:val="clear" w:color="auto" w:fill="auto"/>
            <w:tcMar>
              <w:left w:w="0" w:type="dxa"/>
            </w:tcMar>
          </w:tcPr>
          <w:p w14:paraId="0DD0C590" w14:textId="77777777" w:rsidR="00DF57D6" w:rsidRPr="00AF6F98" w:rsidRDefault="00DF57D6" w:rsidP="00D67D55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04AF5619" w14:textId="77777777" w:rsidR="00DF57D6" w:rsidRPr="00C41D54" w:rsidRDefault="00DF57D6" w:rsidP="00DF57D6">
      <w:pPr>
        <w:pStyle w:val="Nadpis11"/>
        <w:rPr>
          <w:b w:val="0"/>
          <w:sz w:val="2"/>
          <w:szCs w:val="2"/>
          <w:highlight w:val="yellow"/>
        </w:rPr>
      </w:pPr>
    </w:p>
    <w:p w14:paraId="5586BA5F" w14:textId="77777777" w:rsidR="00DF57D6" w:rsidRPr="00E42054" w:rsidRDefault="00DF57D6" w:rsidP="00DF57D6">
      <w:pPr>
        <w:pStyle w:val="Nadpis11"/>
        <w:spacing w:after="0"/>
        <w:rPr>
          <w:b w:val="0"/>
          <w:sz w:val="2"/>
          <w:szCs w:val="2"/>
        </w:rPr>
      </w:pPr>
    </w:p>
    <w:p w14:paraId="2CA8BEAE" w14:textId="77777777" w:rsidR="00DF57D6" w:rsidRPr="00E42054" w:rsidRDefault="00DF57D6" w:rsidP="00DF57D6">
      <w:pPr>
        <w:pStyle w:val="Nadpis11"/>
        <w:spacing w:after="0"/>
        <w:rPr>
          <w:b w:val="0"/>
          <w:sz w:val="2"/>
          <w:szCs w:val="2"/>
        </w:rPr>
      </w:pPr>
    </w:p>
    <w:p w14:paraId="60A7EFD4" w14:textId="77777777" w:rsidR="00DF57D6" w:rsidRPr="00C41D54" w:rsidRDefault="00DF57D6" w:rsidP="00DF57D6">
      <w:pPr>
        <w:pStyle w:val="Nadpis11"/>
        <w:rPr>
          <w:b w:val="0"/>
          <w:sz w:val="2"/>
          <w:szCs w:val="2"/>
          <w:highlight w:val="yellow"/>
        </w:rPr>
      </w:pPr>
    </w:p>
    <w:p w14:paraId="25A870F5" w14:textId="77777777" w:rsidR="00DF57D6" w:rsidRPr="00E42054" w:rsidRDefault="00DF57D6" w:rsidP="00DF57D6">
      <w:pPr>
        <w:pStyle w:val="Nadpis11"/>
        <w:spacing w:after="0"/>
        <w:rPr>
          <w:b w:val="0"/>
          <w:sz w:val="2"/>
          <w:szCs w:val="2"/>
        </w:rPr>
      </w:pPr>
    </w:p>
    <w:p w14:paraId="4A0231C8" w14:textId="77777777" w:rsidR="00DF57D6" w:rsidRDefault="00DF57D6" w:rsidP="00DF57D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bookmarkStart w:id="5" w:name="_Toc37403644"/>
      <w:bookmarkStart w:id="6" w:name="_Toc19090678"/>
      <w:bookmarkStart w:id="7" w:name="_Toc26539342"/>
    </w:p>
    <w:bookmarkEnd w:id="5"/>
    <w:bookmarkEnd w:id="6"/>
    <w:bookmarkEnd w:id="7"/>
    <w:p w14:paraId="513CAA22" w14:textId="77777777" w:rsidR="00DF57D6" w:rsidRPr="00E42054" w:rsidRDefault="00DF57D6" w:rsidP="00DF57D6">
      <w:pPr>
        <w:pStyle w:val="Nadpis11"/>
        <w:spacing w:after="0"/>
        <w:rPr>
          <w:b w:val="0"/>
          <w:sz w:val="2"/>
          <w:szCs w:val="2"/>
        </w:rPr>
      </w:pPr>
    </w:p>
    <w:p w14:paraId="4CAD749A" w14:textId="77777777" w:rsidR="00AB3BA7" w:rsidRPr="000F45E7" w:rsidRDefault="00AB3BA7" w:rsidP="00AB3BA7">
      <w:pPr>
        <w:pStyle w:val="Nadpis11"/>
        <w:spacing w:after="0"/>
        <w:rPr>
          <w:b w:val="0"/>
          <w:sz w:val="2"/>
          <w:szCs w:val="2"/>
        </w:rPr>
      </w:pPr>
      <w:bookmarkStart w:id="8" w:name="_Toc511215218"/>
      <w:bookmarkStart w:id="9" w:name="_GoBack"/>
      <w:bookmarkEnd w:id="2"/>
      <w:bookmarkEnd w:id="3"/>
      <w:bookmarkEnd w:id="8"/>
      <w:bookmarkEnd w:id="9"/>
    </w:p>
    <w:p w14:paraId="3E974863" w14:textId="23A1735E" w:rsidR="000663F0" w:rsidRPr="00E42054" w:rsidRDefault="000663F0" w:rsidP="00AB3BA7">
      <w:pPr>
        <w:pStyle w:val="Nadpis11"/>
        <w:rPr>
          <w:b w:val="0"/>
          <w:sz w:val="2"/>
          <w:szCs w:val="2"/>
        </w:rPr>
      </w:pPr>
    </w:p>
    <w:sectPr w:rsidR="000663F0" w:rsidRPr="00E42054" w:rsidSect="004E1344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18F09B" w16cid:durableId="246F10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0181" w14:textId="77777777" w:rsidR="00671D85" w:rsidRDefault="00671D85" w:rsidP="00E71A58">
      <w:r>
        <w:separator/>
      </w:r>
    </w:p>
  </w:endnote>
  <w:endnote w:type="continuationSeparator" w:id="0">
    <w:p w14:paraId="64BAABBF" w14:textId="77777777" w:rsidR="00671D85" w:rsidRDefault="00671D8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74D6182A" w:rsidR="006F6FF2" w:rsidRPr="00932443" w:rsidRDefault="006F6FF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4E1344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1D0191EC" w:rsidR="006F6FF2" w:rsidRPr="00932443" w:rsidRDefault="006F6FF2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2021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4E1344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5C" w14:textId="77777777" w:rsidR="00671D85" w:rsidRDefault="00671D85" w:rsidP="00A21B4D">
      <w:pPr>
        <w:spacing w:after="0"/>
      </w:pPr>
      <w:r>
        <w:separator/>
      </w:r>
    </w:p>
  </w:footnote>
  <w:footnote w:type="continuationSeparator" w:id="0">
    <w:p w14:paraId="572718C3" w14:textId="77777777" w:rsidR="00671D85" w:rsidRDefault="00671D8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6F6FF2" w:rsidRDefault="006F6FF2" w:rsidP="00937AE2">
    <w:pPr>
      <w:pStyle w:val="Zhlav"/>
    </w:pPr>
    <w:r>
      <w:t>Vývoj ekonomiky České republiky</w:t>
    </w:r>
  </w:p>
  <w:p w14:paraId="675E4C41" w14:textId="77777777" w:rsidR="006F6FF2" w:rsidRPr="006F5416" w:rsidRDefault="006F6FF2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6F6FF2" w:rsidRDefault="006F6FF2" w:rsidP="00937AE2">
    <w:pPr>
      <w:pStyle w:val="Zhlav"/>
    </w:pPr>
    <w:r>
      <w:t>Vývoj ekonomiky České republiky</w:t>
    </w:r>
  </w:p>
  <w:p w14:paraId="0CDCFD48" w14:textId="77777777" w:rsidR="006F6FF2" w:rsidRPr="006F5416" w:rsidRDefault="006F6FF2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5"/>
  </w:num>
  <w:num w:numId="14">
    <w:abstractNumId w:val="12"/>
  </w:num>
  <w:num w:numId="15">
    <w:abstractNumId w:val="18"/>
  </w:num>
  <w:num w:numId="16">
    <w:abstractNumId w:val="14"/>
  </w:num>
  <w:num w:numId="17">
    <w:abstractNumId w:val="26"/>
  </w:num>
  <w:num w:numId="18">
    <w:abstractNumId w:val="19"/>
  </w:num>
  <w:num w:numId="19">
    <w:abstractNumId w:val="27"/>
  </w:num>
  <w:num w:numId="20">
    <w:abstractNumId w:val="28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29B7"/>
    <w:rsid w:val="0001387D"/>
    <w:rsid w:val="00014ED0"/>
    <w:rsid w:val="00016420"/>
    <w:rsid w:val="00016BDB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8AF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A75"/>
    <w:rsid w:val="000663F0"/>
    <w:rsid w:val="00066558"/>
    <w:rsid w:val="00070A87"/>
    <w:rsid w:val="000712B3"/>
    <w:rsid w:val="00071A7C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E5F"/>
    <w:rsid w:val="000A3A2C"/>
    <w:rsid w:val="000A3D9E"/>
    <w:rsid w:val="000A4A54"/>
    <w:rsid w:val="000A4ED9"/>
    <w:rsid w:val="000A5DB7"/>
    <w:rsid w:val="000A6D94"/>
    <w:rsid w:val="000A7377"/>
    <w:rsid w:val="000A775A"/>
    <w:rsid w:val="000A7FF4"/>
    <w:rsid w:val="000B03CC"/>
    <w:rsid w:val="000B4212"/>
    <w:rsid w:val="000B67B7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3058"/>
    <w:rsid w:val="000D310A"/>
    <w:rsid w:val="000D3EF4"/>
    <w:rsid w:val="000D4DC0"/>
    <w:rsid w:val="000D5637"/>
    <w:rsid w:val="000D5A03"/>
    <w:rsid w:val="000D6F4E"/>
    <w:rsid w:val="000D73BB"/>
    <w:rsid w:val="000E0E96"/>
    <w:rsid w:val="000E298B"/>
    <w:rsid w:val="000E2C7D"/>
    <w:rsid w:val="000E3E56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2B29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1F68"/>
    <w:rsid w:val="001A21FA"/>
    <w:rsid w:val="001A4D7C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B24"/>
    <w:rsid w:val="001C1B66"/>
    <w:rsid w:val="001C31A2"/>
    <w:rsid w:val="001C351D"/>
    <w:rsid w:val="001C4B8F"/>
    <w:rsid w:val="001C4BB8"/>
    <w:rsid w:val="001C4FD0"/>
    <w:rsid w:val="001C5E46"/>
    <w:rsid w:val="001C6B3B"/>
    <w:rsid w:val="001C7A26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5DA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3691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B06"/>
    <w:rsid w:val="0024343A"/>
    <w:rsid w:val="002436BA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4992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062"/>
    <w:rsid w:val="00275758"/>
    <w:rsid w:val="0027583D"/>
    <w:rsid w:val="00275DEF"/>
    <w:rsid w:val="002763A2"/>
    <w:rsid w:val="00276B33"/>
    <w:rsid w:val="002803A5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3BB4"/>
    <w:rsid w:val="00304771"/>
    <w:rsid w:val="003052D4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5169"/>
    <w:rsid w:val="003153C8"/>
    <w:rsid w:val="00315524"/>
    <w:rsid w:val="00315561"/>
    <w:rsid w:val="0032058C"/>
    <w:rsid w:val="003208D0"/>
    <w:rsid w:val="003209D6"/>
    <w:rsid w:val="003217B9"/>
    <w:rsid w:val="00321924"/>
    <w:rsid w:val="00321EB6"/>
    <w:rsid w:val="003220A5"/>
    <w:rsid w:val="003238E0"/>
    <w:rsid w:val="00323A1C"/>
    <w:rsid w:val="00324B59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537A"/>
    <w:rsid w:val="00377B2E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978B1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5B59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F313C"/>
    <w:rsid w:val="003F33B9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23623"/>
    <w:rsid w:val="00430C96"/>
    <w:rsid w:val="0043174F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6595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344"/>
    <w:rsid w:val="004E186A"/>
    <w:rsid w:val="004E1A40"/>
    <w:rsid w:val="004E200A"/>
    <w:rsid w:val="004E23FC"/>
    <w:rsid w:val="004E2409"/>
    <w:rsid w:val="004E261D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425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46FC7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0CAC"/>
    <w:rsid w:val="00561F44"/>
    <w:rsid w:val="00562B4D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63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566A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20D"/>
    <w:rsid w:val="00601ADE"/>
    <w:rsid w:val="00601EEF"/>
    <w:rsid w:val="0060255A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19CB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677A"/>
    <w:rsid w:val="00716F48"/>
    <w:rsid w:val="00717114"/>
    <w:rsid w:val="0071779F"/>
    <w:rsid w:val="00720310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70CFC"/>
    <w:rsid w:val="0077130E"/>
    <w:rsid w:val="007715EE"/>
    <w:rsid w:val="00771972"/>
    <w:rsid w:val="00772279"/>
    <w:rsid w:val="00772DAB"/>
    <w:rsid w:val="00772FF9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14FE"/>
    <w:rsid w:val="007D1A1F"/>
    <w:rsid w:val="007D213B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3ACD"/>
    <w:rsid w:val="008D6C3A"/>
    <w:rsid w:val="008D70E2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476D"/>
    <w:rsid w:val="00915D07"/>
    <w:rsid w:val="009162AE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648B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050"/>
    <w:rsid w:val="00952B7B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BB3"/>
    <w:rsid w:val="00992CF3"/>
    <w:rsid w:val="00993194"/>
    <w:rsid w:val="0099321E"/>
    <w:rsid w:val="00994171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0CAF"/>
    <w:rsid w:val="009B1324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731E"/>
    <w:rsid w:val="00A309AC"/>
    <w:rsid w:val="00A30F65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97075"/>
    <w:rsid w:val="00AA0E80"/>
    <w:rsid w:val="00AA17CD"/>
    <w:rsid w:val="00AA1D85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550"/>
    <w:rsid w:val="00B00913"/>
    <w:rsid w:val="00B01593"/>
    <w:rsid w:val="00B01FF9"/>
    <w:rsid w:val="00B023F2"/>
    <w:rsid w:val="00B026FE"/>
    <w:rsid w:val="00B038CA"/>
    <w:rsid w:val="00B05F00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62C3"/>
    <w:rsid w:val="00B16DD1"/>
    <w:rsid w:val="00B16EB8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528"/>
    <w:rsid w:val="00B34CC9"/>
    <w:rsid w:val="00B34CDA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639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6D74"/>
    <w:rsid w:val="00B9720E"/>
    <w:rsid w:val="00B97ACC"/>
    <w:rsid w:val="00B97FE2"/>
    <w:rsid w:val="00BA0E0B"/>
    <w:rsid w:val="00BA201A"/>
    <w:rsid w:val="00BA361D"/>
    <w:rsid w:val="00BA3787"/>
    <w:rsid w:val="00BA403A"/>
    <w:rsid w:val="00BA46E8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246C"/>
    <w:rsid w:val="00C1493E"/>
    <w:rsid w:val="00C15DBD"/>
    <w:rsid w:val="00C161C5"/>
    <w:rsid w:val="00C2010D"/>
    <w:rsid w:val="00C20CB5"/>
    <w:rsid w:val="00C21430"/>
    <w:rsid w:val="00C216DF"/>
    <w:rsid w:val="00C21E61"/>
    <w:rsid w:val="00C21F94"/>
    <w:rsid w:val="00C224BD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0DA1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09B"/>
    <w:rsid w:val="00CC0834"/>
    <w:rsid w:val="00CC0AEA"/>
    <w:rsid w:val="00CC20FE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D6B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5C57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55D4"/>
    <w:rsid w:val="00D66223"/>
    <w:rsid w:val="00D667B8"/>
    <w:rsid w:val="00D67D55"/>
    <w:rsid w:val="00D70289"/>
    <w:rsid w:val="00D70822"/>
    <w:rsid w:val="00D72076"/>
    <w:rsid w:val="00D721B4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450F"/>
    <w:rsid w:val="00DE5CA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34A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87CE2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A00"/>
    <w:rsid w:val="00ED1DF0"/>
    <w:rsid w:val="00ED2386"/>
    <w:rsid w:val="00ED2EA1"/>
    <w:rsid w:val="00ED3851"/>
    <w:rsid w:val="00ED3E51"/>
    <w:rsid w:val="00ED3F10"/>
    <w:rsid w:val="00ED4D04"/>
    <w:rsid w:val="00ED566D"/>
    <w:rsid w:val="00ED5907"/>
    <w:rsid w:val="00ED5F5B"/>
    <w:rsid w:val="00ED62C6"/>
    <w:rsid w:val="00ED64C1"/>
    <w:rsid w:val="00ED781F"/>
    <w:rsid w:val="00EE249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326A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75D3"/>
    <w:rsid w:val="00F62BFF"/>
    <w:rsid w:val="00F63AAE"/>
    <w:rsid w:val="00F63DDE"/>
    <w:rsid w:val="00F63FB7"/>
    <w:rsid w:val="00F6421B"/>
    <w:rsid w:val="00F647F1"/>
    <w:rsid w:val="00F649D2"/>
    <w:rsid w:val="00F6602B"/>
    <w:rsid w:val="00F6799D"/>
    <w:rsid w:val="00F7150B"/>
    <w:rsid w:val="00F717E4"/>
    <w:rsid w:val="00F71DE6"/>
    <w:rsid w:val="00F72D71"/>
    <w:rsid w:val="00F7381C"/>
    <w:rsid w:val="00F73A0C"/>
    <w:rsid w:val="00F7549F"/>
    <w:rsid w:val="00F756DB"/>
    <w:rsid w:val="00F766BE"/>
    <w:rsid w:val="00F767A8"/>
    <w:rsid w:val="00F77590"/>
    <w:rsid w:val="00F82D14"/>
    <w:rsid w:val="00F84E7D"/>
    <w:rsid w:val="00F85066"/>
    <w:rsid w:val="00F87A4D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1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-21.948</c:v>
                </c:pt>
                <c:pt idx="1">
                  <c:v>-10.843</c:v>
                </c:pt>
                <c:pt idx="2">
                  <c:v>-7.6669999999999998</c:v>
                </c:pt>
                <c:pt idx="3">
                  <c:v>-6.0220000000000002</c:v>
                </c:pt>
                <c:pt idx="4">
                  <c:v>-28.56</c:v>
                </c:pt>
                <c:pt idx="5">
                  <c:v>-17.385000000000002</c:v>
                </c:pt>
                <c:pt idx="6">
                  <c:v>6.4050000000000002</c:v>
                </c:pt>
                <c:pt idx="7">
                  <c:v>-26.978999999999999</c:v>
                </c:pt>
                <c:pt idx="8">
                  <c:v>13.092000000000001</c:v>
                </c:pt>
                <c:pt idx="9">
                  <c:v>-10.352</c:v>
                </c:pt>
                <c:pt idx="10">
                  <c:v>8.1229999999999993</c:v>
                </c:pt>
                <c:pt idx="11">
                  <c:v>16.384</c:v>
                </c:pt>
                <c:pt idx="12">
                  <c:v>110.967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D-4E9C-8B77-FC3305BEEE77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-21.61</c:v>
                </c:pt>
                <c:pt idx="1">
                  <c:v>-8.2349999999999994</c:v>
                </c:pt>
                <c:pt idx="2">
                  <c:v>-5.516</c:v>
                </c:pt>
                <c:pt idx="3">
                  <c:v>-3.8759999999999999</c:v>
                </c:pt>
                <c:pt idx="4">
                  <c:v>-30.536000000000001</c:v>
                </c:pt>
                <c:pt idx="5">
                  <c:v>-21.053999999999998</c:v>
                </c:pt>
                <c:pt idx="6">
                  <c:v>6.3140000000000001</c:v>
                </c:pt>
                <c:pt idx="7">
                  <c:v>-30.349</c:v>
                </c:pt>
                <c:pt idx="8">
                  <c:v>16.678000000000001</c:v>
                </c:pt>
                <c:pt idx="9">
                  <c:v>-6.6059999999999999</c:v>
                </c:pt>
                <c:pt idx="10">
                  <c:v>5.8</c:v>
                </c:pt>
                <c:pt idx="11">
                  <c:v>19.024999999999999</c:v>
                </c:pt>
                <c:pt idx="12">
                  <c:v>126.437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D-4E9C-8B77-FC3305BEEE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D5CC-4178-48EB-85C4-ABADC298A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4A62B-13C1-4DED-A111-BE1810AF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2</Pages>
  <Words>933</Words>
  <Characters>5259</Characters>
  <Application>Microsoft Office Word</Application>
  <DocSecurity>0</DocSecurity>
  <Lines>79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6169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4</cp:revision>
  <cp:lastPrinted>2019-04-08T10:52:00Z</cp:lastPrinted>
  <dcterms:created xsi:type="dcterms:W3CDTF">2021-06-15T07:59:00Z</dcterms:created>
  <dcterms:modified xsi:type="dcterms:W3CDTF">2021-06-15T08:11:00Z</dcterms:modified>
</cp:coreProperties>
</file>