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11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6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7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8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9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20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21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22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23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24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25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26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27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26413" w14:textId="0F959C72" w:rsidR="00773C24" w:rsidRPr="00B34B01" w:rsidRDefault="0097252D" w:rsidP="007239E6">
      <w:pPr>
        <w:pStyle w:val="Nadpis1"/>
      </w:pPr>
      <w:r w:rsidRPr="00B34B01">
        <w:t xml:space="preserve">3. </w:t>
      </w:r>
      <w:r w:rsidR="00B34B01" w:rsidRPr="00B34B01">
        <w:t xml:space="preserve">Analytická část </w:t>
      </w:r>
      <w:bookmarkStart w:id="0" w:name="_Toc415056893"/>
    </w:p>
    <w:p w14:paraId="1FC7088A" w14:textId="77777777" w:rsidR="00172E38" w:rsidRPr="000277E2" w:rsidRDefault="00172E38" w:rsidP="00172E38">
      <w:pPr>
        <w:pStyle w:val="Nadpis2"/>
        <w:spacing w:after="120"/>
        <w:jc w:val="both"/>
        <w:rPr>
          <w:sz w:val="24"/>
        </w:rPr>
      </w:pPr>
      <w:r w:rsidRPr="000277E2">
        <w:rPr>
          <w:sz w:val="24"/>
        </w:rPr>
        <w:t>Úvod</w:t>
      </w:r>
    </w:p>
    <w:p w14:paraId="394862C5" w14:textId="42E43325" w:rsidR="00172E38" w:rsidRDefault="00172E38" w:rsidP="00172E38">
      <w:pPr>
        <w:spacing w:before="120"/>
        <w:jc w:val="both"/>
      </w:pPr>
      <w:r w:rsidRPr="006C33DF">
        <w:t xml:space="preserve">Investice do výzkumu a vývoje (dále jen </w:t>
      </w:r>
      <w:proofErr w:type="spellStart"/>
      <w:r w:rsidRPr="006C33DF">
        <w:t>VaV</w:t>
      </w:r>
      <w:proofErr w:type="spellEnd"/>
      <w:r w:rsidRPr="006C33DF">
        <w:t>) přinášejí mezinárodně konkurenceschopné poznatky, inovace a technologie, které patří mezi nejdůležitější hybné faktory pro zvyšování produktivity</w:t>
      </w:r>
      <w:r w:rsidR="00E15937" w:rsidRPr="006C33DF">
        <w:t xml:space="preserve">, a tím i </w:t>
      </w:r>
      <w:r w:rsidRPr="006C33DF">
        <w:t>zajištění ekonomické konkurenceschopnosti, udržitelného rozvoje a s</w:t>
      </w:r>
      <w:r w:rsidR="00702060" w:rsidRPr="006C33DF">
        <w:t>ociální soudržnosti. V roce 2019</w:t>
      </w:r>
      <w:r w:rsidRPr="006C33DF">
        <w:t xml:space="preserve"> celkové výdaje na </w:t>
      </w:r>
      <w:proofErr w:type="spellStart"/>
      <w:r w:rsidRPr="006C33DF">
        <w:t>VaV</w:t>
      </w:r>
      <w:proofErr w:type="spellEnd"/>
      <w:r w:rsidRPr="006C33DF">
        <w:t xml:space="preserve"> v Česku </w:t>
      </w:r>
      <w:r w:rsidR="006C33DF" w:rsidRPr="006C33DF">
        <w:t>meziročně vzrostly o 8,8 mld. Kč a po druhé v řadě</w:t>
      </w:r>
      <w:r w:rsidRPr="006C33DF">
        <w:t xml:space="preserve"> překonaly stomiliardovou hranici. Podniky, stát a EU investovaly celkem do </w:t>
      </w:r>
      <w:proofErr w:type="spellStart"/>
      <w:r w:rsidRPr="006C33DF">
        <w:t>VaV</w:t>
      </w:r>
      <w:proofErr w:type="spellEnd"/>
      <w:r w:rsidRPr="006C33DF">
        <w:t xml:space="preserve"> prováděném na území našeho státu </w:t>
      </w:r>
      <w:r w:rsidR="006C33DF" w:rsidRPr="006C33DF">
        <w:t>111,6</w:t>
      </w:r>
      <w:r w:rsidRPr="006C33DF">
        <w:t xml:space="preserve"> mld. Kč.</w:t>
      </w:r>
    </w:p>
    <w:p w14:paraId="2901FFED" w14:textId="5B2CD1E4" w:rsidR="00172E38" w:rsidRDefault="00172E38" w:rsidP="00172E38">
      <w:pPr>
        <w:spacing w:before="120"/>
        <w:jc w:val="both"/>
      </w:pPr>
      <w:r w:rsidRPr="00396D47">
        <w:t>Stejně jako ve většině vyspělých zemí, i v Česk</w:t>
      </w:r>
      <w:r>
        <w:t>u</w:t>
      </w:r>
      <w:r w:rsidRPr="00396D47">
        <w:t xml:space="preserve"> </w:t>
      </w:r>
      <w:r w:rsidR="00D47518">
        <w:t xml:space="preserve">hrají </w:t>
      </w:r>
      <w:r w:rsidR="00D47518" w:rsidRPr="00396D47">
        <w:t>na tomto poli</w:t>
      </w:r>
      <w:r w:rsidR="00D47518">
        <w:t xml:space="preserve"> </w:t>
      </w:r>
      <w:r w:rsidRPr="00396D47">
        <w:t xml:space="preserve">významnou roli </w:t>
      </w:r>
      <w:r>
        <w:t>podniky</w:t>
      </w:r>
      <w:r w:rsidRPr="00396D47">
        <w:t xml:space="preserve">. Nachází se mezi nimi nejen nejvíce subjektů, kde se výzkumná a vývojová činnost provádí, ale </w:t>
      </w:r>
      <w:r>
        <w:t xml:space="preserve">vynaloží se zde na </w:t>
      </w:r>
      <w:proofErr w:type="spellStart"/>
      <w:r w:rsidR="00D47518">
        <w:t>VaV</w:t>
      </w:r>
      <w:proofErr w:type="spellEnd"/>
      <w:r w:rsidR="00D47518">
        <w:t xml:space="preserve"> </w:t>
      </w:r>
      <w:r>
        <w:t>činnost</w:t>
      </w:r>
      <w:r w:rsidR="00657195">
        <w:t>i</w:t>
      </w:r>
      <w:r w:rsidRPr="00396D47">
        <w:t xml:space="preserve"> i nejvyšší finanční částka a pracuje zde i nejvíce výzkumných a vývojových pracovníků. </w:t>
      </w:r>
    </w:p>
    <w:p w14:paraId="1412590A" w14:textId="5FBA85E0" w:rsidR="003A70FA" w:rsidRDefault="00702060" w:rsidP="003A70FA">
      <w:pPr>
        <w:spacing w:before="120"/>
        <w:jc w:val="both"/>
      </w:pPr>
      <w:r>
        <w:t>V roce 2019</w:t>
      </w:r>
      <w:r w:rsidR="00172E38" w:rsidRPr="00E619AA">
        <w:t xml:space="preserve"> </w:t>
      </w:r>
      <w:r w:rsidR="00D47518" w:rsidRPr="006A07BD">
        <w:t>pracovalo</w:t>
      </w:r>
      <w:r w:rsidR="00D47518" w:rsidRPr="00E619AA">
        <w:t xml:space="preserve"> ve </w:t>
      </w:r>
      <w:proofErr w:type="spellStart"/>
      <w:r w:rsidR="00D47518" w:rsidRPr="00E619AA">
        <w:t>VaV</w:t>
      </w:r>
      <w:proofErr w:type="spellEnd"/>
      <w:r w:rsidR="00D47518" w:rsidRPr="00E619AA">
        <w:t xml:space="preserve"> </w:t>
      </w:r>
      <w:r w:rsidR="00172E38" w:rsidRPr="00E619AA">
        <w:t xml:space="preserve">v podnikatelském sektoru </w:t>
      </w:r>
      <w:r w:rsidR="00CC0876" w:rsidRPr="006A07BD">
        <w:t>44,8</w:t>
      </w:r>
      <w:r w:rsidR="00172E38" w:rsidRPr="006A07BD">
        <w:t xml:space="preserve"> tis. přep</w:t>
      </w:r>
      <w:r w:rsidR="00CC0876" w:rsidRPr="006A07BD">
        <w:t>očtených</w:t>
      </w:r>
      <w:r w:rsidR="00CC0876">
        <w:t xml:space="preserve"> osob, tj. o třetinu (10,6</w:t>
      </w:r>
      <w:r w:rsidR="00172E38" w:rsidRPr="00E619AA">
        <w:t xml:space="preserve"> tisíc) více než ve vládním a vysokoškolském sektoru dohromady. Ve stejném roce</w:t>
      </w:r>
      <w:r w:rsidR="00A22C32">
        <w:t xml:space="preserve"> bylo v</w:t>
      </w:r>
      <w:r w:rsidR="00172E38" w:rsidRPr="00E619AA">
        <w:t xml:space="preserve"> soukrom</w:t>
      </w:r>
      <w:r w:rsidR="00A22C32">
        <w:t>ých</w:t>
      </w:r>
      <w:r w:rsidR="00172E38" w:rsidRPr="00E619AA">
        <w:t xml:space="preserve"> firm</w:t>
      </w:r>
      <w:r w:rsidR="00A22C32">
        <w:t>ách</w:t>
      </w:r>
      <w:r w:rsidR="00172E38" w:rsidRPr="00E619AA">
        <w:t xml:space="preserve"> v Česku investov</w:t>
      </w:r>
      <w:r w:rsidR="00A22C32">
        <w:t>áno</w:t>
      </w:r>
      <w:r w:rsidR="00E619AA" w:rsidRPr="00E619AA">
        <w:t xml:space="preserve"> do </w:t>
      </w:r>
      <w:proofErr w:type="spellStart"/>
      <w:r w:rsidR="00E619AA" w:rsidRPr="00E619AA">
        <w:t>VaV</w:t>
      </w:r>
      <w:proofErr w:type="spellEnd"/>
      <w:r w:rsidR="00172E38" w:rsidRPr="00E619AA">
        <w:t xml:space="preserve"> </w:t>
      </w:r>
      <w:r w:rsidR="00E619AA" w:rsidRPr="00E619AA">
        <w:t>(</w:t>
      </w:r>
      <w:r w:rsidR="00172E38" w:rsidRPr="00E619AA">
        <w:t xml:space="preserve">ať </w:t>
      </w:r>
      <w:r w:rsidR="00E619AA" w:rsidRPr="00E619AA">
        <w:t xml:space="preserve">už </w:t>
      </w:r>
      <w:r w:rsidR="00A22C32">
        <w:t>z vlastních podnikových</w:t>
      </w:r>
      <w:r w:rsidR="00172E38" w:rsidRPr="00E619AA">
        <w:t xml:space="preserve">, </w:t>
      </w:r>
      <w:r w:rsidR="00E619AA" w:rsidRPr="00E619AA">
        <w:t xml:space="preserve">nebo </w:t>
      </w:r>
      <w:r w:rsidR="00172E38" w:rsidRPr="00E619AA">
        <w:t>cizích zdrojů</w:t>
      </w:r>
      <w:r w:rsidR="00E619AA" w:rsidRPr="00E619AA">
        <w:t>)</w:t>
      </w:r>
      <w:r w:rsidR="006C33DF">
        <w:t xml:space="preserve"> 66,6</w:t>
      </w:r>
      <w:r w:rsidR="00172E38" w:rsidRPr="00E619AA">
        <w:t xml:space="preserve"> miliard</w:t>
      </w:r>
      <w:r w:rsidR="00D47518">
        <w:t>,</w:t>
      </w:r>
      <w:r w:rsidR="00172E38" w:rsidRPr="00E619AA">
        <w:t xml:space="preserve"> </w:t>
      </w:r>
      <w:r w:rsidR="00D47518">
        <w:t>což</w:t>
      </w:r>
      <w:r w:rsidR="00172E38" w:rsidRPr="00E619AA">
        <w:t xml:space="preserve"> předsta</w:t>
      </w:r>
      <w:r w:rsidR="006C33DF">
        <w:t>voval</w:t>
      </w:r>
      <w:r w:rsidR="00D47518">
        <w:t>o</w:t>
      </w:r>
      <w:r w:rsidR="006C33DF">
        <w:t xml:space="preserve"> 60 % z výše uvedených 111,6</w:t>
      </w:r>
      <w:r w:rsidR="00172E38" w:rsidRPr="00E619AA">
        <w:t xml:space="preserve"> mld. Kč vynaložených na území našeho státu na </w:t>
      </w:r>
      <w:proofErr w:type="spellStart"/>
      <w:r w:rsidR="00D47518">
        <w:t>VaV</w:t>
      </w:r>
      <w:proofErr w:type="spellEnd"/>
      <w:r w:rsidR="00172E38" w:rsidRPr="00E619AA">
        <w:t xml:space="preserve"> činnost.</w:t>
      </w:r>
      <w:r w:rsidR="00830955" w:rsidRPr="00E619AA">
        <w:t xml:space="preserve"> </w:t>
      </w:r>
      <w:r w:rsidR="00D47518">
        <w:t>V</w:t>
      </w:r>
      <w:r w:rsidR="00172E38" w:rsidRPr="00E619AA">
        <w:t xml:space="preserve">ýdaje na </w:t>
      </w:r>
      <w:proofErr w:type="spellStart"/>
      <w:r w:rsidR="00172E38" w:rsidRPr="00E619AA">
        <w:t>VaV</w:t>
      </w:r>
      <w:proofErr w:type="spellEnd"/>
      <w:r w:rsidR="00172E38" w:rsidRPr="00E619AA">
        <w:t xml:space="preserve"> v soukromých podnicích rostou </w:t>
      </w:r>
      <w:r w:rsidR="00D47518">
        <w:t>o</w:t>
      </w:r>
      <w:r w:rsidR="00D47518" w:rsidRPr="00E619AA">
        <w:t xml:space="preserve">d roku 2010 </w:t>
      </w:r>
      <w:r w:rsidR="00172E38" w:rsidRPr="00E619AA">
        <w:t xml:space="preserve">průměrným ročním tempem </w:t>
      </w:r>
      <w:r w:rsidR="00D47518" w:rsidRPr="00E619AA">
        <w:t>10</w:t>
      </w:r>
      <w:r w:rsidR="00D47518">
        <w:t> </w:t>
      </w:r>
      <w:r w:rsidR="00172E38" w:rsidRPr="00E619AA">
        <w:t xml:space="preserve">%. Za tímto nárůstem </w:t>
      </w:r>
      <w:r w:rsidR="00E619AA" w:rsidRPr="00E619AA">
        <w:t xml:space="preserve">stojí </w:t>
      </w:r>
      <w:r w:rsidR="00172E38" w:rsidRPr="00E619AA">
        <w:t xml:space="preserve">především soukromé firmy pod zahraniční kontrolou, u nichž </w:t>
      </w:r>
      <w:r w:rsidR="00DF6D2E">
        <w:t xml:space="preserve">se </w:t>
      </w:r>
      <w:r w:rsidR="00172E38" w:rsidRPr="00E619AA">
        <w:t>výdaje na</w:t>
      </w:r>
      <w:r w:rsidR="00CC0876">
        <w:t xml:space="preserve"> </w:t>
      </w:r>
      <w:proofErr w:type="spellStart"/>
      <w:r w:rsidR="00CC0876">
        <w:t>VaV</w:t>
      </w:r>
      <w:proofErr w:type="spellEnd"/>
      <w:r w:rsidR="00CC0876">
        <w:t xml:space="preserve"> od roku 2010 </w:t>
      </w:r>
      <w:r w:rsidR="00DF6D2E">
        <w:t>zdvojnásobily</w:t>
      </w:r>
      <w:r w:rsidR="00CC0876">
        <w:t xml:space="preserve"> v porovnání s 71</w:t>
      </w:r>
      <w:r w:rsidR="00172E38" w:rsidRPr="00E619AA">
        <w:t>% nárůstem v</w:t>
      </w:r>
      <w:r w:rsidR="00E15937" w:rsidRPr="00E619AA">
        <w:t> </w:t>
      </w:r>
      <w:r w:rsidR="00172E38" w:rsidRPr="00E619AA">
        <w:t>soukromých domácích firmách.</w:t>
      </w:r>
    </w:p>
    <w:p w14:paraId="14092405" w14:textId="2A07CC3F" w:rsidR="00172E38" w:rsidRPr="003A70FA" w:rsidRDefault="003A70FA" w:rsidP="003A70FA">
      <w:pPr>
        <w:keepNext/>
        <w:spacing w:before="120"/>
        <w:jc w:val="both"/>
        <w:rPr>
          <w:b/>
        </w:rPr>
      </w:pPr>
      <w:r w:rsidRPr="003A70FA">
        <w:rPr>
          <w:b/>
        </w:rPr>
        <w:t xml:space="preserve">Graf </w:t>
      </w:r>
      <w:r w:rsidRPr="003A70FA">
        <w:rPr>
          <w:b/>
        </w:rPr>
        <w:fldChar w:fldCharType="begin"/>
      </w:r>
      <w:r w:rsidRPr="003A70FA">
        <w:rPr>
          <w:b/>
        </w:rPr>
        <w:instrText xml:space="preserve"> SEQ Graf \* ARABIC </w:instrText>
      </w:r>
      <w:r w:rsidRPr="003A70FA">
        <w:rPr>
          <w:b/>
        </w:rPr>
        <w:fldChar w:fldCharType="separate"/>
      </w:r>
      <w:r w:rsidR="00B043AC">
        <w:rPr>
          <w:b/>
          <w:noProof/>
        </w:rPr>
        <w:t>1</w:t>
      </w:r>
      <w:r w:rsidRPr="003A70FA">
        <w:rPr>
          <w:b/>
        </w:rPr>
        <w:fldChar w:fldCharType="end"/>
      </w:r>
      <w:r w:rsidR="00172E38" w:rsidRPr="005B22A7">
        <w:rPr>
          <w:b/>
        </w:rPr>
        <w:t xml:space="preserve">: Výdaje na </w:t>
      </w:r>
      <w:r w:rsidR="00172E38">
        <w:rPr>
          <w:b/>
        </w:rPr>
        <w:t xml:space="preserve">výzkum a vývoj v </w:t>
      </w:r>
      <w:r w:rsidR="00172E38" w:rsidRPr="005B22A7">
        <w:rPr>
          <w:b/>
        </w:rPr>
        <w:t>Č</w:t>
      </w:r>
      <w:r w:rsidR="00172E38">
        <w:rPr>
          <w:b/>
        </w:rPr>
        <w:t>esku</w:t>
      </w:r>
    </w:p>
    <w:p w14:paraId="3DB79C46" w14:textId="3556748D" w:rsidR="00172E38" w:rsidRPr="0095288C" w:rsidRDefault="00B30908" w:rsidP="006B1C9D">
      <w:pPr>
        <w:jc w:val="both"/>
        <w:rPr>
          <w:b/>
        </w:rPr>
      </w:pPr>
      <w:r>
        <w:rPr>
          <w:noProof/>
        </w:rPr>
        <w:drawing>
          <wp:inline distT="0" distB="0" distL="0" distR="0" wp14:anchorId="50C20702" wp14:editId="0F580B6C">
            <wp:extent cx="6047740" cy="2844000"/>
            <wp:effectExtent l="0" t="0" r="0" b="0"/>
            <wp:docPr id="6" name="Graf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7F2F5B5" w14:textId="77777777" w:rsidR="00172E38" w:rsidRPr="0095288C" w:rsidRDefault="00172E38" w:rsidP="00172E38">
      <w:pPr>
        <w:spacing w:after="120"/>
        <w:rPr>
          <w:i/>
          <w:sz w:val="16"/>
        </w:rPr>
      </w:pPr>
      <w:r w:rsidRPr="0095288C">
        <w:rPr>
          <w:i/>
          <w:sz w:val="16"/>
        </w:rPr>
        <w:t xml:space="preserve">Zdroj dat: ČSÚ – Šetření o </w:t>
      </w:r>
      <w:proofErr w:type="spellStart"/>
      <w:r w:rsidRPr="0095288C">
        <w:rPr>
          <w:i/>
          <w:sz w:val="16"/>
        </w:rPr>
        <w:t>VaV</w:t>
      </w:r>
      <w:proofErr w:type="spellEnd"/>
      <w:r w:rsidRPr="0095288C">
        <w:rPr>
          <w:i/>
          <w:sz w:val="16"/>
        </w:rPr>
        <w:t xml:space="preserve"> (VTR 5-01) </w:t>
      </w:r>
    </w:p>
    <w:p w14:paraId="0EBE30D8" w14:textId="1983ABF3" w:rsidR="00172E38" w:rsidRDefault="00172E38" w:rsidP="00172E38">
      <w:pPr>
        <w:spacing w:before="120"/>
        <w:jc w:val="both"/>
      </w:pPr>
      <w:r>
        <w:t xml:space="preserve">Ve všech vyspělých zemích vlády podporují firemní investice do </w:t>
      </w:r>
      <w:proofErr w:type="spellStart"/>
      <w:r>
        <w:t>VaV</w:t>
      </w:r>
      <w:proofErr w:type="spellEnd"/>
      <w:r w:rsidR="008A4969">
        <w:t xml:space="preserve">. Stát se snaží </w:t>
      </w:r>
      <w:r w:rsidR="00B14791">
        <w:t xml:space="preserve">motivovat vyšší firemní výdaje na </w:t>
      </w:r>
      <w:proofErr w:type="spellStart"/>
      <w:r w:rsidR="00B14791">
        <w:t>VaV</w:t>
      </w:r>
      <w:proofErr w:type="spellEnd"/>
      <w:r w:rsidR="008A4969">
        <w:t xml:space="preserve"> prostřednictvím dotací (tzv. přímá veřejná podpora) anebo přes daňové odpočty (tzv. nepřímá veřejná podpora)</w:t>
      </w:r>
      <w:r>
        <w:t xml:space="preserve">. </w:t>
      </w:r>
      <w:r w:rsidR="008A4969">
        <w:t xml:space="preserve">Firmy mohou využívat </w:t>
      </w:r>
      <w:r w:rsidR="00B14791">
        <w:t xml:space="preserve">nepřímo </w:t>
      </w:r>
      <w:r w:rsidR="008A4969">
        <w:t xml:space="preserve">i výsledky </w:t>
      </w:r>
      <w:proofErr w:type="spellStart"/>
      <w:r w:rsidR="008A4969">
        <w:t>VaV</w:t>
      </w:r>
      <w:proofErr w:type="spellEnd"/>
      <w:r w:rsidR="00B14791">
        <w:t xml:space="preserve"> financovaného státem ve veřejných výzkumných institucích, jako jsou vysoké školy či akademie věd, nebo se zapojit s těmito institucemi do </w:t>
      </w:r>
      <w:proofErr w:type="spellStart"/>
      <w:r w:rsidR="00B14791">
        <w:t>kolaborativního</w:t>
      </w:r>
      <w:proofErr w:type="spellEnd"/>
      <w:r w:rsidR="00B14791">
        <w:t xml:space="preserve"> výzkumu financovaného z veřejných zdrojů</w:t>
      </w:r>
      <w:r w:rsidR="0018779B">
        <w:t>.</w:t>
      </w:r>
    </w:p>
    <w:p w14:paraId="4FF6A7AB" w14:textId="545D1922" w:rsidR="006B1C9D" w:rsidRDefault="00172E38" w:rsidP="006B1C9D">
      <w:pPr>
        <w:spacing w:before="120"/>
        <w:jc w:val="both"/>
      </w:pPr>
      <w:r w:rsidRPr="000277E2">
        <w:t xml:space="preserve">Jak bude uvedeno dále, daňové odpočty na </w:t>
      </w:r>
      <w:proofErr w:type="spellStart"/>
      <w:r w:rsidRPr="000277E2">
        <w:t>VaV</w:t>
      </w:r>
      <w:proofErr w:type="spellEnd"/>
      <w:r w:rsidRPr="000277E2">
        <w:t xml:space="preserve"> v inovačních politikách hrají stále významnější roli. </w:t>
      </w:r>
      <w:r w:rsidR="00A83480">
        <w:t xml:space="preserve">V roce 2019 mohly </w:t>
      </w:r>
      <w:r w:rsidR="002B0B09" w:rsidRPr="006E7D6A">
        <w:t>některou z možností daňové podpory výzkumu a vývoje</w:t>
      </w:r>
      <w:r w:rsidR="002B0B09">
        <w:t xml:space="preserve"> </w:t>
      </w:r>
      <w:r w:rsidR="002B0B09" w:rsidRPr="006E7D6A">
        <w:t>využít</w:t>
      </w:r>
      <w:r w:rsidR="002B0B09">
        <w:t xml:space="preserve"> </w:t>
      </w:r>
      <w:r w:rsidR="00A83480">
        <w:t>podniky ve 22</w:t>
      </w:r>
      <w:r w:rsidRPr="006E7D6A">
        <w:t xml:space="preserve"> zemích EU. </w:t>
      </w:r>
      <w:r w:rsidRPr="000277E2">
        <w:t>V</w:t>
      </w:r>
      <w:r>
        <w:t xml:space="preserve">e stejném roce </w:t>
      </w:r>
      <w:r w:rsidR="002B0B09">
        <w:t xml:space="preserve">se </w:t>
      </w:r>
      <w:r>
        <w:t xml:space="preserve">v zemích OECD </w:t>
      </w:r>
      <w:r w:rsidR="002B0B09">
        <w:t xml:space="preserve">podílela </w:t>
      </w:r>
      <w:r>
        <w:t xml:space="preserve">nepřímá podpora </w:t>
      </w:r>
      <w:r w:rsidR="002B0B09">
        <w:t xml:space="preserve">na celkových národních veřejných prostředcích vynaložených </w:t>
      </w:r>
      <w:r w:rsidR="002B0B09" w:rsidRPr="000277E2">
        <w:t xml:space="preserve">na podporu </w:t>
      </w:r>
      <w:r w:rsidR="002B0B09">
        <w:t>firemního výzkumu a vývoje</w:t>
      </w:r>
      <w:r w:rsidR="002B0B09" w:rsidRPr="003805DD">
        <w:t xml:space="preserve"> </w:t>
      </w:r>
      <w:r w:rsidRPr="003805DD">
        <w:t>již z poloviny</w:t>
      </w:r>
      <w:r>
        <w:t xml:space="preserve">. Pro srovnání v roce 2000 byl tento podíl pouze třetinový. Podrobněji v kapitole 3.3 věnující se mezinárodnímu srovnání. </w:t>
      </w:r>
    </w:p>
    <w:p w14:paraId="5B45F941" w14:textId="598DB78C" w:rsidR="00080E37" w:rsidRPr="007239E6" w:rsidRDefault="0097252D" w:rsidP="00830955">
      <w:pPr>
        <w:pStyle w:val="Nadpis2"/>
        <w:pageBreakBefore/>
        <w:spacing w:after="120"/>
        <w:jc w:val="both"/>
        <w:rPr>
          <w:sz w:val="24"/>
        </w:rPr>
      </w:pPr>
      <w:r w:rsidRPr="007239E6">
        <w:rPr>
          <w:sz w:val="24"/>
        </w:rPr>
        <w:lastRenderedPageBreak/>
        <w:t>3.1</w:t>
      </w:r>
      <w:bookmarkEnd w:id="0"/>
      <w:r w:rsidR="00052731" w:rsidRPr="007239E6">
        <w:rPr>
          <w:sz w:val="24"/>
        </w:rPr>
        <w:t xml:space="preserve"> </w:t>
      </w:r>
      <w:r w:rsidR="00BB5FE5" w:rsidRPr="007239E6">
        <w:rPr>
          <w:sz w:val="24"/>
        </w:rPr>
        <w:t xml:space="preserve">Celková veřejná podpora </w:t>
      </w:r>
      <w:proofErr w:type="spellStart"/>
      <w:r w:rsidR="00BB5FE5" w:rsidRPr="007239E6">
        <w:rPr>
          <w:sz w:val="24"/>
        </w:rPr>
        <w:t>VaV</w:t>
      </w:r>
      <w:proofErr w:type="spellEnd"/>
      <w:r w:rsidR="00BB5FE5" w:rsidRPr="007239E6">
        <w:rPr>
          <w:sz w:val="24"/>
        </w:rPr>
        <w:t xml:space="preserve"> v soukromých podnicích</w:t>
      </w:r>
      <w:r w:rsidR="00052731" w:rsidRPr="007239E6">
        <w:rPr>
          <w:sz w:val="24"/>
        </w:rPr>
        <w:t xml:space="preserve"> </w:t>
      </w:r>
    </w:p>
    <w:p w14:paraId="7EF15C97" w14:textId="5F3F4D49" w:rsidR="00F91D4D" w:rsidRDefault="00F91D4D" w:rsidP="00F91D4D">
      <w:pPr>
        <w:spacing w:before="120"/>
        <w:jc w:val="both"/>
      </w:pPr>
      <w:r w:rsidRPr="001E1830">
        <w:t>Soukromé firmy financují svoji výzkumnou a vývojovou činnost převážně z vlastních či jiných podnikových zdrojů</w:t>
      </w:r>
      <w:r w:rsidR="006269D5" w:rsidRPr="001E1830">
        <w:t>. V roce 2019</w:t>
      </w:r>
      <w:r w:rsidRPr="001E1830">
        <w:t xml:space="preserve"> se soukromé zdroje podílely </w:t>
      </w:r>
      <w:r w:rsidR="007A6427">
        <w:t xml:space="preserve">z 92 % </w:t>
      </w:r>
      <w:r w:rsidRPr="001E1830">
        <w:t xml:space="preserve">na celkových výdajích </w:t>
      </w:r>
      <w:r w:rsidR="007A6427">
        <w:t>z</w:t>
      </w:r>
      <w:r w:rsidRPr="001E1830">
        <w:t xml:space="preserve">a </w:t>
      </w:r>
      <w:r w:rsidR="007A6427">
        <w:t xml:space="preserve">podnikový </w:t>
      </w:r>
      <w:proofErr w:type="spellStart"/>
      <w:r w:rsidRPr="001E1830">
        <w:t>VaV</w:t>
      </w:r>
      <w:proofErr w:type="spellEnd"/>
      <w:r w:rsidR="007A6427">
        <w:t xml:space="preserve">, v absolutním vyjádření šlo o částku </w:t>
      </w:r>
      <w:r w:rsidR="00F51FBF">
        <w:t>61,1</w:t>
      </w:r>
      <w:r w:rsidRPr="001E1830">
        <w:t xml:space="preserve"> mld. Kč. </w:t>
      </w:r>
      <w:r w:rsidR="007A6427">
        <w:t xml:space="preserve">Dalších </w:t>
      </w:r>
      <w:r w:rsidRPr="001E1830">
        <w:t>5</w:t>
      </w:r>
      <w:r w:rsidR="001E1830" w:rsidRPr="001E1830">
        <w:t>,4</w:t>
      </w:r>
      <w:r w:rsidRPr="001E1830">
        <w:t xml:space="preserve"> mld. Kč </w:t>
      </w:r>
      <w:r w:rsidR="007A6427">
        <w:t xml:space="preserve">získaly soukromé firmy na výzkum a vývoj prostřednictvím </w:t>
      </w:r>
      <w:r w:rsidRPr="001E1830">
        <w:t>přím</w:t>
      </w:r>
      <w:r w:rsidR="007A6427">
        <w:t>é</w:t>
      </w:r>
      <w:r w:rsidRPr="001E1830">
        <w:t xml:space="preserve"> podpor</w:t>
      </w:r>
      <w:r w:rsidR="007A6427">
        <w:t>y</w:t>
      </w:r>
      <w:r w:rsidRPr="001E1830">
        <w:t xml:space="preserve"> z</w:t>
      </w:r>
      <w:r w:rsidR="00F91B31">
        <w:t xml:space="preserve"> veřejných</w:t>
      </w:r>
      <w:r w:rsidRPr="001E1830">
        <w:t xml:space="preserve"> zdrojů. </w:t>
      </w:r>
      <w:r w:rsidRPr="0012579A">
        <w:t>Větš</w:t>
      </w:r>
      <w:r w:rsidR="001E1830">
        <w:t xml:space="preserve">ina z těchto prostředků </w:t>
      </w:r>
      <w:r>
        <w:t xml:space="preserve">šla </w:t>
      </w:r>
      <w:r w:rsidRPr="0012579A">
        <w:t>na vrub přímých dotací ze státního rozpočtu ČR</w:t>
      </w:r>
      <w:r w:rsidR="002C50C0">
        <w:t>,</w:t>
      </w:r>
      <w:r w:rsidRPr="0012579A">
        <w:t xml:space="preserve"> </w:t>
      </w:r>
      <w:r w:rsidR="002C50C0">
        <w:t>j</w:t>
      </w:r>
      <w:r w:rsidRPr="0073609F">
        <w:t>ak je vidě</w:t>
      </w:r>
      <w:r w:rsidR="001E1830">
        <w:t>t z grafu č. 2, v roce 2019</w:t>
      </w:r>
      <w:r w:rsidR="005B5DCD">
        <w:t xml:space="preserve"> takto firmy získaly 3,</w:t>
      </w:r>
      <w:r w:rsidR="002C50C0">
        <w:t>7 </w:t>
      </w:r>
      <w:r w:rsidRPr="0073609F">
        <w:t xml:space="preserve">mld. Kč. </w:t>
      </w:r>
      <w:r w:rsidR="00F51FBF">
        <w:t>Ze zdrojů EU pak pocházelo 1,7</w:t>
      </w:r>
      <w:r w:rsidR="00F51FBF" w:rsidRPr="0073609F">
        <w:t xml:space="preserve"> mld. Kč.</w:t>
      </w:r>
      <w:r w:rsidR="00F51FBF">
        <w:t xml:space="preserve"> </w:t>
      </w:r>
      <w:r w:rsidRPr="0073609F">
        <w:t>Díky uplatněným a uznaných daňovým odpočtům na své výzkumné a vývojové projekty ušetřily</w:t>
      </w:r>
      <w:r w:rsidR="00836D93">
        <w:t xml:space="preserve"> </w:t>
      </w:r>
      <w:r w:rsidR="007A6427">
        <w:t xml:space="preserve">v roce 2019 soukromé firmy </w:t>
      </w:r>
      <w:r w:rsidR="00836D93">
        <w:t>navíc</w:t>
      </w:r>
      <w:r w:rsidR="002C50C0">
        <w:t xml:space="preserve"> </w:t>
      </w:r>
      <w:r w:rsidR="005B5DCD">
        <w:t>2,7</w:t>
      </w:r>
      <w:r w:rsidRPr="0073609F">
        <w:t xml:space="preserve"> mld.</w:t>
      </w:r>
      <w:r w:rsidR="00A52921">
        <w:t> </w:t>
      </w:r>
      <w:r w:rsidRPr="0073609F">
        <w:t>Kč</w:t>
      </w:r>
      <w:r w:rsidR="005B5DCD">
        <w:t>.</w:t>
      </w:r>
    </w:p>
    <w:p w14:paraId="63501993" w14:textId="7CB67F88" w:rsidR="006C3E42" w:rsidRDefault="006C3E42" w:rsidP="006C3E42">
      <w:pPr>
        <w:spacing w:before="120"/>
        <w:jc w:val="both"/>
      </w:pPr>
      <w:r>
        <w:t xml:space="preserve">Tato částka se v posledních čtyřech letech výrazně nemění. V delším časovém </w:t>
      </w:r>
      <w:r w:rsidRPr="00163146">
        <w:t xml:space="preserve">horizontu je však o </w:t>
      </w:r>
      <w:r w:rsidR="00163146" w:rsidRPr="00163146">
        <w:t>1,4</w:t>
      </w:r>
      <w:r w:rsidRPr="00163146">
        <w:t xml:space="preserve"> miliardy vyšší než před deseti </w:t>
      </w:r>
      <w:r>
        <w:t xml:space="preserve">lety. Podrobněji je tento nepřímý veřejný zdroj financování </w:t>
      </w:r>
      <w:proofErr w:type="spellStart"/>
      <w:r>
        <w:t>VaV</w:t>
      </w:r>
      <w:proofErr w:type="spellEnd"/>
      <w:r>
        <w:t xml:space="preserve"> v soukromých podnicích u nás a v zahraničí rozebrán v následujících kapitolách. </w:t>
      </w:r>
    </w:p>
    <w:p w14:paraId="540F7A21" w14:textId="61EDF1A6" w:rsidR="00172E38" w:rsidRDefault="005B5DCD" w:rsidP="00172E38">
      <w:pPr>
        <w:spacing w:before="120"/>
        <w:jc w:val="both"/>
      </w:pPr>
      <w:r>
        <w:t>V roce 2019</w:t>
      </w:r>
      <w:r w:rsidR="00D05A9B" w:rsidRPr="00D05A9B">
        <w:t xml:space="preserve"> dosáhla veřejná podpora směřující do výzkumu a vývoje, který prováděly soukromé podniky v České republi</w:t>
      </w:r>
      <w:r>
        <w:t>ce, celkem 8,2</w:t>
      </w:r>
      <w:r w:rsidR="00D05A9B" w:rsidRPr="00D05A9B">
        <w:t xml:space="preserve"> mld. Kč.</w:t>
      </w:r>
      <w:r w:rsidR="004B34E0">
        <w:t xml:space="preserve"> Oproti </w:t>
      </w:r>
      <w:r w:rsidR="00172E38" w:rsidRPr="00D05A9B">
        <w:t xml:space="preserve">předchozímu </w:t>
      </w:r>
      <w:r w:rsidR="004B34E0">
        <w:t xml:space="preserve">roku </w:t>
      </w:r>
      <w:r w:rsidR="00172E38" w:rsidRPr="00D05A9B">
        <w:t xml:space="preserve">se zvýšila </w:t>
      </w:r>
      <w:r>
        <w:t>o půl miliardy Kč a třetím</w:t>
      </w:r>
      <w:r w:rsidR="00172E38" w:rsidRPr="00D05A9B">
        <w:t xml:space="preserve"> rokem v řadě rostla. </w:t>
      </w:r>
      <w:r w:rsidR="00B43872" w:rsidRPr="00B43872">
        <w:t>Částka se blíží rekordní částce zaznamenané v</w:t>
      </w:r>
      <w:r w:rsidR="00172E38" w:rsidRPr="00B43872">
        <w:t xml:space="preserve"> roce 2012, kdy soukromé firmy na svou výzkumnou a vývojovou činnost </w:t>
      </w:r>
      <w:r w:rsidR="008E676B" w:rsidRPr="00B43872">
        <w:t xml:space="preserve">z veřejných zdrojů </w:t>
      </w:r>
      <w:r w:rsidR="00ED7D87">
        <w:t>získaly</w:t>
      </w:r>
      <w:r w:rsidR="00ED7D87" w:rsidRPr="00B43872">
        <w:t xml:space="preserve"> </w:t>
      </w:r>
      <w:r w:rsidR="00172E38" w:rsidRPr="00B43872">
        <w:t>8,3</w:t>
      </w:r>
      <w:r w:rsidR="00CB2D19" w:rsidRPr="00B43872">
        <w:t> </w:t>
      </w:r>
      <w:r w:rsidR="00172E38" w:rsidRPr="00B43872">
        <w:t>mld. Kč.</w:t>
      </w:r>
    </w:p>
    <w:p w14:paraId="2A72B70D" w14:textId="205E44C2" w:rsidR="00452920" w:rsidRPr="00B91063" w:rsidRDefault="003A70FA" w:rsidP="003A70FA">
      <w:pPr>
        <w:keepNext/>
        <w:spacing w:before="120"/>
        <w:jc w:val="both"/>
        <w:rPr>
          <w:b/>
        </w:rPr>
      </w:pPr>
      <w:r w:rsidRPr="003A70FA">
        <w:rPr>
          <w:b/>
        </w:rPr>
        <w:t xml:space="preserve">Graf </w:t>
      </w:r>
      <w:r w:rsidRPr="003A70FA">
        <w:rPr>
          <w:b/>
        </w:rPr>
        <w:fldChar w:fldCharType="begin"/>
      </w:r>
      <w:r w:rsidRPr="003A70FA">
        <w:rPr>
          <w:b/>
        </w:rPr>
        <w:instrText xml:space="preserve"> SEQ Graf \* ARABIC </w:instrText>
      </w:r>
      <w:r w:rsidRPr="003A70FA">
        <w:rPr>
          <w:b/>
        </w:rPr>
        <w:fldChar w:fldCharType="separate"/>
      </w:r>
      <w:r w:rsidR="00B043AC">
        <w:rPr>
          <w:b/>
          <w:noProof/>
        </w:rPr>
        <w:t>2</w:t>
      </w:r>
      <w:r w:rsidRPr="003A70FA">
        <w:rPr>
          <w:b/>
        </w:rPr>
        <w:fldChar w:fldCharType="end"/>
      </w:r>
      <w:r w:rsidR="00452920" w:rsidRPr="00B91063">
        <w:rPr>
          <w:b/>
        </w:rPr>
        <w:t xml:space="preserve">: Veřejná podpora </w:t>
      </w:r>
      <w:proofErr w:type="spellStart"/>
      <w:r w:rsidR="00452920" w:rsidRPr="00B91063">
        <w:rPr>
          <w:b/>
        </w:rPr>
        <w:t>VaV</w:t>
      </w:r>
      <w:proofErr w:type="spellEnd"/>
      <w:r w:rsidR="00452920" w:rsidRPr="00B91063">
        <w:rPr>
          <w:b/>
        </w:rPr>
        <w:t xml:space="preserve"> v soukromých podnicích </w:t>
      </w:r>
      <w:r w:rsidR="00452920">
        <w:rPr>
          <w:b/>
        </w:rPr>
        <w:t xml:space="preserve">v </w:t>
      </w:r>
      <w:r w:rsidR="00452920" w:rsidRPr="00B91063">
        <w:rPr>
          <w:b/>
        </w:rPr>
        <w:t>Č</w:t>
      </w:r>
      <w:r w:rsidR="00452920">
        <w:rPr>
          <w:b/>
        </w:rPr>
        <w:t>esku</w:t>
      </w:r>
      <w:r w:rsidR="00452920" w:rsidRPr="00B91063">
        <w:rPr>
          <w:b/>
        </w:rPr>
        <w:t xml:space="preserve"> (ml</w:t>
      </w:r>
      <w:r w:rsidR="00452920">
        <w:rPr>
          <w:b/>
        </w:rPr>
        <w:t>d</w:t>
      </w:r>
      <w:r w:rsidR="00452920" w:rsidRPr="00B91063">
        <w:rPr>
          <w:b/>
        </w:rPr>
        <w:t>. Kč)</w:t>
      </w:r>
    </w:p>
    <w:p w14:paraId="0DE54278" w14:textId="4811E26F" w:rsidR="00452920" w:rsidRPr="0095288C" w:rsidRDefault="009222BA" w:rsidP="00CB2D19">
      <w:pPr>
        <w:jc w:val="both"/>
      </w:pPr>
      <w:r>
        <w:rPr>
          <w:noProof/>
        </w:rPr>
        <w:drawing>
          <wp:inline distT="0" distB="0" distL="0" distR="0" wp14:anchorId="71288D2B" wp14:editId="7E8B570C">
            <wp:extent cx="6120001" cy="3024000"/>
            <wp:effectExtent l="0" t="0" r="0" b="5080"/>
            <wp:docPr id="7" name="Graf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E6AEC5E" w14:textId="77777777" w:rsidR="00452920" w:rsidRPr="00B91063" w:rsidRDefault="00452920" w:rsidP="00452920">
      <w:pPr>
        <w:jc w:val="both"/>
      </w:pPr>
      <w:r w:rsidRPr="00B91063">
        <w:rPr>
          <w:i/>
          <w:sz w:val="16"/>
        </w:rPr>
        <w:t xml:space="preserve">Zdroj dat: ČSÚ podle administrativních dat GFŘ, ČSÚ – Šetření o </w:t>
      </w:r>
      <w:proofErr w:type="spellStart"/>
      <w:r w:rsidRPr="00B91063">
        <w:rPr>
          <w:i/>
          <w:sz w:val="16"/>
        </w:rPr>
        <w:t>VaV</w:t>
      </w:r>
      <w:proofErr w:type="spellEnd"/>
      <w:r w:rsidRPr="00B91063">
        <w:rPr>
          <w:i/>
          <w:sz w:val="16"/>
        </w:rPr>
        <w:t xml:space="preserve"> (VTR 5-01)</w:t>
      </w:r>
    </w:p>
    <w:p w14:paraId="6442E70C" w14:textId="300AD8A9" w:rsidR="00CB2D19" w:rsidRDefault="00557007" w:rsidP="00005C9C">
      <w:pPr>
        <w:spacing w:before="120"/>
        <w:jc w:val="both"/>
      </w:pPr>
      <w:r w:rsidRPr="00BF306F">
        <w:t>Z výše uvedených 8,2</w:t>
      </w:r>
      <w:r w:rsidR="00CB2D19" w:rsidRPr="00BF306F">
        <w:t xml:space="preserve"> </w:t>
      </w:r>
      <w:r w:rsidRPr="00BF306F">
        <w:t>miliard v roce 2019 pocházelo 79 % (6,5</w:t>
      </w:r>
      <w:r w:rsidR="00CB2D19" w:rsidRPr="00BF306F">
        <w:t xml:space="preserve"> mld. Kč) </w:t>
      </w:r>
      <w:r w:rsidRPr="00BF306F">
        <w:t>z domácích veřejných zdrojů a 21 % (1,7</w:t>
      </w:r>
      <w:r w:rsidR="00CB2D19" w:rsidRPr="00BF306F">
        <w:t xml:space="preserve"> mld. Kč) ze zdrojů EU.</w:t>
      </w:r>
      <w:r w:rsidR="00F91D4D" w:rsidRPr="00BF306F">
        <w:t xml:space="preserve"> </w:t>
      </w:r>
      <w:r w:rsidR="00B40F2C">
        <w:t>P</w:t>
      </w:r>
      <w:r w:rsidR="00C70139" w:rsidRPr="00BF306F">
        <w:t xml:space="preserve">římé a nepřímé </w:t>
      </w:r>
      <w:r w:rsidR="00F91D4D" w:rsidRPr="00BF306F">
        <w:t>domácí</w:t>
      </w:r>
      <w:r w:rsidR="00FD4F97" w:rsidRPr="00BF306F">
        <w:t xml:space="preserve"> veřejné zdroje se podílely z 9,7</w:t>
      </w:r>
      <w:r w:rsidR="00F91D4D" w:rsidRPr="00BF306F">
        <w:t xml:space="preserve"> % </w:t>
      </w:r>
      <w:r w:rsidR="00C70139" w:rsidRPr="00BF306F">
        <w:t xml:space="preserve">na financování </w:t>
      </w:r>
      <w:proofErr w:type="spellStart"/>
      <w:r w:rsidR="00C70139" w:rsidRPr="00BF306F">
        <w:t>VaV</w:t>
      </w:r>
      <w:proofErr w:type="spellEnd"/>
      <w:r w:rsidR="00C70139" w:rsidRPr="00BF306F">
        <w:t xml:space="preserve"> v soukromých podnicích a zahraniční veřejné zdroje pak z </w:t>
      </w:r>
      <w:r w:rsidR="00F91D4D" w:rsidRPr="00BF306F">
        <w:t>2,5 %</w:t>
      </w:r>
      <w:r w:rsidR="00C70139" w:rsidRPr="00BF306F">
        <w:t xml:space="preserve">. Dohromady tak český stát a EU </w:t>
      </w:r>
      <w:r w:rsidR="00D05A9B" w:rsidRPr="00BF306F">
        <w:t>financovaly</w:t>
      </w:r>
      <w:r w:rsidR="00FD4F97" w:rsidRPr="00BF306F">
        <w:t xml:space="preserve"> 12,3</w:t>
      </w:r>
      <w:r w:rsidR="00C70139" w:rsidRPr="00BF306F">
        <w:t xml:space="preserve"> % </w:t>
      </w:r>
      <w:r w:rsidR="00D05A9B" w:rsidRPr="00BF306F">
        <w:t xml:space="preserve">z celkových nákladů na </w:t>
      </w:r>
      <w:proofErr w:type="spellStart"/>
      <w:r w:rsidR="00C70139" w:rsidRPr="00BF306F">
        <w:t>VaV</w:t>
      </w:r>
      <w:proofErr w:type="spellEnd"/>
      <w:r w:rsidR="00C70139" w:rsidRPr="00BF306F">
        <w:t xml:space="preserve"> proveden</w:t>
      </w:r>
      <w:r w:rsidR="00D05A9B" w:rsidRPr="00BF306F">
        <w:t>ý</w:t>
      </w:r>
      <w:r w:rsidR="00C70139" w:rsidRPr="00BF306F">
        <w:t xml:space="preserve"> v soukromých podnicích. Podrobněji v grafu č. 3.</w:t>
      </w:r>
      <w:r w:rsidR="00F91D4D" w:rsidRPr="00F91D4D">
        <w:t xml:space="preserve"> </w:t>
      </w:r>
    </w:p>
    <w:p w14:paraId="1BF6F7FB" w14:textId="76C8FC38" w:rsidR="007D6BA7" w:rsidRDefault="00005C9C" w:rsidP="003A70FA">
      <w:pPr>
        <w:spacing w:before="120"/>
        <w:jc w:val="both"/>
      </w:pPr>
      <w:r>
        <w:t>Pokud se podíváme na delší časový</w:t>
      </w:r>
      <w:r w:rsidR="00742AE4">
        <w:t xml:space="preserve"> úsek, zjistíme, že od roku 2010</w:t>
      </w:r>
      <w:r>
        <w:t xml:space="preserve"> včetně bylo na </w:t>
      </w:r>
      <w:proofErr w:type="spellStart"/>
      <w:r>
        <w:t>VaV</w:t>
      </w:r>
      <w:proofErr w:type="spellEnd"/>
      <w:r>
        <w:t xml:space="preserve"> v soukromých podnicích ze státního rozpočtu vynaloženo v</w:t>
      </w:r>
      <w:r w:rsidR="00742AE4">
        <w:t>e formě přímých dotací celkem 36,4</w:t>
      </w:r>
      <w:r>
        <w:t xml:space="preserve"> mld. Kč. </w:t>
      </w:r>
      <w:r w:rsidRPr="00F97022">
        <w:t xml:space="preserve">Díky daňovým odpočtům na výzkumné a vývojové projekty soukromé firmy ušetřily </w:t>
      </w:r>
      <w:r>
        <w:t xml:space="preserve">v tomto období </w:t>
      </w:r>
      <w:r w:rsidRPr="00F97022">
        <w:t>dalších 2</w:t>
      </w:r>
      <w:r w:rsidR="00742AE4">
        <w:t>2,4</w:t>
      </w:r>
      <w:r w:rsidR="00CB2D19">
        <w:t> </w:t>
      </w:r>
      <w:r w:rsidRPr="00F97022">
        <w:t>mld.</w:t>
      </w:r>
      <w:r w:rsidR="00CB2D19">
        <w:t> </w:t>
      </w:r>
      <w:r w:rsidRPr="00F97022">
        <w:t>Kč</w:t>
      </w:r>
      <w:r>
        <w:t xml:space="preserve"> a z</w:t>
      </w:r>
      <w:r w:rsidRPr="00F97022">
        <w:t xml:space="preserve">e zdrojů EU pak </w:t>
      </w:r>
      <w:r>
        <w:t xml:space="preserve">k nim doputovalo </w:t>
      </w:r>
      <w:r w:rsidR="00742AE4">
        <w:t>13</w:t>
      </w:r>
      <w:r w:rsidRPr="00F97022">
        <w:t xml:space="preserve"> mld. Kč. </w:t>
      </w:r>
      <w:r>
        <w:t>Celkově tak soukromé firmy od ro</w:t>
      </w:r>
      <w:r w:rsidR="00742AE4">
        <w:t>ku 2010</w:t>
      </w:r>
      <w:r>
        <w:t xml:space="preserve"> získaly z veřejných zdrojů na svoji </w:t>
      </w:r>
      <w:r w:rsidR="00742AE4">
        <w:t>výzkumnou a vývojovou činnost 71,9</w:t>
      </w:r>
      <w:r>
        <w:t xml:space="preserve"> mld. Kč. </w:t>
      </w:r>
    </w:p>
    <w:p w14:paraId="2DCCA029" w14:textId="05B8C1FF" w:rsidR="003A70FA" w:rsidRDefault="00F91D4D" w:rsidP="003A70FA">
      <w:pPr>
        <w:spacing w:before="120"/>
        <w:jc w:val="both"/>
      </w:pPr>
      <w:r>
        <w:t>Jak lze vidět z následujícího grafu č. 3, p</w:t>
      </w:r>
      <w:r w:rsidRPr="007E1268">
        <w:t xml:space="preserve">odíl přímé veřejné podpory </w:t>
      </w:r>
      <w:r>
        <w:t xml:space="preserve">ze státního rozpočtu na financování </w:t>
      </w:r>
      <w:proofErr w:type="spellStart"/>
      <w:r>
        <w:t>V</w:t>
      </w:r>
      <w:r w:rsidRPr="007E1268">
        <w:t>aV</w:t>
      </w:r>
      <w:proofErr w:type="spellEnd"/>
      <w:r w:rsidRPr="007E1268">
        <w:t xml:space="preserve"> </w:t>
      </w:r>
      <w:r>
        <w:t xml:space="preserve">v soukromých podnicích </w:t>
      </w:r>
      <w:r w:rsidRPr="007E1268">
        <w:t xml:space="preserve">začal </w:t>
      </w:r>
      <w:r>
        <w:t>klesat po roce 2011, kdy dosáhl svého vrcholu (14 %)</w:t>
      </w:r>
      <w:r w:rsidRPr="007E1268">
        <w:t xml:space="preserve">. V roce 2016 došlo </w:t>
      </w:r>
      <w:r>
        <w:t xml:space="preserve">dokonce </w:t>
      </w:r>
      <w:r w:rsidRPr="007E1268">
        <w:t xml:space="preserve">k vyrovnání podílů přímé (rozpočtové) a nepřímé (daňové) podpory </w:t>
      </w:r>
      <w:proofErr w:type="spellStart"/>
      <w:r w:rsidRPr="007E1268">
        <w:t>VaV</w:t>
      </w:r>
      <w:proofErr w:type="spellEnd"/>
      <w:r w:rsidRPr="007E1268">
        <w:t>. V roce</w:t>
      </w:r>
      <w:r w:rsidRPr="00CC0AE6">
        <w:t xml:space="preserve"> 2017 se změnil negativní trend a přímá veřejná podpora </w:t>
      </w:r>
      <w:proofErr w:type="spellStart"/>
      <w:r w:rsidRPr="00CC0AE6">
        <w:t>VaV</w:t>
      </w:r>
      <w:proofErr w:type="spellEnd"/>
      <w:r w:rsidRPr="00CC0AE6">
        <w:t xml:space="preserve"> </w:t>
      </w:r>
      <w:r>
        <w:t xml:space="preserve">ze státního rozpočtu ČR </w:t>
      </w:r>
      <w:r w:rsidRPr="00CC0AE6">
        <w:t xml:space="preserve">opět začala růst. Zvýšil se i podíl této podpory na celkových výdajích na </w:t>
      </w:r>
      <w:proofErr w:type="spellStart"/>
      <w:r w:rsidRPr="00CC0AE6">
        <w:t>VaV</w:t>
      </w:r>
      <w:proofErr w:type="spellEnd"/>
      <w:r>
        <w:t xml:space="preserve"> v soukromých podnicích</w:t>
      </w:r>
      <w:r w:rsidRPr="00CC0AE6">
        <w:t xml:space="preserve">. </w:t>
      </w:r>
      <w:r>
        <w:t xml:space="preserve">Pokud jde o </w:t>
      </w:r>
      <w:r w:rsidRPr="004D5A8D">
        <w:t>nepřím</w:t>
      </w:r>
      <w:r>
        <w:t>ou (daňovou)</w:t>
      </w:r>
      <w:r w:rsidRPr="004D5A8D">
        <w:t xml:space="preserve"> podpor</w:t>
      </w:r>
      <w:r>
        <w:t>u</w:t>
      </w:r>
      <w:r w:rsidRPr="004D5A8D">
        <w:t xml:space="preserve">, </w:t>
      </w:r>
      <w:r w:rsidRPr="004D5A8D">
        <w:lastRenderedPageBreak/>
        <w:t>i</w:t>
      </w:r>
      <w:r w:rsidR="006B1C9D">
        <w:t> </w:t>
      </w:r>
      <w:r w:rsidRPr="004D5A8D">
        <w:t xml:space="preserve">přes to, že v absolutních hodnotách stále </w:t>
      </w:r>
      <w:r>
        <w:t xml:space="preserve">nepatrně </w:t>
      </w:r>
      <w:r w:rsidRPr="004D5A8D">
        <w:t xml:space="preserve">narůstá, </w:t>
      </w:r>
      <w:r>
        <w:t xml:space="preserve">její podíl se na financování soukromého </w:t>
      </w:r>
      <w:proofErr w:type="spellStart"/>
      <w:r>
        <w:t>VaV</w:t>
      </w:r>
      <w:proofErr w:type="spellEnd"/>
      <w:r>
        <w:t xml:space="preserve"> od roku 2015 pomalu snižuje, a</w:t>
      </w:r>
      <w:r w:rsidR="000814EF">
        <w:t xml:space="preserve"> to z 5,5 % na 4,1</w:t>
      </w:r>
      <w:r w:rsidR="004B7407">
        <w:t> % v roce 2019</w:t>
      </w:r>
      <w:r>
        <w:t xml:space="preserve">. </w:t>
      </w:r>
      <w:r w:rsidRPr="00CC0AE6">
        <w:t xml:space="preserve"> </w:t>
      </w:r>
    </w:p>
    <w:p w14:paraId="0C0AAA4B" w14:textId="797FA52E" w:rsidR="00A55C50" w:rsidRPr="003A70FA" w:rsidRDefault="003A70FA" w:rsidP="003A70FA">
      <w:pPr>
        <w:keepNext/>
        <w:spacing w:before="240"/>
        <w:jc w:val="both"/>
        <w:rPr>
          <w:b/>
        </w:rPr>
      </w:pPr>
      <w:r w:rsidRPr="003A70FA">
        <w:rPr>
          <w:b/>
        </w:rPr>
        <w:t xml:space="preserve">Graf </w:t>
      </w:r>
      <w:r w:rsidRPr="003A70FA">
        <w:rPr>
          <w:b/>
        </w:rPr>
        <w:fldChar w:fldCharType="begin"/>
      </w:r>
      <w:r w:rsidRPr="003A70FA">
        <w:rPr>
          <w:b/>
        </w:rPr>
        <w:instrText xml:space="preserve"> SEQ Graf \* ARABIC </w:instrText>
      </w:r>
      <w:r w:rsidRPr="003A70FA">
        <w:rPr>
          <w:b/>
        </w:rPr>
        <w:fldChar w:fldCharType="separate"/>
      </w:r>
      <w:r w:rsidR="00B043AC">
        <w:rPr>
          <w:b/>
          <w:noProof/>
        </w:rPr>
        <w:t>3</w:t>
      </w:r>
      <w:r w:rsidRPr="003A70FA">
        <w:rPr>
          <w:b/>
        </w:rPr>
        <w:fldChar w:fldCharType="end"/>
      </w:r>
      <w:r w:rsidR="00A55C50" w:rsidRPr="00C56392">
        <w:rPr>
          <w:b/>
        </w:rPr>
        <w:t xml:space="preserve">: </w:t>
      </w:r>
      <w:r w:rsidR="00053AA9">
        <w:rPr>
          <w:b/>
        </w:rPr>
        <w:t xml:space="preserve">Podíl veřejných zdrojů na financování </w:t>
      </w:r>
      <w:proofErr w:type="spellStart"/>
      <w:r w:rsidR="00053AA9">
        <w:rPr>
          <w:b/>
        </w:rPr>
        <w:t>VaV</w:t>
      </w:r>
      <w:proofErr w:type="spellEnd"/>
      <w:r w:rsidR="00053AA9">
        <w:rPr>
          <w:b/>
        </w:rPr>
        <w:t xml:space="preserve"> v </w:t>
      </w:r>
      <w:r w:rsidR="00A55C50" w:rsidRPr="00C56392">
        <w:rPr>
          <w:b/>
        </w:rPr>
        <w:t xml:space="preserve">soukromých podnicích </w:t>
      </w:r>
      <w:r w:rsidR="00053AA9">
        <w:rPr>
          <w:b/>
        </w:rPr>
        <w:t>v Česku (v %)</w:t>
      </w:r>
    </w:p>
    <w:p w14:paraId="1033B652" w14:textId="43B973B8" w:rsidR="00A55C50" w:rsidRPr="0095288C" w:rsidRDefault="00680484" w:rsidP="00A55C50">
      <w:pPr>
        <w:spacing w:line="240" w:lineRule="auto"/>
        <w:rPr>
          <w:i/>
          <w:sz w:val="16"/>
        </w:rPr>
      </w:pPr>
      <w:r>
        <w:rPr>
          <w:noProof/>
        </w:rPr>
        <w:drawing>
          <wp:inline distT="0" distB="0" distL="0" distR="0" wp14:anchorId="3C992107" wp14:editId="66E03B53">
            <wp:extent cx="5994237" cy="3060000"/>
            <wp:effectExtent l="0" t="0" r="6985" b="7620"/>
            <wp:docPr id="48" name="Graf 4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BBD604D" w14:textId="6A31992E" w:rsidR="00053AA9" w:rsidRPr="00B91063" w:rsidRDefault="00053AA9" w:rsidP="00053AA9">
      <w:pPr>
        <w:jc w:val="both"/>
      </w:pPr>
      <w:r w:rsidRPr="00B91063">
        <w:rPr>
          <w:i/>
          <w:sz w:val="16"/>
        </w:rPr>
        <w:t xml:space="preserve">Zdroj dat: ČSÚ podle administrativních dat GFŘ, ČSÚ – Šetření o </w:t>
      </w:r>
      <w:proofErr w:type="spellStart"/>
      <w:r w:rsidRPr="00B91063">
        <w:rPr>
          <w:i/>
          <w:sz w:val="16"/>
        </w:rPr>
        <w:t>VaV</w:t>
      </w:r>
      <w:proofErr w:type="spellEnd"/>
      <w:r w:rsidRPr="00B91063">
        <w:rPr>
          <w:i/>
          <w:sz w:val="16"/>
        </w:rPr>
        <w:t xml:space="preserve"> (VTR 5-01)</w:t>
      </w:r>
    </w:p>
    <w:p w14:paraId="27E9B73F" w14:textId="77777777" w:rsidR="00F93C73" w:rsidRDefault="00F93C73" w:rsidP="00F93C73">
      <w:pPr>
        <w:widowControl w:val="0"/>
        <w:jc w:val="both"/>
      </w:pPr>
    </w:p>
    <w:p w14:paraId="76006E4B" w14:textId="45CDCDD9" w:rsidR="00D11679" w:rsidRDefault="00F93C73" w:rsidP="00F93C73">
      <w:pPr>
        <w:widowControl w:val="0"/>
        <w:jc w:val="both"/>
      </w:pPr>
      <w:r w:rsidRPr="00D05A9B">
        <w:t>V</w:t>
      </w:r>
      <w:r w:rsidR="00D05A9B" w:rsidRPr="00D05A9B">
        <w:t xml:space="preserve">ýše a </w:t>
      </w:r>
      <w:r w:rsidRPr="00D05A9B">
        <w:t>struktura financování podnikového výzkumu a vývoje z veřejných zdrojů se významně liší</w:t>
      </w:r>
      <w:r w:rsidR="00D05A9B" w:rsidRPr="00D05A9B">
        <w:t xml:space="preserve"> z hlediska vlastnictví a velikosti sledovaných podniků.</w:t>
      </w:r>
      <w:r w:rsidRPr="00D05A9B">
        <w:t xml:space="preserve"> </w:t>
      </w:r>
      <w:r w:rsidR="00631019" w:rsidRPr="00D05A9B">
        <w:t>Podrobněji v následujících grafech č. 4 a 5.</w:t>
      </w:r>
    </w:p>
    <w:p w14:paraId="0FD3A302" w14:textId="0DBDB6B9" w:rsidR="00E51DD4" w:rsidRDefault="003A70FA" w:rsidP="00E51DD4">
      <w:pPr>
        <w:keepNext/>
        <w:spacing w:before="240"/>
        <w:jc w:val="both"/>
        <w:rPr>
          <w:b/>
        </w:rPr>
      </w:pPr>
      <w:r w:rsidRPr="003A70FA">
        <w:rPr>
          <w:b/>
        </w:rPr>
        <w:t xml:space="preserve">Graf </w:t>
      </w:r>
      <w:r w:rsidRPr="003A70FA">
        <w:rPr>
          <w:b/>
        </w:rPr>
        <w:fldChar w:fldCharType="begin"/>
      </w:r>
      <w:r w:rsidRPr="003A70FA">
        <w:rPr>
          <w:b/>
        </w:rPr>
        <w:instrText xml:space="preserve"> SEQ Graf \* ARABIC </w:instrText>
      </w:r>
      <w:r w:rsidRPr="003A70FA">
        <w:rPr>
          <w:b/>
        </w:rPr>
        <w:fldChar w:fldCharType="separate"/>
      </w:r>
      <w:r w:rsidR="00B043AC">
        <w:rPr>
          <w:b/>
          <w:noProof/>
        </w:rPr>
        <w:t>4</w:t>
      </w:r>
      <w:r w:rsidRPr="003A70FA">
        <w:rPr>
          <w:b/>
        </w:rPr>
        <w:fldChar w:fldCharType="end"/>
      </w:r>
      <w:r w:rsidR="00D11679" w:rsidRPr="00C56392">
        <w:rPr>
          <w:b/>
        </w:rPr>
        <w:t xml:space="preserve">: </w:t>
      </w:r>
      <w:r w:rsidR="00D11679" w:rsidRPr="00955989">
        <w:rPr>
          <w:b/>
        </w:rPr>
        <w:t xml:space="preserve">Veřejná podpora </w:t>
      </w:r>
      <w:proofErr w:type="spellStart"/>
      <w:r w:rsidR="00D11679" w:rsidRPr="00955989">
        <w:rPr>
          <w:b/>
        </w:rPr>
        <w:t>VaV</w:t>
      </w:r>
      <w:proofErr w:type="spellEnd"/>
      <w:r w:rsidR="00D11679" w:rsidRPr="00955989">
        <w:rPr>
          <w:b/>
        </w:rPr>
        <w:t xml:space="preserve"> v soukromých podnicích v Česku podle jejich vlastnictví</w:t>
      </w:r>
    </w:p>
    <w:p w14:paraId="435704E8" w14:textId="008D3EE7" w:rsidR="00E51DD4" w:rsidRPr="00E51DD4" w:rsidRDefault="00E51DD4" w:rsidP="00E51DD4">
      <w:pPr>
        <w:keepNext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5B2DF56" wp14:editId="63732700">
                <wp:simplePos x="0" y="0"/>
                <wp:positionH relativeFrom="column">
                  <wp:posOffset>3810</wp:posOffset>
                </wp:positionH>
                <wp:positionV relativeFrom="paragraph">
                  <wp:posOffset>-635</wp:posOffset>
                </wp:positionV>
                <wp:extent cx="6120001" cy="2988000"/>
                <wp:effectExtent l="0" t="0" r="0" b="3175"/>
                <wp:wrapSquare wrapText="bothSides"/>
                <wp:docPr id="4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1" cy="2988000"/>
                          <a:chOff x="0" y="0"/>
                          <a:chExt cx="6120001" cy="3096000"/>
                        </a:xfrm>
                      </wpg:grpSpPr>
                      <wpg:graphicFrame>
                        <wpg:cNvPr id="45" name="Graf 45">
                          <a:extLst>
                            <a:ext uri="{FF2B5EF4-FFF2-40B4-BE49-F238E27FC236}">
                              <a16:creationId xmlns:a16="http://schemas.microsoft.com/office/drawing/2014/main" id="{00000000-0008-0000-0100-000005000000}"/>
                            </a:ext>
                          </a:extLst>
                        </wpg:cNvPr>
                        <wpg:cNvFrPr>
                          <a:graphicFrameLocks/>
                        </wpg:cNvFrPr>
                        <wpg:xfrm>
                          <a:off x="0" y="0"/>
                          <a:ext cx="6120001" cy="30960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g:graphicFrame>
                      <wpg:graphicFrame>
                        <wpg:cNvPr id="46" name="Graf 46">
                          <a:extLst>
                            <a:ext uri="{FF2B5EF4-FFF2-40B4-BE49-F238E27FC236}">
                              <a16:creationId xmlns:a16="http://schemas.microsoft.com/office/drawing/2014/main" id="{00000000-0008-0000-0100-000005000000}"/>
                            </a:ext>
                          </a:extLst>
                        </wpg:cNvPr>
                        <wpg:cNvFrPr>
                          <a:graphicFrameLocks noChangeAspect="1"/>
                        </wpg:cNvFrPr>
                        <wpg:xfrm>
                          <a:off x="2895600" y="38101"/>
                          <a:ext cx="3019425" cy="2657093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28C40DB5" id="Skupina 4" o:spid="_x0000_s1026" style="position:absolute;margin-left:.3pt;margin-top:-.05pt;width:481.9pt;height:235.3pt;z-index:251663360" coordsize="61200,30960" o:gfxdata="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 45" o:spid="_x0000_s1027" type="#_x0000_t75" style="position:absolute;width:61203;height:309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">
                  <v:imagedata r:id="rId13" o:title=""/>
                  <o:lock v:ext="edit" aspectratio="f"/>
                </v:shape>
                <v:shape id="Graf 46" o:spid="_x0000_s1028" type="#_x0000_t75" style="position:absolute;left:28956;top:378;width:30175;height:265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">
                  <v:imagedata r:id="rId14" o:title=""/>
                </v:shape>
                <w10:wrap type="square"/>
              </v:group>
            </w:pict>
          </mc:Fallback>
        </mc:AlternateContent>
      </w:r>
    </w:p>
    <w:p w14:paraId="4F1800AD" w14:textId="7C029004" w:rsidR="00D11679" w:rsidRPr="00B91063" w:rsidRDefault="00D11679" w:rsidP="00D11679">
      <w:pPr>
        <w:jc w:val="both"/>
      </w:pPr>
      <w:r w:rsidRPr="00B91063">
        <w:rPr>
          <w:i/>
          <w:sz w:val="16"/>
        </w:rPr>
        <w:t xml:space="preserve">Zdroj dat: ČSÚ podle administrativních dat GFŘ, ČSÚ – Šetření o </w:t>
      </w:r>
      <w:proofErr w:type="spellStart"/>
      <w:r w:rsidRPr="00B91063">
        <w:rPr>
          <w:i/>
          <w:sz w:val="16"/>
        </w:rPr>
        <w:t>VaV</w:t>
      </w:r>
      <w:proofErr w:type="spellEnd"/>
      <w:r w:rsidRPr="00B91063">
        <w:rPr>
          <w:i/>
          <w:sz w:val="16"/>
        </w:rPr>
        <w:t xml:space="preserve"> (VTR 5-01)</w:t>
      </w:r>
    </w:p>
    <w:p w14:paraId="6E8208B4" w14:textId="561FE542" w:rsidR="001846EA" w:rsidRDefault="00B327B7" w:rsidP="006B1C9D">
      <w:pPr>
        <w:spacing w:before="120"/>
        <w:jc w:val="both"/>
        <w:rPr>
          <w:highlight w:val="yellow"/>
        </w:rPr>
      </w:pPr>
      <w:r>
        <w:t>V roce 2019</w:t>
      </w:r>
      <w:r w:rsidR="001846EA" w:rsidRPr="00A82AE9">
        <w:t xml:space="preserve"> </w:t>
      </w:r>
      <w:r w:rsidR="00A82AE9" w:rsidRPr="00A82AE9">
        <w:t xml:space="preserve">domácí </w:t>
      </w:r>
      <w:r w:rsidR="001846EA" w:rsidRPr="00A82AE9">
        <w:t xml:space="preserve">soukromé podniky na svůj výzkum a vývoj </w:t>
      </w:r>
      <w:r>
        <w:t>získaly celkem 5,4</w:t>
      </w:r>
      <w:r w:rsidR="00A82AE9" w:rsidRPr="00A82AE9">
        <w:t xml:space="preserve"> mld. Kč </w:t>
      </w:r>
      <w:r w:rsidR="001846EA" w:rsidRPr="00A82AE9">
        <w:t>z veřejných zdrojů</w:t>
      </w:r>
      <w:r w:rsidR="00CA7F19">
        <w:t xml:space="preserve"> (z přímé i nepřímé podpory </w:t>
      </w:r>
      <w:proofErr w:type="spellStart"/>
      <w:r w:rsidR="00CA7F19">
        <w:t>VaV</w:t>
      </w:r>
      <w:proofErr w:type="spellEnd"/>
      <w:r w:rsidR="00CA7F19">
        <w:t>)</w:t>
      </w:r>
      <w:r w:rsidR="00A82AE9" w:rsidRPr="00A82AE9">
        <w:t xml:space="preserve">, </w:t>
      </w:r>
      <w:r w:rsidR="001846EA" w:rsidRPr="00A82AE9">
        <w:t xml:space="preserve">což je o </w:t>
      </w:r>
      <w:r>
        <w:t>téměř tři</w:t>
      </w:r>
      <w:r w:rsidR="001846EA" w:rsidRPr="00A82AE9">
        <w:t xml:space="preserve"> miliardy více než v případě firem pod zahraniční kontrolou. </w:t>
      </w:r>
      <w:r w:rsidR="00D05A9B" w:rsidRPr="00D05A9B">
        <w:t xml:space="preserve">Do domácích soukromých firem tedy putovaly téměř dvě třetiny </w:t>
      </w:r>
      <w:r w:rsidR="00D05A9B">
        <w:t xml:space="preserve">z celkových </w:t>
      </w:r>
      <w:r w:rsidR="00D05A9B" w:rsidRPr="00D05A9B">
        <w:t xml:space="preserve">veřejných zdrojů </w:t>
      </w:r>
      <w:r>
        <w:t>určených na podporu</w:t>
      </w:r>
      <w:r w:rsidR="00D05A9B">
        <w:t xml:space="preserve"> </w:t>
      </w:r>
      <w:proofErr w:type="spellStart"/>
      <w:r w:rsidR="00D05A9B">
        <w:t>VaV</w:t>
      </w:r>
      <w:proofErr w:type="spellEnd"/>
      <w:r w:rsidR="00D05A9B">
        <w:t xml:space="preserve"> prováděného v soukromých podnicích</w:t>
      </w:r>
      <w:r w:rsidR="00D05A9B" w:rsidRPr="00D05A9B">
        <w:t>.</w:t>
      </w:r>
      <w:r w:rsidR="00D05A9B">
        <w:t xml:space="preserve"> </w:t>
      </w:r>
      <w:r w:rsidR="001846EA" w:rsidRPr="002A104E">
        <w:t xml:space="preserve">V letech 2010 až 2014 domácí firmy z veřejných zdrojů získaly dokonce více </w:t>
      </w:r>
      <w:r w:rsidR="00B74ED5" w:rsidRPr="002A104E">
        <w:t xml:space="preserve">než </w:t>
      </w:r>
      <w:r w:rsidR="001846EA" w:rsidRPr="002A104E">
        <w:t xml:space="preserve">dvojnásobek toho co podniky pod zahraniční kontrolou. </w:t>
      </w:r>
      <w:r w:rsidR="001846EA" w:rsidRPr="00F50DD5">
        <w:t xml:space="preserve">Jak bude podrobněji </w:t>
      </w:r>
      <w:r w:rsidR="001846EA" w:rsidRPr="00F50DD5">
        <w:lastRenderedPageBreak/>
        <w:t xml:space="preserve">uvedeno dále, tento rozdíl je způsoben především tím, že domácí podniky daleko častěji a ve větší míře využívají přímé dotace na </w:t>
      </w:r>
      <w:proofErr w:type="spellStart"/>
      <w:r w:rsidR="001846EA" w:rsidRPr="00F50DD5">
        <w:t>VaV</w:t>
      </w:r>
      <w:proofErr w:type="spellEnd"/>
      <w:r w:rsidR="001846EA" w:rsidRPr="00F50DD5">
        <w:t xml:space="preserve"> ze státního rozpočtu ČR</w:t>
      </w:r>
      <w:r w:rsidR="00D05A9B">
        <w:t xml:space="preserve"> než daňovou podporu</w:t>
      </w:r>
      <w:r w:rsidR="001846EA" w:rsidRPr="00F50DD5">
        <w:t>.</w:t>
      </w:r>
    </w:p>
    <w:p w14:paraId="475685AE" w14:textId="3273DFEF" w:rsidR="00D05A9B" w:rsidRDefault="00D05A9B" w:rsidP="006B1C9D">
      <w:pPr>
        <w:spacing w:before="120"/>
        <w:jc w:val="both"/>
      </w:pPr>
      <w:r w:rsidRPr="00F65304">
        <w:t xml:space="preserve">Veřejné zdroje financování </w:t>
      </w:r>
      <w:proofErr w:type="spellStart"/>
      <w:r w:rsidRPr="00F65304">
        <w:t>VaV</w:t>
      </w:r>
      <w:proofErr w:type="spellEnd"/>
      <w:r w:rsidRPr="00F65304">
        <w:t xml:space="preserve"> v domácíc</w:t>
      </w:r>
      <w:r w:rsidR="00B327B7" w:rsidRPr="00F65304">
        <w:t>h soukromých firmách v roce 2019</w:t>
      </w:r>
      <w:r w:rsidRPr="00F65304">
        <w:t xml:space="preserve"> tvořily čtvrtinu </w:t>
      </w:r>
      <w:r w:rsidR="00F550CF" w:rsidRPr="00F65304">
        <w:t xml:space="preserve">z </w:t>
      </w:r>
      <w:r w:rsidRPr="00F65304">
        <w:t xml:space="preserve">celkových výdajů </w:t>
      </w:r>
      <w:r w:rsidR="00F550CF" w:rsidRPr="00F65304">
        <w:t>n</w:t>
      </w:r>
      <w:r w:rsidRPr="00F65304">
        <w:t xml:space="preserve">a </w:t>
      </w:r>
      <w:proofErr w:type="spellStart"/>
      <w:r w:rsidRPr="00F65304">
        <w:t>VaV</w:t>
      </w:r>
      <w:proofErr w:type="spellEnd"/>
      <w:r w:rsidR="00F550CF" w:rsidRPr="00F65304">
        <w:t xml:space="preserve"> vynaložených v těchto podnicích</w:t>
      </w:r>
      <w:r w:rsidRPr="00F65304">
        <w:t>. V letech 2011 a 2012 to byla dokonce více než třetina. U firem pod zahraniční kontr</w:t>
      </w:r>
      <w:r w:rsidR="00F65304" w:rsidRPr="00F65304">
        <w:t>olou byl tento podíl v roce 2019 jen 6,1</w:t>
      </w:r>
      <w:r w:rsidRPr="00F65304">
        <w:t xml:space="preserve"> %</w:t>
      </w:r>
      <w:r w:rsidR="00004EED">
        <w:t>, přitom</w:t>
      </w:r>
      <w:r w:rsidR="00595E5C">
        <w:t xml:space="preserve"> v roce 2011 se jednalo o</w:t>
      </w:r>
      <w:r w:rsidR="00F550CF" w:rsidRPr="00F65304">
        <w:t> 12,8 %.</w:t>
      </w:r>
    </w:p>
    <w:p w14:paraId="5CBB477D" w14:textId="70227799" w:rsidR="00631019" w:rsidRPr="00474E40" w:rsidRDefault="00474E40" w:rsidP="00474E40">
      <w:pPr>
        <w:keepNext/>
        <w:spacing w:before="240"/>
        <w:jc w:val="both"/>
        <w:rPr>
          <w:b/>
        </w:rPr>
      </w:pPr>
      <w:r w:rsidRPr="00474E40">
        <w:rPr>
          <w:b/>
        </w:rPr>
        <w:t xml:space="preserve">Graf </w:t>
      </w:r>
      <w:r w:rsidRPr="00474E40">
        <w:rPr>
          <w:b/>
        </w:rPr>
        <w:fldChar w:fldCharType="begin"/>
      </w:r>
      <w:r w:rsidRPr="00474E40">
        <w:rPr>
          <w:b/>
        </w:rPr>
        <w:instrText xml:space="preserve"> SEQ Graf \* ARABIC </w:instrText>
      </w:r>
      <w:r w:rsidRPr="00474E40">
        <w:rPr>
          <w:b/>
        </w:rPr>
        <w:fldChar w:fldCharType="separate"/>
      </w:r>
      <w:r w:rsidR="00B043AC">
        <w:rPr>
          <w:b/>
          <w:noProof/>
        </w:rPr>
        <w:t>5</w:t>
      </w:r>
      <w:r w:rsidRPr="00474E40">
        <w:rPr>
          <w:b/>
        </w:rPr>
        <w:fldChar w:fldCharType="end"/>
      </w:r>
      <w:r w:rsidR="0017693E" w:rsidRPr="00474E40"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EDFFF0" wp14:editId="0C3C00A4">
                <wp:simplePos x="0" y="0"/>
                <wp:positionH relativeFrom="column">
                  <wp:posOffset>3810</wp:posOffset>
                </wp:positionH>
                <wp:positionV relativeFrom="paragraph">
                  <wp:posOffset>561975</wp:posOffset>
                </wp:positionV>
                <wp:extent cx="6119495" cy="3240000"/>
                <wp:effectExtent l="0" t="0" r="0" b="0"/>
                <wp:wrapTopAndBottom/>
                <wp:docPr id="20" name="Skupin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3240000"/>
                          <a:chOff x="0" y="0"/>
                          <a:chExt cx="6120000" cy="3420000"/>
                        </a:xfrm>
                      </wpg:grpSpPr>
                      <wpg:graphicFrame>
                        <wpg:cNvPr id="21" name="Graf 21"/>
                        <wpg:cNvFrPr/>
                        <wpg:xfrm>
                          <a:off x="0" y="0"/>
                          <a:ext cx="6120000" cy="34200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5"/>
                          </a:graphicData>
                        </a:graphic>
                      </wpg:graphicFrame>
                      <wpg:graphicFrame>
                        <wpg:cNvPr id="22" name="Graf 22"/>
                        <wpg:cNvFrPr>
                          <a:graphicFrameLocks/>
                        </wpg:cNvFrPr>
                        <wpg:xfrm>
                          <a:off x="3057526" y="47625"/>
                          <a:ext cx="3028950" cy="30099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6"/>
                          </a:graphicData>
                        </a:graphic>
                      </wpg:graphicFrame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79A55D" id="Skupina 7" o:spid="_x0000_s1026" style="position:absolute;margin-left:.3pt;margin-top:44.25pt;width:481.85pt;height:255.1pt;z-index:251659264;mso-height-relative:margin" coordsize="61200,34200" o:gfxdata="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 21" o:spid="_x0000_s1027" type="#_x0000_t75" style="position:absolute;width:61208;height:341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">
                  <v:imagedata r:id="rId17" o:title=""/>
                  <o:lock v:ext="edit" aspectratio="f"/>
                </v:shape>
                <v:shape id="Graf 22" o:spid="_x0000_s1028" type="#_x0000_t75" style="position:absolute;left:30543;top:450;width:30300;height:301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">
                  <v:imagedata r:id="rId18" o:title=""/>
                  <o:lock v:ext="edit" aspectratio="f"/>
                </v:shape>
                <w10:wrap type="topAndBottom"/>
              </v:group>
            </w:pict>
          </mc:Fallback>
        </mc:AlternateContent>
      </w:r>
      <w:r w:rsidRPr="00474E40">
        <w:rPr>
          <w:b/>
        </w:rPr>
        <w:t xml:space="preserve">: </w:t>
      </w:r>
      <w:r w:rsidR="00BC3A9B">
        <w:rPr>
          <w:b/>
        </w:rPr>
        <w:t>F</w:t>
      </w:r>
      <w:r w:rsidR="00631019">
        <w:rPr>
          <w:b/>
        </w:rPr>
        <w:t xml:space="preserve">inancování </w:t>
      </w:r>
      <w:proofErr w:type="spellStart"/>
      <w:r w:rsidR="00631019" w:rsidRPr="00955989">
        <w:rPr>
          <w:b/>
        </w:rPr>
        <w:t>VaV</w:t>
      </w:r>
      <w:proofErr w:type="spellEnd"/>
      <w:r w:rsidR="00631019" w:rsidRPr="00955989">
        <w:rPr>
          <w:b/>
        </w:rPr>
        <w:t xml:space="preserve"> v</w:t>
      </w:r>
      <w:r w:rsidR="00BC3A9B">
        <w:rPr>
          <w:b/>
        </w:rPr>
        <w:t> s</w:t>
      </w:r>
      <w:r w:rsidR="00631019" w:rsidRPr="00955989">
        <w:rPr>
          <w:b/>
        </w:rPr>
        <w:t xml:space="preserve">oukromých podnicích </w:t>
      </w:r>
      <w:r w:rsidR="00BC3A9B">
        <w:rPr>
          <w:b/>
        </w:rPr>
        <w:t>p</w:t>
      </w:r>
      <w:r w:rsidR="00631019" w:rsidRPr="00955989">
        <w:rPr>
          <w:b/>
        </w:rPr>
        <w:t>odle jejich vlastnictví</w:t>
      </w:r>
      <w:r w:rsidR="00631019">
        <w:rPr>
          <w:b/>
        </w:rPr>
        <w:t xml:space="preserve"> a </w:t>
      </w:r>
      <w:r w:rsidR="00BC3A9B">
        <w:rPr>
          <w:b/>
        </w:rPr>
        <w:t xml:space="preserve">typu veřejné podpory </w:t>
      </w:r>
      <w:r w:rsidR="006B776F">
        <w:rPr>
          <w:b/>
        </w:rPr>
        <w:t>v roce 2015 a 2019</w:t>
      </w:r>
      <w:r w:rsidR="00BC3A9B">
        <w:rPr>
          <w:b/>
        </w:rPr>
        <w:t xml:space="preserve"> (mil. Kč; struktura v %)</w:t>
      </w:r>
    </w:p>
    <w:p w14:paraId="507CE77A" w14:textId="5926ADF9" w:rsidR="00631019" w:rsidRPr="0011458C" w:rsidRDefault="00631019" w:rsidP="0011458C">
      <w:pPr>
        <w:spacing w:before="120"/>
        <w:jc w:val="both"/>
        <w:rPr>
          <w:i/>
          <w:sz w:val="16"/>
        </w:rPr>
      </w:pPr>
      <w:r w:rsidRPr="00B91063">
        <w:rPr>
          <w:i/>
          <w:sz w:val="16"/>
        </w:rPr>
        <w:t xml:space="preserve">Zdroj dat: ČSÚ podle administrativních dat GFŘ, ČSÚ – Šetření o </w:t>
      </w:r>
      <w:proofErr w:type="spellStart"/>
      <w:r w:rsidRPr="00B91063">
        <w:rPr>
          <w:i/>
          <w:sz w:val="16"/>
        </w:rPr>
        <w:t>VaV</w:t>
      </w:r>
      <w:proofErr w:type="spellEnd"/>
      <w:r w:rsidRPr="00B91063">
        <w:rPr>
          <w:i/>
          <w:sz w:val="16"/>
        </w:rPr>
        <w:t xml:space="preserve"> (VTR 5-01)</w:t>
      </w:r>
    </w:p>
    <w:p w14:paraId="1AEE49EF" w14:textId="7234D9C5" w:rsidR="00F550CF" w:rsidRDefault="00F550CF" w:rsidP="00955989">
      <w:pPr>
        <w:spacing w:before="240"/>
        <w:jc w:val="both"/>
      </w:pPr>
      <w:r w:rsidRPr="00674310">
        <w:t>Míra zastoupení jednotlivých typů veřejné podpory (graf č. 5) je odlišná nejen v závislosti na vlastnictví sledovaných podniků, ale i na jejich velikosti.</w:t>
      </w:r>
      <w:r w:rsidR="006D5E0A" w:rsidRPr="00674310">
        <w:t xml:space="preserve"> Soukromé </w:t>
      </w:r>
      <w:r w:rsidR="00691FC8">
        <w:t xml:space="preserve">domácí </w:t>
      </w:r>
      <w:r w:rsidR="00F65304">
        <w:t>podniky</w:t>
      </w:r>
      <w:r w:rsidR="006D5E0A" w:rsidRPr="00674310">
        <w:t xml:space="preserve"> </w:t>
      </w:r>
      <w:r w:rsidRPr="00674310">
        <w:t xml:space="preserve">v této oblasti </w:t>
      </w:r>
      <w:r w:rsidR="002A104E" w:rsidRPr="00674310">
        <w:t xml:space="preserve">častěji </w:t>
      </w:r>
      <w:r w:rsidR="006D5E0A" w:rsidRPr="00674310">
        <w:t>spoléhají na přímou podporu ze státního rozpočtu ČR</w:t>
      </w:r>
      <w:r w:rsidRPr="00674310">
        <w:t xml:space="preserve"> než na daňové pobídky.</w:t>
      </w:r>
      <w:r w:rsidR="00F65304">
        <w:t xml:space="preserve"> V roce 2019</w:t>
      </w:r>
      <w:r w:rsidR="006D5E0A" w:rsidRPr="00674310">
        <w:t xml:space="preserve"> se tato podpora podílela z </w:t>
      </w:r>
      <w:r w:rsidR="00F65304" w:rsidRPr="00F65304">
        <w:t>59</w:t>
      </w:r>
      <w:r w:rsidR="006D5E0A" w:rsidRPr="00F65304">
        <w:t xml:space="preserve"> % </w:t>
      </w:r>
      <w:r w:rsidR="006D5E0A" w:rsidRPr="00674310">
        <w:t>na celkových veřejných zdrojích, které tyto subjekty využily na financo</w:t>
      </w:r>
      <w:r w:rsidR="00F65304">
        <w:t xml:space="preserve">vání </w:t>
      </w:r>
      <w:proofErr w:type="spellStart"/>
      <w:r w:rsidR="00F65304">
        <w:t>VaV</w:t>
      </w:r>
      <w:proofErr w:type="spellEnd"/>
      <w:r w:rsidR="00F65304">
        <w:t xml:space="preserve"> z veřejných zdrojů. V roce 2015 byl tento podíl nejnižší (55 %)</w:t>
      </w:r>
      <w:r w:rsidR="006D5E0A" w:rsidRPr="00674310">
        <w:t xml:space="preserve">. </w:t>
      </w:r>
      <w:r w:rsidRPr="00674310">
        <w:t xml:space="preserve">Výrazněji tento způsob podpory využívají malé a střední firmy, které jen v minimální míře uplatňují daňovou podporu </w:t>
      </w:r>
      <w:proofErr w:type="spellStart"/>
      <w:r w:rsidRPr="00674310">
        <w:t>VaV</w:t>
      </w:r>
      <w:proofErr w:type="spellEnd"/>
      <w:r w:rsidRPr="00674310">
        <w:t>.</w:t>
      </w:r>
      <w:r w:rsidR="00FB1BEC">
        <w:t xml:space="preserve"> </w:t>
      </w:r>
    </w:p>
    <w:p w14:paraId="560D5658" w14:textId="6EBF6800" w:rsidR="00631019" w:rsidRPr="00A176BE" w:rsidRDefault="006D5E0A" w:rsidP="003F0D54">
      <w:pPr>
        <w:spacing w:before="120"/>
        <w:jc w:val="both"/>
      </w:pPr>
      <w:r w:rsidRPr="00A176BE">
        <w:t>Naopak firmy pod zahraniční kontrolou</w:t>
      </w:r>
      <w:r w:rsidR="00FB1BEC">
        <w:t>,</w:t>
      </w:r>
      <w:r w:rsidR="009811FD" w:rsidRPr="00A176BE">
        <w:t xml:space="preserve"> </w:t>
      </w:r>
      <w:r w:rsidR="002A104E" w:rsidRPr="00A176BE">
        <w:t>pokud</w:t>
      </w:r>
      <w:r w:rsidR="00FB1BEC">
        <w:t xml:space="preserve"> ovšem</w:t>
      </w:r>
      <w:r w:rsidRPr="00A176BE">
        <w:t xml:space="preserve"> využívají při financování </w:t>
      </w:r>
      <w:r w:rsidR="009811FD" w:rsidRPr="00A176BE">
        <w:t xml:space="preserve">své </w:t>
      </w:r>
      <w:proofErr w:type="spellStart"/>
      <w:r w:rsidRPr="00A176BE">
        <w:t>VaV</w:t>
      </w:r>
      <w:proofErr w:type="spellEnd"/>
      <w:r w:rsidRPr="00A176BE">
        <w:t xml:space="preserve"> činnosti veřejné zdroje</w:t>
      </w:r>
      <w:r w:rsidR="00FB1BEC">
        <w:t>, sahají</w:t>
      </w:r>
      <w:r w:rsidRPr="00A176BE">
        <w:t xml:space="preserve"> mnohem častěji </w:t>
      </w:r>
      <w:r w:rsidR="002A104E" w:rsidRPr="00A176BE">
        <w:t>po</w:t>
      </w:r>
      <w:r w:rsidR="00F65304" w:rsidRPr="00A176BE">
        <w:t xml:space="preserve"> daňové podpoře </w:t>
      </w:r>
      <w:proofErr w:type="spellStart"/>
      <w:r w:rsidR="00F65304" w:rsidRPr="00A176BE">
        <w:t>VaV</w:t>
      </w:r>
      <w:proofErr w:type="spellEnd"/>
      <w:r w:rsidR="00F65304" w:rsidRPr="00A176BE">
        <w:t>. V roce 2019</w:t>
      </w:r>
      <w:r w:rsidRPr="00A176BE">
        <w:t xml:space="preserve"> se </w:t>
      </w:r>
      <w:r w:rsidR="009811FD" w:rsidRPr="00A176BE">
        <w:t xml:space="preserve">u nich </w:t>
      </w:r>
      <w:r w:rsidRPr="00A176BE">
        <w:t xml:space="preserve">tato nepřímá veřejná podpora </w:t>
      </w:r>
      <w:proofErr w:type="spellStart"/>
      <w:r w:rsidRPr="00A176BE">
        <w:t>VaV</w:t>
      </w:r>
      <w:proofErr w:type="spellEnd"/>
      <w:r w:rsidR="00FA2BF1" w:rsidRPr="00A176BE">
        <w:t xml:space="preserve"> podílela </w:t>
      </w:r>
      <w:r w:rsidR="00FB1BEC" w:rsidRPr="00A176BE">
        <w:t>na celkových veřejných zdrojích</w:t>
      </w:r>
      <w:r w:rsidR="00FB1BEC">
        <w:t xml:space="preserve"> využitých na financování </w:t>
      </w:r>
      <w:proofErr w:type="spellStart"/>
      <w:r w:rsidR="00FB1BEC">
        <w:t>VaV</w:t>
      </w:r>
      <w:proofErr w:type="spellEnd"/>
      <w:r w:rsidR="00FB1BEC" w:rsidRPr="00A176BE">
        <w:t xml:space="preserve"> </w:t>
      </w:r>
      <w:r w:rsidR="00FA2BF1" w:rsidRPr="00A176BE">
        <w:t>z 66</w:t>
      </w:r>
      <w:r w:rsidRPr="00A176BE">
        <w:t> %. U</w:t>
      </w:r>
      <w:r w:rsidR="009811FD" w:rsidRPr="00A176BE">
        <w:t> </w:t>
      </w:r>
      <w:r w:rsidRPr="00A176BE">
        <w:t xml:space="preserve">velkých podniků byl tento podíl dokonce </w:t>
      </w:r>
      <w:r w:rsidR="0005426C" w:rsidRPr="00A176BE">
        <w:t>74</w:t>
      </w:r>
      <w:r w:rsidRPr="00A176BE">
        <w:t xml:space="preserve"> %. Ovšem i u firem pod zahraniční kontrolou malé a střední podniky využívají </w:t>
      </w:r>
      <w:r w:rsidR="00FB1BEC" w:rsidRPr="00A176BE">
        <w:t>více</w:t>
      </w:r>
      <w:r w:rsidR="00FB1BEC">
        <w:t xml:space="preserve"> </w:t>
      </w:r>
      <w:r w:rsidRPr="00A176BE">
        <w:t xml:space="preserve">přímé veřejné dotace na </w:t>
      </w:r>
      <w:proofErr w:type="spellStart"/>
      <w:r w:rsidRPr="00A176BE">
        <w:t>VaV</w:t>
      </w:r>
      <w:proofErr w:type="spellEnd"/>
      <w:r w:rsidR="00FB1BEC">
        <w:t xml:space="preserve"> než ty nepřímé</w:t>
      </w:r>
      <w:r w:rsidRPr="00A176BE">
        <w:t>.</w:t>
      </w:r>
    </w:p>
    <w:p w14:paraId="286CDF67" w14:textId="387614EF" w:rsidR="00C7376E" w:rsidRPr="00A176BE" w:rsidRDefault="006C3E42" w:rsidP="00C7376E">
      <w:pPr>
        <w:spacing w:before="120"/>
        <w:jc w:val="both"/>
      </w:pPr>
      <w:r w:rsidRPr="00A176BE">
        <w:t>Graf č.</w:t>
      </w:r>
      <w:r w:rsidR="00674310" w:rsidRPr="00A176BE">
        <w:t> </w:t>
      </w:r>
      <w:r w:rsidRPr="00A176BE">
        <w:t xml:space="preserve">6 </w:t>
      </w:r>
      <w:r w:rsidR="00674310" w:rsidRPr="00A176BE">
        <w:t xml:space="preserve">na následující straně </w:t>
      </w:r>
      <w:r w:rsidR="00256E5F" w:rsidRPr="00A176BE">
        <w:t xml:space="preserve">ukazuje podíl celkové </w:t>
      </w:r>
      <w:r w:rsidR="009811FD" w:rsidRPr="00A176BE">
        <w:t>domácí</w:t>
      </w:r>
      <w:r w:rsidR="00256E5F" w:rsidRPr="00A176BE">
        <w:t xml:space="preserve"> veřejné podpory </w:t>
      </w:r>
      <w:proofErr w:type="spellStart"/>
      <w:r w:rsidR="00256E5F" w:rsidRPr="00A176BE">
        <w:t>VaV</w:t>
      </w:r>
      <w:proofErr w:type="spellEnd"/>
      <w:r w:rsidR="009811FD" w:rsidRPr="00A176BE">
        <w:t xml:space="preserve"> v soukromých podnicích </w:t>
      </w:r>
      <w:r w:rsidR="00C7376E" w:rsidRPr="00A176BE">
        <w:t>na celkových výdají</w:t>
      </w:r>
      <w:r w:rsidR="00256E5F" w:rsidRPr="00A176BE">
        <w:t>ch státního rozpočtu ČR, který v roce 2019 dosáhl</w:t>
      </w:r>
      <w:r w:rsidR="00C7376E" w:rsidRPr="00A176BE">
        <w:t xml:space="preserve"> </w:t>
      </w:r>
      <w:r w:rsidR="00327F45" w:rsidRPr="00A176BE">
        <w:t>0,42</w:t>
      </w:r>
      <w:r w:rsidR="00C7376E" w:rsidRPr="00A176BE">
        <w:t xml:space="preserve"> %. </w:t>
      </w:r>
      <w:r w:rsidR="009811FD" w:rsidRPr="00A176BE">
        <w:t>Tento podíl byl n</w:t>
      </w:r>
      <w:r w:rsidR="00C7376E" w:rsidRPr="00A176BE">
        <w:t>ejvyšší v roce 2012</w:t>
      </w:r>
      <w:r w:rsidR="009811FD" w:rsidRPr="00A176BE">
        <w:t>,</w:t>
      </w:r>
      <w:r w:rsidR="00C7376E" w:rsidRPr="00A176BE">
        <w:t xml:space="preserve"> a to 0,57 %. Nej</w:t>
      </w:r>
      <w:r w:rsidR="00327F45" w:rsidRPr="00A176BE">
        <w:t>nižší (0,40 %) pak v letech 2009</w:t>
      </w:r>
      <w:r w:rsidR="00C7376E" w:rsidRPr="00A176BE">
        <w:t xml:space="preserve"> a 2016. Větší část z tohoto financování šla v celém sledovaném období na vrub přímých dotací ze státního rozpočtu ČR. </w:t>
      </w:r>
      <w:r w:rsidR="00E433FC" w:rsidRPr="00A176BE">
        <w:t xml:space="preserve">Pokud bychom k této domácí podpoře přidali i financování ze zdrojů EU, tak </w:t>
      </w:r>
      <w:r w:rsidR="00F93C73" w:rsidRPr="00A176BE">
        <w:t xml:space="preserve">v roce </w:t>
      </w:r>
      <w:r w:rsidR="00E433FC" w:rsidRPr="00A176BE">
        <w:t>201</w:t>
      </w:r>
      <w:r w:rsidR="00327F45" w:rsidRPr="00A176BE">
        <w:t>9</w:t>
      </w:r>
      <w:r w:rsidR="00E433FC" w:rsidRPr="00A176BE">
        <w:t xml:space="preserve"> se celková </w:t>
      </w:r>
      <w:r w:rsidR="00674310" w:rsidRPr="00A176BE">
        <w:t xml:space="preserve">domácí a zahraniční </w:t>
      </w:r>
      <w:r w:rsidR="00E433FC" w:rsidRPr="00A176BE">
        <w:t>veřejn</w:t>
      </w:r>
      <w:r w:rsidR="00F93C73" w:rsidRPr="00A176BE">
        <w:t>á</w:t>
      </w:r>
      <w:r w:rsidR="00E433FC" w:rsidRPr="00A176BE">
        <w:t xml:space="preserve"> podpora </w:t>
      </w:r>
      <w:proofErr w:type="spellStart"/>
      <w:r w:rsidR="00E433FC" w:rsidRPr="00A176BE">
        <w:t>VaV</w:t>
      </w:r>
      <w:proofErr w:type="spellEnd"/>
      <w:r w:rsidR="00E433FC" w:rsidRPr="00A176BE">
        <w:t xml:space="preserve"> v soukromých podnicích podíl</w:t>
      </w:r>
      <w:r w:rsidR="00F93C73" w:rsidRPr="00A176BE">
        <w:t xml:space="preserve">ela </w:t>
      </w:r>
      <w:r w:rsidR="00E433FC" w:rsidRPr="00A176BE">
        <w:t>0,5</w:t>
      </w:r>
      <w:r w:rsidR="00327F45" w:rsidRPr="00A176BE">
        <w:t>3</w:t>
      </w:r>
      <w:r w:rsidR="00E433FC" w:rsidRPr="00A176BE">
        <w:t xml:space="preserve"> % na celkových výdajích ze státního rozpočtu ČR. </w:t>
      </w:r>
      <w:r w:rsidR="00F93C73" w:rsidRPr="00A176BE">
        <w:t>Nejvyšší byl tento podíl v roce 2012</w:t>
      </w:r>
      <w:r w:rsidR="00674310" w:rsidRPr="00A176BE">
        <w:t>, a to 0,72 %.</w:t>
      </w:r>
      <w:r w:rsidR="00E433FC" w:rsidRPr="00A176BE">
        <w:t xml:space="preserve">  </w:t>
      </w:r>
    </w:p>
    <w:p w14:paraId="5F828DFB" w14:textId="4C526E43" w:rsidR="006C3E42" w:rsidRPr="0077219B" w:rsidRDefault="0077219B" w:rsidP="0077219B">
      <w:pPr>
        <w:keepNext/>
        <w:spacing w:before="240"/>
        <w:jc w:val="both"/>
      </w:pPr>
      <w:r w:rsidRPr="0077219B">
        <w:rPr>
          <w:b/>
        </w:rPr>
        <w:lastRenderedPageBreak/>
        <w:t xml:space="preserve">Graf </w:t>
      </w:r>
      <w:r w:rsidRPr="0077219B">
        <w:rPr>
          <w:b/>
        </w:rPr>
        <w:fldChar w:fldCharType="begin"/>
      </w:r>
      <w:r w:rsidRPr="0077219B">
        <w:rPr>
          <w:b/>
        </w:rPr>
        <w:instrText xml:space="preserve"> SEQ Graf \* ARABIC </w:instrText>
      </w:r>
      <w:r w:rsidRPr="0077219B">
        <w:rPr>
          <w:b/>
        </w:rPr>
        <w:fldChar w:fldCharType="separate"/>
      </w:r>
      <w:r w:rsidR="00B043AC">
        <w:rPr>
          <w:b/>
          <w:noProof/>
        </w:rPr>
        <w:t>6</w:t>
      </w:r>
      <w:r w:rsidRPr="0077219B">
        <w:rPr>
          <w:b/>
        </w:rPr>
        <w:fldChar w:fldCharType="end"/>
      </w:r>
      <w:r w:rsidR="006C3E42" w:rsidRPr="00C56392">
        <w:rPr>
          <w:b/>
        </w:rPr>
        <w:t xml:space="preserve">: </w:t>
      </w:r>
      <w:r w:rsidR="006C3E42" w:rsidRPr="0077219B">
        <w:rPr>
          <w:b/>
        </w:rPr>
        <w:t xml:space="preserve">Podíl veřejné podpory </w:t>
      </w:r>
      <w:proofErr w:type="spellStart"/>
      <w:r w:rsidR="006C3E42" w:rsidRPr="0077219B">
        <w:rPr>
          <w:b/>
        </w:rPr>
        <w:t>VaV</w:t>
      </w:r>
      <w:proofErr w:type="spellEnd"/>
      <w:r w:rsidR="006C3E42" w:rsidRPr="0077219B">
        <w:rPr>
          <w:b/>
        </w:rPr>
        <w:t xml:space="preserve"> v soukromých podnicích na výdajích státního rozpočtu </w:t>
      </w:r>
      <w:r w:rsidR="00E433FC" w:rsidRPr="0077219B">
        <w:rPr>
          <w:b/>
        </w:rPr>
        <w:t xml:space="preserve">celkem </w:t>
      </w:r>
      <w:r w:rsidR="006C3E42" w:rsidRPr="0077219B">
        <w:rPr>
          <w:b/>
        </w:rPr>
        <w:t>(%)</w:t>
      </w:r>
    </w:p>
    <w:p w14:paraId="2E8DBDBC" w14:textId="6FFD5FF2" w:rsidR="006C3E42" w:rsidRDefault="00EF5B72" w:rsidP="00F93C73">
      <w:pPr>
        <w:jc w:val="both"/>
        <w:rPr>
          <w:i/>
          <w:sz w:val="16"/>
        </w:rPr>
      </w:pPr>
      <w:r>
        <w:rPr>
          <w:noProof/>
        </w:rPr>
        <w:drawing>
          <wp:inline distT="0" distB="0" distL="0" distR="0" wp14:anchorId="6656B61B" wp14:editId="0EBD3EAB">
            <wp:extent cx="5994237" cy="2880000"/>
            <wp:effectExtent l="0" t="0" r="6985" b="0"/>
            <wp:docPr id="10" name="Graf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364F678" w14:textId="1C11BD24" w:rsidR="00F93C73" w:rsidRDefault="00F93C73" w:rsidP="00F93C73">
      <w:pPr>
        <w:widowControl w:val="0"/>
        <w:jc w:val="both"/>
        <w:rPr>
          <w:i/>
          <w:sz w:val="16"/>
        </w:rPr>
      </w:pPr>
      <w:r w:rsidRPr="00E607EB">
        <w:rPr>
          <w:i/>
          <w:sz w:val="16"/>
        </w:rPr>
        <w:t xml:space="preserve">Zdroj dat: ČSÚ podle administrativních dat GFŘ, ČSÚ – Šetření o </w:t>
      </w:r>
      <w:proofErr w:type="spellStart"/>
      <w:r w:rsidRPr="00E607EB">
        <w:rPr>
          <w:i/>
          <w:sz w:val="16"/>
        </w:rPr>
        <w:t>VaV</w:t>
      </w:r>
      <w:proofErr w:type="spellEnd"/>
      <w:r w:rsidRPr="00E607EB">
        <w:rPr>
          <w:i/>
          <w:sz w:val="16"/>
        </w:rPr>
        <w:t xml:space="preserve"> (VTR 5-01), Národní účty (HDP)</w:t>
      </w:r>
    </w:p>
    <w:p w14:paraId="7D9C0F4A" w14:textId="269A3F0A" w:rsidR="00BF7EC0" w:rsidRPr="000806E0" w:rsidRDefault="00BF7EC0" w:rsidP="00BF7EC0">
      <w:pPr>
        <w:spacing w:before="120"/>
        <w:jc w:val="both"/>
      </w:pPr>
      <w:r w:rsidRPr="000806E0">
        <w:t xml:space="preserve">Celkový objem veřejné podpory </w:t>
      </w:r>
      <w:proofErr w:type="spellStart"/>
      <w:r w:rsidRPr="000806E0">
        <w:t>VaV</w:t>
      </w:r>
      <w:proofErr w:type="spellEnd"/>
      <w:r w:rsidRPr="000806E0">
        <w:t>, na níž dosá</w:t>
      </w:r>
      <w:r w:rsidR="00327F45">
        <w:t>hly soukromé podniky v roce 2019</w:t>
      </w:r>
      <w:r w:rsidRPr="000806E0">
        <w:t xml:space="preserve">, odpovídal podílu 0,14 % hrubého domácího produktu (dále HDP). V případě přímé (rozpočtové) podpory </w:t>
      </w:r>
      <w:proofErr w:type="spellStart"/>
      <w:r w:rsidRPr="000806E0">
        <w:t>VaV</w:t>
      </w:r>
      <w:proofErr w:type="spellEnd"/>
      <w:r w:rsidRPr="000806E0">
        <w:t xml:space="preserve"> podíl dosáhl 0,0</w:t>
      </w:r>
      <w:r w:rsidR="000806E0" w:rsidRPr="000806E0">
        <w:t>7</w:t>
      </w:r>
      <w:r w:rsidRPr="000806E0">
        <w:t> % a nepřímé (daňové) podp</w:t>
      </w:r>
      <w:r w:rsidR="00E9343A">
        <w:t xml:space="preserve">ory </w:t>
      </w:r>
      <w:proofErr w:type="spellStart"/>
      <w:r w:rsidR="00E9343A">
        <w:t>VaV</w:t>
      </w:r>
      <w:proofErr w:type="spellEnd"/>
      <w:r w:rsidR="00E9343A">
        <w:t xml:space="preserve"> pak 0,05 </w:t>
      </w:r>
      <w:r w:rsidRPr="000806E0">
        <w:t xml:space="preserve">%. Podíl zahraniční podpory </w:t>
      </w:r>
      <w:proofErr w:type="spellStart"/>
      <w:r w:rsidRPr="000806E0">
        <w:t>VaV</w:t>
      </w:r>
      <w:proofErr w:type="spellEnd"/>
      <w:r w:rsidRPr="000806E0">
        <w:t xml:space="preserve"> u soukromých podniků na HDP byl nižší (0,0</w:t>
      </w:r>
      <w:r w:rsidR="000806E0" w:rsidRPr="000806E0">
        <w:t>3</w:t>
      </w:r>
      <w:r w:rsidR="00E9343A">
        <w:t> </w:t>
      </w:r>
      <w:r w:rsidRPr="000806E0">
        <w:t xml:space="preserve">%) než u obou zmíněných forem domácí podpory. </w:t>
      </w:r>
    </w:p>
    <w:p w14:paraId="1A5986D5" w14:textId="7FABA267" w:rsidR="00A55C50" w:rsidRPr="0077219B" w:rsidRDefault="0077219B" w:rsidP="00DF2F10">
      <w:pPr>
        <w:keepNext/>
        <w:spacing w:before="120"/>
        <w:jc w:val="both"/>
      </w:pPr>
      <w:r w:rsidRPr="0077219B">
        <w:rPr>
          <w:b/>
        </w:rPr>
        <w:t xml:space="preserve">Graf </w:t>
      </w:r>
      <w:r w:rsidRPr="0077219B">
        <w:rPr>
          <w:b/>
        </w:rPr>
        <w:fldChar w:fldCharType="begin"/>
      </w:r>
      <w:r w:rsidRPr="0077219B">
        <w:rPr>
          <w:b/>
        </w:rPr>
        <w:instrText xml:space="preserve"> SEQ Graf \* ARABIC </w:instrText>
      </w:r>
      <w:r w:rsidRPr="0077219B">
        <w:rPr>
          <w:b/>
        </w:rPr>
        <w:fldChar w:fldCharType="separate"/>
      </w:r>
      <w:r w:rsidR="00B043AC">
        <w:rPr>
          <w:b/>
          <w:noProof/>
        </w:rPr>
        <w:t>7</w:t>
      </w:r>
      <w:r w:rsidRPr="0077219B">
        <w:rPr>
          <w:b/>
        </w:rPr>
        <w:fldChar w:fldCharType="end"/>
      </w:r>
      <w:r w:rsidR="00A55C50" w:rsidRPr="003B4D62">
        <w:rPr>
          <w:b/>
        </w:rPr>
        <w:t xml:space="preserve">: Financování </w:t>
      </w:r>
      <w:proofErr w:type="spellStart"/>
      <w:r w:rsidR="00A55C50" w:rsidRPr="003B4D62">
        <w:rPr>
          <w:b/>
        </w:rPr>
        <w:t>VaV</w:t>
      </w:r>
      <w:proofErr w:type="spellEnd"/>
      <w:r w:rsidR="00A55C50" w:rsidRPr="003B4D62">
        <w:rPr>
          <w:b/>
        </w:rPr>
        <w:t xml:space="preserve"> v soukromých podnicích </w:t>
      </w:r>
      <w:r w:rsidR="00255DB2">
        <w:rPr>
          <w:b/>
        </w:rPr>
        <w:t xml:space="preserve">v </w:t>
      </w:r>
      <w:r w:rsidR="00A55C50" w:rsidRPr="003B4D62">
        <w:rPr>
          <w:b/>
        </w:rPr>
        <w:t>Č</w:t>
      </w:r>
      <w:r w:rsidR="00255DB2">
        <w:rPr>
          <w:b/>
        </w:rPr>
        <w:t>esku</w:t>
      </w:r>
      <w:r w:rsidR="00A55C50" w:rsidRPr="003B4D62">
        <w:rPr>
          <w:b/>
        </w:rPr>
        <w:t xml:space="preserve"> z veřejných zdrojů</w:t>
      </w:r>
      <w:r w:rsidR="00255DB2">
        <w:rPr>
          <w:b/>
        </w:rPr>
        <w:t xml:space="preserve"> jako podíl na </w:t>
      </w:r>
      <w:r w:rsidR="00A55C50" w:rsidRPr="003B4D62">
        <w:rPr>
          <w:b/>
        </w:rPr>
        <w:t>HDP</w:t>
      </w:r>
    </w:p>
    <w:p w14:paraId="7796565F" w14:textId="7287245D" w:rsidR="00A55C50" w:rsidRPr="0095288C" w:rsidRDefault="00957513" w:rsidP="00A55C50">
      <w:pPr>
        <w:spacing w:before="120"/>
        <w:jc w:val="both"/>
      </w:pPr>
      <w:r>
        <w:rPr>
          <w:noProof/>
        </w:rPr>
        <w:drawing>
          <wp:inline distT="0" distB="0" distL="0" distR="0" wp14:anchorId="458B0629" wp14:editId="0D19EF54">
            <wp:extent cx="5994237" cy="2880000"/>
            <wp:effectExtent l="0" t="0" r="6985" b="0"/>
            <wp:docPr id="9" name="Graf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A39E171" w14:textId="77777777" w:rsidR="004D2AC0" w:rsidRDefault="00A55C50" w:rsidP="00EB1C91">
      <w:pPr>
        <w:jc w:val="both"/>
        <w:rPr>
          <w:i/>
          <w:sz w:val="16"/>
        </w:rPr>
      </w:pPr>
      <w:r w:rsidRPr="00E607EB">
        <w:rPr>
          <w:i/>
          <w:sz w:val="16"/>
        </w:rPr>
        <w:t xml:space="preserve">Zdroj dat: ČSÚ podle administrativních dat GFŘ, ČSÚ – Šetření o </w:t>
      </w:r>
      <w:proofErr w:type="spellStart"/>
      <w:r w:rsidRPr="00E607EB">
        <w:rPr>
          <w:i/>
          <w:sz w:val="16"/>
        </w:rPr>
        <w:t>VaV</w:t>
      </w:r>
      <w:proofErr w:type="spellEnd"/>
      <w:r w:rsidRPr="00E607EB">
        <w:rPr>
          <w:i/>
          <w:sz w:val="16"/>
        </w:rPr>
        <w:t xml:space="preserve"> (VTR 5-01), Národní účty (HDP)</w:t>
      </w:r>
    </w:p>
    <w:p w14:paraId="29B76660" w14:textId="5A000AEA" w:rsidR="00E164F6" w:rsidRDefault="00381E40" w:rsidP="006505D0">
      <w:pPr>
        <w:spacing w:before="240"/>
        <w:jc w:val="both"/>
      </w:pPr>
      <w:r w:rsidRPr="006505D0">
        <w:t>Na posledních dvou grafech</w:t>
      </w:r>
      <w:r w:rsidR="006505D0" w:rsidRPr="006505D0">
        <w:t xml:space="preserve"> v této podkapitole </w:t>
      </w:r>
      <w:r w:rsidRPr="006505D0">
        <w:t xml:space="preserve">se podrobněji vrátíme k přímému financování z veřejných zdrojů. </w:t>
      </w:r>
      <w:r w:rsidR="004D2AC0" w:rsidRPr="006505D0">
        <w:t xml:space="preserve">Jak je vidět na grafu č. </w:t>
      </w:r>
      <w:r w:rsidRPr="006505D0">
        <w:t>8</w:t>
      </w:r>
      <w:r w:rsidR="00327F45">
        <w:t>, v roce 2019</w:t>
      </w:r>
      <w:r w:rsidR="004D2AC0" w:rsidRPr="006505D0">
        <w:t xml:space="preserve"> </w:t>
      </w:r>
      <w:r w:rsidR="00AE6B98" w:rsidRPr="006505D0">
        <w:t xml:space="preserve">připadla </w:t>
      </w:r>
      <w:r w:rsidR="004D2AC0" w:rsidRPr="006505D0">
        <w:t xml:space="preserve">na soukromé firmy </w:t>
      </w:r>
      <w:r w:rsidR="004D2AC0" w:rsidRPr="000C3D4D">
        <w:t xml:space="preserve">desetina z celkových přímých dotací vynaložených na </w:t>
      </w:r>
      <w:proofErr w:type="spellStart"/>
      <w:r w:rsidR="004D2AC0" w:rsidRPr="000C3D4D">
        <w:t>VaV</w:t>
      </w:r>
      <w:proofErr w:type="spellEnd"/>
      <w:r w:rsidR="004D2AC0" w:rsidRPr="000C3D4D">
        <w:t xml:space="preserve"> ze státního rozpočtu ČR. </w:t>
      </w:r>
      <w:r w:rsidR="00DA49B8">
        <w:t>Jedná se</w:t>
      </w:r>
      <w:r w:rsidR="00DA49B8" w:rsidRPr="000C3D4D">
        <w:t xml:space="preserve"> </w:t>
      </w:r>
      <w:r w:rsidR="004D2AC0" w:rsidRPr="000C3D4D">
        <w:t>sice o cca</w:t>
      </w:r>
      <w:r w:rsidR="00DA49B8">
        <w:t xml:space="preserve"> o</w:t>
      </w:r>
      <w:r w:rsidR="004D2AC0" w:rsidRPr="000C3D4D">
        <w:t xml:space="preserve"> jeden procentní bod vyšší hodnotu než v roce 2016, ale </w:t>
      </w:r>
      <w:r w:rsidR="00DA49B8">
        <w:t xml:space="preserve">zároveň to je </w:t>
      </w:r>
      <w:r w:rsidR="004D2AC0" w:rsidRPr="000C3D4D">
        <w:t xml:space="preserve">o téměř osm procentních bodů méně v porovnání s rokem 2011, kdy si soukromé podniky “ukrojily“ absolutně i procentuálně největší část z finančních prostředků alokovaných na </w:t>
      </w:r>
      <w:proofErr w:type="spellStart"/>
      <w:r w:rsidR="004D2AC0" w:rsidRPr="000C3D4D">
        <w:t>VaV</w:t>
      </w:r>
      <w:proofErr w:type="spellEnd"/>
      <w:r w:rsidR="004D2AC0" w:rsidRPr="000C3D4D">
        <w:t xml:space="preserve"> ze státního rozpočtu.</w:t>
      </w:r>
    </w:p>
    <w:p w14:paraId="148159CB" w14:textId="60D87B41" w:rsidR="004D2AC0" w:rsidRPr="002B5A86" w:rsidRDefault="002B5A86" w:rsidP="002B5A86">
      <w:pPr>
        <w:keepNext/>
        <w:spacing w:before="120"/>
        <w:jc w:val="both"/>
      </w:pPr>
      <w:r w:rsidRPr="002B5A86">
        <w:rPr>
          <w:b/>
        </w:rPr>
        <w:lastRenderedPageBreak/>
        <w:t xml:space="preserve">Graf </w:t>
      </w:r>
      <w:r w:rsidRPr="002B5A86">
        <w:rPr>
          <w:b/>
        </w:rPr>
        <w:fldChar w:fldCharType="begin"/>
      </w:r>
      <w:r w:rsidRPr="002B5A86">
        <w:rPr>
          <w:b/>
        </w:rPr>
        <w:instrText xml:space="preserve"> SEQ Graf \* ARABIC </w:instrText>
      </w:r>
      <w:r w:rsidRPr="002B5A86">
        <w:rPr>
          <w:b/>
        </w:rPr>
        <w:fldChar w:fldCharType="separate"/>
      </w:r>
      <w:r w:rsidR="00B043AC">
        <w:rPr>
          <w:b/>
          <w:noProof/>
        </w:rPr>
        <w:t>8</w:t>
      </w:r>
      <w:r w:rsidRPr="002B5A86">
        <w:rPr>
          <w:b/>
        </w:rPr>
        <w:fldChar w:fldCharType="end"/>
      </w:r>
      <w:r w:rsidR="004D2AC0" w:rsidRPr="00C56392">
        <w:rPr>
          <w:b/>
        </w:rPr>
        <w:t xml:space="preserve">: </w:t>
      </w:r>
      <w:r w:rsidR="004D2AC0">
        <w:rPr>
          <w:b/>
        </w:rPr>
        <w:t>Výzkum a vývoj financovaný v Česku přímo ze státního rozpočtu</w:t>
      </w:r>
    </w:p>
    <w:p w14:paraId="415E8887" w14:textId="6255CA97" w:rsidR="004D2AC0" w:rsidRDefault="00FD1BF6" w:rsidP="004D2AC0">
      <w:pPr>
        <w:jc w:val="both"/>
        <w:rPr>
          <w:i/>
          <w:sz w:val="16"/>
        </w:rPr>
      </w:pPr>
      <w:r>
        <w:rPr>
          <w:noProof/>
        </w:rPr>
        <w:drawing>
          <wp:inline distT="0" distB="0" distL="0" distR="0" wp14:anchorId="1049DAE6" wp14:editId="36FF2EC0">
            <wp:extent cx="6047740" cy="2952000"/>
            <wp:effectExtent l="0" t="0" r="0" b="1270"/>
            <wp:docPr id="51" name="Graf 5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2A87D54" w14:textId="77777777" w:rsidR="004D2AC0" w:rsidRPr="00B91063" w:rsidRDefault="004D2AC0" w:rsidP="004D2AC0">
      <w:pPr>
        <w:jc w:val="both"/>
      </w:pPr>
      <w:r w:rsidRPr="00B91063">
        <w:rPr>
          <w:i/>
          <w:sz w:val="16"/>
        </w:rPr>
        <w:t xml:space="preserve">Zdroj dat: ČSÚ podle administrativních dat GFŘ, ČSÚ – Šetření o </w:t>
      </w:r>
      <w:proofErr w:type="spellStart"/>
      <w:r w:rsidRPr="00B91063">
        <w:rPr>
          <w:i/>
          <w:sz w:val="16"/>
        </w:rPr>
        <w:t>VaV</w:t>
      </w:r>
      <w:proofErr w:type="spellEnd"/>
      <w:r w:rsidRPr="00B91063">
        <w:rPr>
          <w:i/>
          <w:sz w:val="16"/>
        </w:rPr>
        <w:t xml:space="preserve"> (VTR 5-01)</w:t>
      </w:r>
    </w:p>
    <w:p w14:paraId="74DCFAFF" w14:textId="04B12D30" w:rsidR="004D2AC0" w:rsidRDefault="004D2AC0" w:rsidP="004D2AC0">
      <w:pPr>
        <w:spacing w:before="120"/>
        <w:jc w:val="both"/>
      </w:pPr>
      <w:r w:rsidRPr="008D5241">
        <w:t>Státní rozpočet je v Česku druhým nejvýznamnějším zdro</w:t>
      </w:r>
      <w:r w:rsidR="000C3D4D" w:rsidRPr="008D5241">
        <w:t xml:space="preserve">jem financování </w:t>
      </w:r>
      <w:proofErr w:type="spellStart"/>
      <w:r w:rsidR="000C3D4D" w:rsidRPr="008D5241">
        <w:t>VaV</w:t>
      </w:r>
      <w:proofErr w:type="spellEnd"/>
      <w:r w:rsidR="000C3D4D" w:rsidRPr="008D5241">
        <w:t>. V roce 2019</w:t>
      </w:r>
      <w:r w:rsidRPr="008D5241">
        <w:t xml:space="preserve"> stát jeho prostřednictvím vyn</w:t>
      </w:r>
      <w:r w:rsidR="000C3D4D" w:rsidRPr="008D5241">
        <w:t>aložil na tuto činnost celkem 37,6 mld. Kč, tj. o 7</w:t>
      </w:r>
      <w:r w:rsidRPr="008D5241">
        <w:t xml:space="preserve"> % více finančních prostředků než v roce předchozím. Většina prostředků státu směřuje na podporu </w:t>
      </w:r>
      <w:proofErr w:type="spellStart"/>
      <w:r w:rsidRPr="008D5241">
        <w:t>VaV</w:t>
      </w:r>
      <w:proofErr w:type="spellEnd"/>
      <w:r w:rsidRPr="008D5241">
        <w:t xml:space="preserve"> prováděného </w:t>
      </w:r>
      <w:r w:rsidR="000C3D4D" w:rsidRPr="008D5241">
        <w:t>ve veřejném sektoru. V roce 2019</w:t>
      </w:r>
      <w:r w:rsidRPr="008D5241">
        <w:t xml:space="preserve"> </w:t>
      </w:r>
      <w:r w:rsidR="008D5241" w:rsidRPr="008D5241">
        <w:t>téměř polovina (17,1</w:t>
      </w:r>
      <w:r w:rsidRPr="008D5241">
        <w:t xml:space="preserve"> mld. Kč) směřovala na vysokoškolský výzkum, 10</w:t>
      </w:r>
      <w:r w:rsidR="008D5241" w:rsidRPr="008D5241">
        <w:t>,5</w:t>
      </w:r>
      <w:r w:rsidRPr="008D5241">
        <w:t> miliard získala pracoviště Akademie věd ČR. Na podporu výzkumu a vývoje v soukromých podnicích vynaložil stát výše uvedenýc</w:t>
      </w:r>
      <w:r w:rsidR="000C3D4D" w:rsidRPr="008D5241">
        <w:t>h 3,7 mld. Kč, tj. o 200 milionů</w:t>
      </w:r>
      <w:r w:rsidRPr="008D5241">
        <w:t xml:space="preserve"> více než v roce předchozím.</w:t>
      </w:r>
      <w:r>
        <w:t xml:space="preserve"> </w:t>
      </w:r>
    </w:p>
    <w:p w14:paraId="5C95EFA9" w14:textId="71CF819F" w:rsidR="004D2AC0" w:rsidRDefault="004D2AC0" w:rsidP="004D2AC0">
      <w:pPr>
        <w:spacing w:before="120"/>
        <w:jc w:val="both"/>
      </w:pPr>
      <w:r w:rsidRPr="00AE6B98">
        <w:t>Jak je vidět na grafu č. </w:t>
      </w:r>
      <w:r w:rsidR="00381E40" w:rsidRPr="00AE6B98">
        <w:t>9</w:t>
      </w:r>
      <w:r w:rsidRPr="00AE6B98">
        <w:t>, nejdynamičtěji se v posledních letech v Česku vyvíjí financování výzkumu a vývoje ze zdrojů EU. Jedn</w:t>
      </w:r>
      <w:r w:rsidR="006505D0">
        <w:t>á</w:t>
      </w:r>
      <w:r w:rsidRPr="00AE6B98">
        <w:t xml:space="preserve"> se zejména o Evropské strukturální a investiční fondy, jejichž prostředky byly využity při budování nových veřejných výzkumných a vývojových infrastruktur na vysokých školách a </w:t>
      </w:r>
      <w:r w:rsidR="00AE6B98" w:rsidRPr="00AE6B98">
        <w:t xml:space="preserve">v </w:t>
      </w:r>
      <w:r w:rsidRPr="00AE6B98">
        <w:t xml:space="preserve">Akademii věd ČR. </w:t>
      </w:r>
      <w:r w:rsidRPr="00C902FF">
        <w:t>V letech 2012 až 2015 směřovalo z EU do českého výzkumu každoročně více než 10 mld. Kč.</w:t>
      </w:r>
      <w:r w:rsidR="006505D0">
        <w:t xml:space="preserve"> </w:t>
      </w:r>
      <w:r w:rsidR="000C3D4D">
        <w:t>V roce 2019</w:t>
      </w:r>
      <w:r w:rsidR="006505D0" w:rsidRPr="006505D0">
        <w:t xml:space="preserve"> získaly soukromé podniky téměř pětinu evropských zdrojů poskytnutých na </w:t>
      </w:r>
      <w:proofErr w:type="spellStart"/>
      <w:r w:rsidR="006505D0" w:rsidRPr="006505D0">
        <w:t>VaV</w:t>
      </w:r>
      <w:proofErr w:type="spellEnd"/>
      <w:r w:rsidR="006505D0" w:rsidRPr="006505D0">
        <w:t>.</w:t>
      </w:r>
      <w:r w:rsidR="006505D0">
        <w:t xml:space="preserve"> </w:t>
      </w:r>
      <w:r w:rsidRPr="00C902FF">
        <w:t>V absolutním vyjádření k nim z EU doputoval</w:t>
      </w:r>
      <w:r w:rsidR="00AE6B98" w:rsidRPr="00C902FF">
        <w:t>o</w:t>
      </w:r>
      <w:r w:rsidR="000C3D4D">
        <w:t xml:space="preserve"> 1,7</w:t>
      </w:r>
      <w:r w:rsidRPr="00C902FF">
        <w:t> mld. Kč</w:t>
      </w:r>
      <w:r w:rsidR="00C902FF" w:rsidRPr="00C902FF">
        <w:t xml:space="preserve"> na podporu zde prováděného </w:t>
      </w:r>
      <w:proofErr w:type="spellStart"/>
      <w:r w:rsidR="00C902FF" w:rsidRPr="00C902FF">
        <w:t>VaV</w:t>
      </w:r>
      <w:proofErr w:type="spellEnd"/>
      <w:r w:rsidRPr="00C902FF">
        <w:t>. Jde o</w:t>
      </w:r>
      <w:r w:rsidR="000C3D4D">
        <w:t xml:space="preserve"> stejnou částku jako v roce 2013</w:t>
      </w:r>
      <w:r w:rsidRPr="00C902FF">
        <w:t xml:space="preserve">.  </w:t>
      </w:r>
    </w:p>
    <w:p w14:paraId="5B291D4A" w14:textId="19C3FF01" w:rsidR="004D2AC0" w:rsidRPr="002B5A86" w:rsidRDefault="002B5A86" w:rsidP="002B5A86">
      <w:pPr>
        <w:keepNext/>
        <w:spacing w:before="240"/>
        <w:jc w:val="both"/>
      </w:pPr>
      <w:r w:rsidRPr="002B5A86">
        <w:rPr>
          <w:b/>
        </w:rPr>
        <w:t xml:space="preserve">Graf </w:t>
      </w:r>
      <w:r w:rsidRPr="002B5A86">
        <w:rPr>
          <w:b/>
        </w:rPr>
        <w:fldChar w:fldCharType="begin"/>
      </w:r>
      <w:r w:rsidRPr="002B5A86">
        <w:rPr>
          <w:b/>
        </w:rPr>
        <w:instrText xml:space="preserve"> SEQ Graf \* ARABIC </w:instrText>
      </w:r>
      <w:r w:rsidRPr="002B5A86">
        <w:rPr>
          <w:b/>
        </w:rPr>
        <w:fldChar w:fldCharType="separate"/>
      </w:r>
      <w:r w:rsidR="00B043AC">
        <w:rPr>
          <w:b/>
          <w:noProof/>
        </w:rPr>
        <w:t>9</w:t>
      </w:r>
      <w:r w:rsidRPr="002B5A86">
        <w:rPr>
          <w:b/>
        </w:rPr>
        <w:fldChar w:fldCharType="end"/>
      </w:r>
      <w:r w:rsidR="004D2AC0" w:rsidRPr="00C56392">
        <w:rPr>
          <w:b/>
        </w:rPr>
        <w:t xml:space="preserve">: </w:t>
      </w:r>
      <w:r w:rsidR="004D2AC0">
        <w:rPr>
          <w:b/>
        </w:rPr>
        <w:t>Výzkum a vývoj financovaný v Česku ze zdrojů EU</w:t>
      </w:r>
    </w:p>
    <w:p w14:paraId="535585B6" w14:textId="758735CC" w:rsidR="004D2AC0" w:rsidRDefault="00FD1BF6" w:rsidP="004D2AC0">
      <w:pPr>
        <w:jc w:val="both"/>
        <w:rPr>
          <w:i/>
          <w:sz w:val="16"/>
        </w:rPr>
      </w:pPr>
      <w:r>
        <w:rPr>
          <w:noProof/>
        </w:rPr>
        <w:drawing>
          <wp:inline distT="0" distB="0" distL="0" distR="0" wp14:anchorId="5F27D52F" wp14:editId="76B14F4B">
            <wp:extent cx="6047740" cy="2952000"/>
            <wp:effectExtent l="0" t="0" r="0" b="1270"/>
            <wp:docPr id="52" name="Graf 5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5B83AD6" w14:textId="2643FBE7" w:rsidR="00261DBF" w:rsidRPr="00E607EB" w:rsidRDefault="004D2AC0" w:rsidP="00EB1C91">
      <w:pPr>
        <w:jc w:val="both"/>
      </w:pPr>
      <w:r w:rsidRPr="00B91063">
        <w:rPr>
          <w:i/>
          <w:sz w:val="16"/>
        </w:rPr>
        <w:t xml:space="preserve">Zdroj dat: ČSÚ – Šetření o </w:t>
      </w:r>
      <w:proofErr w:type="spellStart"/>
      <w:r w:rsidRPr="00B91063">
        <w:rPr>
          <w:i/>
          <w:sz w:val="16"/>
        </w:rPr>
        <w:t>VaV</w:t>
      </w:r>
      <w:proofErr w:type="spellEnd"/>
      <w:r w:rsidRPr="00B91063">
        <w:rPr>
          <w:i/>
          <w:sz w:val="16"/>
        </w:rPr>
        <w:t xml:space="preserve"> (VTR 5-01)</w:t>
      </w:r>
    </w:p>
    <w:p w14:paraId="57B5F03E" w14:textId="4A2248E0" w:rsidR="005C3DF6" w:rsidRPr="007239E6" w:rsidRDefault="00BB5FE5" w:rsidP="005C3CD6">
      <w:pPr>
        <w:pStyle w:val="Nadpis2"/>
        <w:pageBreakBefore/>
        <w:spacing w:after="120"/>
        <w:jc w:val="both"/>
        <w:rPr>
          <w:sz w:val="24"/>
        </w:rPr>
      </w:pPr>
      <w:r w:rsidRPr="007239E6">
        <w:rPr>
          <w:sz w:val="24"/>
        </w:rPr>
        <w:lastRenderedPageBreak/>
        <w:t>3.</w:t>
      </w:r>
      <w:r w:rsidR="008777BA" w:rsidRPr="007239E6">
        <w:rPr>
          <w:sz w:val="24"/>
        </w:rPr>
        <w:t xml:space="preserve">2 </w:t>
      </w:r>
      <w:r w:rsidR="00EA00A2" w:rsidRPr="007239E6">
        <w:rPr>
          <w:sz w:val="24"/>
        </w:rPr>
        <w:t>Nepřímá veřejná pod</w:t>
      </w:r>
      <w:r w:rsidR="00E75176">
        <w:rPr>
          <w:sz w:val="24"/>
        </w:rPr>
        <w:t xml:space="preserve">pora </w:t>
      </w:r>
      <w:proofErr w:type="spellStart"/>
      <w:r w:rsidR="00E75176">
        <w:rPr>
          <w:sz w:val="24"/>
        </w:rPr>
        <w:t>VaV</w:t>
      </w:r>
      <w:proofErr w:type="spellEnd"/>
      <w:r w:rsidR="00E75176">
        <w:rPr>
          <w:sz w:val="24"/>
        </w:rPr>
        <w:t xml:space="preserve"> v soukromých podnicích</w:t>
      </w:r>
      <w:r w:rsidR="006A622B">
        <w:rPr>
          <w:sz w:val="24"/>
        </w:rPr>
        <w:t xml:space="preserve"> v Česku</w:t>
      </w:r>
    </w:p>
    <w:p w14:paraId="79CE65D1" w14:textId="259AFCB5" w:rsidR="00261DBF" w:rsidRPr="009733C8" w:rsidRDefault="006979C7" w:rsidP="00524CD4">
      <w:pPr>
        <w:spacing w:before="120"/>
        <w:jc w:val="both"/>
      </w:pPr>
      <w:r w:rsidRPr="009C6C13">
        <w:t xml:space="preserve">Instrument nepřímé veřejné podpory </w:t>
      </w:r>
      <w:r w:rsidR="00887167" w:rsidRPr="009C6C13">
        <w:t>výzkumu a vývoje byl v České republice</w:t>
      </w:r>
      <w:r w:rsidRPr="009C6C13">
        <w:t xml:space="preserve"> z</w:t>
      </w:r>
      <w:r w:rsidR="001B00E4" w:rsidRPr="009C6C13">
        <w:t>aveden v roce 2005, kdy podniky</w:t>
      </w:r>
      <w:r w:rsidRPr="009C6C13">
        <w:t xml:space="preserve"> provádějící </w:t>
      </w:r>
      <w:r w:rsidR="00C76348" w:rsidRPr="009C6C13">
        <w:t>výzkum a vývoj</w:t>
      </w:r>
      <w:r w:rsidRPr="009C6C13">
        <w:t xml:space="preserve"> mohly poprvé odečíst své náklady (výdaje) související s realizací </w:t>
      </w:r>
      <w:proofErr w:type="spellStart"/>
      <w:r w:rsidRPr="009C6C13">
        <w:t>VaV</w:t>
      </w:r>
      <w:proofErr w:type="spellEnd"/>
      <w:r w:rsidRPr="009C6C13">
        <w:t xml:space="preserve"> </w:t>
      </w:r>
      <w:r w:rsidRPr="00684459">
        <w:t>projektů</w:t>
      </w:r>
      <w:r w:rsidR="005F17D5" w:rsidRPr="00684459">
        <w:t xml:space="preserve"> od základu daně</w:t>
      </w:r>
      <w:r w:rsidR="001F6760" w:rsidRPr="00684459">
        <w:t xml:space="preserve"> z příjmu</w:t>
      </w:r>
      <w:r w:rsidRPr="00684459">
        <w:t xml:space="preserve">. V období let </w:t>
      </w:r>
      <w:r w:rsidR="002F7270" w:rsidRPr="00684459">
        <w:t>2005</w:t>
      </w:r>
      <w:r w:rsidRPr="00684459">
        <w:t xml:space="preserve"> až 2015 počet soukromých podniků</w:t>
      </w:r>
      <w:r w:rsidR="00527437" w:rsidRPr="00F3116D">
        <w:rPr>
          <w:rStyle w:val="Znakapoznpodarou"/>
        </w:rPr>
        <w:footnoteReference w:id="1"/>
      </w:r>
      <w:r w:rsidRPr="00684459">
        <w:t>, které pro své výzkumné a vývojové činnosti využily daňovou podporu</w:t>
      </w:r>
      <w:r w:rsidR="001B22A7" w:rsidRPr="00684459">
        <w:t xml:space="preserve"> </w:t>
      </w:r>
      <w:proofErr w:type="spellStart"/>
      <w:r w:rsidR="001B22A7" w:rsidRPr="00684459">
        <w:t>VaV</w:t>
      </w:r>
      <w:proofErr w:type="spellEnd"/>
      <w:r w:rsidR="00EC14A4">
        <w:t>,</w:t>
      </w:r>
      <w:r w:rsidR="001B22A7" w:rsidRPr="00684459">
        <w:t xml:space="preserve"> kontinuálně rostl</w:t>
      </w:r>
      <w:r w:rsidR="00B03CC3" w:rsidRPr="00684459">
        <w:t xml:space="preserve"> </w:t>
      </w:r>
      <w:r w:rsidRPr="00684459">
        <w:t xml:space="preserve">průměrným </w:t>
      </w:r>
      <w:r w:rsidR="001B22A7" w:rsidRPr="00684459">
        <w:t>ročním tempem 11</w:t>
      </w:r>
      <w:r w:rsidR="00A540A1">
        <w:t> </w:t>
      </w:r>
      <w:r w:rsidRPr="00684459">
        <w:t>%.</w:t>
      </w:r>
      <w:r w:rsidR="00636984" w:rsidRPr="00636984">
        <w:t xml:space="preserve"> Pokud v roce 2005 využilo odečet výdajů na </w:t>
      </w:r>
      <w:proofErr w:type="spellStart"/>
      <w:r w:rsidR="00636984" w:rsidRPr="00636984">
        <w:t>VaV</w:t>
      </w:r>
      <w:proofErr w:type="spellEnd"/>
      <w:r w:rsidR="00636984" w:rsidRPr="00636984">
        <w:t xml:space="preserve"> celkem 454 podniků, pak v roce 2015 jich bylo 1 306, tedy skoro 3x více.</w:t>
      </w:r>
      <w:r w:rsidRPr="00636984">
        <w:t xml:space="preserve"> </w:t>
      </w:r>
      <w:r w:rsidR="00261DBF" w:rsidRPr="00684459">
        <w:t xml:space="preserve">Rostoucí trend </w:t>
      </w:r>
      <w:r w:rsidRPr="00684459">
        <w:t xml:space="preserve">skončil </w:t>
      </w:r>
      <w:r w:rsidR="00B21349">
        <w:t xml:space="preserve">právě </w:t>
      </w:r>
      <w:r w:rsidRPr="00684459">
        <w:t>v roce 201</w:t>
      </w:r>
      <w:r w:rsidR="00992BDC" w:rsidRPr="00684459">
        <w:t>5</w:t>
      </w:r>
      <w:r w:rsidR="00B21349">
        <w:t xml:space="preserve"> a</w:t>
      </w:r>
      <w:r w:rsidR="00C576C1" w:rsidRPr="00684459">
        <w:t xml:space="preserve"> od tohoto roku již počet podniků</w:t>
      </w:r>
      <w:r w:rsidR="00E714C9">
        <w:t xml:space="preserve"> využívajících nepřímou podporu </w:t>
      </w:r>
      <w:proofErr w:type="spellStart"/>
      <w:r w:rsidR="00E714C9">
        <w:t>VaV</w:t>
      </w:r>
      <w:proofErr w:type="spellEnd"/>
      <w:r w:rsidR="009A12B4">
        <w:t xml:space="preserve"> setrvale</w:t>
      </w:r>
      <w:r w:rsidR="00C576C1" w:rsidRPr="00684459">
        <w:t xml:space="preserve"> klesá</w:t>
      </w:r>
      <w:r w:rsidR="0023441C">
        <w:t>. V</w:t>
      </w:r>
      <w:r w:rsidR="00B4494E">
        <w:t> roce 2019</w:t>
      </w:r>
      <w:r w:rsidR="00C576C1" w:rsidRPr="00684459">
        <w:t xml:space="preserve"> </w:t>
      </w:r>
      <w:r w:rsidR="00B4494E">
        <w:t xml:space="preserve">uplatnilo daňový odečet na </w:t>
      </w:r>
      <w:proofErr w:type="spellStart"/>
      <w:r w:rsidR="00B4494E">
        <w:t>VaV</w:t>
      </w:r>
      <w:proofErr w:type="spellEnd"/>
      <w:r w:rsidR="00B4494E">
        <w:t xml:space="preserve"> 940</w:t>
      </w:r>
      <w:r w:rsidR="0023441C">
        <w:t> </w:t>
      </w:r>
      <w:r w:rsidR="00C576C1" w:rsidRPr="00684459">
        <w:t xml:space="preserve">podniků, což bylo téměř o </w:t>
      </w:r>
      <w:r w:rsidR="00B4494E">
        <w:t>sto podniků méně než v roce 2018</w:t>
      </w:r>
      <w:r w:rsidR="00C576C1" w:rsidRPr="00684459">
        <w:t xml:space="preserve"> </w:t>
      </w:r>
      <w:r w:rsidR="00812945">
        <w:t xml:space="preserve">a </w:t>
      </w:r>
      <w:r w:rsidR="00C576C1" w:rsidRPr="009733C8">
        <w:t xml:space="preserve">o </w:t>
      </w:r>
      <w:r w:rsidR="00B4494E">
        <w:t>366 méně než v roce 2015</w:t>
      </w:r>
      <w:r w:rsidR="00C576C1" w:rsidRPr="009733C8">
        <w:t>.</w:t>
      </w:r>
    </w:p>
    <w:p w14:paraId="6D96D37E" w14:textId="1F82B0C7" w:rsidR="00E6382B" w:rsidRPr="00674B6E" w:rsidRDefault="00674B6E" w:rsidP="00674B6E">
      <w:pPr>
        <w:keepNext/>
        <w:spacing w:before="120"/>
        <w:jc w:val="both"/>
      </w:pPr>
      <w:r w:rsidRPr="00674B6E">
        <w:rPr>
          <w:b/>
        </w:rPr>
        <w:t xml:space="preserve">Graf </w:t>
      </w:r>
      <w:r w:rsidRPr="00674B6E">
        <w:rPr>
          <w:b/>
        </w:rPr>
        <w:fldChar w:fldCharType="begin"/>
      </w:r>
      <w:r w:rsidRPr="00674B6E">
        <w:rPr>
          <w:b/>
        </w:rPr>
        <w:instrText xml:space="preserve"> SEQ Graf \* ARABIC </w:instrText>
      </w:r>
      <w:r w:rsidRPr="00674B6E">
        <w:rPr>
          <w:b/>
        </w:rPr>
        <w:fldChar w:fldCharType="separate"/>
      </w:r>
      <w:r w:rsidR="00B043AC">
        <w:rPr>
          <w:b/>
          <w:noProof/>
        </w:rPr>
        <w:t>10</w:t>
      </w:r>
      <w:r w:rsidRPr="00674B6E">
        <w:rPr>
          <w:b/>
        </w:rPr>
        <w:fldChar w:fldCharType="end"/>
      </w:r>
      <w:r w:rsidR="00E6382B" w:rsidRPr="00FF3BD8">
        <w:rPr>
          <w:b/>
        </w:rPr>
        <w:t>: Nepřímá veřejná pod</w:t>
      </w:r>
      <w:r w:rsidR="008909AD" w:rsidRPr="00FF3BD8">
        <w:rPr>
          <w:b/>
        </w:rPr>
        <w:t xml:space="preserve">pora </w:t>
      </w:r>
      <w:proofErr w:type="spellStart"/>
      <w:r w:rsidR="008909AD" w:rsidRPr="00FF3BD8">
        <w:rPr>
          <w:b/>
        </w:rPr>
        <w:t>VaV</w:t>
      </w:r>
      <w:proofErr w:type="spellEnd"/>
      <w:r w:rsidR="00E6382B" w:rsidRPr="00FF3BD8">
        <w:rPr>
          <w:b/>
        </w:rPr>
        <w:t xml:space="preserve"> </w:t>
      </w:r>
      <w:r w:rsidR="00812945">
        <w:rPr>
          <w:b/>
        </w:rPr>
        <w:t>v Česku prostřednictvím daňových úlev</w:t>
      </w:r>
    </w:p>
    <w:p w14:paraId="4E3C689B" w14:textId="16B3DCE4" w:rsidR="00B72231" w:rsidRPr="00A93FD6" w:rsidRDefault="009073C2" w:rsidP="0023441C">
      <w:pPr>
        <w:jc w:val="both"/>
      </w:pPr>
      <w:r>
        <w:rPr>
          <w:noProof/>
        </w:rPr>
        <w:drawing>
          <wp:inline distT="0" distB="0" distL="0" distR="0" wp14:anchorId="0D2DCD4E" wp14:editId="0B3BDE65">
            <wp:extent cx="6082425" cy="2495625"/>
            <wp:effectExtent l="0" t="0" r="0" b="0"/>
            <wp:docPr id="13" name="Graf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7E85E86F" w14:textId="77777777" w:rsidR="00B72231" w:rsidRPr="00FF3BD8" w:rsidRDefault="00B72231" w:rsidP="00511C88">
      <w:pPr>
        <w:spacing w:before="120"/>
        <w:jc w:val="both"/>
        <w:rPr>
          <w:i/>
          <w:sz w:val="16"/>
        </w:rPr>
      </w:pPr>
      <w:r w:rsidRPr="00FF3BD8">
        <w:rPr>
          <w:i/>
          <w:sz w:val="16"/>
        </w:rPr>
        <w:t>Zdroj dat: ČSÚ podle administrativních dat GFŘ</w:t>
      </w:r>
    </w:p>
    <w:p w14:paraId="7232DA44" w14:textId="0D49495E" w:rsidR="00027D2B" w:rsidRPr="002B74ED" w:rsidRDefault="00285B5F" w:rsidP="00224077">
      <w:pPr>
        <w:spacing w:before="120"/>
        <w:jc w:val="both"/>
      </w:pPr>
      <w:r w:rsidRPr="00021023">
        <w:t>S narůstajícím</w:t>
      </w:r>
      <w:r w:rsidR="002E24FF" w:rsidRPr="00021023">
        <w:t> počt</w:t>
      </w:r>
      <w:r w:rsidRPr="00021023">
        <w:t>em</w:t>
      </w:r>
      <w:r w:rsidR="002E24FF" w:rsidRPr="00021023">
        <w:t xml:space="preserve"> podniků využívajících </w:t>
      </w:r>
      <w:r w:rsidR="0004366C" w:rsidRPr="00021023">
        <w:t>nepřímou veřejnou podporu</w:t>
      </w:r>
      <w:r w:rsidR="002E24FF" w:rsidRPr="00021023">
        <w:t xml:space="preserve"> </w:t>
      </w:r>
      <w:proofErr w:type="spellStart"/>
      <w:r w:rsidR="002E24FF" w:rsidRPr="00021023">
        <w:t>VaV</w:t>
      </w:r>
      <w:proofErr w:type="spellEnd"/>
      <w:r w:rsidR="002E24FF" w:rsidRPr="00021023">
        <w:t xml:space="preserve"> rostly </w:t>
      </w:r>
      <w:r w:rsidR="00DC1338" w:rsidRPr="00021023">
        <w:t xml:space="preserve">rovněž </w:t>
      </w:r>
      <w:r w:rsidR="00261DBF" w:rsidRPr="00021023">
        <w:t xml:space="preserve">souhrnné odečtené výdaje na </w:t>
      </w:r>
      <w:proofErr w:type="spellStart"/>
      <w:r w:rsidR="00261DBF" w:rsidRPr="00021023">
        <w:t>VaV</w:t>
      </w:r>
      <w:proofErr w:type="spellEnd"/>
      <w:r w:rsidR="00261DBF" w:rsidRPr="00021023">
        <w:t xml:space="preserve">, i když nikoliv kontinuálně jako v případě </w:t>
      </w:r>
      <w:r w:rsidR="00361916" w:rsidRPr="00021023">
        <w:t xml:space="preserve">ukazatele </w:t>
      </w:r>
      <w:r w:rsidR="00261DBF" w:rsidRPr="00021023">
        <w:t xml:space="preserve">počtu soukromých podniků využívajících </w:t>
      </w:r>
      <w:r w:rsidR="005C20C3" w:rsidRPr="00021023">
        <w:t>daňovou podporu</w:t>
      </w:r>
      <w:r w:rsidR="00261DBF" w:rsidRPr="00021023">
        <w:t xml:space="preserve"> </w:t>
      </w:r>
      <w:proofErr w:type="spellStart"/>
      <w:r w:rsidR="00261DBF" w:rsidRPr="00021023">
        <w:t>VaV</w:t>
      </w:r>
      <w:proofErr w:type="spellEnd"/>
      <w:r w:rsidR="00261DBF" w:rsidRPr="00021023">
        <w:t>.</w:t>
      </w:r>
      <w:r w:rsidR="002E24FF" w:rsidRPr="00021023">
        <w:t xml:space="preserve"> </w:t>
      </w:r>
      <w:r w:rsidR="00261DBF" w:rsidRPr="00021023">
        <w:t xml:space="preserve">Po roce 2010, kdy se daňová sazba </w:t>
      </w:r>
      <w:r w:rsidR="00361916" w:rsidRPr="00021023">
        <w:t xml:space="preserve">právnických osob </w:t>
      </w:r>
      <w:r w:rsidR="00261DBF" w:rsidRPr="00021023">
        <w:t xml:space="preserve">ustálila na </w:t>
      </w:r>
      <w:r w:rsidR="00517B68" w:rsidRPr="00021023">
        <w:t xml:space="preserve">hodnotě </w:t>
      </w:r>
      <w:r w:rsidR="00261DBF" w:rsidRPr="00021023">
        <w:t xml:space="preserve">19 %, </w:t>
      </w:r>
      <w:r w:rsidR="005C20C3" w:rsidRPr="00021023">
        <w:t xml:space="preserve">rostla </w:t>
      </w:r>
      <w:r w:rsidR="00261DBF" w:rsidRPr="00021023">
        <w:t xml:space="preserve">výše nepřímé veřejné podpory </w:t>
      </w:r>
      <w:proofErr w:type="spellStart"/>
      <w:r w:rsidR="00261DBF" w:rsidRPr="00021023">
        <w:t>VaV</w:t>
      </w:r>
      <w:proofErr w:type="spellEnd"/>
      <w:r w:rsidR="00261DBF" w:rsidRPr="00021023">
        <w:t xml:space="preserve"> </w:t>
      </w:r>
      <w:r w:rsidR="005C20C3" w:rsidRPr="00021023">
        <w:t>nepřetržitě až do roku 2013, následně přichází trend střídání pok</w:t>
      </w:r>
      <w:r w:rsidR="00082755" w:rsidRPr="00021023">
        <w:t>lesů (roky 2014, 2016) a nárůstů</w:t>
      </w:r>
      <w:r w:rsidR="005C20C3" w:rsidRPr="00021023">
        <w:t xml:space="preserve"> (roky 2015, 2017). </w:t>
      </w:r>
      <w:r w:rsidR="004752A7" w:rsidRPr="00021023">
        <w:t>V roce 2017</w:t>
      </w:r>
      <w:r w:rsidR="00923A83" w:rsidRPr="00021023">
        <w:t xml:space="preserve"> sice</w:t>
      </w:r>
      <w:r w:rsidR="00AD2E3D" w:rsidRPr="00021023">
        <w:t xml:space="preserve"> </w:t>
      </w:r>
      <w:r w:rsidR="004752A7" w:rsidRPr="00021023">
        <w:t>poklesl</w:t>
      </w:r>
      <w:r w:rsidR="00027D2B" w:rsidRPr="00021023">
        <w:t xml:space="preserve"> počet soukromý</w:t>
      </w:r>
      <w:r w:rsidR="005C20C3" w:rsidRPr="00021023">
        <w:t>ch</w:t>
      </w:r>
      <w:r w:rsidR="00260106" w:rsidRPr="00021023">
        <w:t xml:space="preserve"> podniků, které pro svůj výzkum a vývoj využily nepřím</w:t>
      </w:r>
      <w:r w:rsidR="00517B68" w:rsidRPr="00021023">
        <w:t>ou podporu</w:t>
      </w:r>
      <w:r w:rsidR="00AD2E3D" w:rsidRPr="00021023">
        <w:t xml:space="preserve"> </w:t>
      </w:r>
      <w:proofErr w:type="spellStart"/>
      <w:r w:rsidR="00AD2E3D" w:rsidRPr="00021023">
        <w:t>VaV</w:t>
      </w:r>
      <w:proofErr w:type="spellEnd"/>
      <w:r w:rsidR="00517B68" w:rsidRPr="00021023">
        <w:t xml:space="preserve">, </w:t>
      </w:r>
      <w:r w:rsidR="004752A7" w:rsidRPr="00021023">
        <w:t xml:space="preserve">ale zvýšil se </w:t>
      </w:r>
      <w:r w:rsidR="00260106" w:rsidRPr="00021023">
        <w:t xml:space="preserve">objem odečtených výdajů na </w:t>
      </w:r>
      <w:proofErr w:type="spellStart"/>
      <w:r w:rsidR="00260106" w:rsidRPr="00021023">
        <w:t>VaV</w:t>
      </w:r>
      <w:proofErr w:type="spellEnd"/>
      <w:r w:rsidR="005C20C3" w:rsidRPr="00021023">
        <w:t xml:space="preserve"> </w:t>
      </w:r>
      <w:r w:rsidR="005C20C3" w:rsidRPr="002B74ED">
        <w:t xml:space="preserve">a tím i částka uplatněné daňové podpory </w:t>
      </w:r>
      <w:proofErr w:type="spellStart"/>
      <w:r w:rsidR="005C20C3" w:rsidRPr="002B74ED">
        <w:t>VaV</w:t>
      </w:r>
      <w:proofErr w:type="spellEnd"/>
      <w:r w:rsidR="00260106" w:rsidRPr="002B74ED">
        <w:t xml:space="preserve">. </w:t>
      </w:r>
      <w:r w:rsidR="00923A83" w:rsidRPr="002B74ED">
        <w:t xml:space="preserve">Stejně jako v roce </w:t>
      </w:r>
      <w:r w:rsidR="00C8321D">
        <w:t xml:space="preserve">2017 tomu pak bylo i </w:t>
      </w:r>
      <w:r w:rsidR="00251FD4">
        <w:t xml:space="preserve">v </w:t>
      </w:r>
      <w:r w:rsidR="00C8321D">
        <w:t>letech 2018 a 2019</w:t>
      </w:r>
      <w:r w:rsidR="00923A83" w:rsidRPr="002B74ED">
        <w:t xml:space="preserve">, kdy i přes pokles počtu soukromých podniků využívajících nepřímou podporu </w:t>
      </w:r>
      <w:proofErr w:type="spellStart"/>
      <w:r w:rsidR="00923A83" w:rsidRPr="002B74ED">
        <w:t>VaV</w:t>
      </w:r>
      <w:proofErr w:type="spellEnd"/>
      <w:r w:rsidR="00923A83" w:rsidRPr="002B74ED">
        <w:t xml:space="preserve"> se i nadále zvyšoval objem odečtených výdajů na </w:t>
      </w:r>
      <w:proofErr w:type="spellStart"/>
      <w:r w:rsidR="00923A83" w:rsidRPr="002B74ED">
        <w:t>VaV</w:t>
      </w:r>
      <w:proofErr w:type="spellEnd"/>
      <w:r w:rsidR="00923A83" w:rsidRPr="002B74ED">
        <w:t>.</w:t>
      </w:r>
    </w:p>
    <w:p w14:paraId="23EC4AEE" w14:textId="492DE8CF" w:rsidR="00101389" w:rsidRPr="00082C01" w:rsidRDefault="00EE3EA9" w:rsidP="00EE3EA9">
      <w:pPr>
        <w:spacing w:before="120"/>
        <w:jc w:val="both"/>
      </w:pPr>
      <w:r>
        <w:t xml:space="preserve">V roce 2005 byly od základu daně v daňových přiznáních podniků odečteny výdaje na </w:t>
      </w:r>
      <w:proofErr w:type="spellStart"/>
      <w:r>
        <w:t>VaV</w:t>
      </w:r>
      <w:proofErr w:type="spellEnd"/>
      <w:r>
        <w:t xml:space="preserve"> v souhrnném objemu 3,2 mld. Kč, čímž byla získána nepřímá veřejná podpora </w:t>
      </w:r>
      <w:proofErr w:type="spellStart"/>
      <w:r>
        <w:t>VaV</w:t>
      </w:r>
      <w:proofErr w:type="spellEnd"/>
      <w:r>
        <w:t xml:space="preserve"> v hodnotě 819 mil. Kč.</w:t>
      </w:r>
      <w:r w:rsidRPr="002B74ED">
        <w:rPr>
          <w:rStyle w:val="Znakapoznpodarou"/>
        </w:rPr>
        <w:footnoteReference w:id="2"/>
      </w:r>
      <w:r w:rsidR="00C8321D">
        <w:t xml:space="preserve"> Naproti tomu v roce 2019</w:t>
      </w:r>
      <w:r w:rsidR="009733C8">
        <w:t xml:space="preserve"> </w:t>
      </w:r>
      <w:r w:rsidR="002E24FF" w:rsidRPr="00D2433D">
        <w:t>dosáhl</w:t>
      </w:r>
      <w:r w:rsidR="001F1EA8" w:rsidRPr="00D2433D">
        <w:t>y</w:t>
      </w:r>
      <w:r w:rsidR="002E24FF" w:rsidRPr="00D2433D">
        <w:t xml:space="preserve"> odečten</w:t>
      </w:r>
      <w:r w:rsidR="001F1EA8" w:rsidRPr="00D2433D">
        <w:t>é</w:t>
      </w:r>
      <w:r w:rsidR="002E24FF" w:rsidRPr="00D2433D">
        <w:t xml:space="preserve"> výdaj</w:t>
      </w:r>
      <w:r w:rsidR="001F1EA8" w:rsidRPr="00D2433D">
        <w:t>e</w:t>
      </w:r>
      <w:r w:rsidR="00C8321D">
        <w:t xml:space="preserve"> </w:t>
      </w:r>
      <w:r w:rsidR="000B1936">
        <w:t xml:space="preserve">již </w:t>
      </w:r>
      <w:r w:rsidR="00C8321D">
        <w:t>14</w:t>
      </w:r>
      <w:r w:rsidR="004752A7" w:rsidRPr="00D2433D">
        <w:t>,</w:t>
      </w:r>
      <w:r w:rsidR="00C8321D">
        <w:t>4</w:t>
      </w:r>
      <w:r w:rsidR="002E24FF" w:rsidRPr="00D2433D">
        <w:t> mld. Kč.</w:t>
      </w:r>
      <w:r w:rsidR="00124C7E" w:rsidRPr="00D2433D">
        <w:t xml:space="preserve"> Při dané sazbě daně právnických osob </w:t>
      </w:r>
      <w:r w:rsidR="00B1291C" w:rsidRPr="00D2433D">
        <w:t xml:space="preserve">činila </w:t>
      </w:r>
      <w:r w:rsidR="00124C7E" w:rsidRPr="00D2433D">
        <w:t>výše</w:t>
      </w:r>
      <w:r w:rsidR="004752A7" w:rsidRPr="00D2433D">
        <w:t xml:space="preserve"> nepřímé veřejné podpory </w:t>
      </w:r>
      <w:proofErr w:type="spellStart"/>
      <w:r w:rsidR="004752A7" w:rsidRPr="00D2433D">
        <w:t>VaV</w:t>
      </w:r>
      <w:proofErr w:type="spellEnd"/>
      <w:r w:rsidR="004752A7" w:rsidRPr="00D2433D">
        <w:t xml:space="preserve"> 2,</w:t>
      </w:r>
      <w:r w:rsidR="00C8321D">
        <w:t>7</w:t>
      </w:r>
      <w:r w:rsidR="00124C7E" w:rsidRPr="00D2433D">
        <w:t xml:space="preserve"> mld. Kč.</w:t>
      </w:r>
      <w:r w:rsidR="00503742" w:rsidRPr="00D2433D">
        <w:t xml:space="preserve"> </w:t>
      </w:r>
      <w:r w:rsidR="00BF3D17" w:rsidRPr="00D2433D">
        <w:t xml:space="preserve">Srovnáme-li hodnotu </w:t>
      </w:r>
      <w:r w:rsidR="00C8321D">
        <w:t>s rokem 2018</w:t>
      </w:r>
      <w:r w:rsidR="00FA564F" w:rsidRPr="00D2433D">
        <w:t xml:space="preserve">, </w:t>
      </w:r>
      <w:r w:rsidR="004752A7" w:rsidRPr="00D2433D">
        <w:t>vzrostla</w:t>
      </w:r>
      <w:r w:rsidR="00BF3D17" w:rsidRPr="00D2433D">
        <w:t xml:space="preserve"> podpora </w:t>
      </w:r>
      <w:r w:rsidR="00E20999" w:rsidRPr="00D2433D">
        <w:t>o</w:t>
      </w:r>
      <w:r w:rsidR="004752A7" w:rsidRPr="00D2433D">
        <w:t xml:space="preserve"> </w:t>
      </w:r>
      <w:r w:rsidR="00C8321D">
        <w:t>145</w:t>
      </w:r>
      <w:r w:rsidR="00533490" w:rsidRPr="00D2433D">
        <w:t> mil. </w:t>
      </w:r>
      <w:r w:rsidR="002B74ED" w:rsidRPr="00D2433D">
        <w:t>Kč</w:t>
      </w:r>
      <w:r w:rsidR="00413856" w:rsidRPr="00D2433D">
        <w:t>.</w:t>
      </w:r>
      <w:r w:rsidR="00E20999" w:rsidRPr="00D2433D">
        <w:t xml:space="preserve"> </w:t>
      </w:r>
      <w:r w:rsidR="001A2F1F" w:rsidRPr="00D2433D">
        <w:t>Za období let 20</w:t>
      </w:r>
      <w:r w:rsidR="006E445B">
        <w:t>10</w:t>
      </w:r>
      <w:r w:rsidR="001A2F1F" w:rsidRPr="00D2433D">
        <w:t xml:space="preserve"> až </w:t>
      </w:r>
      <w:r w:rsidR="00C8321D">
        <w:t>2019</w:t>
      </w:r>
      <w:r w:rsidR="0004366C" w:rsidRPr="00D2433D">
        <w:t xml:space="preserve"> </w:t>
      </w:r>
      <w:r w:rsidR="00854C42" w:rsidRPr="00D2433D">
        <w:t xml:space="preserve">ušetřily </w:t>
      </w:r>
      <w:r w:rsidR="0004366C" w:rsidRPr="00D2433D">
        <w:t>soukromé podniky díky daňov</w:t>
      </w:r>
      <w:r w:rsidR="004752A7" w:rsidRPr="00D2433D">
        <w:t xml:space="preserve">é podpoře </w:t>
      </w:r>
      <w:proofErr w:type="spellStart"/>
      <w:r w:rsidR="004752A7" w:rsidRPr="00D2433D">
        <w:t>VaV</w:t>
      </w:r>
      <w:proofErr w:type="spellEnd"/>
      <w:r w:rsidR="004752A7" w:rsidRPr="00D2433D">
        <w:t xml:space="preserve"> částku 2</w:t>
      </w:r>
      <w:r w:rsidR="006E445B">
        <w:t>2</w:t>
      </w:r>
      <w:r w:rsidR="004752A7" w:rsidRPr="00D2433D">
        <w:t>,</w:t>
      </w:r>
      <w:r w:rsidR="006E445B">
        <w:t>4</w:t>
      </w:r>
      <w:r w:rsidR="00533490" w:rsidRPr="00D2433D">
        <w:t> mld. </w:t>
      </w:r>
      <w:r w:rsidR="0004366C" w:rsidRPr="00D2433D">
        <w:t>Kč</w:t>
      </w:r>
      <w:r w:rsidR="00D72D65" w:rsidRPr="00D2433D">
        <w:t xml:space="preserve">. Od základu daně </w:t>
      </w:r>
      <w:r w:rsidR="0004366C" w:rsidRPr="00D2433D">
        <w:t>od</w:t>
      </w:r>
      <w:r w:rsidR="00FA564F" w:rsidRPr="00D2433D">
        <w:t xml:space="preserve">ečetly výdaje na </w:t>
      </w:r>
      <w:proofErr w:type="spellStart"/>
      <w:r w:rsidR="00FA564F" w:rsidRPr="00D2433D">
        <w:t>VaV</w:t>
      </w:r>
      <w:proofErr w:type="spellEnd"/>
      <w:r w:rsidR="00FA564F" w:rsidRPr="00D2433D">
        <w:t xml:space="preserve"> </w:t>
      </w:r>
      <w:r>
        <w:t>o</w:t>
      </w:r>
      <w:r w:rsidR="00533490" w:rsidRPr="00D2433D">
        <w:t xml:space="preserve"> celkovém </w:t>
      </w:r>
      <w:r w:rsidR="00FA564F" w:rsidRPr="00D2433D">
        <w:t xml:space="preserve">objemu </w:t>
      </w:r>
      <w:r w:rsidR="004752A7" w:rsidRPr="00D2433D">
        <w:t>1</w:t>
      </w:r>
      <w:r w:rsidR="006E445B">
        <w:t>18</w:t>
      </w:r>
      <w:r w:rsidR="00FA564F" w:rsidRPr="00D2433D">
        <w:t> mld. </w:t>
      </w:r>
      <w:r w:rsidR="0004366C" w:rsidRPr="00D2433D">
        <w:t>Kč</w:t>
      </w:r>
      <w:r w:rsidR="004C008B" w:rsidRPr="00D2433D">
        <w:t>.</w:t>
      </w:r>
      <w:r w:rsidR="00E20999" w:rsidRPr="00D2433D">
        <w:t xml:space="preserve"> </w:t>
      </w:r>
      <w:r w:rsidR="004C0F0B">
        <w:t>V průměru na j</w:t>
      </w:r>
      <w:r w:rsidR="00C8321D">
        <w:t>eden podnik připadal v roce 2019 odečet ve výši 15</w:t>
      </w:r>
      <w:r w:rsidR="004C0F0B">
        <w:t>,</w:t>
      </w:r>
      <w:r w:rsidR="00C8321D">
        <w:t>3</w:t>
      </w:r>
      <w:r w:rsidR="004C0F0B">
        <w:t> mil. Kč</w:t>
      </w:r>
      <w:r w:rsidR="00067B63">
        <w:t>.</w:t>
      </w:r>
      <w:r w:rsidR="004C0F0B">
        <w:t xml:space="preserve"> </w:t>
      </w:r>
      <w:r w:rsidR="00C8321D">
        <w:t>Oproti roku 2018</w:t>
      </w:r>
      <w:r w:rsidR="004C0F0B">
        <w:t xml:space="preserve"> </w:t>
      </w:r>
      <w:r w:rsidR="00FB3A1F">
        <w:t>se odečet na jeden podnik zvýšil</w:t>
      </w:r>
      <w:r w:rsidR="00C8321D">
        <w:t xml:space="preserve"> v průměru o 2,2</w:t>
      </w:r>
      <w:r w:rsidR="000B1936">
        <w:t> </w:t>
      </w:r>
      <w:r w:rsidR="004C0F0B">
        <w:t xml:space="preserve">mil. Kč. </w:t>
      </w:r>
      <w:r>
        <w:t xml:space="preserve"> </w:t>
      </w:r>
      <w:r w:rsidRPr="00EE3EA9">
        <w:t>Odečet připadající</w:t>
      </w:r>
      <w:r w:rsidR="00C8321D">
        <w:t xml:space="preserve"> na jeden podnik byl v roce 2019</w:t>
      </w:r>
      <w:r w:rsidR="006E445B">
        <w:t xml:space="preserve"> rekordní</w:t>
      </w:r>
      <w:r w:rsidRPr="00EE3EA9">
        <w:t>.</w:t>
      </w:r>
    </w:p>
    <w:p w14:paraId="0A89FFE4" w14:textId="6213BEDC" w:rsidR="002401BE" w:rsidRPr="00847610" w:rsidRDefault="00847610" w:rsidP="00847610">
      <w:pPr>
        <w:keepNext/>
        <w:spacing w:before="120"/>
        <w:jc w:val="both"/>
      </w:pPr>
      <w:r w:rsidRPr="00847610">
        <w:rPr>
          <w:b/>
        </w:rPr>
        <w:lastRenderedPageBreak/>
        <w:t xml:space="preserve">Graf </w:t>
      </w:r>
      <w:r w:rsidRPr="00847610">
        <w:rPr>
          <w:b/>
        </w:rPr>
        <w:fldChar w:fldCharType="begin"/>
      </w:r>
      <w:r w:rsidRPr="00847610">
        <w:rPr>
          <w:b/>
        </w:rPr>
        <w:instrText xml:space="preserve"> SEQ Graf \* ARABIC </w:instrText>
      </w:r>
      <w:r w:rsidRPr="00847610">
        <w:rPr>
          <w:b/>
        </w:rPr>
        <w:fldChar w:fldCharType="separate"/>
      </w:r>
      <w:r w:rsidR="00B043AC">
        <w:rPr>
          <w:b/>
          <w:noProof/>
        </w:rPr>
        <w:t>11</w:t>
      </w:r>
      <w:r w:rsidRPr="00847610">
        <w:rPr>
          <w:b/>
        </w:rPr>
        <w:fldChar w:fldCharType="end"/>
      </w:r>
      <w:r w:rsidR="002401BE" w:rsidRPr="00795CBA">
        <w:rPr>
          <w:b/>
        </w:rPr>
        <w:t xml:space="preserve">: </w:t>
      </w:r>
      <w:r w:rsidR="00FE0EDF" w:rsidRPr="00FE0EDF">
        <w:rPr>
          <w:b/>
        </w:rPr>
        <w:t xml:space="preserve">Uplatněný odečet výdajů na realizaci projektů </w:t>
      </w:r>
      <w:proofErr w:type="spellStart"/>
      <w:r w:rsidR="00FE0EDF" w:rsidRPr="00FE0EDF">
        <w:rPr>
          <w:b/>
        </w:rPr>
        <w:t>VaV</w:t>
      </w:r>
      <w:proofErr w:type="spellEnd"/>
      <w:r w:rsidR="00FE0EDF" w:rsidRPr="00FE0EDF">
        <w:rPr>
          <w:b/>
        </w:rPr>
        <w:t xml:space="preserve"> z daně příjmu </w:t>
      </w:r>
      <w:r w:rsidR="00821033">
        <w:rPr>
          <w:b/>
        </w:rPr>
        <w:t>soukromých podniků</w:t>
      </w:r>
      <w:r w:rsidR="002401BE" w:rsidRPr="00795CBA">
        <w:rPr>
          <w:b/>
        </w:rPr>
        <w:t xml:space="preserve"> </w:t>
      </w:r>
    </w:p>
    <w:p w14:paraId="6B2A9322" w14:textId="66087762" w:rsidR="002401BE" w:rsidRPr="00CE7D64" w:rsidRDefault="00F919BA" w:rsidP="00F80F7B">
      <w:pPr>
        <w:spacing w:before="120"/>
        <w:jc w:val="both"/>
      </w:pPr>
      <w:r>
        <w:rPr>
          <w:noProof/>
        </w:rPr>
        <w:drawing>
          <wp:inline distT="0" distB="0" distL="0" distR="0" wp14:anchorId="6DD8E27C" wp14:editId="12CF7CC5">
            <wp:extent cx="6084017" cy="2570800"/>
            <wp:effectExtent l="0" t="0" r="0" b="1270"/>
            <wp:docPr id="14" name="Graf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5B5B803A" w14:textId="77777777" w:rsidR="0034730D" w:rsidRPr="00CE7D64" w:rsidRDefault="0034730D" w:rsidP="00F80F7B">
      <w:pPr>
        <w:spacing w:before="120"/>
        <w:jc w:val="both"/>
        <w:rPr>
          <w:i/>
          <w:sz w:val="16"/>
        </w:rPr>
      </w:pPr>
      <w:r w:rsidRPr="00CE7D64">
        <w:rPr>
          <w:i/>
          <w:sz w:val="16"/>
        </w:rPr>
        <w:t>Zdroj dat: ČSÚ podle administrativních dat GFŘ</w:t>
      </w:r>
    </w:p>
    <w:p w14:paraId="7CA9113A" w14:textId="1A5D2759" w:rsidR="00CA2942" w:rsidRDefault="00EE7AE5" w:rsidP="00A01405">
      <w:pPr>
        <w:spacing w:before="120"/>
        <w:jc w:val="both"/>
      </w:pPr>
      <w:r>
        <w:t xml:space="preserve">Podniky nemusely své výdaje na </w:t>
      </w:r>
      <w:proofErr w:type="spellStart"/>
      <w:r>
        <w:t>VaV</w:t>
      </w:r>
      <w:proofErr w:type="spellEnd"/>
      <w:r>
        <w:t xml:space="preserve"> uplatnit v daňovém přiznání pro daný rok, kdy </w:t>
      </w:r>
      <w:r w:rsidR="009C5F70">
        <w:t xml:space="preserve">jim </w:t>
      </w:r>
      <w:r>
        <w:t xml:space="preserve">výdaje na </w:t>
      </w:r>
      <w:proofErr w:type="spellStart"/>
      <w:r>
        <w:t>VaV</w:t>
      </w:r>
      <w:proofErr w:type="spellEnd"/>
      <w:r>
        <w:t xml:space="preserve"> vznikly, ale mohly</w:t>
      </w:r>
      <w:r w:rsidR="009C5F70">
        <w:t xml:space="preserve"> </w:t>
      </w:r>
      <w:r>
        <w:t xml:space="preserve">buď </w:t>
      </w:r>
      <w:r w:rsidR="00262C71">
        <w:t>c</w:t>
      </w:r>
      <w:r w:rsidR="004268C5">
        <w:t>elé,</w:t>
      </w:r>
      <w:r w:rsidR="00262C71">
        <w:t xml:space="preserve"> nebo</w:t>
      </w:r>
      <w:r>
        <w:t xml:space="preserve"> jejich část </w:t>
      </w:r>
      <w:r w:rsidR="009C5F70">
        <w:t xml:space="preserve">převést </w:t>
      </w:r>
      <w:r>
        <w:t>do další</w:t>
      </w:r>
      <w:r w:rsidR="00212408">
        <w:t>ho</w:t>
      </w:r>
      <w:r>
        <w:t xml:space="preserve"> roku a </w:t>
      </w:r>
      <w:r w:rsidR="00CE4B01">
        <w:t>uplatnit odečet později –</w:t>
      </w:r>
      <w:r>
        <w:t xml:space="preserve"> nejpozději však do 3</w:t>
      </w:r>
      <w:r w:rsidR="00BA42D1">
        <w:t> </w:t>
      </w:r>
      <w:r>
        <w:t>let od jejich vzniku.</w:t>
      </w:r>
      <w:r w:rsidR="00F95055">
        <w:t xml:space="preserve"> V roce 2019 </w:t>
      </w:r>
      <w:r w:rsidR="002866FC">
        <w:t xml:space="preserve">převedlo část výdajů na </w:t>
      </w:r>
      <w:proofErr w:type="spellStart"/>
      <w:r w:rsidR="002866FC">
        <w:t>VaV</w:t>
      </w:r>
      <w:proofErr w:type="spellEnd"/>
      <w:r w:rsidR="00E23409">
        <w:t xml:space="preserve"> k pozdějšímu uplatnění 387 </w:t>
      </w:r>
      <w:r w:rsidR="00F95055">
        <w:t xml:space="preserve">podniků. </w:t>
      </w:r>
      <w:r w:rsidR="00CE4B01">
        <w:t>Neuplatněná</w:t>
      </w:r>
      <w:r w:rsidR="00F95055">
        <w:t xml:space="preserve"> výše výdajů na </w:t>
      </w:r>
      <w:proofErr w:type="spellStart"/>
      <w:r w:rsidR="00F95055">
        <w:t>VaV</w:t>
      </w:r>
      <w:proofErr w:type="spellEnd"/>
      <w:r w:rsidR="00F95055">
        <w:t xml:space="preserve"> dosáhla 6,2</w:t>
      </w:r>
      <w:r w:rsidR="00BA42D1">
        <w:t> </w:t>
      </w:r>
      <w:r w:rsidR="00F95055">
        <w:t>mld.</w:t>
      </w:r>
      <w:r w:rsidR="00BA42D1">
        <w:t> </w:t>
      </w:r>
      <w:r w:rsidR="00F95055">
        <w:t xml:space="preserve">Kč. </w:t>
      </w:r>
      <w:r w:rsidR="0074284E">
        <w:t>Rekordní</w:t>
      </w:r>
      <w:r w:rsidR="00F95055">
        <w:t xml:space="preserve"> výše</w:t>
      </w:r>
      <w:r w:rsidR="00731218">
        <w:t xml:space="preserve"> převedených výdajů na </w:t>
      </w:r>
      <w:proofErr w:type="spellStart"/>
      <w:r w:rsidR="00731218">
        <w:t>VaV</w:t>
      </w:r>
      <w:proofErr w:type="spellEnd"/>
      <w:r w:rsidR="00731218">
        <w:t xml:space="preserve"> (9,6 </w:t>
      </w:r>
      <w:r w:rsidR="00F95055">
        <w:t>mld.</w:t>
      </w:r>
      <w:r w:rsidR="00BA42D1">
        <w:t> </w:t>
      </w:r>
      <w:r w:rsidR="00F95055">
        <w:t>Kč) k pozdějšímu uplatnění byla zaznamenána v roce 2016.</w:t>
      </w:r>
      <w:r w:rsidR="00CE4B01">
        <w:t xml:space="preserve"> </w:t>
      </w:r>
      <w:r w:rsidR="0074284E">
        <w:t xml:space="preserve">Rok 2016 byl v tomto ohledu mimořádný. Od roku 2014 (vyjma roku 2016) se výše neuplatněných výdajů </w:t>
      </w:r>
      <w:proofErr w:type="spellStart"/>
      <w:r w:rsidR="0074284E">
        <w:t>VaV</w:t>
      </w:r>
      <w:proofErr w:type="spellEnd"/>
      <w:r w:rsidR="0074284E">
        <w:t xml:space="preserve"> pohybuje v rozmezí mezi 4 až 6 mld. Kč.</w:t>
      </w:r>
    </w:p>
    <w:p w14:paraId="327AF95B" w14:textId="3D743D8B" w:rsidR="00CA2942" w:rsidRPr="00472A71" w:rsidRDefault="00472A71" w:rsidP="00472A71">
      <w:pPr>
        <w:keepNext/>
        <w:spacing w:before="120"/>
        <w:jc w:val="both"/>
      </w:pPr>
      <w:r w:rsidRPr="00472A71">
        <w:rPr>
          <w:b/>
        </w:rPr>
        <w:t xml:space="preserve">Graf </w:t>
      </w:r>
      <w:r w:rsidRPr="00472A71">
        <w:rPr>
          <w:b/>
        </w:rPr>
        <w:fldChar w:fldCharType="begin"/>
      </w:r>
      <w:r w:rsidRPr="00472A71">
        <w:rPr>
          <w:b/>
        </w:rPr>
        <w:instrText xml:space="preserve"> SEQ Graf \* ARABIC </w:instrText>
      </w:r>
      <w:r w:rsidRPr="00472A71">
        <w:rPr>
          <w:b/>
        </w:rPr>
        <w:fldChar w:fldCharType="separate"/>
      </w:r>
      <w:r w:rsidR="00B043AC">
        <w:rPr>
          <w:b/>
          <w:noProof/>
        </w:rPr>
        <w:t>12</w:t>
      </w:r>
      <w:r w:rsidRPr="00472A71">
        <w:rPr>
          <w:b/>
        </w:rPr>
        <w:fldChar w:fldCharType="end"/>
      </w:r>
      <w:r w:rsidR="00CA2942" w:rsidRPr="001A3984">
        <w:rPr>
          <w:b/>
        </w:rPr>
        <w:t>:</w:t>
      </w:r>
      <w:r w:rsidR="00CA2942" w:rsidRPr="00795CBA">
        <w:rPr>
          <w:b/>
        </w:rPr>
        <w:t xml:space="preserve"> </w:t>
      </w:r>
      <w:r w:rsidR="00CA2942">
        <w:rPr>
          <w:b/>
        </w:rPr>
        <w:t>Neu</w:t>
      </w:r>
      <w:r w:rsidR="00CA2942" w:rsidRPr="00FE0EDF">
        <w:rPr>
          <w:b/>
        </w:rPr>
        <w:t xml:space="preserve">platněný odečet výdajů na realizaci projektů </w:t>
      </w:r>
      <w:proofErr w:type="spellStart"/>
      <w:r w:rsidR="00CA2942" w:rsidRPr="00FE0EDF">
        <w:rPr>
          <w:b/>
        </w:rPr>
        <w:t>VaV</w:t>
      </w:r>
      <w:proofErr w:type="spellEnd"/>
      <w:r w:rsidR="00CA2942" w:rsidRPr="00FE0EDF">
        <w:rPr>
          <w:b/>
        </w:rPr>
        <w:t xml:space="preserve"> z daně příjmu </w:t>
      </w:r>
      <w:r w:rsidR="00CA2942">
        <w:rPr>
          <w:b/>
        </w:rPr>
        <w:t>soukromých p</w:t>
      </w:r>
      <w:r w:rsidR="000B1936">
        <w:rPr>
          <w:b/>
        </w:rPr>
        <w:t>odniků</w:t>
      </w:r>
    </w:p>
    <w:p w14:paraId="1BA633D8" w14:textId="60A69A95" w:rsidR="00CA2942" w:rsidRDefault="00DE4922" w:rsidP="00CA2942">
      <w:r>
        <w:rPr>
          <w:noProof/>
        </w:rPr>
        <w:drawing>
          <wp:inline distT="0" distB="0" distL="0" distR="0" wp14:anchorId="72851D6B" wp14:editId="7804DD3F">
            <wp:extent cx="6107300" cy="2570800"/>
            <wp:effectExtent l="0" t="0" r="8255" b="1270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6893B47A" w14:textId="4A57FEB6" w:rsidR="00A01405" w:rsidRPr="00CA2942" w:rsidRDefault="00A01405" w:rsidP="00CA2942">
      <w:r w:rsidRPr="00CE7D64">
        <w:rPr>
          <w:i/>
          <w:sz w:val="16"/>
        </w:rPr>
        <w:t>Zdroj dat: ČSÚ podle administrativních dat GFŘ</w:t>
      </w:r>
    </w:p>
    <w:p w14:paraId="3FE500E3" w14:textId="3E23C0D2" w:rsidR="008B07CF" w:rsidRPr="00C108E2" w:rsidRDefault="008B07CF" w:rsidP="00C108E2">
      <w:pPr>
        <w:pStyle w:val="Nadpis3"/>
        <w:spacing w:before="240" w:after="120"/>
        <w:rPr>
          <w:sz w:val="22"/>
          <w:szCs w:val="22"/>
        </w:rPr>
      </w:pPr>
      <w:r w:rsidRPr="00C108E2">
        <w:rPr>
          <w:sz w:val="22"/>
          <w:szCs w:val="22"/>
        </w:rPr>
        <w:t xml:space="preserve">3.2.1 </w:t>
      </w:r>
      <w:r w:rsidR="00FE0EDF" w:rsidRPr="00C108E2">
        <w:rPr>
          <w:sz w:val="22"/>
          <w:szCs w:val="22"/>
        </w:rPr>
        <w:t>P</w:t>
      </w:r>
      <w:r w:rsidRPr="00C108E2">
        <w:rPr>
          <w:sz w:val="22"/>
          <w:szCs w:val="22"/>
        </w:rPr>
        <w:t>odle výše podpory</w:t>
      </w:r>
    </w:p>
    <w:p w14:paraId="02567B34" w14:textId="189E88C7" w:rsidR="0018416B" w:rsidRDefault="000F0D50" w:rsidP="00224077">
      <w:pPr>
        <w:spacing w:before="120"/>
        <w:jc w:val="both"/>
      </w:pPr>
      <w:r>
        <w:t>V roce 2019</w:t>
      </w:r>
      <w:r w:rsidR="00CC73F3">
        <w:t xml:space="preserve"> utratily téměř tři čtvrtiny podnik</w:t>
      </w:r>
      <w:r w:rsidR="00454F72">
        <w:t>ů za výzkum a vývoj méně než 10 </w:t>
      </w:r>
      <w:r w:rsidR="00CC73F3">
        <w:t xml:space="preserve">mil. Kč. Pětina podniků pak vydala za </w:t>
      </w:r>
      <w:proofErr w:type="spellStart"/>
      <w:r w:rsidR="00CC73F3">
        <w:t>VaV</w:t>
      </w:r>
      <w:proofErr w:type="spellEnd"/>
      <w:r w:rsidR="00CC73F3">
        <w:t xml:space="preserve"> částku mezi 10</w:t>
      </w:r>
      <w:r w:rsidR="00EF103D">
        <w:t>–</w:t>
      </w:r>
      <w:r w:rsidR="00CC73F3">
        <w:t>50 milion</w:t>
      </w:r>
      <w:r w:rsidR="00924430">
        <w:t>y</w:t>
      </w:r>
      <w:r w:rsidR="00CC73F3">
        <w:t xml:space="preserve"> korun a pouze 7 % podniků vložilo do výzkumu a vývoje částku přesahující padesát milionů korun. Právě z faktu, že většina podniků utratila</w:t>
      </w:r>
      <w:r w:rsidR="00FF5881">
        <w:t xml:space="preserve"> za </w:t>
      </w:r>
      <w:proofErr w:type="spellStart"/>
      <w:r w:rsidR="00FF5881">
        <w:t>VaV</w:t>
      </w:r>
      <w:proofErr w:type="spellEnd"/>
      <w:r w:rsidR="00CC73F3">
        <w:t xml:space="preserve"> částku menší než deset mili</w:t>
      </w:r>
      <w:r w:rsidR="00527437">
        <w:t>o</w:t>
      </w:r>
      <w:r w:rsidR="00CC73F3">
        <w:t>nů korun</w:t>
      </w:r>
      <w:r w:rsidR="00527437">
        <w:t>,</w:t>
      </w:r>
      <w:r w:rsidR="00752784">
        <w:t xml:space="preserve"> vyplývá, že 64</w:t>
      </w:r>
      <w:r w:rsidR="00CC73F3">
        <w:t> % podniků při uplatnění daňové</w:t>
      </w:r>
      <w:r w:rsidR="002D7293">
        <w:t xml:space="preserve"> podpory</w:t>
      </w:r>
      <w:r w:rsidR="00CC73F3">
        <w:t xml:space="preserve"> ušetřilo méně než jeden mili</w:t>
      </w:r>
      <w:r w:rsidR="00527437">
        <w:t>o</w:t>
      </w:r>
      <w:r w:rsidR="00CC73F3">
        <w:t xml:space="preserve">n korun. </w:t>
      </w:r>
      <w:r w:rsidR="00D05CBC" w:rsidRPr="00B42BB5">
        <w:t>Naopak n</w:t>
      </w:r>
      <w:r w:rsidR="00A11E10" w:rsidRPr="00B42BB5">
        <w:t xml:space="preserve">epřímou veřejnou podporu </w:t>
      </w:r>
      <w:proofErr w:type="spellStart"/>
      <w:r w:rsidR="00A11E10" w:rsidRPr="00B42BB5">
        <w:t>VaV</w:t>
      </w:r>
      <w:proofErr w:type="spellEnd"/>
      <w:r w:rsidR="00A11E10" w:rsidRPr="00B42BB5">
        <w:t xml:space="preserve"> </w:t>
      </w:r>
      <w:r w:rsidR="0023512E" w:rsidRPr="00B42BB5">
        <w:t xml:space="preserve">přesahující 10 mil. Kč </w:t>
      </w:r>
      <w:r w:rsidR="00924430" w:rsidRPr="00B42BB5">
        <w:t>získal</w:t>
      </w:r>
      <w:r w:rsidR="00924430">
        <w:t>o</w:t>
      </w:r>
      <w:r w:rsidR="00924430" w:rsidRPr="00B42BB5">
        <w:t xml:space="preserve"> </w:t>
      </w:r>
      <w:r w:rsidR="00D05CBC" w:rsidRPr="00B42BB5">
        <w:t xml:space="preserve">jen </w:t>
      </w:r>
      <w:r w:rsidR="00752784">
        <w:t>5</w:t>
      </w:r>
      <w:r w:rsidR="00454F72">
        <w:t> </w:t>
      </w:r>
      <w:r w:rsidR="00F02B3F" w:rsidRPr="000F3C4B">
        <w:t>%</w:t>
      </w:r>
      <w:r w:rsidR="00B42BB5" w:rsidRPr="000F3C4B">
        <w:t xml:space="preserve"> (4</w:t>
      </w:r>
      <w:r w:rsidR="00752784" w:rsidRPr="000F3C4B">
        <w:t>4</w:t>
      </w:r>
      <w:r w:rsidR="00D05CBC" w:rsidRPr="000F3C4B">
        <w:t>)</w:t>
      </w:r>
      <w:r w:rsidR="00DE1008" w:rsidRPr="00B42BB5">
        <w:t xml:space="preserve"> </w:t>
      </w:r>
      <w:r w:rsidR="00501BA8" w:rsidRPr="00B42BB5">
        <w:t xml:space="preserve">soukromých </w:t>
      </w:r>
      <w:r w:rsidR="00DE1008" w:rsidRPr="00B42BB5">
        <w:t>podniků</w:t>
      </w:r>
      <w:r w:rsidR="00645A9B" w:rsidRPr="00B42BB5">
        <w:t xml:space="preserve">, </w:t>
      </w:r>
      <w:r w:rsidR="00B42BB5" w:rsidRPr="00B42BB5">
        <w:t>z </w:t>
      </w:r>
      <w:r w:rsidR="00527437">
        <w:t>nichž</w:t>
      </w:r>
      <w:r w:rsidR="00752784">
        <w:t xml:space="preserve"> 29</w:t>
      </w:r>
      <w:r w:rsidR="00645A9B" w:rsidRPr="00B42BB5">
        <w:t xml:space="preserve"> mělo zahraniční vlastníky</w:t>
      </w:r>
      <w:r w:rsidR="00645A9B" w:rsidRPr="00FF5881">
        <w:t xml:space="preserve">. </w:t>
      </w:r>
      <w:r w:rsidR="005A704F" w:rsidRPr="00FF5881">
        <w:t>Nejvíce podniků (</w:t>
      </w:r>
      <w:r w:rsidR="00752784">
        <w:t>454</w:t>
      </w:r>
      <w:r w:rsidR="005A704F" w:rsidRPr="00FF5881">
        <w:t xml:space="preserve">) ušetří daňovým odečtem výdajů na </w:t>
      </w:r>
      <w:proofErr w:type="spellStart"/>
      <w:r w:rsidR="005A704F" w:rsidRPr="00FF5881">
        <w:t>VaV</w:t>
      </w:r>
      <w:proofErr w:type="spellEnd"/>
      <w:r w:rsidR="005A704F" w:rsidRPr="00FF5881">
        <w:t xml:space="preserve"> částku v rozmezí 0,1 až 0,99 mil. Kč.</w:t>
      </w:r>
      <w:r w:rsidR="00D67670" w:rsidRPr="00FF5881">
        <w:t xml:space="preserve"> </w:t>
      </w:r>
    </w:p>
    <w:p w14:paraId="6CE44610" w14:textId="70C2FFDF" w:rsidR="00527437" w:rsidRPr="00B04526" w:rsidRDefault="00B04526" w:rsidP="00B04526">
      <w:pPr>
        <w:keepNext/>
        <w:spacing w:before="120"/>
      </w:pPr>
      <w:r w:rsidRPr="00B04526">
        <w:rPr>
          <w:b/>
        </w:rPr>
        <w:lastRenderedPageBreak/>
        <w:t xml:space="preserve">Graf </w:t>
      </w:r>
      <w:r w:rsidRPr="00B04526">
        <w:rPr>
          <w:b/>
        </w:rPr>
        <w:fldChar w:fldCharType="begin"/>
      </w:r>
      <w:r w:rsidRPr="00B04526">
        <w:rPr>
          <w:b/>
        </w:rPr>
        <w:instrText xml:space="preserve"> SEQ Graf \* ARABIC </w:instrText>
      </w:r>
      <w:r w:rsidRPr="00B04526">
        <w:rPr>
          <w:b/>
        </w:rPr>
        <w:fldChar w:fldCharType="separate"/>
      </w:r>
      <w:r w:rsidR="00B043AC">
        <w:rPr>
          <w:b/>
          <w:noProof/>
        </w:rPr>
        <w:t>13</w:t>
      </w:r>
      <w:r w:rsidRPr="00B04526">
        <w:rPr>
          <w:b/>
        </w:rPr>
        <w:fldChar w:fldCharType="end"/>
      </w:r>
      <w:r w:rsidR="00FC47B4" w:rsidRPr="001F0D70">
        <w:rPr>
          <w:b/>
        </w:rPr>
        <w:t>:</w:t>
      </w:r>
      <w:r w:rsidR="00FC47B4" w:rsidRPr="001852F7">
        <w:rPr>
          <w:b/>
        </w:rPr>
        <w:t xml:space="preserve"> </w:t>
      </w:r>
      <w:r w:rsidR="00527437">
        <w:rPr>
          <w:b/>
        </w:rPr>
        <w:t xml:space="preserve">Počet soukromých </w:t>
      </w:r>
      <w:r w:rsidR="00FC47B4" w:rsidRPr="001852F7">
        <w:rPr>
          <w:b/>
        </w:rPr>
        <w:t>podnik</w:t>
      </w:r>
      <w:r w:rsidR="00527437">
        <w:rPr>
          <w:b/>
        </w:rPr>
        <w:t>ů, které využily daňovou</w:t>
      </w:r>
      <w:r w:rsidR="004E7D3D" w:rsidRPr="001852F7">
        <w:rPr>
          <w:b/>
        </w:rPr>
        <w:t xml:space="preserve"> podpor</w:t>
      </w:r>
      <w:r w:rsidR="000265DC" w:rsidRPr="001852F7">
        <w:rPr>
          <w:b/>
        </w:rPr>
        <w:t>u</w:t>
      </w:r>
      <w:r w:rsidR="004E7D3D" w:rsidRPr="001852F7">
        <w:rPr>
          <w:b/>
        </w:rPr>
        <w:t xml:space="preserve"> </w:t>
      </w:r>
      <w:proofErr w:type="spellStart"/>
      <w:r w:rsidR="004E7D3D" w:rsidRPr="001852F7">
        <w:rPr>
          <w:b/>
        </w:rPr>
        <w:t>VaV</w:t>
      </w:r>
      <w:proofErr w:type="spellEnd"/>
      <w:r w:rsidR="009A7503" w:rsidRPr="001852F7">
        <w:rPr>
          <w:b/>
        </w:rPr>
        <w:t xml:space="preserve"> podle výše</w:t>
      </w:r>
      <w:r w:rsidR="001852F7" w:rsidRPr="001852F7">
        <w:rPr>
          <w:b/>
        </w:rPr>
        <w:t xml:space="preserve"> </w:t>
      </w:r>
      <w:r w:rsidR="00E20E82">
        <w:rPr>
          <w:b/>
        </w:rPr>
        <w:t xml:space="preserve">této </w:t>
      </w:r>
      <w:r w:rsidR="00E20E82" w:rsidRPr="00910D1F">
        <w:rPr>
          <w:b/>
        </w:rPr>
        <w:t>podpory</w:t>
      </w:r>
      <w:r w:rsidR="0097638C" w:rsidRPr="00B04526">
        <w:rPr>
          <w:b/>
        </w:rPr>
        <w:t xml:space="preserve"> </w:t>
      </w:r>
    </w:p>
    <w:p w14:paraId="6EDC8D7E" w14:textId="41CBBC4B" w:rsidR="00FC47B4" w:rsidRPr="0095288C" w:rsidRDefault="00B043AC" w:rsidP="00381E40">
      <w:pPr>
        <w:rPr>
          <w:b/>
        </w:rPr>
      </w:pPr>
      <w:r>
        <w:rPr>
          <w:noProof/>
        </w:rPr>
        <w:drawing>
          <wp:inline distT="0" distB="0" distL="0" distR="0" wp14:anchorId="400369C1" wp14:editId="734CDC85">
            <wp:extent cx="6120000" cy="3060000"/>
            <wp:effectExtent l="0" t="0" r="0" b="7620"/>
            <wp:docPr id="16" name="Graf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bookmarkStart w:id="1" w:name="_GoBack"/>
      <w:bookmarkEnd w:id="1"/>
    </w:p>
    <w:p w14:paraId="1E2D1F66" w14:textId="0D6810C8" w:rsidR="00BF24B9" w:rsidRDefault="00FC47B4" w:rsidP="00E36C13">
      <w:pPr>
        <w:spacing w:after="120"/>
        <w:jc w:val="both"/>
        <w:rPr>
          <w:i/>
          <w:sz w:val="16"/>
        </w:rPr>
      </w:pPr>
      <w:r w:rsidRPr="001852F7">
        <w:rPr>
          <w:i/>
          <w:sz w:val="16"/>
        </w:rPr>
        <w:t xml:space="preserve">Zdroj: ČSÚ podle administrativních dat GFŘ </w:t>
      </w:r>
    </w:p>
    <w:p w14:paraId="62FCFBFE" w14:textId="7C62B70E" w:rsidR="00910D1F" w:rsidRDefault="00910D1F" w:rsidP="00910D1F">
      <w:pPr>
        <w:spacing w:before="120"/>
        <w:jc w:val="both"/>
      </w:pPr>
      <w:r>
        <w:t xml:space="preserve">Podniků, které získaly nepřímou podporu </w:t>
      </w:r>
      <w:proofErr w:type="spellStart"/>
      <w:r>
        <w:t>VaV</w:t>
      </w:r>
      <w:proofErr w:type="spellEnd"/>
      <w:r>
        <w:t xml:space="preserve"> nižší než jeden milion korun</w:t>
      </w:r>
      <w:r w:rsidR="00292F17">
        <w:t>,</w:t>
      </w:r>
      <w:r w:rsidR="002B0E1F">
        <w:t xml:space="preserve"> bylo v roce 2019 celkem 604</w:t>
      </w:r>
      <w:r>
        <w:t xml:space="preserve"> a dohromady jim b</w:t>
      </w:r>
      <w:r w:rsidR="002B0E1F">
        <w:t>yla vyplacena celková částka 202</w:t>
      </w:r>
      <w:r>
        <w:t> mil. Kč. Částku mezi jedním až deseti miliony korun ušetř</w:t>
      </w:r>
      <w:r w:rsidR="002B0E1F">
        <w:t xml:space="preserve">ilo díky nepřímé podpoře </w:t>
      </w:r>
      <w:proofErr w:type="spellStart"/>
      <w:r w:rsidR="002B0E1F">
        <w:t>VaV</w:t>
      </w:r>
      <w:proofErr w:type="spellEnd"/>
      <w:r w:rsidR="002B0E1F">
        <w:t xml:space="preserve"> 292</w:t>
      </w:r>
      <w:r>
        <w:t xml:space="preserve"> podniků a v součtu </w:t>
      </w:r>
      <w:r w:rsidR="002B0E1F">
        <w:t>obdržely tyto podniky částku 834</w:t>
      </w:r>
      <w:r>
        <w:t> mi</w:t>
      </w:r>
      <w:r w:rsidR="002B0E1F">
        <w:t>l. Kč. Více než 1,6</w:t>
      </w:r>
      <w:r>
        <w:t> mld. Kč pak díky nepřímé p</w:t>
      </w:r>
      <w:r w:rsidR="002B0E1F">
        <w:t xml:space="preserve">odpoře </w:t>
      </w:r>
      <w:proofErr w:type="spellStart"/>
      <w:r w:rsidR="002B0E1F">
        <w:t>VaV</w:t>
      </w:r>
      <w:proofErr w:type="spellEnd"/>
      <w:r w:rsidR="002B0E1F">
        <w:t xml:space="preserve"> ušetřilo dohromady 44</w:t>
      </w:r>
      <w:r>
        <w:t> podniků, u nichž činila tato podpora více než deset milionů korun.</w:t>
      </w:r>
    </w:p>
    <w:p w14:paraId="76159681" w14:textId="0D958BB0" w:rsidR="006E48D6" w:rsidRPr="008B07CF" w:rsidRDefault="006E48D6" w:rsidP="00C108E2">
      <w:pPr>
        <w:pStyle w:val="Nadpis3"/>
        <w:spacing w:before="240" w:after="120"/>
        <w:rPr>
          <w:sz w:val="22"/>
          <w:szCs w:val="22"/>
        </w:rPr>
      </w:pPr>
      <w:r w:rsidRPr="008B07CF">
        <w:rPr>
          <w:sz w:val="22"/>
          <w:szCs w:val="22"/>
        </w:rPr>
        <w:t>3.2</w:t>
      </w:r>
      <w:r>
        <w:rPr>
          <w:sz w:val="22"/>
          <w:szCs w:val="22"/>
        </w:rPr>
        <w:t>.2</w:t>
      </w:r>
      <w:r w:rsidRPr="008B07CF">
        <w:rPr>
          <w:sz w:val="22"/>
          <w:szCs w:val="22"/>
        </w:rPr>
        <w:t xml:space="preserve"> </w:t>
      </w:r>
      <w:r w:rsidR="00527437">
        <w:rPr>
          <w:sz w:val="22"/>
          <w:szCs w:val="22"/>
        </w:rPr>
        <w:t>P</w:t>
      </w:r>
      <w:r>
        <w:rPr>
          <w:sz w:val="22"/>
          <w:szCs w:val="22"/>
        </w:rPr>
        <w:t>odle vlastnictví podniku</w:t>
      </w:r>
    </w:p>
    <w:p w14:paraId="1306F849" w14:textId="17E077B1" w:rsidR="00F3116D" w:rsidRPr="00F3116D" w:rsidRDefault="00D26413" w:rsidP="002A31E9">
      <w:pPr>
        <w:spacing w:before="120"/>
        <w:jc w:val="both"/>
      </w:pPr>
      <w:r>
        <w:t>P</w:t>
      </w:r>
      <w:r w:rsidR="009142BB" w:rsidRPr="00F3116D">
        <w:t xml:space="preserve">očet </w:t>
      </w:r>
      <w:r w:rsidR="00731782" w:rsidRPr="00F3116D">
        <w:t>domácí</w:t>
      </w:r>
      <w:r w:rsidR="009142BB" w:rsidRPr="00F3116D">
        <w:t>ch</w:t>
      </w:r>
      <w:r w:rsidR="00731782" w:rsidRPr="00F3116D">
        <w:t xml:space="preserve"> </w:t>
      </w:r>
      <w:r w:rsidR="00D90BEC" w:rsidRPr="00F3116D">
        <w:t>podnik</w:t>
      </w:r>
      <w:r w:rsidR="009142BB" w:rsidRPr="00F3116D">
        <w:t>ů</w:t>
      </w:r>
      <w:r w:rsidR="00D90BEC" w:rsidRPr="00F3116D">
        <w:t xml:space="preserve"> </w:t>
      </w:r>
      <w:r w:rsidR="00523DBF" w:rsidRPr="00F3116D">
        <w:t xml:space="preserve">provádějících </w:t>
      </w:r>
      <w:proofErr w:type="spellStart"/>
      <w:r w:rsidR="00523DBF" w:rsidRPr="00F3116D">
        <w:t>VaV</w:t>
      </w:r>
      <w:proofErr w:type="spellEnd"/>
      <w:r w:rsidR="00523DBF" w:rsidRPr="00F3116D">
        <w:t xml:space="preserve"> je výrazně vyšší než</w:t>
      </w:r>
      <w:r w:rsidR="00963AA4" w:rsidRPr="00F3116D">
        <w:t xml:space="preserve"> </w:t>
      </w:r>
      <w:r>
        <w:t xml:space="preserve">těch </w:t>
      </w:r>
      <w:r w:rsidR="000265DC" w:rsidRPr="00F3116D">
        <w:t xml:space="preserve">pod </w:t>
      </w:r>
      <w:r w:rsidR="00731782" w:rsidRPr="00F3116D">
        <w:t>zahraniční</w:t>
      </w:r>
      <w:r w:rsidR="00D90BEC" w:rsidRPr="00F3116D">
        <w:t xml:space="preserve"> </w:t>
      </w:r>
      <w:r w:rsidR="000265DC" w:rsidRPr="00F3116D">
        <w:t>kontrolou</w:t>
      </w:r>
      <w:r w:rsidR="00D90BEC" w:rsidRPr="00F3116D">
        <w:t xml:space="preserve">. </w:t>
      </w:r>
      <w:r w:rsidR="003A1F7F" w:rsidRPr="00F3116D">
        <w:t>V posledních pěti letech</w:t>
      </w:r>
      <w:r w:rsidR="00D90BEC" w:rsidRPr="00F3116D">
        <w:t xml:space="preserve"> na jeden podnik pod zahraniční kontrolou provádějící </w:t>
      </w:r>
      <w:proofErr w:type="spellStart"/>
      <w:r w:rsidR="00D90BEC" w:rsidRPr="00F3116D">
        <w:t>VaV</w:t>
      </w:r>
      <w:proofErr w:type="spellEnd"/>
      <w:r w:rsidR="00D90BEC" w:rsidRPr="00F3116D">
        <w:t xml:space="preserve"> připadaly tři </w:t>
      </w:r>
      <w:r w:rsidR="00622C23">
        <w:t xml:space="preserve">podniky </w:t>
      </w:r>
      <w:r w:rsidR="00963AA4" w:rsidRPr="00F3116D">
        <w:t>domácí</w:t>
      </w:r>
      <w:r w:rsidR="00D90BEC" w:rsidRPr="00F3116D">
        <w:t>.</w:t>
      </w:r>
      <w:r w:rsidR="008E41C1" w:rsidRPr="00F3116D">
        <w:t xml:space="preserve"> </w:t>
      </w:r>
      <w:r w:rsidR="00622C23">
        <w:t xml:space="preserve">I </w:t>
      </w:r>
      <w:r w:rsidR="003B0D78">
        <w:t xml:space="preserve">v případě nepřímé podpory tuto možnost častěji využívají domácí podniky než ty pod zahraniční kontrolou, i když méně výrazně. </w:t>
      </w:r>
      <w:r w:rsidR="0034612C">
        <w:t>V roce 2019</w:t>
      </w:r>
      <w:r w:rsidR="00713E26">
        <w:t xml:space="preserve"> tak bylo mezi příjemc</w:t>
      </w:r>
      <w:r w:rsidR="0034612C">
        <w:t xml:space="preserve">i nepřímé veřejné podpory </w:t>
      </w:r>
      <w:proofErr w:type="spellStart"/>
      <w:r w:rsidR="0034612C">
        <w:t>VaV</w:t>
      </w:r>
      <w:proofErr w:type="spellEnd"/>
      <w:r w:rsidR="0034612C">
        <w:t xml:space="preserve"> 72 % podniků domácích a 28</w:t>
      </w:r>
      <w:r w:rsidR="00713E26">
        <w:t> % podniků pod zahraniční kontrolou.</w:t>
      </w:r>
      <w:r w:rsidR="00F3116D" w:rsidRPr="00F3116D">
        <w:t xml:space="preserve"> </w:t>
      </w:r>
      <w:r w:rsidR="004E6F47">
        <w:t xml:space="preserve">Toto rozdělení je z dlouhodobého hlediska stabilní. </w:t>
      </w:r>
    </w:p>
    <w:p w14:paraId="17642FBD" w14:textId="30397182" w:rsidR="00756547" w:rsidRPr="00D33575" w:rsidRDefault="00D33575" w:rsidP="00D33575">
      <w:pPr>
        <w:keepNext/>
        <w:spacing w:before="120"/>
        <w:jc w:val="both"/>
      </w:pPr>
      <w:r w:rsidRPr="00D33575">
        <w:rPr>
          <w:b/>
        </w:rPr>
        <w:t xml:space="preserve">Graf </w:t>
      </w:r>
      <w:r w:rsidRPr="00D33575">
        <w:rPr>
          <w:b/>
        </w:rPr>
        <w:fldChar w:fldCharType="begin"/>
      </w:r>
      <w:r w:rsidRPr="00D33575">
        <w:rPr>
          <w:b/>
        </w:rPr>
        <w:instrText xml:space="preserve"> SEQ Graf \* ARABIC </w:instrText>
      </w:r>
      <w:r w:rsidRPr="00D33575">
        <w:rPr>
          <w:b/>
        </w:rPr>
        <w:fldChar w:fldCharType="separate"/>
      </w:r>
      <w:r w:rsidR="00B043AC">
        <w:rPr>
          <w:b/>
          <w:noProof/>
        </w:rPr>
        <w:t>14</w:t>
      </w:r>
      <w:r w:rsidRPr="00D33575">
        <w:rPr>
          <w:b/>
        </w:rPr>
        <w:fldChar w:fldCharType="end"/>
      </w:r>
      <w:r w:rsidR="00756547" w:rsidRPr="001F0D70">
        <w:rPr>
          <w:b/>
        </w:rPr>
        <w:t>:</w:t>
      </w:r>
      <w:r w:rsidR="00756547" w:rsidRPr="003A22E9">
        <w:rPr>
          <w:b/>
        </w:rPr>
        <w:t xml:space="preserve"> Soukromé podniky využívající nepřímou podporu </w:t>
      </w:r>
      <w:proofErr w:type="spellStart"/>
      <w:r w:rsidR="00756547" w:rsidRPr="003A22E9">
        <w:rPr>
          <w:b/>
        </w:rPr>
        <w:t>VaV</w:t>
      </w:r>
      <w:proofErr w:type="spellEnd"/>
      <w:r w:rsidR="00756547" w:rsidRPr="003A22E9">
        <w:rPr>
          <w:b/>
        </w:rPr>
        <w:t xml:space="preserve"> podle jejich vlastnictví (počet</w:t>
      </w:r>
      <w:r w:rsidR="002D78F2">
        <w:rPr>
          <w:b/>
        </w:rPr>
        <w:t>; %</w:t>
      </w:r>
      <w:r w:rsidR="00756547" w:rsidRPr="003A22E9">
        <w:rPr>
          <w:b/>
        </w:rPr>
        <w:t>)</w:t>
      </w:r>
    </w:p>
    <w:p w14:paraId="79882D70" w14:textId="46DA6320" w:rsidR="00756547" w:rsidRPr="00631D04" w:rsidRDefault="00B831C3" w:rsidP="00756547">
      <w:pPr>
        <w:jc w:val="both"/>
      </w:pPr>
      <w:r>
        <w:rPr>
          <w:noProof/>
        </w:rPr>
        <w:drawing>
          <wp:inline distT="0" distB="0" distL="0" distR="0" wp14:anchorId="431998A5" wp14:editId="430FC210">
            <wp:extent cx="6120000" cy="1980000"/>
            <wp:effectExtent l="0" t="0" r="0" b="127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78442256" w14:textId="77777777" w:rsidR="00756547" w:rsidRDefault="00756547" w:rsidP="005A771E">
      <w:pPr>
        <w:spacing w:after="120"/>
        <w:jc w:val="both"/>
        <w:rPr>
          <w:i/>
          <w:sz w:val="16"/>
          <w:szCs w:val="18"/>
        </w:rPr>
      </w:pPr>
      <w:r w:rsidRPr="004D53B0">
        <w:rPr>
          <w:i/>
          <w:sz w:val="16"/>
        </w:rPr>
        <w:t xml:space="preserve">Zdroj: ČSÚ podle </w:t>
      </w:r>
      <w:r w:rsidRPr="004D53B0">
        <w:rPr>
          <w:i/>
          <w:sz w:val="16"/>
          <w:szCs w:val="18"/>
        </w:rPr>
        <w:t>administrativních dat GFŘ</w:t>
      </w:r>
    </w:p>
    <w:p w14:paraId="3D53623A" w14:textId="32EB5F65" w:rsidR="00B15254" w:rsidRDefault="00A9429F" w:rsidP="00761412">
      <w:pPr>
        <w:jc w:val="both"/>
      </w:pPr>
      <w:r w:rsidRPr="00A9429F">
        <w:t xml:space="preserve">Co do počtu podniků využívajících nepřímou veřejnou podporu </w:t>
      </w:r>
      <w:proofErr w:type="spellStart"/>
      <w:r w:rsidRPr="00A9429F">
        <w:t>VaV</w:t>
      </w:r>
      <w:proofErr w:type="spellEnd"/>
      <w:r w:rsidRPr="00A9429F">
        <w:t xml:space="preserve"> tedy dominují domácí podniky, pokud se však zaměříme na objem financí, pak jsou na tom jednoznačně lépe</w:t>
      </w:r>
      <w:r w:rsidR="00193B73">
        <w:t xml:space="preserve"> </w:t>
      </w:r>
      <w:r w:rsidRPr="00A9429F">
        <w:t>podniky pod zahraniční kontrolou.</w:t>
      </w:r>
      <w:r w:rsidR="00C7294A">
        <w:t xml:space="preserve"> Podniky pod </w:t>
      </w:r>
      <w:r w:rsidR="004E6F47">
        <w:t>zahraniční kontrolou v roce 2019 ukrojily 67</w:t>
      </w:r>
      <w:r w:rsidR="00C7294A">
        <w:t xml:space="preserve"> % z celkové nepřímé veřejné podpory </w:t>
      </w:r>
      <w:proofErr w:type="spellStart"/>
      <w:r w:rsidR="00C7294A">
        <w:t>VaV</w:t>
      </w:r>
      <w:proofErr w:type="spellEnd"/>
      <w:r w:rsidR="00B52837">
        <w:t xml:space="preserve"> a na jeden takový podnik</w:t>
      </w:r>
      <w:r w:rsidR="00C7294A">
        <w:t xml:space="preserve"> připadala v prů</w:t>
      </w:r>
      <w:r w:rsidR="004E6F47">
        <w:t>měru nepřímá podpora ve výši 6,9</w:t>
      </w:r>
      <w:r w:rsidR="00C7294A">
        <w:t> mil. Kč</w:t>
      </w:r>
      <w:r w:rsidR="00B52837">
        <w:t>. D</w:t>
      </w:r>
      <w:r w:rsidR="0096271C">
        <w:t>omácí podnik</w:t>
      </w:r>
      <w:r w:rsidR="00B52837">
        <w:t xml:space="preserve"> pak v tomto roce čerpal v průměru daňovou úlevu 1,3 mil. Kč</w:t>
      </w:r>
      <w:r w:rsidR="0096271C">
        <w:t xml:space="preserve">, což je způsobeno vyšším počtem domácích podniků uplatňujících </w:t>
      </w:r>
      <w:r w:rsidR="0096271C">
        <w:lastRenderedPageBreak/>
        <w:t xml:space="preserve">nepřímou podporu </w:t>
      </w:r>
      <w:proofErr w:type="spellStart"/>
      <w:r w:rsidR="0096271C">
        <w:t>VaV</w:t>
      </w:r>
      <w:proofErr w:type="spellEnd"/>
      <w:r w:rsidR="0096271C">
        <w:t xml:space="preserve"> a také tím, že mezi těmito podn</w:t>
      </w:r>
      <w:r w:rsidR="00D56469">
        <w:t xml:space="preserve">iky je vyšší zastoupení </w:t>
      </w:r>
      <w:r w:rsidR="0096271C">
        <w:t>malých podniků</w:t>
      </w:r>
      <w:r w:rsidR="00222B7E">
        <w:t>,</w:t>
      </w:r>
      <w:r w:rsidR="00B07216">
        <w:t xml:space="preserve"> než je tomu u podniků pod zahraniční kontrolou.</w:t>
      </w:r>
      <w:r w:rsidR="0096271C">
        <w:t xml:space="preserve"> </w:t>
      </w:r>
      <w:r w:rsidR="00761412">
        <w:t xml:space="preserve">Na menší zastoupení žadatelů o nepřímou podporu </w:t>
      </w:r>
      <w:proofErr w:type="spellStart"/>
      <w:r w:rsidR="00761412">
        <w:t>VaV</w:t>
      </w:r>
      <w:proofErr w:type="spellEnd"/>
      <w:r w:rsidR="00761412">
        <w:t xml:space="preserve"> ze stran velkých podniků má vliv také již v</w:t>
      </w:r>
      <w:r w:rsidR="0015151F">
        <w:t>ý</w:t>
      </w:r>
      <w:r w:rsidR="00761412">
        <w:t xml:space="preserve">še zmiňovaný fakt, </w:t>
      </w:r>
      <w:r w:rsidR="00527437">
        <w:t>že</w:t>
      </w:r>
      <w:r w:rsidR="00891302" w:rsidRPr="00301DA0">
        <w:t xml:space="preserve"> soukromé domácí podniky využívají, oproti podnikům pod zahraniční kontrolou, v mnohem vyšší míře přímou </w:t>
      </w:r>
      <w:r w:rsidR="00FC11A6" w:rsidRPr="00301DA0">
        <w:t>veřejnou podporu. Z</w:t>
      </w:r>
      <w:r w:rsidR="00891302" w:rsidRPr="00301DA0">
        <w:t xml:space="preserve"> důvodů exkluzivity (viz m</w:t>
      </w:r>
      <w:r w:rsidR="00FC11A6" w:rsidRPr="00301DA0">
        <w:t>etodická část) nemohou</w:t>
      </w:r>
      <w:r w:rsidR="00461A58" w:rsidRPr="00301DA0">
        <w:t xml:space="preserve"> využít na</w:t>
      </w:r>
      <w:r w:rsidR="00FC11A6" w:rsidRPr="00301DA0">
        <w:t xml:space="preserve"> výzkumné a vývojové projekty</w:t>
      </w:r>
      <w:r w:rsidR="00891302" w:rsidRPr="00301DA0">
        <w:t xml:space="preserve"> podpořené přímo ze státního rozpočtu nebo ze zdrojů </w:t>
      </w:r>
      <w:r w:rsidR="00BA5D4A" w:rsidRPr="00301DA0">
        <w:t>Evropské unie</w:t>
      </w:r>
      <w:r w:rsidR="00FC11A6" w:rsidRPr="00301DA0">
        <w:t xml:space="preserve"> (např. Evropské strukturální a investiční fondy)</w:t>
      </w:r>
      <w:r w:rsidR="00891302" w:rsidRPr="00301DA0">
        <w:t xml:space="preserve"> zároveň podporu nepřímou.</w:t>
      </w:r>
    </w:p>
    <w:p w14:paraId="30453720" w14:textId="5672924D" w:rsidR="00916FBA" w:rsidRPr="00EE1E97" w:rsidRDefault="00EE1E97" w:rsidP="00EE1E97">
      <w:pPr>
        <w:keepNext/>
        <w:spacing w:before="120"/>
      </w:pPr>
      <w:r w:rsidRPr="00EE1E97">
        <w:rPr>
          <w:b/>
        </w:rPr>
        <w:t xml:space="preserve">Graf </w:t>
      </w:r>
      <w:r w:rsidRPr="00EE1E97">
        <w:rPr>
          <w:b/>
        </w:rPr>
        <w:fldChar w:fldCharType="begin"/>
      </w:r>
      <w:r w:rsidRPr="00EE1E97">
        <w:rPr>
          <w:b/>
        </w:rPr>
        <w:instrText xml:space="preserve"> SEQ Graf \* ARABIC </w:instrText>
      </w:r>
      <w:r w:rsidRPr="00EE1E97">
        <w:rPr>
          <w:b/>
        </w:rPr>
        <w:fldChar w:fldCharType="separate"/>
      </w:r>
      <w:r w:rsidR="00B043AC">
        <w:rPr>
          <w:b/>
          <w:noProof/>
        </w:rPr>
        <w:t>15</w:t>
      </w:r>
      <w:r w:rsidRPr="00EE1E97">
        <w:rPr>
          <w:b/>
        </w:rPr>
        <w:fldChar w:fldCharType="end"/>
      </w:r>
      <w:r w:rsidR="00916FBA" w:rsidRPr="00C62DD3">
        <w:rPr>
          <w:b/>
        </w:rPr>
        <w:t xml:space="preserve">: Výše nepřímé podpory </w:t>
      </w:r>
      <w:proofErr w:type="spellStart"/>
      <w:r w:rsidR="00916FBA" w:rsidRPr="00C62DD3">
        <w:rPr>
          <w:b/>
        </w:rPr>
        <w:t>VaV</w:t>
      </w:r>
      <w:proofErr w:type="spellEnd"/>
      <w:r w:rsidR="00916FBA" w:rsidRPr="00C62DD3">
        <w:rPr>
          <w:b/>
        </w:rPr>
        <w:t xml:space="preserve"> v soukromých podnicích podle jejich </w:t>
      </w:r>
      <w:r w:rsidR="00916FBA">
        <w:rPr>
          <w:b/>
        </w:rPr>
        <w:t>vlastnictví</w:t>
      </w:r>
      <w:r w:rsidR="00916FBA" w:rsidRPr="00C62DD3">
        <w:rPr>
          <w:b/>
        </w:rPr>
        <w:t xml:space="preserve"> (mil. Kč</w:t>
      </w:r>
      <w:r w:rsidR="00527437">
        <w:rPr>
          <w:b/>
        </w:rPr>
        <w:t>; %</w:t>
      </w:r>
      <w:r w:rsidR="00916FBA" w:rsidRPr="00C62DD3">
        <w:rPr>
          <w:b/>
        </w:rPr>
        <w:t>)</w:t>
      </w:r>
    </w:p>
    <w:p w14:paraId="780BA467" w14:textId="76B17B36" w:rsidR="00AA7316" w:rsidRDefault="00863E1D" w:rsidP="00916FBA">
      <w:pPr>
        <w:jc w:val="both"/>
        <w:rPr>
          <w:i/>
          <w:sz w:val="16"/>
          <w:szCs w:val="18"/>
        </w:rPr>
      </w:pPr>
      <w:r>
        <w:rPr>
          <w:noProof/>
        </w:rPr>
        <w:drawing>
          <wp:inline distT="0" distB="0" distL="0" distR="0" wp14:anchorId="11D0BD4F" wp14:editId="4E94B5C1">
            <wp:extent cx="6120000" cy="1980000"/>
            <wp:effectExtent l="0" t="0" r="0" b="127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4AEADD30" w14:textId="66ED64BD" w:rsidR="00916FBA" w:rsidRDefault="00916FBA" w:rsidP="00916FBA">
      <w:pPr>
        <w:jc w:val="both"/>
        <w:rPr>
          <w:i/>
          <w:sz w:val="16"/>
          <w:szCs w:val="18"/>
        </w:rPr>
      </w:pPr>
      <w:r w:rsidRPr="004D53B0">
        <w:rPr>
          <w:i/>
          <w:sz w:val="16"/>
        </w:rPr>
        <w:t xml:space="preserve">Zdroj: ČSÚ podle </w:t>
      </w:r>
      <w:r w:rsidRPr="004D53B0">
        <w:rPr>
          <w:i/>
          <w:sz w:val="16"/>
          <w:szCs w:val="18"/>
        </w:rPr>
        <w:t>administrativních dat GFŘ</w:t>
      </w:r>
    </w:p>
    <w:p w14:paraId="2DE3A827" w14:textId="384433C6" w:rsidR="008D606A" w:rsidRPr="00327DC4" w:rsidRDefault="002D78F2" w:rsidP="008D606A">
      <w:pPr>
        <w:spacing w:before="120"/>
        <w:jc w:val="both"/>
        <w:rPr>
          <w:b/>
        </w:rPr>
      </w:pPr>
      <w:r>
        <w:t>Z hlediska výše této nepřímé podpory</w:t>
      </w:r>
      <w:r w:rsidR="00456845">
        <w:t xml:space="preserve"> jsou na tom tedy lépe </w:t>
      </w:r>
      <w:r w:rsidR="008D606A" w:rsidRPr="00C249B7">
        <w:t>podniky pod zahraniční kontrolou. Mezi domácími podn</w:t>
      </w:r>
      <w:r w:rsidR="00863E1D">
        <w:t>iky, které uplatnily v roce 2019</w:t>
      </w:r>
      <w:r w:rsidR="008D606A" w:rsidRPr="00C249B7">
        <w:t xml:space="preserve"> daňový odpočet</w:t>
      </w:r>
      <w:r w:rsidR="008D606A" w:rsidRPr="00327DC4">
        <w:t>,</w:t>
      </w:r>
      <w:r w:rsidR="00327DC4" w:rsidRPr="00327DC4">
        <w:t xml:space="preserve"> jich 70</w:t>
      </w:r>
      <w:r w:rsidR="008D606A" w:rsidRPr="00327DC4">
        <w:t xml:space="preserve"> % </w:t>
      </w:r>
      <w:r w:rsidRPr="00327DC4">
        <w:t xml:space="preserve">z nich takto získalo dodatečně </w:t>
      </w:r>
      <w:r w:rsidR="008D606A" w:rsidRPr="00327DC4">
        <w:t>méně než jeden milion korun</w:t>
      </w:r>
      <w:r w:rsidRPr="00327DC4">
        <w:t>. P</w:t>
      </w:r>
      <w:r w:rsidR="008D606A" w:rsidRPr="00327DC4">
        <w:t xml:space="preserve">ětina podniků pak takto ušetřila částku 1–9,9 mil. Kč a úspora více než 10 mil. Kč připadala díky daňovým odečtům </w:t>
      </w:r>
      <w:r w:rsidR="00C70499" w:rsidRPr="00327DC4">
        <w:t xml:space="preserve">na </w:t>
      </w:r>
      <w:r w:rsidR="008D606A" w:rsidRPr="00327DC4">
        <w:t>2 % domácích podniků. V případě podniků pod zahraniční kontrolou je situace zcela odlišná. Mezi těmito podniky</w:t>
      </w:r>
      <w:r w:rsidR="00C70499" w:rsidRPr="00327DC4">
        <w:t>,</w:t>
      </w:r>
      <w:r w:rsidR="008D606A" w:rsidRPr="00327DC4">
        <w:t xml:space="preserve"> uplatňujícími daňové zvýhodnění</w:t>
      </w:r>
      <w:r w:rsidR="00C70499" w:rsidRPr="00327DC4">
        <w:t>,</w:t>
      </w:r>
      <w:r w:rsidR="00327DC4" w:rsidRPr="00327DC4">
        <w:t xml:space="preserve"> jich méně než polovina ušetřila</w:t>
      </w:r>
      <w:r w:rsidR="008D606A" w:rsidRPr="00327DC4">
        <w:t xml:space="preserve"> částku menší než 1 mil. Kč, 40 % podniků dosáhlo na slevu v rozmezí</w:t>
      </w:r>
      <w:r w:rsidR="00327DC4" w:rsidRPr="00327DC4">
        <w:t xml:space="preserve"> 1–9,9 mil. Kč a 11</w:t>
      </w:r>
      <w:r w:rsidR="008D606A" w:rsidRPr="00327DC4">
        <w:t xml:space="preserve"> % zahraničních podniků získalo díky daňové podpoře </w:t>
      </w:r>
      <w:proofErr w:type="spellStart"/>
      <w:r w:rsidR="008D606A" w:rsidRPr="00327DC4">
        <w:t>VaV</w:t>
      </w:r>
      <w:proofErr w:type="spellEnd"/>
      <w:r w:rsidR="008D606A" w:rsidRPr="00327DC4">
        <w:t xml:space="preserve"> více než 10 mil. Kč.</w:t>
      </w:r>
    </w:p>
    <w:p w14:paraId="11B6B8D0" w14:textId="05F8837D" w:rsidR="008D606A" w:rsidRPr="00EE1E97" w:rsidRDefault="00EE1E97" w:rsidP="00EE1E97">
      <w:pPr>
        <w:keepNext/>
        <w:spacing w:before="120"/>
        <w:jc w:val="both"/>
      </w:pPr>
      <w:r w:rsidRPr="00EE1E97">
        <w:rPr>
          <w:b/>
        </w:rPr>
        <w:t xml:space="preserve">Graf </w:t>
      </w:r>
      <w:r w:rsidRPr="00EE1E97">
        <w:rPr>
          <w:b/>
        </w:rPr>
        <w:fldChar w:fldCharType="begin"/>
      </w:r>
      <w:r w:rsidRPr="00EE1E97">
        <w:rPr>
          <w:b/>
        </w:rPr>
        <w:instrText xml:space="preserve"> SEQ Graf \* ARABIC </w:instrText>
      </w:r>
      <w:r w:rsidRPr="00EE1E97">
        <w:rPr>
          <w:b/>
        </w:rPr>
        <w:fldChar w:fldCharType="separate"/>
      </w:r>
      <w:r w:rsidR="00B043AC">
        <w:rPr>
          <w:b/>
          <w:noProof/>
        </w:rPr>
        <w:t>16</w:t>
      </w:r>
      <w:r w:rsidRPr="00EE1E97">
        <w:rPr>
          <w:b/>
        </w:rPr>
        <w:fldChar w:fldCharType="end"/>
      </w:r>
      <w:r w:rsidR="008D606A" w:rsidRPr="001852F7">
        <w:rPr>
          <w:b/>
        </w:rPr>
        <w:t xml:space="preserve">: Soukromé podniky využívající nepřímou veřejnou podporu </w:t>
      </w:r>
      <w:proofErr w:type="spellStart"/>
      <w:r w:rsidR="008D606A" w:rsidRPr="001852F7">
        <w:rPr>
          <w:b/>
        </w:rPr>
        <w:t>VaV</w:t>
      </w:r>
      <w:proofErr w:type="spellEnd"/>
      <w:r w:rsidR="008D606A" w:rsidRPr="001852F7">
        <w:rPr>
          <w:b/>
        </w:rPr>
        <w:t xml:space="preserve"> podle výše </w:t>
      </w:r>
      <w:r w:rsidR="008D606A">
        <w:rPr>
          <w:b/>
        </w:rPr>
        <w:t xml:space="preserve">podpory a </w:t>
      </w:r>
      <w:r w:rsidR="002D78F2">
        <w:rPr>
          <w:b/>
        </w:rPr>
        <w:t xml:space="preserve">jejich </w:t>
      </w:r>
      <w:r w:rsidR="008D606A">
        <w:rPr>
          <w:b/>
        </w:rPr>
        <w:t>vlastn</w:t>
      </w:r>
      <w:r w:rsidR="002D78F2">
        <w:rPr>
          <w:b/>
        </w:rPr>
        <w:t>ictví</w:t>
      </w:r>
      <w:r w:rsidR="008D606A">
        <w:rPr>
          <w:b/>
        </w:rPr>
        <w:t xml:space="preserve"> </w:t>
      </w:r>
      <w:r w:rsidR="008D606A" w:rsidRPr="001852F7">
        <w:rPr>
          <w:b/>
        </w:rPr>
        <w:t>(počet</w:t>
      </w:r>
      <w:r w:rsidR="002D78F2">
        <w:rPr>
          <w:b/>
        </w:rPr>
        <w:t>; %)</w:t>
      </w:r>
      <w:r w:rsidR="008D606A" w:rsidRPr="001852F7">
        <w:rPr>
          <w:b/>
        </w:rPr>
        <w:t>,</w:t>
      </w:r>
      <w:r w:rsidR="008D606A">
        <w:rPr>
          <w:b/>
        </w:rPr>
        <w:t xml:space="preserve"> </w:t>
      </w:r>
      <w:r w:rsidR="00AE4893">
        <w:rPr>
          <w:b/>
        </w:rPr>
        <w:t>2019</w:t>
      </w:r>
    </w:p>
    <w:p w14:paraId="29DCC979" w14:textId="672A9119" w:rsidR="008D606A" w:rsidRDefault="005E4F53" w:rsidP="008D606A">
      <w:pPr>
        <w:jc w:val="both"/>
      </w:pPr>
      <w:r>
        <w:rPr>
          <w:noProof/>
        </w:rPr>
        <w:drawing>
          <wp:inline distT="0" distB="0" distL="0" distR="0" wp14:anchorId="670D4F23" wp14:editId="3A0D9411">
            <wp:extent cx="6120130" cy="1980000"/>
            <wp:effectExtent l="0" t="0" r="0" b="127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1629EC7E" w14:textId="77777777" w:rsidR="008D606A" w:rsidRDefault="008D606A" w:rsidP="008D606A">
      <w:pPr>
        <w:spacing w:after="120"/>
        <w:jc w:val="both"/>
        <w:rPr>
          <w:i/>
          <w:sz w:val="16"/>
        </w:rPr>
      </w:pPr>
      <w:r w:rsidRPr="001852F7">
        <w:rPr>
          <w:i/>
          <w:sz w:val="16"/>
        </w:rPr>
        <w:t xml:space="preserve">Zdroj: ČSÚ podle administrativních dat GFŘ </w:t>
      </w:r>
    </w:p>
    <w:p w14:paraId="4CFCAB5B" w14:textId="7060E57C" w:rsidR="006E48D6" w:rsidRPr="008B07CF" w:rsidRDefault="006E48D6" w:rsidP="00C108E2">
      <w:pPr>
        <w:pStyle w:val="Nadpis3"/>
        <w:spacing w:before="240" w:after="120"/>
        <w:rPr>
          <w:sz w:val="22"/>
          <w:szCs w:val="22"/>
        </w:rPr>
      </w:pPr>
      <w:r w:rsidRPr="008B07CF">
        <w:rPr>
          <w:sz w:val="22"/>
          <w:szCs w:val="22"/>
        </w:rPr>
        <w:t>3.2</w:t>
      </w:r>
      <w:r>
        <w:rPr>
          <w:sz w:val="22"/>
          <w:szCs w:val="22"/>
        </w:rPr>
        <w:t>.3</w:t>
      </w:r>
      <w:r w:rsidRPr="008B07CF">
        <w:rPr>
          <w:sz w:val="22"/>
          <w:szCs w:val="22"/>
        </w:rPr>
        <w:t xml:space="preserve"> </w:t>
      </w:r>
      <w:r w:rsidR="002D78F2">
        <w:rPr>
          <w:sz w:val="22"/>
          <w:szCs w:val="22"/>
        </w:rPr>
        <w:t>P</w:t>
      </w:r>
      <w:r>
        <w:rPr>
          <w:sz w:val="22"/>
          <w:szCs w:val="22"/>
        </w:rPr>
        <w:t>odle velikosti podniku</w:t>
      </w:r>
    </w:p>
    <w:p w14:paraId="2AC1A65C" w14:textId="79D9D809" w:rsidR="00CB2392" w:rsidRDefault="00A00EB2" w:rsidP="00CB2392">
      <w:pPr>
        <w:spacing w:after="60"/>
        <w:jc w:val="both"/>
      </w:pPr>
      <w:r>
        <w:t xml:space="preserve">Největší část výdajů na </w:t>
      </w:r>
      <w:proofErr w:type="spellStart"/>
      <w:r>
        <w:t>VaV</w:t>
      </w:r>
      <w:proofErr w:type="spellEnd"/>
      <w:r>
        <w:t xml:space="preserve"> v soukrom</w:t>
      </w:r>
      <w:r w:rsidR="00B6765F">
        <w:t>ých podnicích, které v roce 2019 činily výše zmiňovaných 66,6</w:t>
      </w:r>
      <w:r>
        <w:t xml:space="preserve"> mld. Kč, byla v tomto roce </w:t>
      </w:r>
      <w:r w:rsidR="002D78F2">
        <w:t xml:space="preserve">vynaložena </w:t>
      </w:r>
      <w:r>
        <w:t xml:space="preserve">ve velkých </w:t>
      </w:r>
      <w:r w:rsidRPr="00AC1511">
        <w:t>podnicích</w:t>
      </w:r>
      <w:r w:rsidR="002D78F2" w:rsidRPr="00AC1511">
        <w:t xml:space="preserve"> </w:t>
      </w:r>
      <w:r w:rsidR="00AC1511" w:rsidRPr="00AC1511">
        <w:t>(73</w:t>
      </w:r>
      <w:r w:rsidR="002D78F2" w:rsidRPr="00AC1511">
        <w:t> %).</w:t>
      </w:r>
      <w:r w:rsidRPr="00AC1511">
        <w:t xml:space="preserve"> </w:t>
      </w:r>
      <w:r w:rsidR="002D78F2" w:rsidRPr="00AC1511">
        <w:t xml:space="preserve">Pětinu těchto výdajů utratily střední podniky </w:t>
      </w:r>
      <w:r w:rsidRPr="00AC1511">
        <w:t>a na malé podniky zbylo 9 %</w:t>
      </w:r>
      <w:r w:rsidR="002D78F2" w:rsidRPr="00AC1511">
        <w:t>.</w:t>
      </w:r>
      <w:r w:rsidRPr="00AC1511">
        <w:t xml:space="preserve"> Z této struktury </w:t>
      </w:r>
      <w:r w:rsidR="002D78F2" w:rsidRPr="00AC1511">
        <w:t xml:space="preserve">částečně </w:t>
      </w:r>
      <w:r w:rsidRPr="00AC1511">
        <w:t>vypl</w:t>
      </w:r>
      <w:r w:rsidR="002D78F2" w:rsidRPr="00AC1511">
        <w:t>ý</w:t>
      </w:r>
      <w:r w:rsidRPr="00AC1511">
        <w:t xml:space="preserve">vá i výše nepřímé podpory alokovaná do jednotlivých velikostních skupin podniků. </w:t>
      </w:r>
      <w:r w:rsidR="00CE08D6" w:rsidRPr="00AC1511">
        <w:t xml:space="preserve">Odpočty výdajů na </w:t>
      </w:r>
      <w:proofErr w:type="spellStart"/>
      <w:r w:rsidR="00CE08D6" w:rsidRPr="00AC1511">
        <w:t>VaV</w:t>
      </w:r>
      <w:proofErr w:type="spellEnd"/>
      <w:r w:rsidR="000B3355" w:rsidRPr="00AC1511">
        <w:t xml:space="preserve"> a</w:t>
      </w:r>
      <w:r w:rsidR="00CB3DC4" w:rsidRPr="00AC1511">
        <w:t xml:space="preserve"> z nich odvozená</w:t>
      </w:r>
      <w:r w:rsidR="000B3355" w:rsidRPr="00AC1511">
        <w:t xml:space="preserve"> nepřímá veřejná podpora </w:t>
      </w:r>
      <w:proofErr w:type="spellStart"/>
      <w:r w:rsidR="000B3355" w:rsidRPr="00AC1511">
        <w:t>VaV</w:t>
      </w:r>
      <w:proofErr w:type="spellEnd"/>
      <w:r w:rsidR="00CE08D6" w:rsidRPr="00AC1511">
        <w:t xml:space="preserve"> nebyly uplatňovány rovnoměrně ve všech </w:t>
      </w:r>
      <w:r w:rsidR="00182307" w:rsidRPr="00AC1511">
        <w:t>velikostních skupinách podniků</w:t>
      </w:r>
      <w:r w:rsidR="00304CA4" w:rsidRPr="00AC1511">
        <w:t>.</w:t>
      </w:r>
      <w:r w:rsidR="00182307" w:rsidRPr="00B432F1">
        <w:t xml:space="preserve"> </w:t>
      </w:r>
    </w:p>
    <w:p w14:paraId="010000DD" w14:textId="5E2C9CFE" w:rsidR="00CB2392" w:rsidRDefault="00644C9D" w:rsidP="00CB2392">
      <w:pPr>
        <w:spacing w:after="60"/>
        <w:jc w:val="both"/>
      </w:pPr>
      <w:r w:rsidRPr="00B432F1">
        <w:t xml:space="preserve">Nejvyšší </w:t>
      </w:r>
      <w:r w:rsidR="002E4155" w:rsidRPr="00B432F1">
        <w:t>počet</w:t>
      </w:r>
      <w:r w:rsidRPr="00B432F1">
        <w:t xml:space="preserve"> </w:t>
      </w:r>
      <w:r w:rsidR="00135C14" w:rsidRPr="00B432F1">
        <w:t>soukromý</w:t>
      </w:r>
      <w:r w:rsidRPr="00B432F1">
        <w:t xml:space="preserve">ch </w:t>
      </w:r>
      <w:r w:rsidR="00182307" w:rsidRPr="00B432F1">
        <w:t>podnik</w:t>
      </w:r>
      <w:r w:rsidRPr="00B432F1">
        <w:t>ů</w:t>
      </w:r>
      <w:r w:rsidR="00135C14" w:rsidRPr="00B432F1">
        <w:t>, které v roce 201</w:t>
      </w:r>
      <w:r w:rsidR="00AC1511">
        <w:t>9</w:t>
      </w:r>
      <w:r w:rsidR="00135C14" w:rsidRPr="00B432F1">
        <w:t xml:space="preserve"> </w:t>
      </w:r>
      <w:r w:rsidRPr="00B432F1">
        <w:t xml:space="preserve">uplatnily </w:t>
      </w:r>
      <w:r w:rsidR="00182307" w:rsidRPr="00F34E25">
        <w:t xml:space="preserve">odpočty </w:t>
      </w:r>
      <w:r w:rsidR="00BE33B7" w:rsidRPr="00F34E25">
        <w:t xml:space="preserve">výdajů </w:t>
      </w:r>
      <w:r w:rsidR="00AF775B" w:rsidRPr="00F34E25">
        <w:t>na</w:t>
      </w:r>
      <w:r w:rsidR="00182307" w:rsidRPr="00F34E25">
        <w:t xml:space="preserve"> </w:t>
      </w:r>
      <w:proofErr w:type="spellStart"/>
      <w:r w:rsidR="00182307" w:rsidRPr="00F34E25">
        <w:t>VaV</w:t>
      </w:r>
      <w:proofErr w:type="spellEnd"/>
      <w:r w:rsidRPr="00F34E25">
        <w:t xml:space="preserve">, </w:t>
      </w:r>
      <w:r w:rsidR="009702B1" w:rsidRPr="00F34E25">
        <w:t xml:space="preserve">byl zaznamenán v kategorii </w:t>
      </w:r>
      <w:r w:rsidR="00D852D7">
        <w:t>malých podniků (367</w:t>
      </w:r>
      <w:r w:rsidR="009702B1" w:rsidRPr="00F34E25">
        <w:t>; 3</w:t>
      </w:r>
      <w:r w:rsidR="00D852D7">
        <w:t>9</w:t>
      </w:r>
      <w:r w:rsidR="009702B1" w:rsidRPr="00F34E25">
        <w:t xml:space="preserve"> % z celkového </w:t>
      </w:r>
      <w:r w:rsidR="00C401E1" w:rsidRPr="00F34E25">
        <w:t>počtu soukromých podniků využívajících</w:t>
      </w:r>
      <w:r w:rsidR="009702B1" w:rsidRPr="00F34E25">
        <w:t xml:space="preserve"> daňovou </w:t>
      </w:r>
      <w:r w:rsidR="00C401E1" w:rsidRPr="00F34E25">
        <w:t>podpor</w:t>
      </w:r>
      <w:r w:rsidR="009702B1" w:rsidRPr="00F34E25">
        <w:t xml:space="preserve">u </w:t>
      </w:r>
      <w:proofErr w:type="spellStart"/>
      <w:r w:rsidR="009702B1" w:rsidRPr="00F34E25">
        <w:lastRenderedPageBreak/>
        <w:t>VaV</w:t>
      </w:r>
      <w:proofErr w:type="spellEnd"/>
      <w:r w:rsidR="009702B1" w:rsidRPr="00F34E25">
        <w:t>)</w:t>
      </w:r>
      <w:r w:rsidR="002E4155" w:rsidRPr="00F34E25">
        <w:t xml:space="preserve">. </w:t>
      </w:r>
      <w:r w:rsidR="000B3355" w:rsidRPr="00F34E25">
        <w:t>Uvedená skupina soukromých</w:t>
      </w:r>
      <w:r w:rsidR="00443F89">
        <w:t xml:space="preserve"> podniků získala nejnižší</w:t>
      </w:r>
      <w:r w:rsidR="00C401E1" w:rsidRPr="00F34E25">
        <w:t xml:space="preserve"> částku nepřímé podpory </w:t>
      </w:r>
      <w:proofErr w:type="spellStart"/>
      <w:r w:rsidR="00C401E1" w:rsidRPr="00F34E25">
        <w:t>VaV</w:t>
      </w:r>
      <w:proofErr w:type="spellEnd"/>
      <w:r w:rsidR="00C401E1" w:rsidRPr="00F34E25">
        <w:t xml:space="preserve"> (</w:t>
      </w:r>
      <w:r w:rsidR="00EC7CA6">
        <w:t>204 mil. </w:t>
      </w:r>
      <w:r w:rsidR="000B3355" w:rsidRPr="00F34E25">
        <w:t xml:space="preserve">Kč; </w:t>
      </w:r>
      <w:r w:rsidR="00EC7CA6">
        <w:t>7</w:t>
      </w:r>
      <w:r w:rsidR="000B3355" w:rsidRPr="00F34E25">
        <w:t xml:space="preserve"> % z celkové výše nepřímé veřejné podpory </w:t>
      </w:r>
      <w:proofErr w:type="spellStart"/>
      <w:r w:rsidR="000B3355" w:rsidRPr="00F34E25">
        <w:t>VaV</w:t>
      </w:r>
      <w:proofErr w:type="spellEnd"/>
      <w:r w:rsidR="000B3355" w:rsidRPr="00F34E25">
        <w:t xml:space="preserve">). </w:t>
      </w:r>
    </w:p>
    <w:p w14:paraId="037959EA" w14:textId="40D61824" w:rsidR="00AA56F3" w:rsidRPr="0016017F" w:rsidRDefault="000B3355" w:rsidP="00CB2392">
      <w:pPr>
        <w:spacing w:after="60"/>
        <w:jc w:val="both"/>
      </w:pPr>
      <w:r w:rsidRPr="00F34E25">
        <w:t>Druhou nejpočetnější velikostní skupinou uplatňující</w:t>
      </w:r>
      <w:r w:rsidR="008B3F80">
        <w:t xml:space="preserve"> daňové zvýhodnění </w:t>
      </w:r>
      <w:proofErr w:type="spellStart"/>
      <w:r w:rsidR="008B3F80">
        <w:t>VaV</w:t>
      </w:r>
      <w:proofErr w:type="spellEnd"/>
      <w:r w:rsidR="008B3F80">
        <w:t xml:space="preserve"> tvořily středně velké</w:t>
      </w:r>
      <w:r w:rsidR="00574547" w:rsidRPr="00F34E25">
        <w:t xml:space="preserve"> podniky</w:t>
      </w:r>
      <w:r w:rsidRPr="00F34E25">
        <w:t xml:space="preserve">, které </w:t>
      </w:r>
      <w:r w:rsidR="00574547" w:rsidRPr="00F34E25">
        <w:t xml:space="preserve">uplatnily odečet výdajů na </w:t>
      </w:r>
      <w:proofErr w:type="spellStart"/>
      <w:r w:rsidR="00574547" w:rsidRPr="00F34E25">
        <w:t>VaV</w:t>
      </w:r>
      <w:proofErr w:type="spellEnd"/>
      <w:r w:rsidR="00574547" w:rsidRPr="00F34E25">
        <w:t xml:space="preserve"> ve </w:t>
      </w:r>
      <w:r w:rsidR="008B3F80">
        <w:t>321</w:t>
      </w:r>
      <w:r w:rsidR="00574547" w:rsidRPr="00F34E25">
        <w:t xml:space="preserve"> případech</w:t>
      </w:r>
      <w:r w:rsidRPr="00F34E25">
        <w:t xml:space="preserve"> a získaly</w:t>
      </w:r>
      <w:r w:rsidR="00574547" w:rsidRPr="00F34E25">
        <w:t xml:space="preserve"> </w:t>
      </w:r>
      <w:r w:rsidR="008B3F80">
        <w:t xml:space="preserve">nepřímou podporu </w:t>
      </w:r>
      <w:proofErr w:type="spellStart"/>
      <w:r w:rsidR="008B3F80">
        <w:t>VaV</w:t>
      </w:r>
      <w:proofErr w:type="spellEnd"/>
      <w:r w:rsidR="008B3F80">
        <w:t xml:space="preserve"> ve výši 439</w:t>
      </w:r>
      <w:r w:rsidRPr="00F34E25">
        <w:t xml:space="preserve"> mil. Kč.</w:t>
      </w:r>
      <w:r w:rsidR="000155E7">
        <w:t xml:space="preserve"> </w:t>
      </w:r>
      <w:r w:rsidR="00AA56F3" w:rsidRPr="000155E7">
        <w:t>V roce 201</w:t>
      </w:r>
      <w:r w:rsidR="00AC1511">
        <w:t>9</w:t>
      </w:r>
      <w:r w:rsidR="00AA56F3" w:rsidRPr="000155E7">
        <w:t xml:space="preserve"> využilo nepřímou veřejnou podporu </w:t>
      </w:r>
      <w:proofErr w:type="spellStart"/>
      <w:r w:rsidR="00AA56F3" w:rsidRPr="000155E7">
        <w:t>VaV</w:t>
      </w:r>
      <w:proofErr w:type="spellEnd"/>
      <w:r w:rsidR="00AA56F3" w:rsidRPr="000155E7">
        <w:t xml:space="preserve"> </w:t>
      </w:r>
      <w:r w:rsidR="00AC1511">
        <w:t>252</w:t>
      </w:r>
      <w:r w:rsidR="00AA56F3" w:rsidRPr="000155E7">
        <w:t xml:space="preserve"> velkých podniků, které nárokovaly daňovou podporu </w:t>
      </w:r>
      <w:proofErr w:type="spellStart"/>
      <w:r w:rsidR="00AA56F3" w:rsidRPr="000155E7">
        <w:t>VaV</w:t>
      </w:r>
      <w:proofErr w:type="spellEnd"/>
      <w:r w:rsidR="00AA56F3" w:rsidRPr="000155E7">
        <w:t xml:space="preserve"> </w:t>
      </w:r>
      <w:r w:rsidR="002D78F2">
        <w:t>o</w:t>
      </w:r>
      <w:r w:rsidR="00AA56F3" w:rsidRPr="000155E7">
        <w:t xml:space="preserve"> objemu </w:t>
      </w:r>
      <w:r w:rsidR="00AC1511">
        <w:t>rovných</w:t>
      </w:r>
      <w:r w:rsidR="000155E7" w:rsidRPr="000155E7">
        <w:t xml:space="preserve"> 2 </w:t>
      </w:r>
      <w:r w:rsidR="00AA56F3" w:rsidRPr="000155E7">
        <w:t>mld.</w:t>
      </w:r>
      <w:r w:rsidR="000155E7" w:rsidRPr="000155E7">
        <w:t> </w:t>
      </w:r>
      <w:r w:rsidR="00AA56F3" w:rsidRPr="000155E7">
        <w:t>Kč</w:t>
      </w:r>
      <w:r w:rsidR="002D78F2">
        <w:t>. To</w:t>
      </w:r>
      <w:r w:rsidR="00AA56F3" w:rsidRPr="000155E7">
        <w:t xml:space="preserve"> představuje více než tří čtvrtinový podíl z celkové částky nepřímé veřejné podpory u </w:t>
      </w:r>
      <w:r w:rsidR="00AA56F3" w:rsidRPr="0016017F">
        <w:t xml:space="preserve">soukromých podniků. Na jeden </w:t>
      </w:r>
      <w:r w:rsidR="00080999" w:rsidRPr="0016017F">
        <w:t xml:space="preserve">velký </w:t>
      </w:r>
      <w:r w:rsidR="00AA56F3" w:rsidRPr="0016017F">
        <w:t xml:space="preserve">podnik tak v průměru připadala daňová podpora </w:t>
      </w:r>
      <w:proofErr w:type="spellStart"/>
      <w:r w:rsidR="00AA56F3" w:rsidRPr="0016017F">
        <w:t>VaV</w:t>
      </w:r>
      <w:proofErr w:type="spellEnd"/>
      <w:r w:rsidR="00AA56F3" w:rsidRPr="0016017F">
        <w:t xml:space="preserve"> ve výši </w:t>
      </w:r>
      <w:r w:rsidR="00AC1511">
        <w:t>8,3</w:t>
      </w:r>
      <w:r w:rsidR="00080999" w:rsidRPr="0016017F">
        <w:t xml:space="preserve"> mil. Kč, což je mnohonásobně vyšší částka než v případě podniků z ostatních velikostních kategorií. Například</w:t>
      </w:r>
      <w:r w:rsidR="00AA56F3" w:rsidRPr="0016017F">
        <w:t xml:space="preserve"> </w:t>
      </w:r>
      <w:r w:rsidR="00080999" w:rsidRPr="0016017F">
        <w:t>u</w:t>
      </w:r>
      <w:r w:rsidR="00AA56F3" w:rsidRPr="0016017F">
        <w:t xml:space="preserve"> středních podniků to bylo</w:t>
      </w:r>
      <w:r w:rsidR="00AC1511">
        <w:t xml:space="preserve"> 6krát méně</w:t>
      </w:r>
      <w:r w:rsidR="00AA56F3" w:rsidRPr="0016017F">
        <w:t xml:space="preserve">. </w:t>
      </w:r>
    </w:p>
    <w:p w14:paraId="6B098DAD" w14:textId="0E007778" w:rsidR="00DE25AE" w:rsidRPr="00B67452" w:rsidRDefault="00B67452" w:rsidP="00B67452">
      <w:pPr>
        <w:keepNext/>
      </w:pPr>
      <w:r w:rsidRPr="00B67452">
        <w:rPr>
          <w:b/>
        </w:rPr>
        <w:t xml:space="preserve">Graf </w:t>
      </w:r>
      <w:r w:rsidRPr="00B67452">
        <w:rPr>
          <w:b/>
        </w:rPr>
        <w:fldChar w:fldCharType="begin"/>
      </w:r>
      <w:r w:rsidRPr="00B67452">
        <w:rPr>
          <w:b/>
        </w:rPr>
        <w:instrText xml:space="preserve"> SEQ Graf \* ARABIC </w:instrText>
      </w:r>
      <w:r w:rsidRPr="00B67452">
        <w:rPr>
          <w:b/>
        </w:rPr>
        <w:fldChar w:fldCharType="separate"/>
      </w:r>
      <w:r w:rsidR="00B043AC">
        <w:rPr>
          <w:b/>
          <w:noProof/>
        </w:rPr>
        <w:t>17</w:t>
      </w:r>
      <w:r w:rsidRPr="00B67452">
        <w:rPr>
          <w:b/>
        </w:rPr>
        <w:fldChar w:fldCharType="end"/>
      </w:r>
      <w:r w:rsidR="00BF09A3" w:rsidRPr="00B67452">
        <w:rPr>
          <w:b/>
        </w:rPr>
        <w:t xml:space="preserve">: </w:t>
      </w:r>
      <w:r w:rsidR="009A4061" w:rsidRPr="00B67452">
        <w:rPr>
          <w:b/>
        </w:rPr>
        <w:t>Soukrom</w:t>
      </w:r>
      <w:r w:rsidR="00D04D24" w:rsidRPr="00B67452">
        <w:rPr>
          <w:b/>
        </w:rPr>
        <w:t>é podniky využívající nepřímou</w:t>
      </w:r>
      <w:r w:rsidR="009A4061" w:rsidRPr="00B67452">
        <w:rPr>
          <w:b/>
        </w:rPr>
        <w:t xml:space="preserve"> podporu </w:t>
      </w:r>
      <w:proofErr w:type="spellStart"/>
      <w:r w:rsidR="009A4061" w:rsidRPr="00B67452">
        <w:rPr>
          <w:b/>
        </w:rPr>
        <w:t>VaV</w:t>
      </w:r>
      <w:proofErr w:type="spellEnd"/>
      <w:r w:rsidR="009A4061" w:rsidRPr="00B67452">
        <w:rPr>
          <w:b/>
        </w:rPr>
        <w:t xml:space="preserve"> </w:t>
      </w:r>
      <w:r w:rsidR="00201A1B" w:rsidRPr="00B67452">
        <w:rPr>
          <w:b/>
        </w:rPr>
        <w:t>podle jejich velikosti</w:t>
      </w:r>
      <w:r w:rsidR="0018200F" w:rsidRPr="00B67452">
        <w:rPr>
          <w:b/>
        </w:rPr>
        <w:t xml:space="preserve"> </w:t>
      </w:r>
      <w:r w:rsidR="00D04D24" w:rsidRPr="00B67452">
        <w:rPr>
          <w:b/>
        </w:rPr>
        <w:t>(počet</w:t>
      </w:r>
      <w:r w:rsidR="002D78F2" w:rsidRPr="00B67452">
        <w:rPr>
          <w:b/>
        </w:rPr>
        <w:t>; %</w:t>
      </w:r>
      <w:r w:rsidR="00D04D24" w:rsidRPr="00B67452">
        <w:rPr>
          <w:b/>
        </w:rPr>
        <w:t>)</w:t>
      </w:r>
    </w:p>
    <w:p w14:paraId="4FC520A4" w14:textId="13CC2639" w:rsidR="00E80180" w:rsidRPr="005A771E" w:rsidRDefault="001C43EB" w:rsidP="00D90817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19E316AD" wp14:editId="35F619AE">
            <wp:extent cx="6084000" cy="1800225"/>
            <wp:effectExtent l="0" t="0" r="0" b="0"/>
            <wp:docPr id="24" name="Graf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0858C54D" w14:textId="436EBB85" w:rsidR="00BC1FBF" w:rsidRPr="00C62DD3" w:rsidRDefault="00687F82" w:rsidP="00D90817">
      <w:pPr>
        <w:jc w:val="both"/>
        <w:rPr>
          <w:i/>
          <w:sz w:val="16"/>
        </w:rPr>
      </w:pPr>
      <w:r w:rsidRPr="00C62DD3">
        <w:rPr>
          <w:noProof/>
        </w:rPr>
        <w:t xml:space="preserve"> </w:t>
      </w:r>
      <w:r w:rsidR="00DE6696" w:rsidRPr="00C62DD3">
        <w:rPr>
          <w:i/>
          <w:sz w:val="16"/>
        </w:rPr>
        <w:t>Zdroj: ČSÚ podle administrativních dat GFŘ</w:t>
      </w:r>
      <w:r w:rsidR="00DE6696" w:rsidRPr="00C62DD3" w:rsidDel="00DE6696">
        <w:rPr>
          <w:i/>
          <w:sz w:val="16"/>
        </w:rPr>
        <w:t xml:space="preserve"> </w:t>
      </w:r>
    </w:p>
    <w:p w14:paraId="0A1CC3AC" w14:textId="1951D348" w:rsidR="00D04D24" w:rsidRPr="009301E9" w:rsidRDefault="00F74D16" w:rsidP="009301E9">
      <w:pPr>
        <w:spacing w:before="120" w:after="120"/>
        <w:jc w:val="both"/>
        <w:rPr>
          <w:rStyle w:val="st"/>
          <w:i/>
          <w:sz w:val="18"/>
        </w:rPr>
      </w:pPr>
      <w:r>
        <w:t>Oproti roku 2009</w:t>
      </w:r>
      <w:r w:rsidR="00DF186C" w:rsidRPr="009301E9">
        <w:t xml:space="preserve"> došlo k</w:t>
      </w:r>
      <w:r w:rsidR="00383594" w:rsidRPr="009301E9">
        <w:t xml:space="preserve">e změnám ve struktuře podniků </w:t>
      </w:r>
      <w:r w:rsidR="002D78F2">
        <w:t>využívajících</w:t>
      </w:r>
      <w:r w:rsidR="00383594" w:rsidRPr="009301E9">
        <w:t xml:space="preserve"> nepřímou veřejnou podporu </w:t>
      </w:r>
      <w:proofErr w:type="spellStart"/>
      <w:r w:rsidR="00383594" w:rsidRPr="009301E9">
        <w:t>VaV</w:t>
      </w:r>
      <w:proofErr w:type="spellEnd"/>
      <w:r w:rsidR="00383594" w:rsidRPr="009301E9">
        <w:t xml:space="preserve"> v členění podle velikostních skupin. </w:t>
      </w:r>
      <w:r w:rsidR="00CA653F" w:rsidRPr="009301E9">
        <w:t>Zvýšilo se zastoupení velkých podniků z</w:t>
      </w:r>
      <w:r w:rsidR="004420EE">
        <w:t> </w:t>
      </w:r>
      <w:r>
        <w:t>16</w:t>
      </w:r>
      <w:r w:rsidR="004420EE">
        <w:t> %</w:t>
      </w:r>
      <w:r>
        <w:t xml:space="preserve"> na 27</w:t>
      </w:r>
      <w:r w:rsidR="00CA653F" w:rsidRPr="009301E9">
        <w:t> % a naopak se snížilo zastoupení</w:t>
      </w:r>
      <w:r w:rsidR="00601AA9">
        <w:t xml:space="preserve"> </w:t>
      </w:r>
      <w:r w:rsidR="00601AA9" w:rsidRPr="009301E9">
        <w:t>malých</w:t>
      </w:r>
      <w:r w:rsidR="00CA653F" w:rsidRPr="009301E9">
        <w:t xml:space="preserve"> podniků z</w:t>
      </w:r>
      <w:r>
        <w:t> </w:t>
      </w:r>
      <w:r w:rsidR="00601AA9">
        <w:t>50</w:t>
      </w:r>
      <w:r>
        <w:t xml:space="preserve"> %</w:t>
      </w:r>
      <w:r w:rsidR="00601AA9">
        <w:t xml:space="preserve"> na 39</w:t>
      </w:r>
      <w:r w:rsidR="00CA653F" w:rsidRPr="009301E9">
        <w:t xml:space="preserve"> %. </w:t>
      </w:r>
      <w:r w:rsidR="00DF186C" w:rsidRPr="009301E9">
        <w:t> </w:t>
      </w:r>
      <w:r w:rsidR="007C375F">
        <w:t xml:space="preserve">K ještě výraznějším změnám pak došlo v případě výše nepřímé podpory </w:t>
      </w:r>
      <w:proofErr w:type="spellStart"/>
      <w:r w:rsidR="007C375F">
        <w:t>VaV</w:t>
      </w:r>
      <w:proofErr w:type="spellEnd"/>
      <w:r w:rsidR="007C375F">
        <w:t xml:space="preserve"> alokované do jednotlivých velikostních skupin soukr</w:t>
      </w:r>
      <w:r w:rsidR="002F4070">
        <w:t>o</w:t>
      </w:r>
      <w:r w:rsidR="007C375F">
        <w:t>mých podniků.</w:t>
      </w:r>
      <w:r w:rsidR="0097331B">
        <w:t xml:space="preserve"> Podíl financí směřujících do velkých p</w:t>
      </w:r>
      <w:r w:rsidR="00C67235">
        <w:t>odniků se za deset let zvýšil z</w:t>
      </w:r>
      <w:r>
        <w:t xml:space="preserve"> 68 % na 76</w:t>
      </w:r>
      <w:r w:rsidR="0097331B">
        <w:t> % a u střední</w:t>
      </w:r>
      <w:r>
        <w:t>ch podniků se naopak snížil z</w:t>
      </w:r>
      <w:r w:rsidR="00384686">
        <w:t> 20 % na 16 %</w:t>
      </w:r>
      <w:r w:rsidR="00443F89">
        <w:t>. U</w:t>
      </w:r>
      <w:r w:rsidR="00384686">
        <w:t xml:space="preserve"> malých </w:t>
      </w:r>
      <w:r w:rsidR="00443F89">
        <w:t xml:space="preserve">podniků došlo k poklesu </w:t>
      </w:r>
      <w:r w:rsidR="00384686">
        <w:t>o pět</w:t>
      </w:r>
      <w:r w:rsidR="0097331B">
        <w:t xml:space="preserve"> p</w:t>
      </w:r>
      <w:r>
        <w:t>rocentní</w:t>
      </w:r>
      <w:r w:rsidR="00384686">
        <w:t>ch bodů na 7</w:t>
      </w:r>
      <w:r>
        <w:t> % v roce 2019</w:t>
      </w:r>
      <w:r w:rsidR="0097331B">
        <w:t>.</w:t>
      </w:r>
    </w:p>
    <w:p w14:paraId="774839B5" w14:textId="75CD8CFE" w:rsidR="00E80180" w:rsidRPr="001E5B25" w:rsidRDefault="001E5B25" w:rsidP="001E5B25">
      <w:pPr>
        <w:keepNext/>
      </w:pPr>
      <w:r w:rsidRPr="001E5B25">
        <w:rPr>
          <w:b/>
        </w:rPr>
        <w:t xml:space="preserve">Graf </w:t>
      </w:r>
      <w:r w:rsidRPr="001E5B25">
        <w:rPr>
          <w:b/>
        </w:rPr>
        <w:fldChar w:fldCharType="begin"/>
      </w:r>
      <w:r w:rsidRPr="001E5B25">
        <w:rPr>
          <w:b/>
        </w:rPr>
        <w:instrText xml:space="preserve"> SEQ Graf \* ARABIC </w:instrText>
      </w:r>
      <w:r w:rsidRPr="001E5B25">
        <w:rPr>
          <w:b/>
        </w:rPr>
        <w:fldChar w:fldCharType="separate"/>
      </w:r>
      <w:r w:rsidR="00B043AC">
        <w:rPr>
          <w:b/>
          <w:noProof/>
        </w:rPr>
        <w:t>18</w:t>
      </w:r>
      <w:r w:rsidRPr="001E5B25">
        <w:rPr>
          <w:b/>
        </w:rPr>
        <w:fldChar w:fldCharType="end"/>
      </w:r>
      <w:r w:rsidR="00E80180" w:rsidRPr="001E5B25">
        <w:rPr>
          <w:b/>
        </w:rPr>
        <w:t xml:space="preserve">: </w:t>
      </w:r>
      <w:r w:rsidR="00AB3AF7" w:rsidRPr="001E5B25">
        <w:rPr>
          <w:b/>
        </w:rPr>
        <w:t xml:space="preserve">Výše nepřímé podpory </w:t>
      </w:r>
      <w:proofErr w:type="spellStart"/>
      <w:r w:rsidR="00AB3AF7" w:rsidRPr="001E5B25">
        <w:rPr>
          <w:b/>
        </w:rPr>
        <w:t>VaV</w:t>
      </w:r>
      <w:proofErr w:type="spellEnd"/>
      <w:r w:rsidR="00AB3AF7" w:rsidRPr="001E5B25">
        <w:rPr>
          <w:b/>
        </w:rPr>
        <w:t xml:space="preserve"> v s</w:t>
      </w:r>
      <w:r w:rsidR="00E80180" w:rsidRPr="001E5B25">
        <w:rPr>
          <w:b/>
        </w:rPr>
        <w:t>oukrom</w:t>
      </w:r>
      <w:r w:rsidR="00AB3AF7" w:rsidRPr="001E5B25">
        <w:rPr>
          <w:b/>
        </w:rPr>
        <w:t>ých podnicích</w:t>
      </w:r>
      <w:r w:rsidR="00E80180" w:rsidRPr="001E5B25">
        <w:rPr>
          <w:b/>
        </w:rPr>
        <w:t xml:space="preserve"> podle jejich velikosti (</w:t>
      </w:r>
      <w:r w:rsidR="00AB3AF7" w:rsidRPr="001E5B25">
        <w:rPr>
          <w:b/>
        </w:rPr>
        <w:t>mil. Kč</w:t>
      </w:r>
      <w:r w:rsidR="004420EE" w:rsidRPr="001E5B25">
        <w:rPr>
          <w:b/>
        </w:rPr>
        <w:t>; %</w:t>
      </w:r>
      <w:r w:rsidR="00E80180" w:rsidRPr="001E5B25">
        <w:rPr>
          <w:b/>
        </w:rPr>
        <w:t>)</w:t>
      </w:r>
    </w:p>
    <w:p w14:paraId="28CB89F1" w14:textId="767D5FE2" w:rsidR="00D218F2" w:rsidRPr="005A771E" w:rsidRDefault="00F47AC6" w:rsidP="00D218F2">
      <w:pPr>
        <w:spacing w:before="120"/>
        <w:jc w:val="both"/>
      </w:pPr>
      <w:r>
        <w:rPr>
          <w:noProof/>
        </w:rPr>
        <w:drawing>
          <wp:inline distT="0" distB="0" distL="0" distR="0" wp14:anchorId="42D46A85" wp14:editId="3D440952">
            <wp:extent cx="6120000" cy="1800225"/>
            <wp:effectExtent l="0" t="0" r="0" b="0"/>
            <wp:docPr id="25" name="Graf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52D13FDA" w14:textId="77777777" w:rsidR="00C21091" w:rsidRPr="00C62DD3" w:rsidRDefault="00C21091" w:rsidP="0016017F">
      <w:pPr>
        <w:spacing w:after="120"/>
        <w:jc w:val="both"/>
        <w:rPr>
          <w:rStyle w:val="st"/>
          <w:i/>
          <w:sz w:val="18"/>
        </w:rPr>
      </w:pPr>
      <w:r w:rsidRPr="00C62DD3">
        <w:rPr>
          <w:i/>
          <w:sz w:val="16"/>
        </w:rPr>
        <w:t>Zdroj: ČSÚ podle administrativních dat GFŘ</w:t>
      </w:r>
      <w:r w:rsidRPr="00C62DD3" w:rsidDel="00DE6696">
        <w:rPr>
          <w:i/>
          <w:sz w:val="16"/>
        </w:rPr>
        <w:t xml:space="preserve"> </w:t>
      </w:r>
    </w:p>
    <w:p w14:paraId="7BE2B5FA" w14:textId="15C5529A" w:rsidR="001B52AD" w:rsidRDefault="001B52AD" w:rsidP="001B52AD">
      <w:pPr>
        <w:jc w:val="both"/>
      </w:pPr>
      <w:r w:rsidRPr="004478D7">
        <w:t>Mezi malými</w:t>
      </w:r>
      <w:r w:rsidR="004478D7" w:rsidRPr="004478D7">
        <w:t xml:space="preserve"> </w:t>
      </w:r>
      <w:r w:rsidRPr="004478D7">
        <w:t xml:space="preserve">i středními </w:t>
      </w:r>
      <w:r w:rsidR="004478D7" w:rsidRPr="004478D7">
        <w:t>podniky jich více než polovina obdržela</w:t>
      </w:r>
      <w:r w:rsidRPr="004478D7">
        <w:t xml:space="preserve"> nepřímou podporu </w:t>
      </w:r>
      <w:proofErr w:type="spellStart"/>
      <w:r w:rsidRPr="004478D7">
        <w:t>VaV</w:t>
      </w:r>
      <w:proofErr w:type="spellEnd"/>
      <w:r w:rsidRPr="004478D7">
        <w:t xml:space="preserve"> v rozmezí 0,1–0,99 mi</w:t>
      </w:r>
      <w:r w:rsidR="004420EE" w:rsidRPr="004478D7">
        <w:t>l.</w:t>
      </w:r>
      <w:r w:rsidRPr="004478D7">
        <w:t> Kč</w:t>
      </w:r>
      <w:r w:rsidR="004420EE" w:rsidRPr="004478D7">
        <w:t>.</w:t>
      </w:r>
      <w:r w:rsidRPr="004478D7">
        <w:t xml:space="preserve"> U malých</w:t>
      </w:r>
      <w:r w:rsidRPr="00B86028">
        <w:t xml:space="preserve"> podniků však bylo vyšší zastoupení těch, jejichž </w:t>
      </w:r>
      <w:r w:rsidR="004420EE" w:rsidRPr="00B86028">
        <w:t>ú</w:t>
      </w:r>
      <w:r w:rsidRPr="00B86028">
        <w:t>spora díky nepřímé podpoře činila méně než 0,1 mil</w:t>
      </w:r>
      <w:r w:rsidR="004420EE" w:rsidRPr="00B86028">
        <w:t>.</w:t>
      </w:r>
      <w:r w:rsidR="00B86028" w:rsidRPr="00B86028">
        <w:t> Kč, a to 28</w:t>
      </w:r>
      <w:r w:rsidRPr="00B86028">
        <w:t> </w:t>
      </w:r>
      <w:r w:rsidR="00B86028" w:rsidRPr="00B86028">
        <w:t>%. U středních podniků naopak 38</w:t>
      </w:r>
      <w:r w:rsidRPr="00B86028">
        <w:t xml:space="preserve"> % z nich obdrželo nepřímou podporu </w:t>
      </w:r>
      <w:proofErr w:type="spellStart"/>
      <w:r w:rsidRPr="00B86028">
        <w:t>VaV</w:t>
      </w:r>
      <w:proofErr w:type="spellEnd"/>
      <w:r w:rsidRPr="00B86028">
        <w:t xml:space="preserve"> vyšší než 1 mil. Kč</w:t>
      </w:r>
      <w:r w:rsidRPr="004478D7">
        <w:t>. U velkých podniků je</w:t>
      </w:r>
      <w:r w:rsidR="00D65484" w:rsidRPr="004478D7">
        <w:t>,</w:t>
      </w:r>
      <w:r w:rsidRPr="004478D7">
        <w:t xml:space="preserve"> co do objemu obdržených prostředků z nepřímé podpory</w:t>
      </w:r>
      <w:r w:rsidR="00D65484" w:rsidRPr="004478D7">
        <w:t>,</w:t>
      </w:r>
      <w:r w:rsidR="004478D7" w:rsidRPr="004478D7">
        <w:t xml:space="preserve"> situace jiná, jelikož 62</w:t>
      </w:r>
      <w:r w:rsidRPr="004478D7">
        <w:t> % (155) podniků získalo nepřímou podporu</w:t>
      </w:r>
      <w:r w:rsidR="004478D7" w:rsidRPr="004478D7">
        <w:t xml:space="preserve"> </w:t>
      </w:r>
      <w:proofErr w:type="spellStart"/>
      <w:r w:rsidR="004478D7" w:rsidRPr="004478D7">
        <w:t>VaV</w:t>
      </w:r>
      <w:proofErr w:type="spellEnd"/>
      <w:r w:rsidR="004478D7" w:rsidRPr="004478D7">
        <w:t xml:space="preserve"> vyšší než 1 mil. Kč a 39</w:t>
      </w:r>
      <w:r w:rsidRPr="004478D7">
        <w:t xml:space="preserve"> (15 %) podniků dokonce vyšší než deset mili</w:t>
      </w:r>
      <w:r w:rsidR="004420EE" w:rsidRPr="004478D7">
        <w:t>o</w:t>
      </w:r>
      <w:r w:rsidRPr="004478D7">
        <w:t>nů korun.</w:t>
      </w:r>
      <w:r>
        <w:t xml:space="preserve"> </w:t>
      </w:r>
    </w:p>
    <w:p w14:paraId="436C3D45" w14:textId="7CA90EEE" w:rsidR="001B52AD" w:rsidRPr="00F43C7C" w:rsidRDefault="00F43C7C" w:rsidP="00F43C7C">
      <w:pPr>
        <w:keepNext/>
        <w:spacing w:before="120"/>
        <w:jc w:val="both"/>
      </w:pPr>
      <w:r w:rsidRPr="00F43C7C">
        <w:rPr>
          <w:b/>
        </w:rPr>
        <w:lastRenderedPageBreak/>
        <w:t xml:space="preserve">Graf </w:t>
      </w:r>
      <w:r w:rsidRPr="00F43C7C">
        <w:rPr>
          <w:b/>
        </w:rPr>
        <w:fldChar w:fldCharType="begin"/>
      </w:r>
      <w:r w:rsidRPr="00F43C7C">
        <w:rPr>
          <w:b/>
        </w:rPr>
        <w:instrText xml:space="preserve"> SEQ Graf \* ARABIC </w:instrText>
      </w:r>
      <w:r w:rsidRPr="00F43C7C">
        <w:rPr>
          <w:b/>
        </w:rPr>
        <w:fldChar w:fldCharType="separate"/>
      </w:r>
      <w:r w:rsidR="00B043AC">
        <w:rPr>
          <w:b/>
          <w:noProof/>
        </w:rPr>
        <w:t>19</w:t>
      </w:r>
      <w:r w:rsidRPr="00F43C7C">
        <w:rPr>
          <w:b/>
        </w:rPr>
        <w:fldChar w:fldCharType="end"/>
      </w:r>
      <w:r w:rsidR="001B52AD" w:rsidRPr="00F43C7C">
        <w:rPr>
          <w:b/>
        </w:rPr>
        <w:t xml:space="preserve">: Soukromé podniky využívající nepřímou veřejnou podporu </w:t>
      </w:r>
      <w:proofErr w:type="spellStart"/>
      <w:r w:rsidR="001B52AD" w:rsidRPr="00F43C7C">
        <w:rPr>
          <w:b/>
        </w:rPr>
        <w:t>VaV</w:t>
      </w:r>
      <w:proofErr w:type="spellEnd"/>
      <w:r w:rsidR="001B52AD" w:rsidRPr="00F43C7C">
        <w:rPr>
          <w:b/>
        </w:rPr>
        <w:t xml:space="preserve"> podle výše podpory a velikosti podniku (počet</w:t>
      </w:r>
      <w:r w:rsidR="004420EE" w:rsidRPr="00F43C7C">
        <w:rPr>
          <w:b/>
        </w:rPr>
        <w:t>; %</w:t>
      </w:r>
      <w:r w:rsidR="001B52AD" w:rsidRPr="00F43C7C">
        <w:rPr>
          <w:b/>
        </w:rPr>
        <w:t xml:space="preserve">), </w:t>
      </w:r>
      <w:r w:rsidR="00510890" w:rsidRPr="00F43C7C">
        <w:rPr>
          <w:b/>
        </w:rPr>
        <w:t>2019</w:t>
      </w:r>
    </w:p>
    <w:p w14:paraId="2A7746E0" w14:textId="6404BDD0" w:rsidR="001B52AD" w:rsidRDefault="00BD0BE3" w:rsidP="001B52AD">
      <w:pPr>
        <w:jc w:val="both"/>
      </w:pPr>
      <w:r>
        <w:rPr>
          <w:noProof/>
        </w:rPr>
        <w:drawing>
          <wp:inline distT="0" distB="0" distL="0" distR="0" wp14:anchorId="24F2C389" wp14:editId="762651D9">
            <wp:extent cx="6120000" cy="2340000"/>
            <wp:effectExtent l="0" t="0" r="0" b="3175"/>
            <wp:docPr id="33" name="Graf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3CE6CBCD" w14:textId="77777777" w:rsidR="001B52AD" w:rsidRDefault="001B52AD" w:rsidP="001B52AD">
      <w:pPr>
        <w:spacing w:after="120"/>
        <w:jc w:val="both"/>
        <w:rPr>
          <w:i/>
          <w:sz w:val="16"/>
        </w:rPr>
      </w:pPr>
      <w:r w:rsidRPr="001852F7">
        <w:rPr>
          <w:i/>
          <w:sz w:val="16"/>
        </w:rPr>
        <w:t xml:space="preserve">Zdroj: ČSÚ podle administrativních dat GFŘ </w:t>
      </w:r>
    </w:p>
    <w:p w14:paraId="0F743860" w14:textId="6D768432" w:rsidR="00941573" w:rsidRPr="008B07CF" w:rsidRDefault="00941573" w:rsidP="00C108E2">
      <w:pPr>
        <w:pStyle w:val="Nadpis3"/>
        <w:spacing w:before="240" w:after="120"/>
        <w:rPr>
          <w:sz w:val="22"/>
          <w:szCs w:val="22"/>
        </w:rPr>
      </w:pPr>
      <w:r w:rsidRPr="008B07CF">
        <w:rPr>
          <w:sz w:val="22"/>
          <w:szCs w:val="22"/>
        </w:rPr>
        <w:t>3.2</w:t>
      </w:r>
      <w:r>
        <w:rPr>
          <w:sz w:val="22"/>
          <w:szCs w:val="22"/>
        </w:rPr>
        <w:t>.4</w:t>
      </w:r>
      <w:r w:rsidRPr="008B07CF">
        <w:rPr>
          <w:sz w:val="22"/>
          <w:szCs w:val="22"/>
        </w:rPr>
        <w:t xml:space="preserve"> </w:t>
      </w:r>
      <w:r w:rsidR="001B68DB">
        <w:rPr>
          <w:sz w:val="22"/>
          <w:szCs w:val="22"/>
        </w:rPr>
        <w:t>P</w:t>
      </w:r>
      <w:r>
        <w:rPr>
          <w:sz w:val="22"/>
          <w:szCs w:val="22"/>
        </w:rPr>
        <w:t>odle odvětvové sekce</w:t>
      </w:r>
      <w:r w:rsidR="0095395C">
        <w:rPr>
          <w:sz w:val="22"/>
          <w:szCs w:val="22"/>
        </w:rPr>
        <w:t xml:space="preserve"> podniků</w:t>
      </w:r>
    </w:p>
    <w:p w14:paraId="6E473345" w14:textId="46D7B373" w:rsidR="004A7DBE" w:rsidRDefault="00184104" w:rsidP="00224077">
      <w:pPr>
        <w:spacing w:before="120"/>
        <w:jc w:val="both"/>
      </w:pPr>
      <w:r w:rsidRPr="00184104">
        <w:t>Z</w:t>
      </w:r>
      <w:r w:rsidR="00574547" w:rsidRPr="00184104">
        <w:t xml:space="preserve"> hlediska </w:t>
      </w:r>
      <w:r w:rsidR="001B68DB">
        <w:t xml:space="preserve">převažující </w:t>
      </w:r>
      <w:r w:rsidR="00DE7E9F" w:rsidRPr="00184104">
        <w:t>ekonomické činnosti podniků</w:t>
      </w:r>
      <w:r w:rsidRPr="00184104">
        <w:t xml:space="preserve">, které </w:t>
      </w:r>
      <w:r w:rsidR="009B6D02">
        <w:t>v roce 2019</w:t>
      </w:r>
      <w:r w:rsidR="001B68DB">
        <w:t xml:space="preserve"> využily </w:t>
      </w:r>
      <w:r w:rsidRPr="00184104">
        <w:t>nepřímou podporu</w:t>
      </w:r>
      <w:r w:rsidR="001B68DB">
        <w:t xml:space="preserve"> pro jejich </w:t>
      </w:r>
      <w:r w:rsidRPr="00184104">
        <w:t>VaV</w:t>
      </w:r>
      <w:r w:rsidR="001B68DB">
        <w:t xml:space="preserve"> činnost</w:t>
      </w:r>
      <w:r w:rsidR="00445D1D" w:rsidRPr="00184104">
        <w:t>,</w:t>
      </w:r>
      <w:r w:rsidRPr="00184104">
        <w:t xml:space="preserve"> </w:t>
      </w:r>
      <w:r w:rsidR="001B68DB">
        <w:t xml:space="preserve">jich </w:t>
      </w:r>
      <w:r w:rsidR="001B68DB" w:rsidRPr="00977132">
        <w:t xml:space="preserve">nejvíce, </w:t>
      </w:r>
      <w:r w:rsidR="004D50C1" w:rsidRPr="00977132">
        <w:t>545 (58</w:t>
      </w:r>
      <w:r w:rsidR="001B68DB" w:rsidRPr="00977132">
        <w:t> %),</w:t>
      </w:r>
      <w:r w:rsidRPr="00977132">
        <w:t xml:space="preserve"> </w:t>
      </w:r>
      <w:r w:rsidR="001B68DB" w:rsidRPr="00977132">
        <w:t xml:space="preserve">působilo </w:t>
      </w:r>
      <w:r w:rsidR="001B68DB">
        <w:t>v</w:t>
      </w:r>
      <w:r w:rsidRPr="00184104">
        <w:t>e zpracovatelské</w:t>
      </w:r>
      <w:r w:rsidR="001B68DB">
        <w:t>m</w:t>
      </w:r>
      <w:r w:rsidRPr="00184104">
        <w:t xml:space="preserve"> průmyslu</w:t>
      </w:r>
      <w:r w:rsidR="001B68DB">
        <w:t>.</w:t>
      </w:r>
      <w:r w:rsidR="004D50C1">
        <w:t xml:space="preserve"> Oproti roku 2009</w:t>
      </w:r>
      <w:r>
        <w:t xml:space="preserve"> se počet těchto podn</w:t>
      </w:r>
      <w:r w:rsidR="004D50C1">
        <w:t xml:space="preserve">iků zvýšil o </w:t>
      </w:r>
      <w:r w:rsidR="000D5605">
        <w:t>více než polovinu</w:t>
      </w:r>
      <w:r w:rsidR="00A67CF2">
        <w:t xml:space="preserve">. </w:t>
      </w:r>
      <w:r w:rsidRPr="00184104">
        <w:t xml:space="preserve">Podniky zpracovatelského průmyslu </w:t>
      </w:r>
      <w:r w:rsidR="00C634DF" w:rsidRPr="00184104">
        <w:t xml:space="preserve">získaly </w:t>
      </w:r>
      <w:r w:rsidR="004D50C1">
        <w:t>1,8 mld. Kč (67</w:t>
      </w:r>
      <w:r w:rsidR="001B68DB">
        <w:t xml:space="preserve"> %) z celkové </w:t>
      </w:r>
      <w:r w:rsidR="00C634DF" w:rsidRPr="00184104">
        <w:t>daňov</w:t>
      </w:r>
      <w:r w:rsidR="001B68DB">
        <w:t>é</w:t>
      </w:r>
      <w:r w:rsidR="00C634DF" w:rsidRPr="00184104">
        <w:t xml:space="preserve"> podpor</w:t>
      </w:r>
      <w:r w:rsidR="001B68DB">
        <w:t>y</w:t>
      </w:r>
      <w:r w:rsidR="00605C8E" w:rsidRPr="00184104">
        <w:t xml:space="preserve"> VaV </w:t>
      </w:r>
      <w:r w:rsidR="001B68DB">
        <w:t>prováděného v soukromých firmách.</w:t>
      </w:r>
      <w:r w:rsidR="002656DE" w:rsidRPr="00184104">
        <w:t xml:space="preserve"> </w:t>
      </w:r>
      <w:r w:rsidR="004245DD">
        <w:t>Oproti roku 2009</w:t>
      </w:r>
      <w:r w:rsidR="004245DD" w:rsidRPr="001B68DB">
        <w:t xml:space="preserve"> klesl podíl výše nepřímé podpory</w:t>
      </w:r>
      <w:r w:rsidR="00AB7F14">
        <w:t xml:space="preserve"> </w:t>
      </w:r>
      <w:proofErr w:type="spellStart"/>
      <w:r w:rsidR="00AB7F14">
        <w:t>VaV</w:t>
      </w:r>
      <w:proofErr w:type="spellEnd"/>
      <w:r w:rsidR="004245DD" w:rsidRPr="001B68DB">
        <w:t>, která směřovala do zpracovatelsk</w:t>
      </w:r>
      <w:r w:rsidR="004245DD">
        <w:t>ého průmyslu o 11</w:t>
      </w:r>
      <w:r w:rsidR="004245DD" w:rsidRPr="001B68DB">
        <w:t xml:space="preserve"> procentních bodů</w:t>
      </w:r>
      <w:r w:rsidR="004245DD">
        <w:t xml:space="preserve"> ve prospěch informačních a komunikačních činností a p</w:t>
      </w:r>
      <w:r w:rsidR="004245DD" w:rsidRPr="004245DD">
        <w:t>rofesní</w:t>
      </w:r>
      <w:r w:rsidR="004245DD">
        <w:t xml:space="preserve">ch, vědeckých a technických činností. </w:t>
      </w:r>
      <w:r w:rsidR="002656DE" w:rsidRPr="00184104">
        <w:t>V </w:t>
      </w:r>
      <w:r w:rsidR="00C634DF" w:rsidRPr="00184104">
        <w:t>průměru</w:t>
      </w:r>
      <w:r w:rsidR="002656DE" w:rsidRPr="00184104">
        <w:t xml:space="preserve"> získal </w:t>
      </w:r>
      <w:r w:rsidR="001B68DB">
        <w:t xml:space="preserve">jeden </w:t>
      </w:r>
      <w:r w:rsidR="002656DE" w:rsidRPr="00184104">
        <w:t>podni</w:t>
      </w:r>
      <w:r w:rsidR="00184606" w:rsidRPr="00184104">
        <w:t>k v</w:t>
      </w:r>
      <w:r w:rsidR="002656DE" w:rsidRPr="00184104">
        <w:t xml:space="preserve">e zpracovatelském průmyslu </w:t>
      </w:r>
      <w:r w:rsidR="00184606" w:rsidRPr="00184104">
        <w:t xml:space="preserve">nepřímou veřejnou </w:t>
      </w:r>
      <w:r w:rsidR="002656DE" w:rsidRPr="00184104">
        <w:t>podporu</w:t>
      </w:r>
      <w:r w:rsidR="00184606" w:rsidRPr="00184104">
        <w:t xml:space="preserve"> VaV</w:t>
      </w:r>
      <w:r w:rsidR="002656DE" w:rsidRPr="00184104">
        <w:t xml:space="preserve"> ve výši </w:t>
      </w:r>
      <w:r w:rsidRPr="00184104">
        <w:t>3</w:t>
      </w:r>
      <w:r w:rsidR="004D50C1">
        <w:t>,3</w:t>
      </w:r>
      <w:r w:rsidR="002656DE" w:rsidRPr="00184104">
        <w:t xml:space="preserve"> mil. Kč</w:t>
      </w:r>
      <w:r w:rsidR="004245DD">
        <w:t>, což bylo o 1 mil. Kč více než v roce 2009</w:t>
      </w:r>
      <w:r w:rsidR="00C634DF" w:rsidRPr="00184104">
        <w:t>.</w:t>
      </w:r>
      <w:r w:rsidR="00574547" w:rsidRPr="00184104">
        <w:t xml:space="preserve"> </w:t>
      </w:r>
    </w:p>
    <w:p w14:paraId="40529FCE" w14:textId="03D9F1CD" w:rsidR="00476BD6" w:rsidRDefault="00476BD6" w:rsidP="00476BD6">
      <w:pPr>
        <w:spacing w:before="60" w:after="60"/>
        <w:jc w:val="both"/>
      </w:pPr>
      <w:r w:rsidRPr="003503BB">
        <w:t xml:space="preserve">Daňová podpora </w:t>
      </w:r>
      <w:proofErr w:type="spellStart"/>
      <w:r w:rsidRPr="003503BB">
        <w:t>VaV</w:t>
      </w:r>
      <w:proofErr w:type="spellEnd"/>
      <w:r w:rsidRPr="003503BB">
        <w:t xml:space="preserve"> je také důležitá pro soukromé podniky působící v oblasti Informačních a komunikačních činností, zkráceně poskytování IT služeb (CZ-NACE J) a oblasti Profesních, vědeckých a technických činností (CZ-NACE M). V oblasti poskytová</w:t>
      </w:r>
      <w:r w:rsidR="00AC24D3">
        <w:t xml:space="preserve">ní IT služeb využilo v roce 2019 daňové zvýhodnění </w:t>
      </w:r>
      <w:proofErr w:type="spellStart"/>
      <w:r w:rsidR="00AC24D3">
        <w:t>VaV</w:t>
      </w:r>
      <w:proofErr w:type="spellEnd"/>
      <w:r w:rsidR="00AC24D3">
        <w:t xml:space="preserve"> 156</w:t>
      </w:r>
      <w:r w:rsidRPr="003503BB">
        <w:t xml:space="preserve"> podniků, které získaly nepřímou </w:t>
      </w:r>
      <w:r w:rsidR="00AC24D3">
        <w:t xml:space="preserve">veřejnou podporu </w:t>
      </w:r>
      <w:proofErr w:type="spellStart"/>
      <w:r w:rsidR="00AC24D3">
        <w:t>VaV</w:t>
      </w:r>
      <w:proofErr w:type="spellEnd"/>
      <w:r w:rsidR="00AC24D3">
        <w:t xml:space="preserve"> ve výši 433</w:t>
      </w:r>
      <w:r w:rsidRPr="003503BB">
        <w:t xml:space="preserve"> mil. Kč. </w:t>
      </w:r>
      <w:r>
        <w:t>V průměru obdržel jeden podnik z oblasti poskytován</w:t>
      </w:r>
      <w:r w:rsidR="00AC24D3">
        <w:t>í IT služeb 2,8</w:t>
      </w:r>
      <w:r>
        <w:t xml:space="preserve"> mil. Kč. </w:t>
      </w:r>
    </w:p>
    <w:p w14:paraId="3E663AAA" w14:textId="18E12F96" w:rsidR="004A7DBE" w:rsidRPr="00F85DDB" w:rsidRDefault="00F85DDB" w:rsidP="00F85DDB">
      <w:pPr>
        <w:keepNext/>
        <w:spacing w:before="120"/>
        <w:jc w:val="both"/>
      </w:pPr>
      <w:r w:rsidRPr="00F85DDB">
        <w:rPr>
          <w:b/>
        </w:rPr>
        <w:t xml:space="preserve">Graf </w:t>
      </w:r>
      <w:r w:rsidRPr="00F85DDB">
        <w:rPr>
          <w:b/>
        </w:rPr>
        <w:fldChar w:fldCharType="begin"/>
      </w:r>
      <w:r w:rsidRPr="00F85DDB">
        <w:rPr>
          <w:b/>
        </w:rPr>
        <w:instrText xml:space="preserve"> SEQ Graf \* ARABIC </w:instrText>
      </w:r>
      <w:r w:rsidRPr="00F85DDB">
        <w:rPr>
          <w:b/>
        </w:rPr>
        <w:fldChar w:fldCharType="separate"/>
      </w:r>
      <w:r w:rsidR="00B043AC">
        <w:rPr>
          <w:b/>
          <w:noProof/>
        </w:rPr>
        <w:t>20</w:t>
      </w:r>
      <w:r w:rsidRPr="00F85DDB">
        <w:rPr>
          <w:b/>
        </w:rPr>
        <w:fldChar w:fldCharType="end"/>
      </w:r>
      <w:r w:rsidR="004A7DBE" w:rsidRPr="00F85DDB">
        <w:rPr>
          <w:b/>
        </w:rPr>
        <w:t xml:space="preserve">: Soukromé podniky využívající nepřímou veřejnou podporu </w:t>
      </w:r>
      <w:proofErr w:type="spellStart"/>
      <w:r w:rsidR="004A7DBE" w:rsidRPr="00F85DDB">
        <w:rPr>
          <w:b/>
        </w:rPr>
        <w:t>VaV</w:t>
      </w:r>
      <w:proofErr w:type="spellEnd"/>
      <w:r w:rsidR="004A7DBE" w:rsidRPr="00F85DDB" w:rsidDel="00C93A0D">
        <w:rPr>
          <w:b/>
        </w:rPr>
        <w:t xml:space="preserve"> </w:t>
      </w:r>
      <w:r w:rsidR="004A7DBE" w:rsidRPr="00F85DDB">
        <w:rPr>
          <w:b/>
        </w:rPr>
        <w:t>podle odvětvových sekcí klasifikace CZ-NACE (počet</w:t>
      </w:r>
      <w:r w:rsidR="001B68DB" w:rsidRPr="00F85DDB">
        <w:rPr>
          <w:b/>
        </w:rPr>
        <w:t>; %</w:t>
      </w:r>
      <w:r w:rsidR="00A17C11" w:rsidRPr="00F85DDB">
        <w:rPr>
          <w:b/>
        </w:rPr>
        <w:t>)</w:t>
      </w:r>
    </w:p>
    <w:p w14:paraId="72E569DD" w14:textId="338C92D5" w:rsidR="004A7DBE" w:rsidRPr="00A17C11" w:rsidRDefault="006A5CD8" w:rsidP="00A17C11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32E9B2BF" wp14:editId="371EE17A">
            <wp:extent cx="6120000" cy="1980000"/>
            <wp:effectExtent l="0" t="0" r="0" b="127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1AA58A70" w14:textId="29DAF589" w:rsidR="004A7DBE" w:rsidRDefault="004A7DBE" w:rsidP="00476BD6">
      <w:pPr>
        <w:spacing w:after="120"/>
        <w:jc w:val="both"/>
        <w:rPr>
          <w:i/>
          <w:sz w:val="16"/>
        </w:rPr>
      </w:pPr>
      <w:r w:rsidRPr="00A17C11">
        <w:rPr>
          <w:i/>
          <w:sz w:val="16"/>
        </w:rPr>
        <w:t>Zdroj: ČSÚ podle administrativních dat GFŘ</w:t>
      </w:r>
    </w:p>
    <w:p w14:paraId="68DD463E" w14:textId="453E26DD" w:rsidR="006804FC" w:rsidRPr="00A96720" w:rsidRDefault="006804FC" w:rsidP="00A96720">
      <w:pPr>
        <w:spacing w:after="60"/>
        <w:jc w:val="both"/>
      </w:pPr>
      <w:r w:rsidRPr="00076227">
        <w:t xml:space="preserve">U podniků </w:t>
      </w:r>
      <w:r w:rsidR="0071202B" w:rsidRPr="00076227">
        <w:t>z oblasti Profesní, vědecké a technické činnosti</w:t>
      </w:r>
      <w:r w:rsidRPr="00076227">
        <w:t xml:space="preserve"> využilo daňovou podporu </w:t>
      </w:r>
      <w:proofErr w:type="spellStart"/>
      <w:r w:rsidRPr="00076227">
        <w:t>VaV</w:t>
      </w:r>
      <w:proofErr w:type="spellEnd"/>
      <w:r w:rsidRPr="00076227">
        <w:t xml:space="preserve"> </w:t>
      </w:r>
      <w:r w:rsidR="0030504B">
        <w:t>119</w:t>
      </w:r>
      <w:r w:rsidRPr="00076227">
        <w:t xml:space="preserve"> podniků</w:t>
      </w:r>
      <w:r w:rsidR="00076227" w:rsidRPr="00076227">
        <w:t xml:space="preserve">, které díky daňové úlevě na </w:t>
      </w:r>
      <w:proofErr w:type="spellStart"/>
      <w:r w:rsidR="00076227" w:rsidRPr="00076227">
        <w:t>VaV</w:t>
      </w:r>
      <w:proofErr w:type="spellEnd"/>
      <w:r w:rsidR="00076227" w:rsidRPr="00076227">
        <w:t xml:space="preserve"> ušetřily</w:t>
      </w:r>
      <w:r w:rsidRPr="00076227">
        <w:t xml:space="preserve"> </w:t>
      </w:r>
      <w:r w:rsidR="0030504B">
        <w:t>celkovou částku 254</w:t>
      </w:r>
      <w:r w:rsidR="00076227" w:rsidRPr="00076227">
        <w:t> mil. Kč.</w:t>
      </w:r>
      <w:r w:rsidRPr="00076227">
        <w:t xml:space="preserve"> Podniky zařazené v</w:t>
      </w:r>
      <w:r w:rsidR="00A96720">
        <w:t> této sekci klasifik</w:t>
      </w:r>
      <w:r w:rsidRPr="00076227">
        <w:t xml:space="preserve">ace CZ-NACE využívají častěji přímou veřejnou podporu </w:t>
      </w:r>
      <w:proofErr w:type="spellStart"/>
      <w:r w:rsidRPr="00076227">
        <w:t>VaV</w:t>
      </w:r>
      <w:proofErr w:type="spellEnd"/>
      <w:r w:rsidRPr="00076227">
        <w:t xml:space="preserve"> než nepřímou. To je dáno především tím, že v této </w:t>
      </w:r>
      <w:r w:rsidRPr="0071202B">
        <w:t>odvětvové sekci se nacházejí i podniky s převažující ekonomickou činnost</w:t>
      </w:r>
      <w:r w:rsidR="001364B0">
        <w:t>í</w:t>
      </w:r>
      <w:r w:rsidRPr="0071202B">
        <w:t xml:space="preserve"> v oblasti výzkumu a </w:t>
      </w:r>
      <w:r w:rsidRPr="00A96720">
        <w:t>vývoje</w:t>
      </w:r>
      <w:r w:rsidR="00076227" w:rsidRPr="00A96720">
        <w:t>.</w:t>
      </w:r>
      <w:r w:rsidRPr="00A96720">
        <w:t xml:space="preserve"> </w:t>
      </w:r>
    </w:p>
    <w:p w14:paraId="01FEEEEA" w14:textId="2AFE3D86" w:rsidR="00076227" w:rsidRDefault="00076227" w:rsidP="00117F2D">
      <w:pPr>
        <w:jc w:val="both"/>
      </w:pPr>
      <w:r w:rsidRPr="00076227">
        <w:lastRenderedPageBreak/>
        <w:t xml:space="preserve">Dalších </w:t>
      </w:r>
      <w:r w:rsidR="0030504B">
        <w:t>120 podniků, které v roce 2019</w:t>
      </w:r>
      <w:r>
        <w:t xml:space="preserve"> obdržely nepřímou </w:t>
      </w:r>
      <w:r w:rsidR="0030504B">
        <w:t xml:space="preserve">veřejnou podporu </w:t>
      </w:r>
      <w:proofErr w:type="spellStart"/>
      <w:r w:rsidR="0030504B">
        <w:t>VaV</w:t>
      </w:r>
      <w:proofErr w:type="spellEnd"/>
      <w:r w:rsidR="0030504B">
        <w:t xml:space="preserve"> ve výši 219</w:t>
      </w:r>
      <w:r>
        <w:t> mil</w:t>
      </w:r>
      <w:r w:rsidR="001364B0">
        <w:t>. Kč</w:t>
      </w:r>
      <w:r w:rsidR="00274DF0">
        <w:t xml:space="preserve"> se nacházelo napříč dalšími odvětvími jako je Zemědělství, Stavebnictví, Velkoobchod a maloobchod, Peněžnictví a pojišťovnictví atd.</w:t>
      </w:r>
    </w:p>
    <w:p w14:paraId="7FB771F7" w14:textId="7AC1893D" w:rsidR="00A17C11" w:rsidRPr="00720A77" w:rsidRDefault="00720A77" w:rsidP="00720A77">
      <w:pPr>
        <w:keepNext/>
        <w:spacing w:before="120"/>
      </w:pPr>
      <w:r w:rsidRPr="00720A77">
        <w:rPr>
          <w:b/>
        </w:rPr>
        <w:t xml:space="preserve">Graf </w:t>
      </w:r>
      <w:r w:rsidRPr="00720A77">
        <w:rPr>
          <w:b/>
        </w:rPr>
        <w:fldChar w:fldCharType="begin"/>
      </w:r>
      <w:r w:rsidRPr="00720A77">
        <w:rPr>
          <w:b/>
        </w:rPr>
        <w:instrText xml:space="preserve"> SEQ Graf \* ARABIC </w:instrText>
      </w:r>
      <w:r w:rsidRPr="00720A77">
        <w:rPr>
          <w:b/>
        </w:rPr>
        <w:fldChar w:fldCharType="separate"/>
      </w:r>
      <w:r w:rsidR="00B043AC">
        <w:rPr>
          <w:b/>
          <w:noProof/>
        </w:rPr>
        <w:t>21</w:t>
      </w:r>
      <w:r w:rsidRPr="00720A77">
        <w:rPr>
          <w:b/>
        </w:rPr>
        <w:fldChar w:fldCharType="end"/>
      </w:r>
      <w:r w:rsidR="00A17C11" w:rsidRPr="00720A77">
        <w:rPr>
          <w:b/>
        </w:rPr>
        <w:t xml:space="preserve">: Výše nepřímé podpory </w:t>
      </w:r>
      <w:proofErr w:type="spellStart"/>
      <w:r w:rsidR="00A17C11" w:rsidRPr="00720A77">
        <w:rPr>
          <w:b/>
        </w:rPr>
        <w:t>VaV</w:t>
      </w:r>
      <w:proofErr w:type="spellEnd"/>
      <w:r w:rsidR="00A17C11" w:rsidRPr="00720A77">
        <w:rPr>
          <w:b/>
        </w:rPr>
        <w:t xml:space="preserve"> v soukromých podnicích podle </w:t>
      </w:r>
      <w:r w:rsidR="00AA7316" w:rsidRPr="00720A77">
        <w:rPr>
          <w:b/>
        </w:rPr>
        <w:t xml:space="preserve">odvětvových sekcí klasifikace CZ-NACE </w:t>
      </w:r>
      <w:r w:rsidR="00A17C11" w:rsidRPr="00720A77">
        <w:rPr>
          <w:b/>
        </w:rPr>
        <w:t>(mil. Kč</w:t>
      </w:r>
      <w:r w:rsidR="001364B0" w:rsidRPr="00720A77">
        <w:rPr>
          <w:b/>
        </w:rPr>
        <w:t>; %</w:t>
      </w:r>
      <w:r w:rsidR="00A17C11" w:rsidRPr="00720A77">
        <w:rPr>
          <w:b/>
        </w:rPr>
        <w:t>)</w:t>
      </w:r>
    </w:p>
    <w:p w14:paraId="01A851DD" w14:textId="2E02980B" w:rsidR="00611A94" w:rsidRPr="0095288C" w:rsidRDefault="006A5CD8" w:rsidP="00A17C11">
      <w:pPr>
        <w:jc w:val="both"/>
        <w:rPr>
          <w:i/>
          <w:sz w:val="16"/>
        </w:rPr>
      </w:pPr>
      <w:r>
        <w:rPr>
          <w:noProof/>
        </w:rPr>
        <w:drawing>
          <wp:inline distT="0" distB="0" distL="0" distR="0" wp14:anchorId="348FAEB2" wp14:editId="36BCD1AC">
            <wp:extent cx="5976000" cy="1980000"/>
            <wp:effectExtent l="0" t="0" r="5715" b="1270"/>
            <wp:docPr id="27" name="Graf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12745070" w14:textId="2EF7CDAF" w:rsidR="00A17C11" w:rsidRPr="008E5244" w:rsidRDefault="00A17C11" w:rsidP="00A17C11">
      <w:pPr>
        <w:jc w:val="both"/>
        <w:rPr>
          <w:i/>
          <w:sz w:val="16"/>
        </w:rPr>
      </w:pPr>
      <w:r w:rsidRPr="008E5244">
        <w:rPr>
          <w:i/>
          <w:sz w:val="16"/>
        </w:rPr>
        <w:t>Zdroj: ČSÚ podle administrativních dat GFŘ</w:t>
      </w:r>
    </w:p>
    <w:p w14:paraId="55F48A0C" w14:textId="0249D801" w:rsidR="003F3B36" w:rsidRPr="008E5244" w:rsidRDefault="003F3B36" w:rsidP="003F3B36">
      <w:pPr>
        <w:spacing w:before="120"/>
        <w:jc w:val="both"/>
        <w:rPr>
          <w:i/>
          <w:sz w:val="16"/>
        </w:rPr>
      </w:pPr>
      <w:r w:rsidRPr="008E5244">
        <w:t xml:space="preserve">Ve zpracovatelském průmyslu uplatnily </w:t>
      </w:r>
      <w:r w:rsidR="006437D3">
        <w:t>v roce 2019</w:t>
      </w:r>
      <w:r w:rsidR="008E5244" w:rsidRPr="008E5244">
        <w:t xml:space="preserve"> </w:t>
      </w:r>
      <w:r w:rsidRPr="008E5244">
        <w:t xml:space="preserve">daňový odečet výdajů na </w:t>
      </w:r>
      <w:proofErr w:type="spellStart"/>
      <w:r w:rsidRPr="008E5244">
        <w:t>VaV</w:t>
      </w:r>
      <w:proofErr w:type="spellEnd"/>
      <w:r w:rsidRPr="008E5244">
        <w:t xml:space="preserve"> nejvíce soukromé podniky </w:t>
      </w:r>
      <w:r w:rsidRPr="00545C50">
        <w:t>(1</w:t>
      </w:r>
      <w:r w:rsidR="004B5359" w:rsidRPr="00545C50">
        <w:t>20</w:t>
      </w:r>
      <w:r w:rsidRPr="00545C50">
        <w:t xml:space="preserve"> subjektů) ve</w:t>
      </w:r>
      <w:r w:rsidRPr="008E5244">
        <w:t xml:space="preserve"> strojírenském průmyslu (CZ-NACE 28). Podniky v tomto odvětví nárokovaly daňovou podporu pro své výzkumné a vývojové činnosti ve výši 2</w:t>
      </w:r>
      <w:r w:rsidR="004B5359">
        <w:t>72</w:t>
      </w:r>
      <w:r w:rsidR="00D067EE">
        <w:t xml:space="preserve"> mil. </w:t>
      </w:r>
      <w:r w:rsidRPr="008E5244">
        <w:t>Kč</w:t>
      </w:r>
      <w:r w:rsidR="008E5244">
        <w:t xml:space="preserve"> a na jeden</w:t>
      </w:r>
      <w:r w:rsidR="004B5359">
        <w:t xml:space="preserve"> podnik tak připadala částka 2,3</w:t>
      </w:r>
      <w:r w:rsidR="00D067EE">
        <w:t> </w:t>
      </w:r>
      <w:r w:rsidR="008E5244">
        <w:t>mil. Kč.</w:t>
      </w:r>
      <w:r w:rsidR="00637B11">
        <w:t xml:space="preserve"> Ač</w:t>
      </w:r>
      <w:r w:rsidR="001F47FC">
        <w:t>koliv</w:t>
      </w:r>
      <w:r w:rsidR="00637B11">
        <w:t xml:space="preserve"> bylo podniků </w:t>
      </w:r>
      <w:proofErr w:type="spellStart"/>
      <w:r w:rsidR="00637B11">
        <w:t>nárokujících</w:t>
      </w:r>
      <w:proofErr w:type="spellEnd"/>
      <w:r w:rsidR="001A4D81">
        <w:t xml:space="preserve"> si</w:t>
      </w:r>
      <w:r w:rsidR="00637B11">
        <w:t xml:space="preserve"> nepřímou podporu </w:t>
      </w:r>
      <w:proofErr w:type="spellStart"/>
      <w:r w:rsidR="00637B11">
        <w:t>VaV</w:t>
      </w:r>
      <w:proofErr w:type="spellEnd"/>
      <w:r w:rsidR="00637B11">
        <w:t xml:space="preserve"> ve strojírenském průmyslu nejvíce, částka, kterou obdržely</w:t>
      </w:r>
      <w:r w:rsidR="00C15FE7">
        <w:t>,</w:t>
      </w:r>
      <w:r w:rsidR="004B5359">
        <w:t xml:space="preserve"> byla druhá</w:t>
      </w:r>
      <w:r w:rsidR="00637B11">
        <w:t xml:space="preserve"> nejvyšší</w:t>
      </w:r>
      <w:r w:rsidR="004B0EC3">
        <w:t xml:space="preserve"> ze sledovaných odvětví ve zpracovatelském průmyslu</w:t>
      </w:r>
      <w:r w:rsidR="00637B11">
        <w:t>.</w:t>
      </w:r>
    </w:p>
    <w:p w14:paraId="2160E2A6" w14:textId="7A8ED27E" w:rsidR="003F3B36" w:rsidRPr="00BD2BC9" w:rsidRDefault="003F3B36" w:rsidP="003F3B36">
      <w:pPr>
        <w:spacing w:before="120"/>
        <w:jc w:val="both"/>
        <w:rPr>
          <w:sz w:val="22"/>
        </w:rPr>
      </w:pPr>
      <w:r w:rsidRPr="00C15FE7">
        <w:t>Ze všech odvětví zpracovatelského průmyslu uplatnily</w:t>
      </w:r>
      <w:r w:rsidR="00DE104D">
        <w:t xml:space="preserve"> v roce 2019</w:t>
      </w:r>
      <w:r w:rsidRPr="00C15FE7">
        <w:t xml:space="preserve"> vůbec nejvyšší částku daňové podpory </w:t>
      </w:r>
      <w:proofErr w:type="spellStart"/>
      <w:r w:rsidRPr="00C15FE7">
        <w:t>VaV</w:t>
      </w:r>
      <w:proofErr w:type="spellEnd"/>
      <w:r w:rsidRPr="00C15FE7">
        <w:t xml:space="preserve"> (</w:t>
      </w:r>
      <w:r w:rsidR="00DE104D">
        <w:t>795</w:t>
      </w:r>
      <w:r w:rsidRPr="00C15FE7">
        <w:t> mil. Kč) podniky působící v </w:t>
      </w:r>
      <w:r w:rsidRPr="00937C5F">
        <w:t xml:space="preserve">automobilovém průmyslu (CZ-NACE 29). Uvedenou částku obdrželo celkem </w:t>
      </w:r>
      <w:r w:rsidR="00DE104D">
        <w:t>34</w:t>
      </w:r>
      <w:r w:rsidRPr="00937C5F">
        <w:t xml:space="preserve"> soukromých podniků. Na jeden podnik tak v průměru připadlo</w:t>
      </w:r>
      <w:r w:rsidR="0042341B">
        <w:t xml:space="preserve"> rekordních</w:t>
      </w:r>
      <w:r w:rsidR="00DE104D">
        <w:t xml:space="preserve"> 23,4</w:t>
      </w:r>
      <w:r w:rsidR="00D067EE">
        <w:t> </w:t>
      </w:r>
      <w:r w:rsidRPr="00937C5F">
        <w:t>mil.</w:t>
      </w:r>
      <w:r w:rsidR="00D067EE">
        <w:t> </w:t>
      </w:r>
      <w:r w:rsidRPr="00937C5F">
        <w:t xml:space="preserve">Kč. </w:t>
      </w:r>
      <w:r w:rsidR="001B34B1">
        <w:t xml:space="preserve">Většina podniků </w:t>
      </w:r>
      <w:r w:rsidR="001B34B1" w:rsidRPr="001B34B1">
        <w:t>automobilového průmyslu,</w:t>
      </w:r>
      <w:r w:rsidRPr="001B34B1">
        <w:t xml:space="preserve"> které uplatnily odečet výdajů </w:t>
      </w:r>
      <w:proofErr w:type="spellStart"/>
      <w:r w:rsidRPr="001B34B1">
        <w:t>VaV</w:t>
      </w:r>
      <w:proofErr w:type="spellEnd"/>
      <w:r w:rsidRPr="001B34B1">
        <w:t xml:space="preserve"> spad</w:t>
      </w:r>
      <w:r w:rsidR="001B34B1" w:rsidRPr="001B34B1">
        <w:t>á</w:t>
      </w:r>
      <w:r w:rsidRPr="001B34B1">
        <w:t xml:space="preserve"> do kategorie velkých podnikatelských subjektů. Z pohledu vlastnictví převaž</w:t>
      </w:r>
      <w:r w:rsidR="001B34B1" w:rsidRPr="001B34B1">
        <w:t>ují</w:t>
      </w:r>
      <w:r w:rsidRPr="001B34B1">
        <w:t xml:space="preserve"> zahraniční podniky nad domácími. </w:t>
      </w:r>
      <w:r w:rsidR="00C15FE7" w:rsidRPr="00BD2BC9">
        <w:rPr>
          <w:szCs w:val="18"/>
        </w:rPr>
        <w:t>V tomto významném odvětví českého průmyslu soukromé podniky ode</w:t>
      </w:r>
      <w:r w:rsidR="00DE104D">
        <w:rPr>
          <w:szCs w:val="18"/>
        </w:rPr>
        <w:t xml:space="preserve">četly výdaje na </w:t>
      </w:r>
      <w:proofErr w:type="spellStart"/>
      <w:r w:rsidR="00DE104D">
        <w:rPr>
          <w:szCs w:val="18"/>
        </w:rPr>
        <w:t>VaV</w:t>
      </w:r>
      <w:proofErr w:type="spellEnd"/>
      <w:r w:rsidR="00DE104D">
        <w:rPr>
          <w:szCs w:val="18"/>
        </w:rPr>
        <w:t xml:space="preserve"> v objemu 4,2</w:t>
      </w:r>
      <w:r w:rsidR="00C15FE7" w:rsidRPr="00BD2BC9">
        <w:rPr>
          <w:szCs w:val="18"/>
        </w:rPr>
        <w:t xml:space="preserve"> mld</w:t>
      </w:r>
      <w:r w:rsidR="00DE104D">
        <w:rPr>
          <w:szCs w:val="18"/>
        </w:rPr>
        <w:t>. Kč, což představuje rovných 29</w:t>
      </w:r>
      <w:r w:rsidR="00C15FE7" w:rsidRPr="00BD2BC9">
        <w:rPr>
          <w:szCs w:val="18"/>
        </w:rPr>
        <w:t xml:space="preserve"> % z celkové odečtené částky výdajů na </w:t>
      </w:r>
      <w:proofErr w:type="spellStart"/>
      <w:r w:rsidR="00C15FE7" w:rsidRPr="00BD2BC9">
        <w:rPr>
          <w:szCs w:val="18"/>
        </w:rPr>
        <w:t>VaV</w:t>
      </w:r>
      <w:proofErr w:type="spellEnd"/>
      <w:r w:rsidR="00C15FE7" w:rsidRPr="00BD2BC9">
        <w:rPr>
          <w:szCs w:val="18"/>
        </w:rPr>
        <w:t xml:space="preserve"> soukromých podniků v ČR.</w:t>
      </w:r>
    </w:p>
    <w:p w14:paraId="3BEE0385" w14:textId="3D72D315" w:rsidR="00510D4F" w:rsidRPr="00E641E7" w:rsidRDefault="00E641E7" w:rsidP="00E641E7">
      <w:pPr>
        <w:keepNext/>
        <w:spacing w:before="120"/>
        <w:jc w:val="both"/>
      </w:pPr>
      <w:r w:rsidRPr="00E641E7">
        <w:rPr>
          <w:b/>
        </w:rPr>
        <w:t xml:space="preserve">Graf </w:t>
      </w:r>
      <w:r w:rsidRPr="00E641E7">
        <w:rPr>
          <w:b/>
        </w:rPr>
        <w:fldChar w:fldCharType="begin"/>
      </w:r>
      <w:r w:rsidRPr="00E641E7">
        <w:rPr>
          <w:b/>
        </w:rPr>
        <w:instrText xml:space="preserve"> SEQ Graf \* ARABIC </w:instrText>
      </w:r>
      <w:r w:rsidRPr="00E641E7">
        <w:rPr>
          <w:b/>
        </w:rPr>
        <w:fldChar w:fldCharType="separate"/>
      </w:r>
      <w:r w:rsidR="00B043AC">
        <w:rPr>
          <w:b/>
          <w:noProof/>
        </w:rPr>
        <w:t>22</w:t>
      </w:r>
      <w:r w:rsidRPr="00E641E7">
        <w:rPr>
          <w:b/>
        </w:rPr>
        <w:fldChar w:fldCharType="end"/>
      </w:r>
      <w:r w:rsidR="00E158E3" w:rsidRPr="00E641E7">
        <w:rPr>
          <w:b/>
        </w:rPr>
        <w:t xml:space="preserve">: </w:t>
      </w:r>
      <w:r w:rsidR="00C93A0D" w:rsidRPr="00E641E7">
        <w:rPr>
          <w:b/>
        </w:rPr>
        <w:t xml:space="preserve">Soukromé podniky využívající nepřímou veřejnou podporu </w:t>
      </w:r>
      <w:proofErr w:type="spellStart"/>
      <w:r w:rsidR="00C93A0D" w:rsidRPr="00E641E7">
        <w:rPr>
          <w:b/>
        </w:rPr>
        <w:t>VaV</w:t>
      </w:r>
      <w:proofErr w:type="spellEnd"/>
      <w:r w:rsidR="00C93A0D" w:rsidRPr="00E641E7" w:rsidDel="00C93A0D">
        <w:rPr>
          <w:b/>
        </w:rPr>
        <w:t xml:space="preserve"> </w:t>
      </w:r>
      <w:r w:rsidR="00F35998" w:rsidRPr="00E641E7">
        <w:rPr>
          <w:b/>
        </w:rPr>
        <w:t xml:space="preserve">ve zpracovatelském průmyslu </w:t>
      </w:r>
      <w:r w:rsidR="008D500A" w:rsidRPr="00E641E7">
        <w:rPr>
          <w:b/>
        </w:rPr>
        <w:t xml:space="preserve">ve vybraných </w:t>
      </w:r>
      <w:r w:rsidR="005419BA" w:rsidRPr="00E641E7">
        <w:rPr>
          <w:b/>
        </w:rPr>
        <w:t>odvětví</w:t>
      </w:r>
      <w:r w:rsidR="008D500A" w:rsidRPr="00E641E7">
        <w:rPr>
          <w:b/>
        </w:rPr>
        <w:t>ch</w:t>
      </w:r>
      <w:r w:rsidR="005419BA" w:rsidRPr="00E641E7">
        <w:rPr>
          <w:b/>
        </w:rPr>
        <w:t xml:space="preserve"> klasifikace CZ</w:t>
      </w:r>
      <w:r w:rsidR="00D87C69" w:rsidRPr="00E641E7">
        <w:rPr>
          <w:b/>
        </w:rPr>
        <w:t>-</w:t>
      </w:r>
      <w:r w:rsidR="005419BA" w:rsidRPr="00E641E7">
        <w:rPr>
          <w:b/>
        </w:rPr>
        <w:t>NACE</w:t>
      </w:r>
      <w:r w:rsidR="002A46D1" w:rsidRPr="00E641E7">
        <w:rPr>
          <w:b/>
        </w:rPr>
        <w:t xml:space="preserve"> (počet)</w:t>
      </w:r>
      <w:r w:rsidR="00BF0BAB" w:rsidRPr="00E641E7">
        <w:rPr>
          <w:b/>
        </w:rPr>
        <w:t>, 2019</w:t>
      </w:r>
    </w:p>
    <w:p w14:paraId="556422FB" w14:textId="46441A9A" w:rsidR="00603BF6" w:rsidRPr="008D500A" w:rsidRDefault="00E97E9A" w:rsidP="00D2735D">
      <w:pPr>
        <w:jc w:val="both"/>
        <w:rPr>
          <w:i/>
          <w:sz w:val="16"/>
        </w:rPr>
      </w:pPr>
      <w:r>
        <w:rPr>
          <w:noProof/>
        </w:rPr>
        <w:drawing>
          <wp:inline distT="0" distB="0" distL="0" distR="0" wp14:anchorId="3DBD4E54" wp14:editId="04C490D9">
            <wp:extent cx="6120000" cy="2700000"/>
            <wp:effectExtent l="0" t="0" r="0" b="5715"/>
            <wp:docPr id="35" name="Graf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  <w:r w:rsidR="009400D5" w:rsidRPr="00F37C53">
        <w:rPr>
          <w:noProof/>
          <w:color w:val="FF0000"/>
        </w:rPr>
        <w:t xml:space="preserve"> </w:t>
      </w:r>
      <w:r w:rsidR="006E0C59" w:rsidRPr="008D500A">
        <w:rPr>
          <w:i/>
          <w:sz w:val="16"/>
        </w:rPr>
        <w:t xml:space="preserve">Zdroj: ČSÚ podle administrativních dat GFŘ </w:t>
      </w:r>
    </w:p>
    <w:p w14:paraId="3D1A8DFC" w14:textId="77777777" w:rsidR="0039161C" w:rsidRDefault="0039161C" w:rsidP="003F3B36">
      <w:pPr>
        <w:spacing w:before="120"/>
        <w:jc w:val="both"/>
      </w:pPr>
    </w:p>
    <w:p w14:paraId="58C5E14A" w14:textId="59CC0A43" w:rsidR="00223E41" w:rsidRDefault="00223E41" w:rsidP="003F3B36">
      <w:pPr>
        <w:spacing w:before="120"/>
        <w:jc w:val="both"/>
      </w:pPr>
      <w:r>
        <w:lastRenderedPageBreak/>
        <w:t xml:space="preserve">Nepřímou podporu </w:t>
      </w:r>
      <w:proofErr w:type="spellStart"/>
      <w:r>
        <w:t>VaV</w:t>
      </w:r>
      <w:proofErr w:type="spellEnd"/>
      <w:r>
        <w:t xml:space="preserve"> v</w:t>
      </w:r>
      <w:r w:rsidR="00545C50">
        <w:t>yšší než 200 mil. Kč v roce 2019</w:t>
      </w:r>
      <w:r w:rsidR="00BD2910">
        <w:t>,</w:t>
      </w:r>
      <w:r>
        <w:t xml:space="preserve"> kromě již zmi</w:t>
      </w:r>
      <w:r w:rsidR="00847AE7">
        <w:t>ňovaného Automobilového a S</w:t>
      </w:r>
      <w:r>
        <w:t>trojírenského průmyslu</w:t>
      </w:r>
      <w:r w:rsidR="00BD2910">
        <w:t>,</w:t>
      </w:r>
      <w:r>
        <w:t xml:space="preserve"> získaly také podniky v Elektrotechnickém průmyslu</w:t>
      </w:r>
      <w:r w:rsidR="00545C50">
        <w:t>. V odvětví Výroby</w:t>
      </w:r>
      <w:r w:rsidR="00847AE7">
        <w:t xml:space="preserve"> ostatních dopravních prostředků a zařízení</w:t>
      </w:r>
      <w:r w:rsidR="00545C50">
        <w:t xml:space="preserve"> došlo ve srovnání s rokem 2018 k propadu nepřímé podpory </w:t>
      </w:r>
      <w:proofErr w:type="spellStart"/>
      <w:r w:rsidR="00545C50">
        <w:t>VaV</w:t>
      </w:r>
      <w:proofErr w:type="spellEnd"/>
      <w:r w:rsidR="00545C50">
        <w:t xml:space="preserve"> o 217 %, v absolutním vyjádření o 148 mil. Kč, na 68 mil. Kč</w:t>
      </w:r>
      <w:r w:rsidR="001B6C6F">
        <w:t xml:space="preserve"> v roce 2019</w:t>
      </w:r>
      <w:r w:rsidR="00847AE7">
        <w:t>.</w:t>
      </w:r>
      <w:r w:rsidR="0042341B">
        <w:t xml:space="preserve"> V případě podniků v Elektrotechnickém průmyslu </w:t>
      </w:r>
      <w:r w:rsidR="001C04CE">
        <w:t xml:space="preserve">připadalo v průměru na jeden podnik </w:t>
      </w:r>
      <w:r w:rsidR="0042341B">
        <w:t>3,2</w:t>
      </w:r>
      <w:r w:rsidR="002B36F1">
        <w:t> </w:t>
      </w:r>
      <w:r w:rsidR="0042341B">
        <w:t>mil. Kč a u podniků z odvětví</w:t>
      </w:r>
      <w:r w:rsidR="0042341B" w:rsidRPr="0042341B">
        <w:t xml:space="preserve"> </w:t>
      </w:r>
      <w:r w:rsidR="0042341B">
        <w:t xml:space="preserve">Výroba ostatních dopravních prostředků a zařízení pak na jeden podnik připadala nepřímá podpora </w:t>
      </w:r>
      <w:r w:rsidR="002B36F1">
        <w:t xml:space="preserve">ve výši </w:t>
      </w:r>
      <w:r w:rsidR="001C04CE">
        <w:t xml:space="preserve">3,6 mil. Kč. V roce 2018 to bylo </w:t>
      </w:r>
      <w:r w:rsidR="0042341B">
        <w:t>13,5 mil. Kč.</w:t>
      </w:r>
    </w:p>
    <w:p w14:paraId="47A43589" w14:textId="4E033467" w:rsidR="003F3B36" w:rsidRPr="00BF154B" w:rsidRDefault="00CB10EE" w:rsidP="003F3B36">
      <w:pPr>
        <w:spacing w:before="120"/>
        <w:jc w:val="both"/>
      </w:pPr>
      <w:r w:rsidRPr="00B36BB3">
        <w:t>H</w:t>
      </w:r>
      <w:r w:rsidR="002E0773" w:rsidRPr="00B36BB3">
        <w:t>ranici sto mili</w:t>
      </w:r>
      <w:r w:rsidR="004B0EC3" w:rsidRPr="00B36BB3">
        <w:t>o</w:t>
      </w:r>
      <w:r w:rsidRPr="00B36BB3">
        <w:t>nů korun překročila</w:t>
      </w:r>
      <w:r w:rsidR="002E0773" w:rsidRPr="00B36BB3">
        <w:t xml:space="preserve"> nepřímá veřejná podpora </w:t>
      </w:r>
      <w:proofErr w:type="spellStart"/>
      <w:r w:rsidR="002E0773" w:rsidRPr="00B36BB3">
        <w:t>VaV</w:t>
      </w:r>
      <w:proofErr w:type="spellEnd"/>
      <w:r w:rsidR="002E0773" w:rsidRPr="00B36BB3">
        <w:t xml:space="preserve"> u podniků </w:t>
      </w:r>
      <w:r w:rsidR="00B36BB3" w:rsidRPr="00B36BB3">
        <w:t xml:space="preserve">v </w:t>
      </w:r>
      <w:r w:rsidR="002E0773" w:rsidRPr="00B36BB3">
        <w:t>Elektronické</w:t>
      </w:r>
      <w:r w:rsidR="000A4287">
        <w:t>m</w:t>
      </w:r>
      <w:r w:rsidR="002E0773" w:rsidRPr="00B36BB3">
        <w:t xml:space="preserve"> prů</w:t>
      </w:r>
      <w:r w:rsidR="00B36BB3" w:rsidRPr="00B36BB3">
        <w:t xml:space="preserve">myslu a </w:t>
      </w:r>
      <w:r w:rsidRPr="00B36BB3">
        <w:t>v Ostatním zpracovatelském</w:t>
      </w:r>
      <w:r w:rsidR="00B36BB3" w:rsidRPr="00B36BB3">
        <w:t xml:space="preserve"> průmyslu (CZ-NACE 18, 32-33). </w:t>
      </w:r>
      <w:r w:rsidR="003F3B36" w:rsidRPr="00B36BB3">
        <w:t xml:space="preserve">Pokud v automobilovém průmyslu početně nejvíce využívají daňovou podporu </w:t>
      </w:r>
      <w:proofErr w:type="spellStart"/>
      <w:r w:rsidR="003F3B36" w:rsidRPr="00B36BB3">
        <w:t>VaV</w:t>
      </w:r>
      <w:proofErr w:type="spellEnd"/>
      <w:r w:rsidR="003F3B36" w:rsidRPr="00B36BB3">
        <w:t xml:space="preserve"> velké podniky, pak naopak v odvětví</w:t>
      </w:r>
      <w:r w:rsidR="004B0EC3" w:rsidRPr="00B36BB3">
        <w:t>ch</w:t>
      </w:r>
      <w:r w:rsidR="003F3B36" w:rsidRPr="00B36BB3">
        <w:t xml:space="preserve"> zabývající</w:t>
      </w:r>
      <w:r w:rsidR="004B0EC3" w:rsidRPr="00B36BB3">
        <w:t>ch</w:t>
      </w:r>
      <w:r w:rsidR="003F3B36" w:rsidRPr="00B36BB3">
        <w:t xml:space="preserve"> se výrobou počítačů, elektronických a optických přístrojů či zařízení, potažmo elektronickém průmyslu (CZ-NACE 26), jsou to malé a střední</w:t>
      </w:r>
      <w:r w:rsidR="00E73F4C" w:rsidRPr="00B36BB3">
        <w:t xml:space="preserve"> podniky</w:t>
      </w:r>
      <w:r w:rsidR="003F3B36" w:rsidRPr="00B36BB3">
        <w:t>.</w:t>
      </w:r>
      <w:r w:rsidR="003F3B36" w:rsidRPr="00BF154B">
        <w:t xml:space="preserve"> </w:t>
      </w:r>
    </w:p>
    <w:p w14:paraId="01A69E57" w14:textId="301A73FD" w:rsidR="003F3B36" w:rsidRPr="000603BE" w:rsidRDefault="003F3B36" w:rsidP="00B36BB3">
      <w:pPr>
        <w:spacing w:before="120"/>
        <w:jc w:val="both"/>
      </w:pPr>
      <w:r w:rsidRPr="000603BE">
        <w:t xml:space="preserve">Nejméně nepřímé veřejné podpory </w:t>
      </w:r>
      <w:proofErr w:type="spellStart"/>
      <w:r w:rsidRPr="000603BE">
        <w:t>VaV</w:t>
      </w:r>
      <w:proofErr w:type="spellEnd"/>
      <w:r w:rsidRPr="000603BE">
        <w:t xml:space="preserve"> bylo zjištěno v odvětvích s nízkou intenzitou </w:t>
      </w:r>
      <w:proofErr w:type="spellStart"/>
      <w:r w:rsidRPr="000603BE">
        <w:t>VaV</w:t>
      </w:r>
      <w:proofErr w:type="spellEnd"/>
      <w:r w:rsidRPr="000603BE">
        <w:t>, kam se řadí Dřevozpracující a papírensk</w:t>
      </w:r>
      <w:r w:rsidR="002A7E3F">
        <w:t xml:space="preserve">ý průmysl (CZ-NACE 16-17, 31), </w:t>
      </w:r>
      <w:r w:rsidRPr="000603BE">
        <w:t>Metalurgický průmysl (CZ-NACE 24)</w:t>
      </w:r>
      <w:r w:rsidR="002A7E3F">
        <w:t xml:space="preserve"> a </w:t>
      </w:r>
      <w:r w:rsidR="002A7E3F" w:rsidRPr="002A7E3F">
        <w:t>Průmysl skla, keramiky, porcelánu a stavebních hmot (23)</w:t>
      </w:r>
      <w:r w:rsidRPr="000603BE">
        <w:t>. V uvedených odvětvích nepřímá p</w:t>
      </w:r>
      <w:r w:rsidR="00BD2910">
        <w:t xml:space="preserve">odpora </w:t>
      </w:r>
      <w:proofErr w:type="spellStart"/>
      <w:r w:rsidR="00BD2910">
        <w:t>VaV</w:t>
      </w:r>
      <w:proofErr w:type="spellEnd"/>
      <w:r w:rsidR="00BD2910">
        <w:t xml:space="preserve"> nepřesáhla hranici 15</w:t>
      </w:r>
      <w:r w:rsidRPr="000603BE">
        <w:t xml:space="preserve"> mil. Kč. </w:t>
      </w:r>
    </w:p>
    <w:p w14:paraId="1887CD89" w14:textId="66979EB5" w:rsidR="00676F9C" w:rsidRPr="00E641E7" w:rsidRDefault="00E641E7" w:rsidP="00E641E7">
      <w:pPr>
        <w:keepNext/>
        <w:spacing w:before="120"/>
        <w:jc w:val="both"/>
      </w:pPr>
      <w:r w:rsidRPr="00E641E7">
        <w:rPr>
          <w:b/>
        </w:rPr>
        <w:t xml:space="preserve">Graf </w:t>
      </w:r>
      <w:r w:rsidRPr="00E641E7">
        <w:rPr>
          <w:b/>
        </w:rPr>
        <w:fldChar w:fldCharType="begin"/>
      </w:r>
      <w:r w:rsidRPr="00E641E7">
        <w:rPr>
          <w:b/>
        </w:rPr>
        <w:instrText xml:space="preserve"> SEQ Graf \* ARABIC </w:instrText>
      </w:r>
      <w:r w:rsidRPr="00E641E7">
        <w:rPr>
          <w:b/>
        </w:rPr>
        <w:fldChar w:fldCharType="separate"/>
      </w:r>
      <w:r w:rsidR="00B043AC">
        <w:rPr>
          <w:b/>
          <w:noProof/>
        </w:rPr>
        <w:t>23</w:t>
      </w:r>
      <w:r w:rsidRPr="00E641E7">
        <w:rPr>
          <w:b/>
        </w:rPr>
        <w:fldChar w:fldCharType="end"/>
      </w:r>
      <w:r w:rsidR="00676F9C" w:rsidRPr="00E641E7">
        <w:rPr>
          <w:b/>
        </w:rPr>
        <w:t xml:space="preserve">: Výše nepřímé podpory </w:t>
      </w:r>
      <w:proofErr w:type="spellStart"/>
      <w:r w:rsidR="00676F9C" w:rsidRPr="00E641E7">
        <w:rPr>
          <w:b/>
        </w:rPr>
        <w:t>VaV</w:t>
      </w:r>
      <w:proofErr w:type="spellEnd"/>
      <w:r w:rsidR="00676F9C" w:rsidRPr="00E641E7">
        <w:rPr>
          <w:b/>
        </w:rPr>
        <w:t xml:space="preserve"> v soukromých podnicích ve zpracovatelském průmyslu ve vybraných odvětvích klasifikace CZ-NACE (</w:t>
      </w:r>
      <w:r w:rsidR="00876B40" w:rsidRPr="00E641E7">
        <w:rPr>
          <w:b/>
        </w:rPr>
        <w:t>mil. Kč</w:t>
      </w:r>
      <w:r w:rsidR="008E4639" w:rsidRPr="00E641E7">
        <w:rPr>
          <w:b/>
        </w:rPr>
        <w:t>), 2019</w:t>
      </w:r>
    </w:p>
    <w:p w14:paraId="66C33377" w14:textId="02806A92" w:rsidR="00676F9C" w:rsidRPr="00C67235" w:rsidRDefault="00E92DDB" w:rsidP="00D2735D">
      <w:pPr>
        <w:jc w:val="both"/>
      </w:pPr>
      <w:r>
        <w:rPr>
          <w:noProof/>
        </w:rPr>
        <w:drawing>
          <wp:inline distT="0" distB="0" distL="0" distR="0" wp14:anchorId="138518FE" wp14:editId="03F594C0">
            <wp:extent cx="6120000" cy="2700000"/>
            <wp:effectExtent l="0" t="0" r="0" b="5715"/>
            <wp:docPr id="38" name="Graf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580A0715" w14:textId="77777777" w:rsidR="00885EF9" w:rsidRPr="008D500A" w:rsidRDefault="00885EF9" w:rsidP="00D2735D">
      <w:pPr>
        <w:jc w:val="both"/>
        <w:rPr>
          <w:i/>
          <w:sz w:val="16"/>
        </w:rPr>
      </w:pPr>
      <w:r w:rsidRPr="008D500A">
        <w:rPr>
          <w:i/>
          <w:sz w:val="16"/>
        </w:rPr>
        <w:t xml:space="preserve">Zdroj: ČSÚ podle administrativních dat GFŘ </w:t>
      </w:r>
    </w:p>
    <w:p w14:paraId="342F7089" w14:textId="6FA009EC" w:rsidR="00412C2E" w:rsidRPr="004B0EC3" w:rsidRDefault="00412C2E" w:rsidP="00C108E2">
      <w:pPr>
        <w:pStyle w:val="Nadpis3"/>
        <w:spacing w:before="240" w:after="120"/>
        <w:rPr>
          <w:sz w:val="22"/>
          <w:szCs w:val="22"/>
        </w:rPr>
      </w:pPr>
      <w:r w:rsidRPr="008B07CF">
        <w:rPr>
          <w:sz w:val="22"/>
          <w:szCs w:val="22"/>
        </w:rPr>
        <w:t>3.2</w:t>
      </w:r>
      <w:r>
        <w:rPr>
          <w:sz w:val="22"/>
          <w:szCs w:val="22"/>
        </w:rPr>
        <w:t>.5</w:t>
      </w:r>
      <w:r w:rsidRPr="008B07CF">
        <w:rPr>
          <w:sz w:val="22"/>
          <w:szCs w:val="22"/>
        </w:rPr>
        <w:t xml:space="preserve"> </w:t>
      </w:r>
      <w:r w:rsidRPr="009733C8">
        <w:rPr>
          <w:sz w:val="22"/>
          <w:szCs w:val="22"/>
        </w:rPr>
        <w:t xml:space="preserve">Nepřímá veřejná podpora </w:t>
      </w:r>
      <w:proofErr w:type="spellStart"/>
      <w:r w:rsidRPr="009733C8">
        <w:rPr>
          <w:sz w:val="22"/>
          <w:szCs w:val="22"/>
        </w:rPr>
        <w:t>VaV</w:t>
      </w:r>
      <w:proofErr w:type="spellEnd"/>
      <w:r w:rsidRPr="009733C8">
        <w:rPr>
          <w:sz w:val="22"/>
          <w:szCs w:val="22"/>
        </w:rPr>
        <w:t xml:space="preserve"> v soukromých podnicích</w:t>
      </w:r>
      <w:r w:rsidRPr="004B0EC3">
        <w:rPr>
          <w:sz w:val="22"/>
          <w:szCs w:val="22"/>
        </w:rPr>
        <w:t xml:space="preserve"> </w:t>
      </w:r>
      <w:r w:rsidR="00147896" w:rsidRPr="004B0EC3">
        <w:rPr>
          <w:sz w:val="22"/>
          <w:szCs w:val="22"/>
        </w:rPr>
        <w:t>v krajích</w:t>
      </w:r>
      <w:r w:rsidR="002D5FFE" w:rsidRPr="004B0EC3">
        <w:rPr>
          <w:sz w:val="22"/>
          <w:szCs w:val="22"/>
        </w:rPr>
        <w:t xml:space="preserve"> ČR</w:t>
      </w:r>
    </w:p>
    <w:p w14:paraId="3ABD35AE" w14:textId="2EC81AE4" w:rsidR="00A43F6E" w:rsidRDefault="008116DE" w:rsidP="00A43F6E">
      <w:pPr>
        <w:spacing w:before="120"/>
        <w:jc w:val="both"/>
      </w:pPr>
      <w:r w:rsidRPr="002438DD">
        <w:t>Porovnáním počtu soukromých podniků, které v roce 201</w:t>
      </w:r>
      <w:r w:rsidR="005D7C3B">
        <w:t>9</w:t>
      </w:r>
      <w:r w:rsidRPr="002438DD">
        <w:t xml:space="preserve"> využily daňovou podporu </w:t>
      </w:r>
      <w:proofErr w:type="spellStart"/>
      <w:r w:rsidRPr="002438DD">
        <w:t>VaV</w:t>
      </w:r>
      <w:proofErr w:type="spellEnd"/>
      <w:r w:rsidRPr="002438DD">
        <w:t xml:space="preserve"> v jednotlivých krajích ČR zjistíme, že nejvíce jich sídlilo v </w:t>
      </w:r>
      <w:r w:rsidRPr="00EA32AC">
        <w:t>Praze (</w:t>
      </w:r>
      <w:r w:rsidR="00EA32AC" w:rsidRPr="00EA32AC">
        <w:t>262</w:t>
      </w:r>
      <w:r w:rsidRPr="00EA32AC">
        <w:t xml:space="preserve">). </w:t>
      </w:r>
      <w:r w:rsidR="00206C36" w:rsidRPr="00EA32AC">
        <w:t xml:space="preserve">Za </w:t>
      </w:r>
      <w:r w:rsidR="000541B5" w:rsidRPr="00EA32AC">
        <w:t xml:space="preserve">hlavním </w:t>
      </w:r>
      <w:r w:rsidR="000541B5" w:rsidRPr="002438DD">
        <w:t>městem</w:t>
      </w:r>
      <w:r w:rsidR="00206C36" w:rsidRPr="002438DD">
        <w:t xml:space="preserve"> následuj</w:t>
      </w:r>
      <w:r w:rsidR="007A04CE" w:rsidRPr="002438DD">
        <w:t>í</w:t>
      </w:r>
      <w:r w:rsidR="00206C36" w:rsidRPr="002438DD">
        <w:t xml:space="preserve"> </w:t>
      </w:r>
      <w:r w:rsidR="00472688" w:rsidRPr="002438DD">
        <w:t xml:space="preserve">Jihomoravský </w:t>
      </w:r>
      <w:r w:rsidR="0028792D" w:rsidRPr="002438DD">
        <w:t>kraj s</w:t>
      </w:r>
      <w:r w:rsidR="00122FA4" w:rsidRPr="002438DD">
        <w:t>e</w:t>
      </w:r>
      <w:r w:rsidR="00311E05" w:rsidRPr="002438DD">
        <w:t xml:space="preserve"> 1</w:t>
      </w:r>
      <w:r w:rsidR="00EA32AC">
        <w:t>20</w:t>
      </w:r>
      <w:r w:rsidR="00472688" w:rsidRPr="002438DD">
        <w:t xml:space="preserve"> podniky</w:t>
      </w:r>
      <w:r w:rsidR="005151EB">
        <w:t xml:space="preserve"> a</w:t>
      </w:r>
      <w:r w:rsidR="00472688" w:rsidRPr="002438DD">
        <w:t xml:space="preserve"> </w:t>
      </w:r>
      <w:r w:rsidR="002438DD" w:rsidRPr="002438DD">
        <w:t xml:space="preserve">Zlínský </w:t>
      </w:r>
      <w:r w:rsidR="00EA32AC">
        <w:t>kraj s</w:t>
      </w:r>
      <w:r w:rsidR="00C7594F" w:rsidRPr="002438DD">
        <w:t xml:space="preserve"> </w:t>
      </w:r>
      <w:r w:rsidR="00EA32AC">
        <w:t>89</w:t>
      </w:r>
      <w:r w:rsidR="00472688" w:rsidRPr="002438DD">
        <w:t xml:space="preserve"> podniky</w:t>
      </w:r>
      <w:r w:rsidR="00EA32AC">
        <w:t xml:space="preserve">. </w:t>
      </w:r>
      <w:r w:rsidR="00A43F6E">
        <w:t xml:space="preserve">Ve </w:t>
      </w:r>
      <w:r w:rsidR="00A43F6E" w:rsidRPr="002438DD">
        <w:t>Stř</w:t>
      </w:r>
      <w:r w:rsidR="00A43F6E">
        <w:t xml:space="preserve">edočeském kraji využilo </w:t>
      </w:r>
      <w:r w:rsidR="00A43F6E" w:rsidRPr="002438DD">
        <w:t xml:space="preserve">výhod nepřímé podpory </w:t>
      </w:r>
      <w:proofErr w:type="spellStart"/>
      <w:r w:rsidR="00A43F6E" w:rsidRPr="002438DD">
        <w:t>VaV</w:t>
      </w:r>
      <w:proofErr w:type="spellEnd"/>
      <w:r w:rsidR="00A43F6E" w:rsidRPr="002438DD">
        <w:t xml:space="preserve"> </w:t>
      </w:r>
      <w:r w:rsidR="00A43F6E">
        <w:t>79</w:t>
      </w:r>
      <w:r w:rsidR="00A43F6E" w:rsidRPr="002438DD">
        <w:t xml:space="preserve"> podniků. Nejméně subjektů, které uplatnily odečet výdajů na </w:t>
      </w:r>
      <w:proofErr w:type="spellStart"/>
      <w:r w:rsidR="00A43F6E" w:rsidRPr="002438DD">
        <w:t>VaV</w:t>
      </w:r>
      <w:proofErr w:type="spellEnd"/>
      <w:r w:rsidR="00A43F6E" w:rsidRPr="002438DD">
        <w:t>, pocházelo z Karlovarského kraje (</w:t>
      </w:r>
      <w:r w:rsidR="00A43F6E">
        <w:t>pouze</w:t>
      </w:r>
      <w:r w:rsidR="00A43F6E" w:rsidRPr="002438DD">
        <w:t xml:space="preserve"> </w:t>
      </w:r>
      <w:r w:rsidR="00A43F6E">
        <w:t>9</w:t>
      </w:r>
      <w:r w:rsidR="00A43F6E" w:rsidRPr="002438DD">
        <w:t xml:space="preserve"> podniků). Rozložení podniků napříč regiony z velké části odráží celkové rozložení soukromých podniků provádějících </w:t>
      </w:r>
      <w:proofErr w:type="spellStart"/>
      <w:r w:rsidR="00A43F6E" w:rsidRPr="002438DD">
        <w:t>VaV</w:t>
      </w:r>
      <w:proofErr w:type="spellEnd"/>
      <w:r w:rsidR="00A43F6E">
        <w:t>.</w:t>
      </w:r>
      <w:r w:rsidR="00A43F6E" w:rsidRPr="002438DD">
        <w:t xml:space="preserve"> </w:t>
      </w:r>
    </w:p>
    <w:p w14:paraId="640D3BCD" w14:textId="77777777" w:rsidR="00AB51E4" w:rsidRDefault="00A43F6E" w:rsidP="00AB51E4">
      <w:pPr>
        <w:spacing w:before="120"/>
        <w:jc w:val="both"/>
      </w:pPr>
      <w:r w:rsidRPr="004645C1">
        <w:t xml:space="preserve">Z celkové částky nepřímé veřejné podpory </w:t>
      </w:r>
      <w:proofErr w:type="spellStart"/>
      <w:r w:rsidRPr="004645C1">
        <w:t>VaV</w:t>
      </w:r>
      <w:proofErr w:type="spellEnd"/>
      <w:r w:rsidRPr="004645C1">
        <w:t xml:space="preserve"> získané soukromými podniky v ČR, připadla třetina </w:t>
      </w:r>
      <w:r w:rsidR="00D27C55">
        <w:t>(910</w:t>
      </w:r>
      <w:r w:rsidRPr="004645C1">
        <w:t> mil. Kč) podnikům sídlícím v hlavním městě. Hranici půl miliardy Kč překonal již pouze Středočeský kraj (</w:t>
      </w:r>
      <w:r w:rsidR="00D27C55">
        <w:t>757</w:t>
      </w:r>
      <w:r w:rsidRPr="004645C1">
        <w:t xml:space="preserve"> mil. Kč). S velkým odstupem za Stře</w:t>
      </w:r>
      <w:r w:rsidR="00D27C55">
        <w:t>dočeským krajem je kraj Liberecký</w:t>
      </w:r>
      <w:r w:rsidRPr="004645C1">
        <w:t xml:space="preserve">, ve kterém bylo na nepřímé podpoře </w:t>
      </w:r>
      <w:proofErr w:type="spellStart"/>
      <w:r w:rsidRPr="004645C1">
        <w:t>VaV</w:t>
      </w:r>
      <w:proofErr w:type="spellEnd"/>
      <w:r w:rsidRPr="004645C1">
        <w:t xml:space="preserve"> vyplaceno </w:t>
      </w:r>
      <w:r w:rsidR="00D27C55">
        <w:t>soukromým podnikům celkových 186</w:t>
      </w:r>
      <w:r w:rsidRPr="004645C1">
        <w:t> mil. Kč.</w:t>
      </w:r>
      <w:r w:rsidR="00D27C55">
        <w:t xml:space="preserve"> Za Libereckým</w:t>
      </w:r>
      <w:r w:rsidRPr="004645C1">
        <w:t xml:space="preserve"> krajem následují kraje Jihomora</w:t>
      </w:r>
      <w:r w:rsidR="00D27C55">
        <w:t xml:space="preserve">vský, Moravskoslezský, </w:t>
      </w:r>
      <w:r w:rsidRPr="004645C1">
        <w:t>Zlínský</w:t>
      </w:r>
      <w:r w:rsidR="00D27C55">
        <w:t xml:space="preserve"> a Vysočina</w:t>
      </w:r>
      <w:r w:rsidR="00B436C9">
        <w:t xml:space="preserve">. </w:t>
      </w:r>
      <w:r w:rsidRPr="004645C1">
        <w:t xml:space="preserve">V případě ostatních krajů již výše nepřímé podpory </w:t>
      </w:r>
      <w:proofErr w:type="spellStart"/>
      <w:r w:rsidRPr="004645C1">
        <w:t>VaV</w:t>
      </w:r>
      <w:proofErr w:type="spellEnd"/>
      <w:r w:rsidRPr="004645C1">
        <w:t xml:space="preserve"> soukromým podnikům nepřesáhla hranici sto miliónů korun. Nejnižší objem nepřímé podpory zaznamenáváme v kraji, kde daňovou úlevu uplatňuje i nejméně podniků, a to v kraji Karlovarském (18 mil. Kč).</w:t>
      </w:r>
      <w:r w:rsidR="004645C1" w:rsidRPr="004645C1">
        <w:t xml:space="preserve"> </w:t>
      </w:r>
    </w:p>
    <w:p w14:paraId="58D1C93E" w14:textId="63D456A7" w:rsidR="00A43F6E" w:rsidRDefault="004645C1" w:rsidP="00AB51E4">
      <w:pPr>
        <w:spacing w:before="120"/>
        <w:jc w:val="both"/>
      </w:pPr>
      <w:r w:rsidRPr="004645C1">
        <w:lastRenderedPageBreak/>
        <w:t xml:space="preserve">Mezi soukromými podniky, které v roce 2019 využily možnosti uplatnit daňové odpočty výdajů na </w:t>
      </w:r>
      <w:proofErr w:type="spellStart"/>
      <w:r w:rsidRPr="004645C1">
        <w:t>VaV</w:t>
      </w:r>
      <w:proofErr w:type="spellEnd"/>
      <w:r w:rsidRPr="004645C1">
        <w:t>, získaly ve všech krajích kromě hlavního města Prahy, nejvyšší částku podpory podniky působící ve zpracovatelském průmyslu. Pro Prahu je charakteristické silné zastoupení firem provádějících výzkum a vývoj v oblasti informačních a komunikačních technologií.</w:t>
      </w:r>
    </w:p>
    <w:p w14:paraId="7E245C0F" w14:textId="4BD6DE79" w:rsidR="002438DD" w:rsidRPr="00E164B5" w:rsidRDefault="00E164B5" w:rsidP="00E164B5">
      <w:pPr>
        <w:keepNext/>
        <w:spacing w:before="120" w:after="120"/>
        <w:jc w:val="both"/>
      </w:pPr>
      <w:r w:rsidRPr="00E164B5">
        <w:rPr>
          <w:b/>
        </w:rPr>
        <w:t xml:space="preserve">Graf </w:t>
      </w:r>
      <w:r w:rsidRPr="00E164B5">
        <w:rPr>
          <w:b/>
        </w:rPr>
        <w:fldChar w:fldCharType="begin"/>
      </w:r>
      <w:r w:rsidRPr="00E164B5">
        <w:rPr>
          <w:b/>
        </w:rPr>
        <w:instrText xml:space="preserve"> SEQ Graf \* ARABIC </w:instrText>
      </w:r>
      <w:r w:rsidRPr="00E164B5">
        <w:rPr>
          <w:b/>
        </w:rPr>
        <w:fldChar w:fldCharType="separate"/>
      </w:r>
      <w:r w:rsidR="00B043AC">
        <w:rPr>
          <w:b/>
          <w:noProof/>
        </w:rPr>
        <w:t>24</w:t>
      </w:r>
      <w:r w:rsidRPr="00E164B5">
        <w:rPr>
          <w:b/>
        </w:rPr>
        <w:fldChar w:fldCharType="end"/>
      </w:r>
      <w:r w:rsidR="002438DD" w:rsidRPr="00E164B5">
        <w:rPr>
          <w:b/>
        </w:rPr>
        <w:t xml:space="preserve">: Soukromé podniky využívající nepřímou veřejnou podporu </w:t>
      </w:r>
      <w:proofErr w:type="spellStart"/>
      <w:r w:rsidR="002438DD" w:rsidRPr="00E164B5">
        <w:rPr>
          <w:b/>
        </w:rPr>
        <w:t>VaV</w:t>
      </w:r>
      <w:proofErr w:type="spellEnd"/>
      <w:r w:rsidR="002438DD" w:rsidRPr="00E164B5" w:rsidDel="00C93A0D">
        <w:rPr>
          <w:b/>
        </w:rPr>
        <w:t xml:space="preserve"> </w:t>
      </w:r>
      <w:r w:rsidR="002438DD" w:rsidRPr="00E164B5">
        <w:rPr>
          <w:b/>
        </w:rPr>
        <w:t>podle krajů ČR</w:t>
      </w:r>
      <w:r w:rsidR="005F3E1D" w:rsidRPr="00E164B5">
        <w:rPr>
          <w:b/>
        </w:rPr>
        <w:t>, 2019</w:t>
      </w:r>
    </w:p>
    <w:p w14:paraId="53ECA74E" w14:textId="7DBC5D07" w:rsidR="002438DD" w:rsidRPr="002438DD" w:rsidRDefault="00A43F6E" w:rsidP="003C793A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E49D3CC" wp14:editId="7F583AE6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6120000" cy="2880000"/>
                <wp:effectExtent l="0" t="0" r="0" b="0"/>
                <wp:wrapTight wrapText="bothSides">
                  <wp:wrapPolygon edited="0">
                    <wp:start x="10691" y="0"/>
                    <wp:lineTo x="0" y="286"/>
                    <wp:lineTo x="0" y="21433"/>
                    <wp:lineTo x="21517" y="21433"/>
                    <wp:lineTo x="21517" y="0"/>
                    <wp:lineTo x="10691" y="0"/>
                  </wp:wrapPolygon>
                </wp:wrapTight>
                <wp:docPr id="28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0" cy="2880000"/>
                          <a:chOff x="0" y="0"/>
                          <a:chExt cx="6120000" cy="3478005"/>
                        </a:xfrm>
                      </wpg:grpSpPr>
                      <wpg:graphicFrame>
                        <wpg:cNvPr id="29" name="Graf 29"/>
                        <wpg:cNvFrPr/>
                        <wpg:xfrm>
                          <a:off x="0" y="58005"/>
                          <a:ext cx="6120000" cy="34200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7"/>
                          </a:graphicData>
                        </a:graphic>
                      </wpg:graphicFrame>
                      <wpg:graphicFrame>
                        <wpg:cNvPr id="32" name="Graf 32"/>
                        <wpg:cNvFrPr>
                          <a:graphicFrameLocks/>
                        </wpg:cNvFrPr>
                        <wpg:xfrm>
                          <a:off x="3067050" y="0"/>
                          <a:ext cx="3019426" cy="3401282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8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586920CE" id="Skupina 5" o:spid="_x0000_s1026" style="position:absolute;margin-left:.3pt;margin-top:0;width:481.9pt;height:226.75pt;z-index:-251655168" coordsize="61200,34780" o:gfxdata="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">
                <v:shape id="Graf 29" o:spid="_x0000_s1027" type="#_x0000_t75" style="position:absolute;top:588;width:61203;height:341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">
                  <v:imagedata r:id="rId41" o:title=""/>
                  <o:lock v:ext="edit" aspectratio="f"/>
                </v:shape>
                <v:shape id="Graf 32" o:spid="_x0000_s1028" type="#_x0000_t75" style="position:absolute;left:30662;width:30176;height:340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">
                  <v:imagedata r:id="rId42" o:title=""/>
                  <o:lock v:ext="edit" aspectratio="f"/>
                </v:shape>
                <w10:wrap type="tight"/>
              </v:group>
            </w:pict>
          </mc:Fallback>
        </mc:AlternateContent>
      </w:r>
    </w:p>
    <w:p w14:paraId="38DB3EEB" w14:textId="77777777" w:rsidR="002438DD" w:rsidRPr="008D500A" w:rsidRDefault="002438DD" w:rsidP="00C67235">
      <w:pPr>
        <w:jc w:val="both"/>
        <w:rPr>
          <w:i/>
          <w:sz w:val="16"/>
        </w:rPr>
      </w:pPr>
      <w:r w:rsidRPr="008D500A">
        <w:rPr>
          <w:i/>
          <w:sz w:val="16"/>
        </w:rPr>
        <w:t xml:space="preserve">Zdroj: ČSÚ podle administrativních dat GFŘ </w:t>
      </w:r>
    </w:p>
    <w:p w14:paraId="19A7344A" w14:textId="77777777" w:rsidR="003C793A" w:rsidRDefault="003C793A" w:rsidP="00C67235">
      <w:pPr>
        <w:jc w:val="both"/>
      </w:pPr>
    </w:p>
    <w:p w14:paraId="43A85CB8" w14:textId="1FFBEEC6" w:rsidR="00C67235" w:rsidRDefault="00C67235" w:rsidP="00C67235">
      <w:pPr>
        <w:jc w:val="both"/>
      </w:pPr>
      <w:r>
        <w:t xml:space="preserve">Pokud se podíváme na výši nepřímé </w:t>
      </w:r>
      <w:r w:rsidR="00FD5138">
        <w:t xml:space="preserve">veřejné </w:t>
      </w:r>
      <w:r>
        <w:t xml:space="preserve">podpory </w:t>
      </w:r>
      <w:proofErr w:type="spellStart"/>
      <w:r>
        <w:t>VaV</w:t>
      </w:r>
      <w:proofErr w:type="spellEnd"/>
      <w:r>
        <w:t xml:space="preserve"> připadající v průměru na jeden podnik, zjistíme, že pořadí krajů je zcela odlišné. Nejvyšší částka na jeden podnik při</w:t>
      </w:r>
      <w:r w:rsidR="00E37673">
        <w:t>padala v kraji Středočeském (9,6</w:t>
      </w:r>
      <w:r>
        <w:t> mil. Kč</w:t>
      </w:r>
      <w:r w:rsidR="00E37673">
        <w:t>) a dále pak v krajích Libereckém (4,1 mil Kč) a Vysočina (3,6</w:t>
      </w:r>
      <w:r>
        <w:t xml:space="preserve"> mil. Kč). Teprve až za těmito </w:t>
      </w:r>
      <w:r w:rsidR="004B0EC3">
        <w:t>k</w:t>
      </w:r>
      <w:r>
        <w:t>raji se nachází Praha s průměrnou nepřímou podporou</w:t>
      </w:r>
      <w:r w:rsidR="00E37673">
        <w:t xml:space="preserve"> </w:t>
      </w:r>
      <w:proofErr w:type="spellStart"/>
      <w:r w:rsidR="00E37673">
        <w:t>VaV</w:t>
      </w:r>
      <w:proofErr w:type="spellEnd"/>
      <w:r w:rsidR="00E37673">
        <w:t xml:space="preserve"> na jeden podnik ve výši 3,5</w:t>
      </w:r>
      <w:r>
        <w:t> mil Kč. V případě tohoto ukazatele si d</w:t>
      </w:r>
      <w:r w:rsidR="00E37673">
        <w:t xml:space="preserve">obře stojí i Karlovarský kraj, kde </w:t>
      </w:r>
      <w:r>
        <w:t>hodno</w:t>
      </w:r>
      <w:r w:rsidR="00E37673">
        <w:t xml:space="preserve">ta tohoto ukazatele dosáhla rovných 2 </w:t>
      </w:r>
      <w:r>
        <w:t>mil. Kč</w:t>
      </w:r>
      <w:r w:rsidR="00E37673">
        <w:t xml:space="preserve"> díky malému počtu podniků využívajících daňovou podporu </w:t>
      </w:r>
      <w:proofErr w:type="spellStart"/>
      <w:r w:rsidR="00E37673">
        <w:t>VaV</w:t>
      </w:r>
      <w:proofErr w:type="spellEnd"/>
      <w:r>
        <w:t>.</w:t>
      </w:r>
    </w:p>
    <w:p w14:paraId="2F945E86" w14:textId="52A57D49" w:rsidR="001525E6" w:rsidRPr="006310E4" w:rsidRDefault="006310E4" w:rsidP="006310E4">
      <w:pPr>
        <w:keepNext/>
        <w:spacing w:before="120"/>
        <w:jc w:val="both"/>
      </w:pPr>
      <w:r w:rsidRPr="006310E4">
        <w:rPr>
          <w:b/>
        </w:rPr>
        <w:t xml:space="preserve">Graf </w:t>
      </w:r>
      <w:r w:rsidRPr="006310E4">
        <w:rPr>
          <w:b/>
        </w:rPr>
        <w:fldChar w:fldCharType="begin"/>
      </w:r>
      <w:r w:rsidRPr="006310E4">
        <w:rPr>
          <w:b/>
        </w:rPr>
        <w:instrText xml:space="preserve"> SEQ Graf \* ARABIC </w:instrText>
      </w:r>
      <w:r w:rsidRPr="006310E4">
        <w:rPr>
          <w:b/>
        </w:rPr>
        <w:fldChar w:fldCharType="separate"/>
      </w:r>
      <w:r w:rsidR="00B043AC">
        <w:rPr>
          <w:b/>
          <w:noProof/>
        </w:rPr>
        <w:t>25</w:t>
      </w:r>
      <w:r w:rsidRPr="006310E4">
        <w:rPr>
          <w:b/>
        </w:rPr>
        <w:fldChar w:fldCharType="end"/>
      </w:r>
      <w:r w:rsidR="001525E6" w:rsidRPr="006310E4">
        <w:rPr>
          <w:b/>
        </w:rPr>
        <w:t xml:space="preserve">: Výše nepřímé podpory </w:t>
      </w:r>
      <w:proofErr w:type="spellStart"/>
      <w:r w:rsidR="001525E6" w:rsidRPr="006310E4">
        <w:rPr>
          <w:b/>
        </w:rPr>
        <w:t>VaV</w:t>
      </w:r>
      <w:proofErr w:type="spellEnd"/>
      <w:r w:rsidR="001525E6" w:rsidRPr="006310E4">
        <w:rPr>
          <w:b/>
        </w:rPr>
        <w:t xml:space="preserve"> </w:t>
      </w:r>
      <w:r w:rsidR="00EF3BA6" w:rsidRPr="006310E4">
        <w:rPr>
          <w:b/>
        </w:rPr>
        <w:t xml:space="preserve">připadající v průměru na jeden podnik </w:t>
      </w:r>
      <w:r w:rsidR="001525E6" w:rsidRPr="006310E4">
        <w:rPr>
          <w:b/>
        </w:rPr>
        <w:t xml:space="preserve">v soukromých podnicích </w:t>
      </w:r>
      <w:r w:rsidR="00A76D58" w:rsidRPr="006310E4">
        <w:rPr>
          <w:b/>
        </w:rPr>
        <w:t>podle krajů ČR (mil. Kč), 2019</w:t>
      </w:r>
    </w:p>
    <w:p w14:paraId="638B943D" w14:textId="2AB835B1" w:rsidR="0083159F" w:rsidRPr="00C67235" w:rsidRDefault="006310E4" w:rsidP="00C67235">
      <w:pPr>
        <w:jc w:val="both"/>
        <w:rPr>
          <w:b/>
        </w:rPr>
      </w:pPr>
      <w:r>
        <w:rPr>
          <w:noProof/>
        </w:rPr>
        <w:drawing>
          <wp:inline distT="0" distB="0" distL="0" distR="0" wp14:anchorId="77F09333" wp14:editId="76D88FC0">
            <wp:extent cx="6014725" cy="2808000"/>
            <wp:effectExtent l="0" t="0" r="5080" b="0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7CC2CB36" w14:textId="11EDB145" w:rsidR="005B65C2" w:rsidRDefault="006E0C59" w:rsidP="00C67235">
      <w:pPr>
        <w:spacing w:after="120"/>
        <w:jc w:val="both"/>
        <w:rPr>
          <w:i/>
          <w:sz w:val="16"/>
        </w:rPr>
      </w:pPr>
      <w:r w:rsidRPr="00C16FA7">
        <w:rPr>
          <w:i/>
          <w:sz w:val="16"/>
        </w:rPr>
        <w:t xml:space="preserve">Zdroj: ČSÚ podle administrativních dat GFŘ </w:t>
      </w:r>
      <w:bookmarkStart w:id="2" w:name="_Toc415056896"/>
    </w:p>
    <w:p w14:paraId="57FADBC3" w14:textId="55BBCBBB" w:rsidR="001775E7" w:rsidRPr="00EF3978" w:rsidRDefault="007214BF" w:rsidP="007C530B">
      <w:pPr>
        <w:pStyle w:val="Nadpis2"/>
        <w:pageBreakBefore/>
        <w:spacing w:after="120"/>
        <w:jc w:val="both"/>
        <w:rPr>
          <w:sz w:val="24"/>
        </w:rPr>
      </w:pPr>
      <w:r w:rsidRPr="00EF3978">
        <w:rPr>
          <w:sz w:val="24"/>
        </w:rPr>
        <w:lastRenderedPageBreak/>
        <w:t>3.3</w:t>
      </w:r>
      <w:r w:rsidR="00FC3657" w:rsidRPr="00EF3978">
        <w:rPr>
          <w:sz w:val="24"/>
        </w:rPr>
        <w:t xml:space="preserve"> </w:t>
      </w:r>
      <w:r w:rsidR="00F478EB">
        <w:rPr>
          <w:sz w:val="24"/>
        </w:rPr>
        <w:t>V</w:t>
      </w:r>
      <w:r w:rsidR="002D3A94" w:rsidRPr="00EF3978">
        <w:rPr>
          <w:sz w:val="24"/>
        </w:rPr>
        <w:t xml:space="preserve">eřejná podpora </w:t>
      </w:r>
      <w:proofErr w:type="spellStart"/>
      <w:r w:rsidR="002D3A94" w:rsidRPr="00EF3978">
        <w:rPr>
          <w:sz w:val="24"/>
        </w:rPr>
        <w:t>VaV</w:t>
      </w:r>
      <w:proofErr w:type="spellEnd"/>
      <w:r w:rsidR="00D424DE" w:rsidRPr="00EF3978">
        <w:rPr>
          <w:sz w:val="24"/>
        </w:rPr>
        <w:t xml:space="preserve"> </w:t>
      </w:r>
      <w:r w:rsidR="001775E7" w:rsidRPr="00EF3978">
        <w:rPr>
          <w:sz w:val="24"/>
        </w:rPr>
        <w:t>v mezinárodním kontextu</w:t>
      </w:r>
    </w:p>
    <w:bookmarkEnd w:id="2"/>
    <w:p w14:paraId="4DCDBF80" w14:textId="7BF6011B" w:rsidR="00DF11D8" w:rsidRPr="00E77984" w:rsidRDefault="000F545E" w:rsidP="00124784">
      <w:pPr>
        <w:spacing w:before="120"/>
        <w:jc w:val="both"/>
      </w:pPr>
      <w:r w:rsidRPr="00096C37">
        <w:t>Daňové pobídky a úlevy pro výzkum a vývoj</w:t>
      </w:r>
      <w:r w:rsidR="00BD51D4" w:rsidRPr="00096C37">
        <w:t xml:space="preserve"> jsou</w:t>
      </w:r>
      <w:r w:rsidR="00DC698A" w:rsidRPr="00096C37">
        <w:t xml:space="preserve"> v zemích OECD hojně využívaným nástrojem </w:t>
      </w:r>
      <w:r w:rsidR="00BD51D4" w:rsidRPr="00096C37">
        <w:t xml:space="preserve">veřejné </w:t>
      </w:r>
      <w:r w:rsidR="00DC698A" w:rsidRPr="00096C37">
        <w:t xml:space="preserve">podpory </w:t>
      </w:r>
      <w:proofErr w:type="spellStart"/>
      <w:r w:rsidR="00DC698A" w:rsidRPr="00096C37">
        <w:t>VaV</w:t>
      </w:r>
      <w:proofErr w:type="spellEnd"/>
      <w:r w:rsidR="00DC698A" w:rsidRPr="00096C37">
        <w:t xml:space="preserve"> v podnikové sféře</w:t>
      </w:r>
      <w:r w:rsidRPr="00096C37">
        <w:t xml:space="preserve"> (blíže viz příloha č</w:t>
      </w:r>
      <w:r w:rsidR="00E6039F" w:rsidRPr="00096C37">
        <w:t>. </w:t>
      </w:r>
      <w:r w:rsidRPr="00096C37">
        <w:t>4)</w:t>
      </w:r>
      <w:r w:rsidR="00DC698A" w:rsidRPr="00096C37">
        <w:t xml:space="preserve">. </w:t>
      </w:r>
      <w:r w:rsidR="00172B12" w:rsidRPr="00096C37">
        <w:t xml:space="preserve">S výjimkou </w:t>
      </w:r>
      <w:r w:rsidR="001D1211" w:rsidRPr="00096C37">
        <w:t>osmi</w:t>
      </w:r>
      <w:r w:rsidR="009733C8">
        <w:t xml:space="preserve"> </w:t>
      </w:r>
      <w:r w:rsidR="00DC698A" w:rsidRPr="00096C37">
        <w:t>zemí</w:t>
      </w:r>
      <w:r w:rsidR="004B0EC3" w:rsidRPr="00096C37">
        <w:rPr>
          <w:rStyle w:val="Znakapoznpodarou"/>
        </w:rPr>
        <w:footnoteReference w:id="3"/>
      </w:r>
      <w:r w:rsidR="004B0EC3" w:rsidRPr="00096C37">
        <w:t xml:space="preserve"> </w:t>
      </w:r>
      <w:r w:rsidR="00DC698A" w:rsidRPr="00096C37">
        <w:t xml:space="preserve"> mohou </w:t>
      </w:r>
      <w:r w:rsidR="00172B12" w:rsidRPr="00096C37">
        <w:t>podniky v</w:t>
      </w:r>
      <w:r w:rsidR="00DC698A" w:rsidRPr="00096C37">
        <w:t xml:space="preserve"> zemích OECD využ</w:t>
      </w:r>
      <w:r w:rsidR="006C50CC" w:rsidRPr="00096C37">
        <w:t>ít</w:t>
      </w:r>
      <w:r w:rsidR="00DC698A" w:rsidRPr="00096C37">
        <w:t xml:space="preserve"> některou z možností daňové podpory </w:t>
      </w:r>
      <w:proofErr w:type="spellStart"/>
      <w:r w:rsidR="00DC698A" w:rsidRPr="00096C37">
        <w:t>VaV</w:t>
      </w:r>
      <w:proofErr w:type="spellEnd"/>
      <w:r w:rsidR="00DC698A" w:rsidRPr="00096C37">
        <w:t xml:space="preserve">. Mezi země, </w:t>
      </w:r>
      <w:r w:rsidR="009F5EC5" w:rsidRPr="00096C37">
        <w:t>v</w:t>
      </w:r>
      <w:r w:rsidR="00DD319B" w:rsidRPr="00096C37">
        <w:t> </w:t>
      </w:r>
      <w:r w:rsidR="009F5EC5" w:rsidRPr="00096C37">
        <w:t>nichž</w:t>
      </w:r>
      <w:r w:rsidR="00DD319B" w:rsidRPr="00096C37">
        <w:t xml:space="preserve"> </w:t>
      </w:r>
      <w:r w:rsidR="00DC698A" w:rsidRPr="00096C37">
        <w:t xml:space="preserve">daňová podpora </w:t>
      </w:r>
      <w:proofErr w:type="spellStart"/>
      <w:r w:rsidR="00DC698A" w:rsidRPr="00096C37">
        <w:t>VaV</w:t>
      </w:r>
      <w:proofErr w:type="spellEnd"/>
      <w:r w:rsidR="00DC698A" w:rsidRPr="00096C37">
        <w:t xml:space="preserve"> </w:t>
      </w:r>
      <w:r w:rsidR="00DB6452" w:rsidRPr="00096C37">
        <w:t xml:space="preserve">není </w:t>
      </w:r>
      <w:r w:rsidR="00172B12" w:rsidRPr="00096C37">
        <w:t xml:space="preserve">zatím </w:t>
      </w:r>
      <w:r w:rsidR="00DC698A" w:rsidRPr="00096C37">
        <w:t>zavedena</w:t>
      </w:r>
      <w:r w:rsidR="00F55CC4" w:rsidRPr="00096C37">
        <w:t>,</w:t>
      </w:r>
      <w:r w:rsidR="00A20A84" w:rsidRPr="00096C37">
        <w:t xml:space="preserve"> patří </w:t>
      </w:r>
      <w:r w:rsidR="00DC698A" w:rsidRPr="00096C37">
        <w:t xml:space="preserve">i </w:t>
      </w:r>
      <w:r w:rsidR="00172B12" w:rsidRPr="00096C37">
        <w:t>Německo</w:t>
      </w:r>
      <w:r w:rsidR="005C22C7" w:rsidRPr="00253392">
        <w:t>.</w:t>
      </w:r>
      <w:r w:rsidR="00831B03" w:rsidRPr="00253392">
        <w:t xml:space="preserve"> Pro mezinárodní srovnání se používají </w:t>
      </w:r>
      <w:r w:rsidR="00652D74" w:rsidRPr="00253392">
        <w:t>následující tři</w:t>
      </w:r>
      <w:r w:rsidR="006D4556" w:rsidRPr="00253392">
        <w:t xml:space="preserve"> </w:t>
      </w:r>
      <w:r w:rsidR="00831B03" w:rsidRPr="00253392">
        <w:t>ukazatele</w:t>
      </w:r>
      <w:r w:rsidR="00136632" w:rsidRPr="00253392">
        <w:t>:</w:t>
      </w:r>
      <w:r w:rsidR="00652D74" w:rsidRPr="00253392">
        <w:t xml:space="preserve"> </w:t>
      </w:r>
      <w:r w:rsidR="00831B03" w:rsidRPr="00253392">
        <w:t xml:space="preserve">výše veřejné podpory </w:t>
      </w:r>
      <w:proofErr w:type="spellStart"/>
      <w:r w:rsidR="00831B03" w:rsidRPr="00253392">
        <w:t>VaV</w:t>
      </w:r>
      <w:proofErr w:type="spellEnd"/>
      <w:r w:rsidR="00831B03" w:rsidRPr="00253392">
        <w:t xml:space="preserve"> v paritě kupní síly</w:t>
      </w:r>
      <w:r w:rsidR="00C718C4" w:rsidRPr="00253392">
        <w:t xml:space="preserve"> v USD</w:t>
      </w:r>
      <w:r w:rsidR="002A36A6" w:rsidRPr="00253392">
        <w:t>,</w:t>
      </w:r>
      <w:r w:rsidR="00831B03" w:rsidRPr="00253392">
        <w:t xml:space="preserve"> podíl veřejné podpory </w:t>
      </w:r>
      <w:proofErr w:type="spellStart"/>
      <w:r w:rsidR="00831B03" w:rsidRPr="00253392">
        <w:t>VaV</w:t>
      </w:r>
      <w:proofErr w:type="spellEnd"/>
      <w:r w:rsidR="00831B03" w:rsidRPr="00253392">
        <w:t xml:space="preserve"> na hrubém domácím produktu (HDP)</w:t>
      </w:r>
      <w:r w:rsidR="002A36A6" w:rsidRPr="00253392">
        <w:t xml:space="preserve"> a podíl </w:t>
      </w:r>
      <w:r w:rsidR="00652D74" w:rsidRPr="00253392">
        <w:t xml:space="preserve">veřejné podpory </w:t>
      </w:r>
      <w:proofErr w:type="spellStart"/>
      <w:r w:rsidR="00652D74" w:rsidRPr="00253392">
        <w:t>VaV</w:t>
      </w:r>
      <w:proofErr w:type="spellEnd"/>
      <w:r w:rsidR="00652D74" w:rsidRPr="00253392">
        <w:t xml:space="preserve"> </w:t>
      </w:r>
      <w:r w:rsidR="002A36A6" w:rsidRPr="00253392">
        <w:t xml:space="preserve">na celkových </w:t>
      </w:r>
      <w:r w:rsidR="002E7275">
        <w:t xml:space="preserve">podnikových </w:t>
      </w:r>
      <w:r w:rsidR="002A36A6" w:rsidRPr="00253392">
        <w:t xml:space="preserve">výdajích na </w:t>
      </w:r>
      <w:proofErr w:type="spellStart"/>
      <w:r w:rsidR="002A36A6" w:rsidRPr="00253392">
        <w:t>VaV</w:t>
      </w:r>
      <w:proofErr w:type="spellEnd"/>
      <w:r w:rsidR="00831B03" w:rsidRPr="00253392">
        <w:t xml:space="preserve">.  </w:t>
      </w:r>
      <w:r w:rsidR="00DC698A" w:rsidRPr="00253392">
        <w:t xml:space="preserve"> </w:t>
      </w:r>
    </w:p>
    <w:p w14:paraId="071DF0D4" w14:textId="211AA596" w:rsidR="007C530B" w:rsidRPr="00E2558F" w:rsidRDefault="007C530B" w:rsidP="00C108E2">
      <w:pPr>
        <w:pStyle w:val="Nadpis3"/>
        <w:spacing w:before="240" w:after="120"/>
        <w:rPr>
          <w:sz w:val="22"/>
          <w:szCs w:val="22"/>
        </w:rPr>
      </w:pPr>
      <w:r w:rsidRPr="00E2558F">
        <w:rPr>
          <w:sz w:val="22"/>
          <w:szCs w:val="22"/>
        </w:rPr>
        <w:t>3.3.</w:t>
      </w:r>
      <w:r>
        <w:rPr>
          <w:sz w:val="22"/>
          <w:szCs w:val="22"/>
        </w:rPr>
        <w:t>1</w:t>
      </w:r>
      <w:r w:rsidRPr="00E2558F">
        <w:rPr>
          <w:sz w:val="22"/>
          <w:szCs w:val="22"/>
        </w:rPr>
        <w:t xml:space="preserve"> Výše </w:t>
      </w:r>
      <w:r w:rsidR="00F23C81">
        <w:rPr>
          <w:sz w:val="22"/>
          <w:szCs w:val="22"/>
        </w:rPr>
        <w:t>v</w:t>
      </w:r>
      <w:r w:rsidRPr="00E2558F">
        <w:rPr>
          <w:sz w:val="22"/>
          <w:szCs w:val="22"/>
        </w:rPr>
        <w:t xml:space="preserve">eřejné podpory </w:t>
      </w:r>
      <w:proofErr w:type="spellStart"/>
      <w:r w:rsidRPr="00E2558F">
        <w:rPr>
          <w:sz w:val="22"/>
          <w:szCs w:val="22"/>
        </w:rPr>
        <w:t>VaV</w:t>
      </w:r>
      <w:proofErr w:type="spellEnd"/>
      <w:r w:rsidRPr="00E2558F">
        <w:rPr>
          <w:sz w:val="22"/>
          <w:szCs w:val="22"/>
        </w:rPr>
        <w:t xml:space="preserve"> v paritě kupní síly</w:t>
      </w:r>
    </w:p>
    <w:p w14:paraId="52E8B10B" w14:textId="13E4F6AF" w:rsidR="007C530B" w:rsidRPr="00A07C4B" w:rsidRDefault="00A07C4B" w:rsidP="00A07C4B">
      <w:pPr>
        <w:spacing w:before="60"/>
        <w:jc w:val="both"/>
      </w:pPr>
      <w:r w:rsidRPr="00A07C4B">
        <w:t>Z členských</w:t>
      </w:r>
      <w:r w:rsidR="007C530B" w:rsidRPr="00A07C4B">
        <w:t xml:space="preserve"> zemí</w:t>
      </w:r>
      <w:r w:rsidRPr="00A07C4B">
        <w:t xml:space="preserve"> EU</w:t>
      </w:r>
      <w:r w:rsidR="007C530B" w:rsidRPr="00A07C4B">
        <w:t xml:space="preserve"> nejvyšší absolutní částku nepřímé veřejné podpory </w:t>
      </w:r>
      <w:proofErr w:type="spellStart"/>
      <w:r w:rsidR="007C530B" w:rsidRPr="00A07C4B">
        <w:t>VaV</w:t>
      </w:r>
      <w:proofErr w:type="spellEnd"/>
      <w:r w:rsidR="007C530B" w:rsidRPr="00A07C4B">
        <w:t>, měřeno v paritě kupní síly v </w:t>
      </w:r>
      <w:r w:rsidR="000608F0">
        <w:t>amerických dolarech, obdržely</w:t>
      </w:r>
      <w:r w:rsidR="007C530B" w:rsidRPr="00A07C4B">
        <w:t xml:space="preserve"> podniky </w:t>
      </w:r>
      <w:r w:rsidRPr="00A07C4B">
        <w:t>ve Francii (8,0 mld. USD</w:t>
      </w:r>
      <w:r w:rsidR="00ED3641">
        <w:t xml:space="preserve"> v roce 201</w:t>
      </w:r>
      <w:r w:rsidR="000117C2">
        <w:t>7</w:t>
      </w:r>
      <w:r w:rsidRPr="00A07C4B">
        <w:t>). Druhá</w:t>
      </w:r>
      <w:r w:rsidR="007C530B" w:rsidRPr="00A07C4B">
        <w:t xml:space="preserve"> v pořadí se</w:t>
      </w:r>
      <w:r w:rsidRPr="00A07C4B">
        <w:t xml:space="preserve"> umístila Velká Británie s částkou 7,8 mld. USD, následovaná Itálií s 4,7 mld. USD.</w:t>
      </w:r>
      <w:r w:rsidR="007C530B" w:rsidRPr="00A07C4B">
        <w:t xml:space="preserve"> </w:t>
      </w:r>
      <w:r w:rsidRPr="00A07C4B">
        <w:t xml:space="preserve">V Německu </w:t>
      </w:r>
      <w:r w:rsidR="00933CE7">
        <w:t xml:space="preserve">nemohly </w:t>
      </w:r>
      <w:r w:rsidR="00BF2057">
        <w:t xml:space="preserve">podniky </w:t>
      </w:r>
      <w:r w:rsidR="00933CE7">
        <w:t>v roce 2018</w:t>
      </w:r>
      <w:r w:rsidRPr="00A07C4B">
        <w:t xml:space="preserve"> využít instrument daňové podpory </w:t>
      </w:r>
      <w:proofErr w:type="spellStart"/>
      <w:r w:rsidRPr="00A07C4B">
        <w:t>VaV</w:t>
      </w:r>
      <w:proofErr w:type="spellEnd"/>
      <w:r w:rsidRPr="00A07C4B">
        <w:t xml:space="preserve">. </w:t>
      </w:r>
      <w:r w:rsidR="007C530B" w:rsidRPr="00A07C4B">
        <w:t xml:space="preserve">Pozice České republiky je úměrná velikosti ekonomiky a objemu výdajů podniků na výzkum a vývoj. V roce </w:t>
      </w:r>
      <w:r w:rsidR="00AA7429" w:rsidRPr="00A07C4B">
        <w:t>2018</w:t>
      </w:r>
      <w:r w:rsidR="007C530B" w:rsidRPr="00A07C4B">
        <w:t xml:space="preserve"> dosáhla výše nepřímé veřejné podpory </w:t>
      </w:r>
      <w:proofErr w:type="spellStart"/>
      <w:r w:rsidR="007C530B" w:rsidRPr="00A07C4B">
        <w:t>VaV</w:t>
      </w:r>
      <w:proofErr w:type="spellEnd"/>
      <w:r w:rsidR="007C530B" w:rsidRPr="00A07C4B">
        <w:t xml:space="preserve"> v Č</w:t>
      </w:r>
      <w:r w:rsidR="0086158A">
        <w:t>esku</w:t>
      </w:r>
      <w:r w:rsidR="007C530B" w:rsidRPr="00A07C4B">
        <w:t xml:space="preserve"> </w:t>
      </w:r>
      <w:r w:rsidRPr="00A07C4B">
        <w:t>207</w:t>
      </w:r>
      <w:r w:rsidR="007C530B" w:rsidRPr="00A07C4B">
        <w:t xml:space="preserve"> mil. USD v paritě kupní síly. V rámci členských zemí, které přistoupily do EU v roce 2004 má Česko nejvyšší částku poskytnuté nepřímé veřejné podpory </w:t>
      </w:r>
      <w:proofErr w:type="spellStart"/>
      <w:r w:rsidR="007C530B" w:rsidRPr="00A07C4B">
        <w:t>VaV</w:t>
      </w:r>
      <w:proofErr w:type="spellEnd"/>
      <w:r w:rsidR="007C530B" w:rsidRPr="00A07C4B">
        <w:t xml:space="preserve">. Hned za Českem pak následuje </w:t>
      </w:r>
      <w:r w:rsidRPr="00A07C4B">
        <w:t xml:space="preserve">Polsko a </w:t>
      </w:r>
      <w:r w:rsidR="007C530B" w:rsidRPr="00A07C4B">
        <w:t>Maďarsko.</w:t>
      </w:r>
    </w:p>
    <w:p w14:paraId="43DCCA10" w14:textId="526C15E8" w:rsidR="007C530B" w:rsidRPr="00B979B4" w:rsidRDefault="00F23C81" w:rsidP="00B979B4">
      <w:pPr>
        <w:keepNext/>
        <w:spacing w:before="12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C323706" wp14:editId="122FCD53">
                <wp:simplePos x="0" y="0"/>
                <wp:positionH relativeFrom="column">
                  <wp:posOffset>3810</wp:posOffset>
                </wp:positionH>
                <wp:positionV relativeFrom="paragraph">
                  <wp:posOffset>481330</wp:posOffset>
                </wp:positionV>
                <wp:extent cx="6105525" cy="4644000"/>
                <wp:effectExtent l="0" t="0" r="0" b="4445"/>
                <wp:wrapSquare wrapText="bothSides"/>
                <wp:docPr id="17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4644000"/>
                          <a:chOff x="0" y="0"/>
                          <a:chExt cx="6105525" cy="4905375"/>
                        </a:xfrm>
                      </wpg:grpSpPr>
                      <wpg:graphicFrame>
                        <wpg:cNvPr id="18" name="Graf 18">
                          <a:extLst>
                            <a:ext uri="{FF2B5EF4-FFF2-40B4-BE49-F238E27FC236}">
                              <a16:creationId xmlns:a16="http://schemas.microsoft.com/office/drawing/2014/main" id="{00000000-0008-0000-1500-000003000000}"/>
                            </a:ext>
                          </a:extLst>
                        </wpg:cNvPr>
                        <wpg:cNvFrPr>
                          <a:graphicFrameLocks/>
                        </wpg:cNvFrPr>
                        <wpg:xfrm>
                          <a:off x="0" y="9526"/>
                          <a:ext cx="3057525" cy="4895849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4"/>
                          </a:graphicData>
                        </a:graphic>
                      </wpg:graphicFrame>
                      <wpg:graphicFrame>
                        <wpg:cNvPr id="19" name="Graf 19">
                          <a:extLst>
                            <a:ext uri="{FF2B5EF4-FFF2-40B4-BE49-F238E27FC236}">
                              <a16:creationId xmlns:a16="http://schemas.microsoft.com/office/drawing/2014/main" id="{00000000-0008-0000-1500-000003000000}"/>
                            </a:ext>
                          </a:extLst>
                        </wpg:cNvPr>
                        <wpg:cNvFrPr>
                          <a:graphicFrameLocks/>
                        </wpg:cNvFrPr>
                        <wpg:xfrm>
                          <a:off x="3048000" y="0"/>
                          <a:ext cx="3057525" cy="4895849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5"/>
                          </a:graphicData>
                        </a:graphic>
                      </wpg:graphicFrame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1ED85F" id="Skupina 5" o:spid="_x0000_s1026" style="position:absolute;margin-left:.3pt;margin-top:37.9pt;width:480.75pt;height:365.65pt;z-index:251665408;mso-height-relative:margin" coordsize="61055,49053" o:gfxdata="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">
                <v:shape id="Graf 18" o:spid="_x0000_s1027" type="#_x0000_t75" style="position:absolute;top:64;width:30601;height:49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">
                  <v:imagedata r:id="rId46" o:title=""/>
                  <o:lock v:ext="edit" aspectratio="f"/>
                </v:shape>
                <v:shape id="Graf 19" o:spid="_x0000_s1028" type="#_x0000_t75" style="position:absolute;left:30480;width:30601;height:489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">
                  <v:imagedata r:id="rId47" o:title=""/>
                  <o:lock v:ext="edit" aspectratio="f"/>
                </v:shape>
                <w10:wrap type="square"/>
              </v:group>
            </w:pict>
          </mc:Fallback>
        </mc:AlternateContent>
      </w:r>
      <w:r w:rsidR="00B979B4" w:rsidRPr="00B979B4">
        <w:rPr>
          <w:b/>
        </w:rPr>
        <w:t xml:space="preserve">Graf </w:t>
      </w:r>
      <w:r w:rsidR="00B979B4" w:rsidRPr="00B979B4">
        <w:rPr>
          <w:b/>
        </w:rPr>
        <w:fldChar w:fldCharType="begin"/>
      </w:r>
      <w:r w:rsidR="00B979B4" w:rsidRPr="00B979B4">
        <w:rPr>
          <w:b/>
        </w:rPr>
        <w:instrText xml:space="preserve"> SEQ Graf \* ARABIC </w:instrText>
      </w:r>
      <w:r w:rsidR="00B979B4" w:rsidRPr="00B979B4">
        <w:rPr>
          <w:b/>
        </w:rPr>
        <w:fldChar w:fldCharType="separate"/>
      </w:r>
      <w:r w:rsidR="00B043AC">
        <w:rPr>
          <w:b/>
          <w:noProof/>
        </w:rPr>
        <w:t>26</w:t>
      </w:r>
      <w:r w:rsidR="00B979B4" w:rsidRPr="00B979B4">
        <w:rPr>
          <w:b/>
        </w:rPr>
        <w:fldChar w:fldCharType="end"/>
      </w:r>
      <w:r w:rsidR="0015764A">
        <w:rPr>
          <w:b/>
        </w:rPr>
        <w:t>: V</w:t>
      </w:r>
      <w:r w:rsidR="007C530B" w:rsidRPr="00B979B4">
        <w:rPr>
          <w:b/>
        </w:rPr>
        <w:t xml:space="preserve">eřejná podpora </w:t>
      </w:r>
      <w:proofErr w:type="spellStart"/>
      <w:r w:rsidR="007C530B" w:rsidRPr="00B979B4">
        <w:rPr>
          <w:b/>
        </w:rPr>
        <w:t>VaV</w:t>
      </w:r>
      <w:proofErr w:type="spellEnd"/>
      <w:r w:rsidR="007C530B" w:rsidRPr="00B979B4">
        <w:rPr>
          <w:b/>
        </w:rPr>
        <w:t xml:space="preserve"> </w:t>
      </w:r>
      <w:r w:rsidR="00C0474E">
        <w:rPr>
          <w:b/>
        </w:rPr>
        <w:t xml:space="preserve">v podnicích </w:t>
      </w:r>
      <w:r w:rsidR="007C530B" w:rsidRPr="00B979B4">
        <w:rPr>
          <w:b/>
        </w:rPr>
        <w:t>v</w:t>
      </w:r>
      <w:r w:rsidR="006A622B" w:rsidRPr="00B979B4">
        <w:rPr>
          <w:b/>
        </w:rPr>
        <w:t>e</w:t>
      </w:r>
      <w:r w:rsidR="007C530B" w:rsidRPr="00B979B4">
        <w:rPr>
          <w:b/>
        </w:rPr>
        <w:t xml:space="preserve"> </w:t>
      </w:r>
      <w:r w:rsidR="006A622B" w:rsidRPr="00B979B4">
        <w:rPr>
          <w:b/>
        </w:rPr>
        <w:t>vybraných z</w:t>
      </w:r>
      <w:r w:rsidR="002111D4" w:rsidRPr="00B979B4">
        <w:rPr>
          <w:b/>
        </w:rPr>
        <w:t>emích v roce 2018</w:t>
      </w:r>
      <w:r w:rsidR="007C530B" w:rsidRPr="00B979B4">
        <w:rPr>
          <w:b/>
        </w:rPr>
        <w:t>* (mil. USD v paritě kupní síly)</w:t>
      </w:r>
    </w:p>
    <w:p w14:paraId="32E810F2" w14:textId="5AD6C024" w:rsidR="007C530B" w:rsidRPr="00CB2392" w:rsidRDefault="007C530B" w:rsidP="007C530B">
      <w:pPr>
        <w:spacing w:before="120"/>
        <w:rPr>
          <w:i/>
          <w:sz w:val="16"/>
          <w:szCs w:val="22"/>
        </w:rPr>
      </w:pPr>
      <w:r w:rsidRPr="00CB2392">
        <w:rPr>
          <w:i/>
          <w:sz w:val="16"/>
          <w:szCs w:val="22"/>
        </w:rPr>
        <w:t>* Nebo poslední dostupný rok</w:t>
      </w:r>
    </w:p>
    <w:p w14:paraId="0BDED448" w14:textId="1731CAB7" w:rsidR="007C530B" w:rsidRDefault="00E543E7" w:rsidP="007C530B">
      <w:pPr>
        <w:jc w:val="both"/>
        <w:rPr>
          <w:sz w:val="16"/>
          <w:szCs w:val="22"/>
        </w:rPr>
      </w:pPr>
      <w:r>
        <w:rPr>
          <w:i/>
          <w:sz w:val="16"/>
          <w:szCs w:val="22"/>
        </w:rPr>
        <w:t>Zdroj: OECD 2021</w:t>
      </w:r>
    </w:p>
    <w:p w14:paraId="4A4350DC" w14:textId="763C9F12" w:rsidR="002530DB" w:rsidRDefault="002530DB" w:rsidP="000817E1">
      <w:pPr>
        <w:spacing w:before="60"/>
        <w:jc w:val="both"/>
      </w:pPr>
      <w:r w:rsidRPr="0021581A">
        <w:lastRenderedPageBreak/>
        <w:t xml:space="preserve">Vůbec nejvyšší částku daňové podpory </w:t>
      </w:r>
      <w:proofErr w:type="spellStart"/>
      <w:r w:rsidRPr="0021581A">
        <w:t>VaV</w:t>
      </w:r>
      <w:proofErr w:type="spellEnd"/>
      <w:r w:rsidRPr="0021581A">
        <w:t xml:space="preserve"> vyká</w:t>
      </w:r>
      <w:r>
        <w:t>zala Čína (16,1 mld. USD</w:t>
      </w:r>
      <w:r w:rsidRPr="0021581A">
        <w:t>), což je 2krát více než Franci</w:t>
      </w:r>
      <w:r>
        <w:t>e</w:t>
      </w:r>
      <w:r w:rsidRPr="0021581A">
        <w:t xml:space="preserve">. Jediným konkurentem Číny v objemu daňové podpory </w:t>
      </w:r>
      <w:proofErr w:type="spellStart"/>
      <w:r w:rsidRPr="0021581A">
        <w:t>VaV</w:t>
      </w:r>
      <w:proofErr w:type="spellEnd"/>
      <w:r w:rsidRPr="0021581A">
        <w:t xml:space="preserve"> byly Spojené státy, které v roce </w:t>
      </w:r>
      <w:r>
        <w:t>2016</w:t>
      </w:r>
      <w:r w:rsidRPr="0021581A">
        <w:t xml:space="preserve"> </w:t>
      </w:r>
      <w:r>
        <w:t>zaznamenaly podporu ve výši 15,1</w:t>
      </w:r>
      <w:r w:rsidRPr="0021581A">
        <w:t xml:space="preserve"> mld. USD. Za Spojenými státy se umístilo s</w:t>
      </w:r>
      <w:r>
        <w:t> více než</w:t>
      </w:r>
      <w:r w:rsidRPr="0021581A">
        <w:t> dvo</w:t>
      </w:r>
      <w:r>
        <w:t>j</w:t>
      </w:r>
      <w:r w:rsidRPr="0021581A">
        <w:t xml:space="preserve">násobně nižší částkou podpory Japonsko (6,2 mld. USD). Ze sledovaných zemí překročily hranici 2 mld. USD v paritě kupní síly dále Rusko a Jižní Korea. </w:t>
      </w:r>
    </w:p>
    <w:p w14:paraId="0024B990" w14:textId="582CB7BC" w:rsidR="00296547" w:rsidRDefault="000117C2" w:rsidP="0024457B">
      <w:pPr>
        <w:jc w:val="both"/>
      </w:pPr>
      <w:r>
        <w:t xml:space="preserve">Ve Francii byla přímá domácí </w:t>
      </w:r>
      <w:r w:rsidR="0027360D">
        <w:t xml:space="preserve">veřejná </w:t>
      </w:r>
      <w:r>
        <w:t xml:space="preserve">podpora </w:t>
      </w:r>
      <w:proofErr w:type="spellStart"/>
      <w:r>
        <w:t>VaV</w:t>
      </w:r>
      <w:proofErr w:type="spellEnd"/>
      <w:r>
        <w:t xml:space="preserve"> ve srovnání s daňovou </w:t>
      </w:r>
      <w:r w:rsidR="0027360D">
        <w:t xml:space="preserve">podporou </w:t>
      </w:r>
      <w:proofErr w:type="spellStart"/>
      <w:r w:rsidR="0027360D">
        <w:t>VaV</w:t>
      </w:r>
      <w:proofErr w:type="spellEnd"/>
      <w:r>
        <w:t xml:space="preserve"> dvakrát nižší. V roce 2017 dosáhla</w:t>
      </w:r>
      <w:r w:rsidR="00ED57B2">
        <w:t xml:space="preserve"> výše 3,4 mld. USD</w:t>
      </w:r>
      <w:r w:rsidR="005F5CC1">
        <w:t xml:space="preserve"> v paritě kupní síly</w:t>
      </w:r>
      <w:r w:rsidR="00ED57B2">
        <w:t xml:space="preserve">. </w:t>
      </w:r>
      <w:r w:rsidR="0027360D">
        <w:t xml:space="preserve">V případě Velké Británie to bylo třikrát méně (2,6 mld. </w:t>
      </w:r>
      <w:r w:rsidR="00DB5F40">
        <w:t>USD</w:t>
      </w:r>
      <w:r w:rsidR="0027360D">
        <w:t xml:space="preserve">). Daňová podpora </w:t>
      </w:r>
      <w:proofErr w:type="spellStart"/>
      <w:r w:rsidR="0027360D">
        <w:t>VaV</w:t>
      </w:r>
      <w:proofErr w:type="spellEnd"/>
      <w:r w:rsidR="0027360D">
        <w:t xml:space="preserve"> výrazně převyšuje přímou veřejnou podp</w:t>
      </w:r>
      <w:r w:rsidR="002579D6">
        <w:t xml:space="preserve">oru </w:t>
      </w:r>
      <w:proofErr w:type="spellStart"/>
      <w:r w:rsidR="002579D6">
        <w:t>VaV</w:t>
      </w:r>
      <w:proofErr w:type="spellEnd"/>
      <w:r w:rsidR="002579D6">
        <w:t xml:space="preserve"> také</w:t>
      </w:r>
      <w:r w:rsidR="0027360D">
        <w:t xml:space="preserve"> v Itálii (3x) a Belgii (4x).</w:t>
      </w:r>
      <w:r w:rsidR="0024457B">
        <w:t xml:space="preserve"> </w:t>
      </w:r>
      <w:r w:rsidR="00296547">
        <w:t xml:space="preserve">V Česku podniky čerpaly formou přímé domácí podpory </w:t>
      </w:r>
      <w:proofErr w:type="spellStart"/>
      <w:r w:rsidR="00296547">
        <w:t>VaV</w:t>
      </w:r>
      <w:proofErr w:type="spellEnd"/>
      <w:r w:rsidR="00296547">
        <w:t xml:space="preserve"> 371 mil. USD v paritě kupní síly</w:t>
      </w:r>
      <w:r w:rsidR="00DB5F40">
        <w:t>, což je</w:t>
      </w:r>
      <w:r w:rsidR="00296547">
        <w:t xml:space="preserve"> o polovinu více finančních prostředků než formou nepřímé podpory </w:t>
      </w:r>
      <w:proofErr w:type="spellStart"/>
      <w:r w:rsidR="00296547">
        <w:t>VaV</w:t>
      </w:r>
      <w:proofErr w:type="spellEnd"/>
      <w:r w:rsidR="00296547">
        <w:t>.</w:t>
      </w:r>
    </w:p>
    <w:p w14:paraId="3D1C5699" w14:textId="7B7655E4" w:rsidR="00940C0F" w:rsidRDefault="00940C0F" w:rsidP="007C530B">
      <w:pPr>
        <w:jc w:val="both"/>
      </w:pPr>
      <w:r>
        <w:t xml:space="preserve">Ve Spojených státech získaly podniky v roce 2016 přímou veřejnou podporu </w:t>
      </w:r>
      <w:proofErr w:type="spellStart"/>
      <w:r>
        <w:t>VaV</w:t>
      </w:r>
      <w:proofErr w:type="spellEnd"/>
      <w:r>
        <w:t xml:space="preserve"> ve výši 23,9 mld. USD, c</w:t>
      </w:r>
      <w:r w:rsidR="00296C86">
        <w:t>ož byla nejvyšší částka ze všech zemí</w:t>
      </w:r>
      <w:r>
        <w:t xml:space="preserve">. Jak již bylo řečeno, formou slevy na dani pak podniky získaly dodatečných 15,1 mld. USD. Přímá veřejná podpora </w:t>
      </w:r>
      <w:proofErr w:type="spellStart"/>
      <w:r w:rsidR="00296C86">
        <w:t>VaV</w:t>
      </w:r>
      <w:proofErr w:type="spellEnd"/>
      <w:r w:rsidR="00296C86">
        <w:t xml:space="preserve"> </w:t>
      </w:r>
      <w:r>
        <w:t>tedy převýšila daňovou podporu</w:t>
      </w:r>
      <w:r w:rsidR="00296C86">
        <w:t xml:space="preserve"> </w:t>
      </w:r>
      <w:proofErr w:type="spellStart"/>
      <w:r w:rsidR="00296C86">
        <w:t>VaV</w:t>
      </w:r>
      <w:proofErr w:type="spellEnd"/>
      <w:r>
        <w:t xml:space="preserve"> o 8,9 mld. USD.</w:t>
      </w:r>
    </w:p>
    <w:p w14:paraId="0699494D" w14:textId="3BC5A82E" w:rsidR="007C530B" w:rsidRPr="00E2558F" w:rsidRDefault="007C530B" w:rsidP="00C108E2">
      <w:pPr>
        <w:pStyle w:val="Nadpis3"/>
        <w:spacing w:before="240" w:after="120"/>
        <w:rPr>
          <w:sz w:val="22"/>
          <w:szCs w:val="22"/>
        </w:rPr>
      </w:pPr>
      <w:r w:rsidRPr="00E2558F">
        <w:rPr>
          <w:sz w:val="22"/>
          <w:szCs w:val="22"/>
        </w:rPr>
        <w:t>3.3.</w:t>
      </w:r>
      <w:r>
        <w:rPr>
          <w:sz w:val="22"/>
          <w:szCs w:val="22"/>
        </w:rPr>
        <w:t>2</w:t>
      </w:r>
      <w:r w:rsidRPr="00E2558F">
        <w:rPr>
          <w:sz w:val="22"/>
          <w:szCs w:val="22"/>
        </w:rPr>
        <w:t xml:space="preserve"> Podíl </w:t>
      </w:r>
      <w:r w:rsidR="00F23C81">
        <w:rPr>
          <w:sz w:val="22"/>
          <w:szCs w:val="22"/>
        </w:rPr>
        <w:t>v</w:t>
      </w:r>
      <w:r w:rsidRPr="00E2558F">
        <w:rPr>
          <w:sz w:val="22"/>
          <w:szCs w:val="22"/>
        </w:rPr>
        <w:t xml:space="preserve">eřejné podpory </w:t>
      </w:r>
      <w:proofErr w:type="spellStart"/>
      <w:r w:rsidRPr="00E2558F">
        <w:rPr>
          <w:sz w:val="22"/>
          <w:szCs w:val="22"/>
        </w:rPr>
        <w:t>VaV</w:t>
      </w:r>
      <w:proofErr w:type="spellEnd"/>
      <w:r w:rsidRPr="00E2558F">
        <w:rPr>
          <w:sz w:val="22"/>
          <w:szCs w:val="22"/>
        </w:rPr>
        <w:t xml:space="preserve"> na celkových podnikových výdajích na </w:t>
      </w:r>
      <w:proofErr w:type="spellStart"/>
      <w:r w:rsidRPr="00E2558F">
        <w:rPr>
          <w:sz w:val="22"/>
          <w:szCs w:val="22"/>
        </w:rPr>
        <w:t>VaV</w:t>
      </w:r>
      <w:proofErr w:type="spellEnd"/>
    </w:p>
    <w:p w14:paraId="0D0601CB" w14:textId="71EBACE6" w:rsidR="0024457B" w:rsidRDefault="007C530B" w:rsidP="0024457B">
      <w:pPr>
        <w:spacing w:before="60"/>
        <w:jc w:val="both"/>
        <w:rPr>
          <w:rFonts w:eastAsia="MS Gothic"/>
          <w:b/>
          <w:bCs/>
          <w:szCs w:val="20"/>
        </w:rPr>
      </w:pPr>
      <w:r w:rsidRPr="00603963">
        <w:t xml:space="preserve">Nejvyšší podíl </w:t>
      </w:r>
      <w:r w:rsidR="00603963" w:rsidRPr="00603963">
        <w:t>(24,1</w:t>
      </w:r>
      <w:r w:rsidRPr="00603963">
        <w:t> %) nepřímé veřejné podpory výzkumu a vývoje na celkových podnikových</w:t>
      </w:r>
      <w:r w:rsidR="00603963" w:rsidRPr="00603963">
        <w:t xml:space="preserve"> výdajích na </w:t>
      </w:r>
      <w:proofErr w:type="spellStart"/>
      <w:r w:rsidR="00603963" w:rsidRPr="00603963">
        <w:t>VaV</w:t>
      </w:r>
      <w:proofErr w:type="spellEnd"/>
      <w:r w:rsidR="00603963" w:rsidRPr="00603963">
        <w:t xml:space="preserve"> byl v roce 2018</w:t>
      </w:r>
      <w:r w:rsidR="009A547E">
        <w:t xml:space="preserve"> zjištěn v</w:t>
      </w:r>
      <w:r w:rsidR="00603963" w:rsidRPr="00603963">
        <w:t> Portugalsku. Následují Velká Británie (21,3 %) a Itálie (20</w:t>
      </w:r>
      <w:r w:rsidRPr="00603963">
        <w:t xml:space="preserve">,5 %). V případě České republiky se nepřímá veřejná podpora </w:t>
      </w:r>
      <w:proofErr w:type="spellStart"/>
      <w:r w:rsidRPr="00603963">
        <w:t>VaV</w:t>
      </w:r>
      <w:proofErr w:type="spellEnd"/>
      <w:r w:rsidRPr="00603963">
        <w:t xml:space="preserve"> podílela na celkových</w:t>
      </w:r>
      <w:r w:rsidR="00603963" w:rsidRPr="00603963">
        <w:t xml:space="preserve"> podnikových výdajích na </w:t>
      </w:r>
      <w:proofErr w:type="spellStart"/>
      <w:r w:rsidR="00603963" w:rsidRPr="00603963">
        <w:t>VaV</w:t>
      </w:r>
      <w:proofErr w:type="spellEnd"/>
      <w:r w:rsidR="00603963" w:rsidRPr="00603963">
        <w:t xml:space="preserve"> 4,1</w:t>
      </w:r>
      <w:r w:rsidRPr="00603963">
        <w:t> %. Okolo 4% podílu se pohybuje také Japonsko, Jižní Korea či Spojené státy</w:t>
      </w:r>
      <w:r w:rsidR="00603963" w:rsidRPr="00603963">
        <w:t xml:space="preserve"> a Čína</w:t>
      </w:r>
      <w:r w:rsidRPr="00603963">
        <w:t>.</w:t>
      </w:r>
      <w:r w:rsidR="00603963" w:rsidRPr="00603963">
        <w:t xml:space="preserve"> V Rusku dosáhl podíl 16,9 %.</w:t>
      </w:r>
      <w:r w:rsidRPr="00603963">
        <w:t xml:space="preserve"> Nejnižší podíl nepřímé podpory </w:t>
      </w:r>
      <w:proofErr w:type="spellStart"/>
      <w:r w:rsidRPr="00603963">
        <w:t>VaV</w:t>
      </w:r>
      <w:proofErr w:type="spellEnd"/>
      <w:r w:rsidRPr="00603963">
        <w:t xml:space="preserve"> na celkových výdajích na </w:t>
      </w:r>
      <w:proofErr w:type="spellStart"/>
      <w:r w:rsidRPr="00603963">
        <w:t>VaV</w:t>
      </w:r>
      <w:proofErr w:type="spellEnd"/>
      <w:r w:rsidRPr="00603963">
        <w:t xml:space="preserve"> v podnikatelském sektoru </w:t>
      </w:r>
      <w:r w:rsidR="00603963" w:rsidRPr="00603963">
        <w:t>pak byl v roce 2018</w:t>
      </w:r>
      <w:r w:rsidRPr="00603963">
        <w:t xml:space="preserve"> z</w:t>
      </w:r>
      <w:r w:rsidR="00603963" w:rsidRPr="00603963">
        <w:t>aznamenán v případě Švédska (0,6</w:t>
      </w:r>
      <w:r w:rsidRPr="00603963">
        <w:t> %), Polska (0,8 %), Dánska (1</w:t>
      </w:r>
      <w:r w:rsidR="00603963" w:rsidRPr="00603963">
        <w:t>,3 %) a Řecka (1,4</w:t>
      </w:r>
      <w:r w:rsidRPr="00603963">
        <w:t xml:space="preserve"> </w:t>
      </w:r>
      <w:r w:rsidRPr="00603963">
        <w:rPr>
          <w:szCs w:val="20"/>
        </w:rPr>
        <w:t>%).</w:t>
      </w:r>
    </w:p>
    <w:p w14:paraId="59A74510" w14:textId="441F5E2D" w:rsidR="007C530B" w:rsidRPr="0024457B" w:rsidRDefault="0024457B" w:rsidP="0024457B">
      <w:pPr>
        <w:spacing w:before="60"/>
        <w:jc w:val="both"/>
        <w:rPr>
          <w:rFonts w:eastAsia="MS Gothic"/>
          <w:b/>
          <w:bCs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01226A3" wp14:editId="4A3CA73C">
                <wp:simplePos x="0" y="0"/>
                <wp:positionH relativeFrom="column">
                  <wp:posOffset>13335</wp:posOffset>
                </wp:positionH>
                <wp:positionV relativeFrom="paragraph">
                  <wp:posOffset>453390</wp:posOffset>
                </wp:positionV>
                <wp:extent cx="6105525" cy="4533900"/>
                <wp:effectExtent l="0" t="0" r="0" b="0"/>
                <wp:wrapSquare wrapText="bothSides"/>
                <wp:docPr id="2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4533900"/>
                          <a:chOff x="0" y="0"/>
                          <a:chExt cx="6105525" cy="4895850"/>
                        </a:xfrm>
                      </wpg:grpSpPr>
                      <wpg:graphicFrame>
                        <wpg:cNvPr id="30" name="Graf 30">
                          <a:extLst>
                            <a:ext uri="{FF2B5EF4-FFF2-40B4-BE49-F238E27FC236}">
                              <a16:creationId xmlns:a16="http://schemas.microsoft.com/office/drawing/2014/main" id="{00000000-0008-0000-1500-000003000000}"/>
                            </a:ext>
                          </a:extLst>
                        </wpg:cNvPr>
                        <wpg:cNvFrPr>
                          <a:graphicFrameLocks/>
                        </wpg:cNvFrPr>
                        <wpg:xfrm>
                          <a:off x="0" y="1"/>
                          <a:ext cx="3057525" cy="4895849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8"/>
                          </a:graphicData>
                        </a:graphic>
                      </wpg:graphicFrame>
                      <wpg:graphicFrame>
                        <wpg:cNvPr id="31" name="Graf 31">
                          <a:extLst>
                            <a:ext uri="{FF2B5EF4-FFF2-40B4-BE49-F238E27FC236}">
                              <a16:creationId xmlns:a16="http://schemas.microsoft.com/office/drawing/2014/main" id="{00000000-0008-0000-1500-000003000000}"/>
                            </a:ext>
                          </a:extLst>
                        </wpg:cNvPr>
                        <wpg:cNvFrPr>
                          <a:graphicFrameLocks/>
                        </wpg:cNvFrPr>
                        <wpg:xfrm>
                          <a:off x="3048000" y="0"/>
                          <a:ext cx="3057525" cy="4895849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9"/>
                          </a:graphicData>
                        </a:graphic>
                      </wpg:graphicFrame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2A67AF" id="Skupina 6" o:spid="_x0000_s1026" style="position:absolute;margin-left:1.05pt;margin-top:35.7pt;width:480.75pt;height:357pt;z-index:-251649024;mso-height-relative:margin" coordsize="61055,48958" o:gfxdata="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">
                <v:shape id="Graf 30" o:spid="_x0000_s1027" type="#_x0000_t75" style="position:absolute;width:30601;height:489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">
                  <v:imagedata r:id="rId50" o:title=""/>
                  <o:lock v:ext="edit" aspectratio="f"/>
                </v:shape>
                <v:shape id="Graf 31" o:spid="_x0000_s1028" type="#_x0000_t75" style="position:absolute;left:30480;width:30601;height:489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">
                  <v:imagedata r:id="rId51" o:title=""/>
                  <o:lock v:ext="edit" aspectratio="f"/>
                </v:shape>
                <w10:wrap type="square"/>
              </v:group>
            </w:pict>
          </mc:Fallback>
        </mc:AlternateContent>
      </w:r>
      <w:r w:rsidR="00B979B4" w:rsidRPr="00B979B4">
        <w:rPr>
          <w:b/>
        </w:rPr>
        <w:t xml:space="preserve">Graf </w:t>
      </w:r>
      <w:r w:rsidR="00BC2308">
        <w:rPr>
          <w:b/>
        </w:rPr>
        <w:t>2</w:t>
      </w:r>
      <w:r w:rsidR="00FD074C">
        <w:rPr>
          <w:b/>
        </w:rPr>
        <w:t>7</w:t>
      </w:r>
      <w:r w:rsidR="00F5401F">
        <w:rPr>
          <w:b/>
        </w:rPr>
        <w:t xml:space="preserve">: Podíl </w:t>
      </w:r>
      <w:r w:rsidR="007C530B" w:rsidRPr="00B979B4">
        <w:rPr>
          <w:b/>
        </w:rPr>
        <w:t>veřejné podpory na financov</w:t>
      </w:r>
      <w:r w:rsidR="00C51CE7">
        <w:rPr>
          <w:b/>
        </w:rPr>
        <w:t xml:space="preserve">ání </w:t>
      </w:r>
      <w:proofErr w:type="spellStart"/>
      <w:r w:rsidR="00C51CE7">
        <w:rPr>
          <w:b/>
        </w:rPr>
        <w:t>VaV</w:t>
      </w:r>
      <w:proofErr w:type="spellEnd"/>
      <w:r w:rsidR="00C51CE7">
        <w:rPr>
          <w:b/>
        </w:rPr>
        <w:t xml:space="preserve"> v podnicích</w:t>
      </w:r>
      <w:r w:rsidR="007C530B" w:rsidRPr="00B979B4">
        <w:rPr>
          <w:b/>
        </w:rPr>
        <w:t xml:space="preserve"> v</w:t>
      </w:r>
      <w:r w:rsidR="006A622B" w:rsidRPr="00B979B4">
        <w:rPr>
          <w:b/>
        </w:rPr>
        <w:t xml:space="preserve">e vybraných </w:t>
      </w:r>
      <w:r w:rsidR="007C530B" w:rsidRPr="00B979B4">
        <w:rPr>
          <w:b/>
        </w:rPr>
        <w:t xml:space="preserve">zemích </w:t>
      </w:r>
      <w:r w:rsidR="00AD2666" w:rsidRPr="00B979B4">
        <w:rPr>
          <w:b/>
        </w:rPr>
        <w:t>v roce 2018</w:t>
      </w:r>
      <w:r w:rsidR="007C530B" w:rsidRPr="00B979B4">
        <w:rPr>
          <w:b/>
        </w:rPr>
        <w:t xml:space="preserve">* </w:t>
      </w:r>
      <w:r w:rsidR="00C51CE7">
        <w:rPr>
          <w:b/>
        </w:rPr>
        <w:t>(v procentech</w:t>
      </w:r>
      <w:r w:rsidR="007C530B" w:rsidRPr="00B979B4">
        <w:rPr>
          <w:b/>
        </w:rPr>
        <w:t xml:space="preserve">) </w:t>
      </w:r>
    </w:p>
    <w:p w14:paraId="13B1216A" w14:textId="424B6AEB" w:rsidR="007C530B" w:rsidRPr="00CB2392" w:rsidRDefault="007C530B" w:rsidP="00BC1C68">
      <w:pPr>
        <w:spacing w:before="120"/>
        <w:rPr>
          <w:i/>
          <w:sz w:val="16"/>
          <w:szCs w:val="22"/>
        </w:rPr>
      </w:pPr>
      <w:r w:rsidRPr="00CB2392">
        <w:rPr>
          <w:i/>
          <w:sz w:val="16"/>
          <w:szCs w:val="22"/>
        </w:rPr>
        <w:t>* Nebo poslední dostupný rok</w:t>
      </w:r>
    </w:p>
    <w:p w14:paraId="0D5BAC17" w14:textId="34A16705" w:rsidR="007C530B" w:rsidRDefault="00E543E7" w:rsidP="007C530B">
      <w:pPr>
        <w:jc w:val="both"/>
        <w:rPr>
          <w:i/>
          <w:sz w:val="16"/>
          <w:szCs w:val="22"/>
        </w:rPr>
      </w:pPr>
      <w:r>
        <w:rPr>
          <w:i/>
          <w:sz w:val="16"/>
          <w:szCs w:val="22"/>
        </w:rPr>
        <w:t>Zdroj: OECD 2021</w:t>
      </w:r>
    </w:p>
    <w:p w14:paraId="427EFB8E" w14:textId="6BDFEC08" w:rsidR="00D62682" w:rsidRDefault="009D1848" w:rsidP="00C9472B">
      <w:pPr>
        <w:spacing w:before="60"/>
        <w:jc w:val="both"/>
      </w:pPr>
      <w:r>
        <w:lastRenderedPageBreak/>
        <w:t>Pro srovnání je v </w:t>
      </w:r>
      <w:r w:rsidR="00DB5F40">
        <w:t>jednom z grafů</w:t>
      </w:r>
      <w:r>
        <w:t xml:space="preserve"> uveden</w:t>
      </w:r>
      <w:r w:rsidR="00DB5F40">
        <w:t xml:space="preserve"> také</w:t>
      </w:r>
      <w:r>
        <w:t xml:space="preserve"> podíl přímé veřejné podpory na financování </w:t>
      </w:r>
      <w:proofErr w:type="spellStart"/>
      <w:r>
        <w:t>VaV</w:t>
      </w:r>
      <w:proofErr w:type="spellEnd"/>
      <w:r>
        <w:t xml:space="preserve"> v podnicích. V Rusku jsou podniky z velké části odkázány co do financování výzkumu a vývoje na veřejnou podporu, která v součtu přímé a nepřímé financovala v roce 2018 73 % podnikových výdajů na </w:t>
      </w:r>
      <w:proofErr w:type="spellStart"/>
      <w:r>
        <w:t>VaV</w:t>
      </w:r>
      <w:proofErr w:type="spellEnd"/>
      <w:r>
        <w:t>. Nikde jinde, ani v</w:t>
      </w:r>
      <w:r w:rsidR="00034385">
        <w:t> </w:t>
      </w:r>
      <w:r>
        <w:t xml:space="preserve">Číně, není tak výrazná závislost podniků provádějících </w:t>
      </w:r>
      <w:proofErr w:type="spellStart"/>
      <w:r>
        <w:t>VaV</w:t>
      </w:r>
      <w:proofErr w:type="spellEnd"/>
      <w:r>
        <w:t xml:space="preserve"> na veřejné podpoře. </w:t>
      </w:r>
    </w:p>
    <w:p w14:paraId="78201F2A" w14:textId="7A6482DF" w:rsidR="00B07C65" w:rsidRDefault="0064605F" w:rsidP="00C9472B">
      <w:pPr>
        <w:spacing w:before="60"/>
        <w:jc w:val="both"/>
      </w:pPr>
      <w:r>
        <w:t xml:space="preserve">Ve Spojených státech dosáhl podíl přímé podpory na financování podnikového </w:t>
      </w:r>
      <w:proofErr w:type="spellStart"/>
      <w:r>
        <w:t>VaV</w:t>
      </w:r>
      <w:proofErr w:type="spellEnd"/>
      <w:r>
        <w:t xml:space="preserve"> 6,4 %, což odpovídá z evropských zemí podílu dosažené</w:t>
      </w:r>
      <w:r w:rsidR="00F43356">
        <w:t>mu</w:t>
      </w:r>
      <w:r>
        <w:t xml:space="preserve"> v Nizozemsku.</w:t>
      </w:r>
      <w:r w:rsidR="00D62682">
        <w:t xml:space="preserve"> P</w:t>
      </w:r>
      <w:r w:rsidR="00B07C65">
        <w:t xml:space="preserve">odíl </w:t>
      </w:r>
      <w:r w:rsidR="00D62682">
        <w:t>nižší</w:t>
      </w:r>
      <w:r w:rsidR="002866B9">
        <w:t xml:space="preserve"> než jedno procento </w:t>
      </w:r>
      <w:r w:rsidR="00B07C65">
        <w:t>byl zaznamenán v</w:t>
      </w:r>
      <w:r w:rsidR="004A0D47">
        <w:t> </w:t>
      </w:r>
      <w:r w:rsidR="00B07C65">
        <w:t>J</w:t>
      </w:r>
      <w:r w:rsidR="004A0D47">
        <w:t xml:space="preserve">aponsku, kde podniky využívají více daňovou podporu </w:t>
      </w:r>
      <w:proofErr w:type="spellStart"/>
      <w:r w:rsidR="004A0D47">
        <w:t>VaV</w:t>
      </w:r>
      <w:proofErr w:type="spellEnd"/>
      <w:r w:rsidR="004A0D47">
        <w:t xml:space="preserve">. Velmi nízký podíl jak přímé podpory </w:t>
      </w:r>
      <w:proofErr w:type="spellStart"/>
      <w:r w:rsidR="004A0D47">
        <w:t>VaV</w:t>
      </w:r>
      <w:proofErr w:type="spellEnd"/>
      <w:r w:rsidR="004A0D47">
        <w:t>, ta</w:t>
      </w:r>
      <w:r w:rsidR="00D62682">
        <w:t xml:space="preserve">k nepřímé, na financování svých </w:t>
      </w:r>
      <w:proofErr w:type="spellStart"/>
      <w:r w:rsidR="004A0D47">
        <w:t>VaV</w:t>
      </w:r>
      <w:proofErr w:type="spellEnd"/>
      <w:r w:rsidR="004A0D47">
        <w:t xml:space="preserve"> </w:t>
      </w:r>
      <w:r w:rsidR="00D62682">
        <w:t xml:space="preserve">činností </w:t>
      </w:r>
      <w:r w:rsidR="004A0D47">
        <w:t xml:space="preserve">měly podniky v Dánsku.  </w:t>
      </w:r>
      <w:r w:rsidR="00B07C65">
        <w:t xml:space="preserve"> </w:t>
      </w:r>
      <w:r>
        <w:t xml:space="preserve"> </w:t>
      </w:r>
    </w:p>
    <w:p w14:paraId="6038EDC1" w14:textId="7D91A495" w:rsidR="00C9472B" w:rsidRPr="00603963" w:rsidRDefault="008418E3" w:rsidP="00C9472B">
      <w:pPr>
        <w:spacing w:before="60"/>
        <w:jc w:val="both"/>
        <w:rPr>
          <w:rFonts w:eastAsia="MS Gothic"/>
          <w:b/>
          <w:bCs/>
          <w:szCs w:val="20"/>
        </w:rPr>
      </w:pPr>
      <w:r>
        <w:t xml:space="preserve">V Česku podniky pomocí přímé podpory financovaly rovných 7 % svých výdajů na </w:t>
      </w:r>
      <w:proofErr w:type="spellStart"/>
      <w:r>
        <w:t>VaV</w:t>
      </w:r>
      <w:proofErr w:type="spellEnd"/>
      <w:r>
        <w:t xml:space="preserve">. Nejvyššího podílu </w:t>
      </w:r>
      <w:r w:rsidR="00732E71" w:rsidRPr="00732E71">
        <w:t xml:space="preserve">přímé veřejné podpory na financování </w:t>
      </w:r>
      <w:proofErr w:type="spellStart"/>
      <w:r w:rsidR="00732E71" w:rsidRPr="00732E71">
        <w:t>VaV</w:t>
      </w:r>
      <w:proofErr w:type="spellEnd"/>
      <w:r w:rsidR="00732E71" w:rsidRPr="00732E71">
        <w:t xml:space="preserve"> </w:t>
      </w:r>
      <w:r>
        <w:t>dosáhly</w:t>
      </w:r>
      <w:r w:rsidR="00B07C65">
        <w:t xml:space="preserve"> v rámci EU</w:t>
      </w:r>
      <w:r>
        <w:t xml:space="preserve"> podniky v Maďarsku</w:t>
      </w:r>
      <w:r w:rsidR="00B2261C">
        <w:t xml:space="preserve"> (16,3 %) a Polsku (13,5 </w:t>
      </w:r>
      <w:r>
        <w:t>%).</w:t>
      </w:r>
    </w:p>
    <w:p w14:paraId="69386E69" w14:textId="48E6EAA7" w:rsidR="00DC698A" w:rsidRPr="00E2558F" w:rsidRDefault="007214BF" w:rsidP="00C108E2">
      <w:pPr>
        <w:pStyle w:val="Nadpis3"/>
        <w:spacing w:before="240" w:after="120"/>
        <w:rPr>
          <w:sz w:val="22"/>
          <w:szCs w:val="22"/>
        </w:rPr>
      </w:pPr>
      <w:r w:rsidRPr="00E2558F">
        <w:rPr>
          <w:sz w:val="22"/>
          <w:szCs w:val="22"/>
        </w:rPr>
        <w:t>3.3</w:t>
      </w:r>
      <w:r w:rsidR="00DF11D8" w:rsidRPr="00E2558F">
        <w:rPr>
          <w:sz w:val="22"/>
          <w:szCs w:val="22"/>
        </w:rPr>
        <w:t>.</w:t>
      </w:r>
      <w:r w:rsidR="007C530B">
        <w:rPr>
          <w:sz w:val="22"/>
          <w:szCs w:val="22"/>
        </w:rPr>
        <w:t>3</w:t>
      </w:r>
      <w:r w:rsidR="00DF11D8" w:rsidRPr="00E2558F">
        <w:rPr>
          <w:sz w:val="22"/>
          <w:szCs w:val="22"/>
        </w:rPr>
        <w:t xml:space="preserve"> Podíl </w:t>
      </w:r>
      <w:r w:rsidR="00FA50EE">
        <w:rPr>
          <w:sz w:val="22"/>
          <w:szCs w:val="22"/>
        </w:rPr>
        <w:t>v</w:t>
      </w:r>
      <w:r w:rsidR="00DF11D8" w:rsidRPr="00E2558F">
        <w:rPr>
          <w:sz w:val="22"/>
          <w:szCs w:val="22"/>
        </w:rPr>
        <w:t xml:space="preserve">eřejné podpory </w:t>
      </w:r>
      <w:proofErr w:type="spellStart"/>
      <w:r w:rsidR="00DF11D8" w:rsidRPr="00E2558F">
        <w:rPr>
          <w:sz w:val="22"/>
          <w:szCs w:val="22"/>
        </w:rPr>
        <w:t>VaV</w:t>
      </w:r>
      <w:proofErr w:type="spellEnd"/>
      <w:r w:rsidR="00DF11D8" w:rsidRPr="00E2558F">
        <w:rPr>
          <w:sz w:val="22"/>
          <w:szCs w:val="22"/>
        </w:rPr>
        <w:t xml:space="preserve"> na hrubém domácím produktu</w:t>
      </w:r>
    </w:p>
    <w:p w14:paraId="34F094FA" w14:textId="2A682E88" w:rsidR="00124784" w:rsidRDefault="001775E7" w:rsidP="00E15008">
      <w:pPr>
        <w:spacing w:before="60"/>
        <w:jc w:val="both"/>
      </w:pPr>
      <w:r w:rsidRPr="0022356C">
        <w:t xml:space="preserve">Nejvyšší podíl </w:t>
      </w:r>
      <w:r w:rsidR="00DC698A" w:rsidRPr="0022356C">
        <w:t xml:space="preserve">nepřímé veřejné podpory </w:t>
      </w:r>
      <w:proofErr w:type="spellStart"/>
      <w:r w:rsidR="00B07572" w:rsidRPr="0022356C">
        <w:t>VaV</w:t>
      </w:r>
      <w:proofErr w:type="spellEnd"/>
      <w:r w:rsidR="00B07572" w:rsidRPr="0022356C">
        <w:t xml:space="preserve"> </w:t>
      </w:r>
      <w:r w:rsidR="00232D09" w:rsidRPr="0022356C">
        <w:t>ve vztahu</w:t>
      </w:r>
      <w:r w:rsidR="005932BA" w:rsidRPr="0022356C">
        <w:t xml:space="preserve"> k</w:t>
      </w:r>
      <w:r w:rsidR="00C77C0B">
        <w:t xml:space="preserve"> HDP </w:t>
      </w:r>
      <w:r w:rsidRPr="0022356C">
        <w:t>z vybraných ze</w:t>
      </w:r>
      <w:r w:rsidR="00BE3ADF" w:rsidRPr="0022356C">
        <w:t xml:space="preserve">mí OECD </w:t>
      </w:r>
      <w:r w:rsidR="00F012A8">
        <w:t xml:space="preserve">byl </w:t>
      </w:r>
      <w:r w:rsidR="00D07FA1">
        <w:t>dosažen ve Francii</w:t>
      </w:r>
      <w:r w:rsidR="00495330" w:rsidRPr="00E77984">
        <w:t xml:space="preserve"> (0,</w:t>
      </w:r>
      <w:r w:rsidR="00D07FA1">
        <w:t>29</w:t>
      </w:r>
      <w:r w:rsidR="00495330" w:rsidRPr="00974694">
        <w:t xml:space="preserve"> %). </w:t>
      </w:r>
      <w:r w:rsidR="00113CF2" w:rsidRPr="00974694">
        <w:t>Vysoký podíl</w:t>
      </w:r>
      <w:r w:rsidR="00E77984" w:rsidRPr="00974694">
        <w:t>, nad 0,20 %,</w:t>
      </w:r>
      <w:r w:rsidR="00BE3ADF" w:rsidRPr="00974694">
        <w:t xml:space="preserve"> </w:t>
      </w:r>
      <w:r w:rsidR="00113CF2" w:rsidRPr="00974694">
        <w:t xml:space="preserve">byl zaznamenán </w:t>
      </w:r>
      <w:r w:rsidR="00C77C0B">
        <w:t>také</w:t>
      </w:r>
      <w:r w:rsidR="0037774A">
        <w:t xml:space="preserve"> </w:t>
      </w:r>
      <w:r w:rsidR="00D07FA1">
        <w:t xml:space="preserve">ve </w:t>
      </w:r>
      <w:r w:rsidR="00E77984" w:rsidRPr="00974694">
        <w:t>Velké Británii</w:t>
      </w:r>
      <w:r w:rsidR="00113CF2" w:rsidRPr="00974694">
        <w:t xml:space="preserve">. </w:t>
      </w:r>
      <w:r w:rsidR="003071E1" w:rsidRPr="00974694">
        <w:t>V</w:t>
      </w:r>
      <w:r w:rsidR="00113CF2" w:rsidRPr="00974694">
        <w:t> uvedených</w:t>
      </w:r>
      <w:r w:rsidR="00495330" w:rsidRPr="00974694">
        <w:t xml:space="preserve"> zemích</w:t>
      </w:r>
      <w:r w:rsidR="00B07572" w:rsidRPr="00974694">
        <w:t xml:space="preserve"> </w:t>
      </w:r>
      <w:r w:rsidR="00113CF2" w:rsidRPr="00974694">
        <w:t>obdržely podniky</w:t>
      </w:r>
      <w:r w:rsidR="000213B5" w:rsidRPr="00974694">
        <w:t xml:space="preserve"> formou daňové podpory </w:t>
      </w:r>
      <w:proofErr w:type="spellStart"/>
      <w:r w:rsidR="000213B5" w:rsidRPr="00974694">
        <w:t>VaV</w:t>
      </w:r>
      <w:proofErr w:type="spellEnd"/>
      <w:r w:rsidR="000213B5" w:rsidRPr="00974694">
        <w:t xml:space="preserve"> více než</w:t>
      </w:r>
      <w:r w:rsidR="001D1211" w:rsidRPr="00974694">
        <w:t xml:space="preserve"> dvakrát větší příspěvek než v </w:t>
      </w:r>
      <w:r w:rsidR="00113CF2" w:rsidRPr="00974694">
        <w:t>případě přímé domácí veřejné podpory</w:t>
      </w:r>
      <w:r w:rsidR="00B822E5" w:rsidRPr="00974694">
        <w:t xml:space="preserve">. </w:t>
      </w:r>
      <w:r w:rsidRPr="00974694">
        <w:t>Česk</w:t>
      </w:r>
      <w:r w:rsidR="00410844" w:rsidRPr="00974694">
        <w:t>á</w:t>
      </w:r>
      <w:r w:rsidRPr="00974694">
        <w:t xml:space="preserve"> republik</w:t>
      </w:r>
      <w:r w:rsidR="00410844" w:rsidRPr="00974694">
        <w:t>a</w:t>
      </w:r>
      <w:r w:rsidR="00CE56E4" w:rsidRPr="00974694">
        <w:t xml:space="preserve"> se</w:t>
      </w:r>
      <w:r w:rsidRPr="00974694">
        <w:t xml:space="preserve"> </w:t>
      </w:r>
      <w:r w:rsidR="00CE56E4" w:rsidRPr="00974694">
        <w:t xml:space="preserve">s </w:t>
      </w:r>
      <w:r w:rsidRPr="00974694">
        <w:t>podíl</w:t>
      </w:r>
      <w:r w:rsidR="00CE56E4" w:rsidRPr="00974694">
        <w:t>em</w:t>
      </w:r>
      <w:r w:rsidRPr="00974694">
        <w:t xml:space="preserve"> </w:t>
      </w:r>
      <w:r w:rsidR="005C22C7" w:rsidRPr="00974694">
        <w:t>nepřímé veřejné podpory</w:t>
      </w:r>
      <w:r w:rsidR="00B07572" w:rsidRPr="00974694">
        <w:t xml:space="preserve"> </w:t>
      </w:r>
      <w:proofErr w:type="spellStart"/>
      <w:r w:rsidR="00B07572" w:rsidRPr="00974694">
        <w:t>VaV</w:t>
      </w:r>
      <w:proofErr w:type="spellEnd"/>
      <w:r w:rsidR="00B07572" w:rsidRPr="00974694">
        <w:t xml:space="preserve"> </w:t>
      </w:r>
      <w:r w:rsidRPr="00974694">
        <w:t xml:space="preserve">k HDP </w:t>
      </w:r>
      <w:r w:rsidR="00CE56E4" w:rsidRPr="00974694">
        <w:t xml:space="preserve">ve výši </w:t>
      </w:r>
      <w:r w:rsidR="00E42577" w:rsidRPr="00974694">
        <w:t>0,0</w:t>
      </w:r>
      <w:r w:rsidR="00410844" w:rsidRPr="00974694">
        <w:t>5</w:t>
      </w:r>
      <w:r w:rsidR="00710C31" w:rsidRPr="00974694">
        <w:t> </w:t>
      </w:r>
      <w:r w:rsidRPr="00974694">
        <w:t>%</w:t>
      </w:r>
      <w:r w:rsidR="00710C31" w:rsidRPr="00974694">
        <w:t xml:space="preserve"> </w:t>
      </w:r>
      <w:r w:rsidRPr="00974694">
        <w:t xml:space="preserve">ocitla </w:t>
      </w:r>
      <w:r w:rsidR="004843F9" w:rsidRPr="00974694">
        <w:t xml:space="preserve">na úrovni </w:t>
      </w:r>
      <w:r w:rsidR="00974694" w:rsidRPr="00974694">
        <w:t>Maďarska</w:t>
      </w:r>
      <w:r w:rsidR="00410844" w:rsidRPr="00974694">
        <w:t>.</w:t>
      </w:r>
      <w:r w:rsidR="00A81347" w:rsidRPr="00974694">
        <w:t xml:space="preserve"> </w:t>
      </w:r>
      <w:r w:rsidR="000213B5" w:rsidRPr="00974694">
        <w:t xml:space="preserve">V rámci </w:t>
      </w:r>
      <w:r w:rsidRPr="00974694">
        <w:t>členských zemí EU</w:t>
      </w:r>
      <w:r w:rsidR="000213B5" w:rsidRPr="00974694">
        <w:t>, které přistoupily do EU v roce 2004,</w:t>
      </w:r>
      <w:r w:rsidRPr="00974694">
        <w:t xml:space="preserve"> j</w:t>
      </w:r>
      <w:r w:rsidR="00F638C8" w:rsidRPr="00974694">
        <w:t>sou</w:t>
      </w:r>
      <w:r w:rsidRPr="00974694">
        <w:t xml:space="preserve"> na tom </w:t>
      </w:r>
      <w:r w:rsidR="00974694" w:rsidRPr="00974694">
        <w:t xml:space="preserve">výrazně </w:t>
      </w:r>
      <w:r w:rsidRPr="00974694">
        <w:t>lépe než Č</w:t>
      </w:r>
      <w:r w:rsidR="0037774A">
        <w:t>esko</w:t>
      </w:r>
      <w:r w:rsidRPr="00974694">
        <w:t xml:space="preserve"> pouze </w:t>
      </w:r>
      <w:r w:rsidR="007201E8" w:rsidRPr="00974694">
        <w:t>Slovinsko</w:t>
      </w:r>
      <w:r w:rsidR="00410844" w:rsidRPr="00974694">
        <w:t xml:space="preserve"> </w:t>
      </w:r>
      <w:r w:rsidR="00974694" w:rsidRPr="00974694">
        <w:t>s téměř dvojnásobným podílem</w:t>
      </w:r>
      <w:r w:rsidR="0037774A">
        <w:t>.</w:t>
      </w:r>
      <w:r w:rsidR="00CC3D30" w:rsidRPr="00974694">
        <w:t xml:space="preserve"> Slovensko má naopak oproti Č</w:t>
      </w:r>
      <w:r w:rsidR="0037774A">
        <w:t>esku</w:t>
      </w:r>
      <w:r w:rsidR="00D07FA1">
        <w:t xml:space="preserve"> zhruba poloviční</w:t>
      </w:r>
      <w:r w:rsidR="00974694" w:rsidRPr="00974694">
        <w:t xml:space="preserve"> podíl</w:t>
      </w:r>
      <w:r w:rsidR="00CC3D30" w:rsidRPr="00974694">
        <w:t>.</w:t>
      </w:r>
      <w:r w:rsidRPr="00974694">
        <w:t xml:space="preserve"> </w:t>
      </w:r>
      <w:r w:rsidR="005155BF">
        <w:t xml:space="preserve">Blíže </w:t>
      </w:r>
      <w:r w:rsidR="00C55CB9">
        <w:t>graf č. 28</w:t>
      </w:r>
      <w:r w:rsidR="005155BF">
        <w:t>.</w:t>
      </w:r>
    </w:p>
    <w:p w14:paraId="051B6C08" w14:textId="77777777" w:rsidR="005253B9" w:rsidRDefault="00D30632" w:rsidP="00E15008">
      <w:pPr>
        <w:spacing w:before="60"/>
        <w:jc w:val="both"/>
      </w:pPr>
      <w:r>
        <w:t xml:space="preserve">Nejvyšší podíl celkové veřejné podpory </w:t>
      </w:r>
      <w:proofErr w:type="spellStart"/>
      <w:r>
        <w:t>VaV</w:t>
      </w:r>
      <w:proofErr w:type="spellEnd"/>
      <w:r>
        <w:t xml:space="preserve"> v relaci k HDP byl </w:t>
      </w:r>
      <w:r w:rsidR="00192465">
        <w:t xml:space="preserve">v rámci zemí EU </w:t>
      </w:r>
      <w:r>
        <w:t xml:space="preserve">zaznamenán </w:t>
      </w:r>
      <w:r w:rsidR="00192465">
        <w:t>u podniků ve Francii, a to rovných 0,40 %.</w:t>
      </w:r>
      <w:r w:rsidR="005C2A0C">
        <w:t xml:space="preserve"> </w:t>
      </w:r>
      <w:r w:rsidR="005253B9">
        <w:t>Vysoké podíly vykázaly také Velká Británie (0,33 %), Rakousko (0,26 %) a Maďarsko (0,24 %).</w:t>
      </w:r>
    </w:p>
    <w:p w14:paraId="61F5EB58" w14:textId="0D1258D8" w:rsidR="005155BF" w:rsidRDefault="005253B9" w:rsidP="00E15008">
      <w:pPr>
        <w:spacing w:before="60"/>
        <w:jc w:val="both"/>
      </w:pPr>
      <w:r>
        <w:t>Česko svým podílem ve výši 0,13 % stojí na úrovni Švédska (0,13 %) a Polska (0,12 %).</w:t>
      </w:r>
      <w:r w:rsidR="004F7575">
        <w:t xml:space="preserve"> Z nových členských zemí EU je tedy na tom lépe než my pouze zmíněné Maďarsko a Slovinsko.</w:t>
      </w:r>
      <w:r>
        <w:t xml:space="preserve"> </w:t>
      </w:r>
    </w:p>
    <w:p w14:paraId="13E70FDE" w14:textId="71F90639" w:rsidR="00C85C91" w:rsidRPr="00974694" w:rsidRDefault="00C85C91" w:rsidP="00E15008">
      <w:pPr>
        <w:spacing w:before="60"/>
        <w:jc w:val="both"/>
      </w:pPr>
      <w:r>
        <w:t xml:space="preserve">Ze zemí mimo EU zaznamenalo zejména díky vysoké přímé veřejné podpoře </w:t>
      </w:r>
      <w:proofErr w:type="spellStart"/>
      <w:r>
        <w:t>VaV</w:t>
      </w:r>
      <w:proofErr w:type="spellEnd"/>
      <w:r>
        <w:t xml:space="preserve"> nejvyšší podíl celkové veřejné podpory </w:t>
      </w:r>
      <w:proofErr w:type="spellStart"/>
      <w:r>
        <w:t>VaV</w:t>
      </w:r>
      <w:proofErr w:type="spellEnd"/>
      <w:r>
        <w:t xml:space="preserve"> směřující do podniků v relaci k HDP Rusko (0,40 %).</w:t>
      </w:r>
      <w:r w:rsidR="00CF6F4E">
        <w:t xml:space="preserve"> Vysoký podíl byl zjištěn i v Jižní Koreji (0,29 %). </w:t>
      </w:r>
      <w:r w:rsidR="00687C1B">
        <w:t>O něco menší podíl ve výši 0,21 % vykázaly Spojené státy.</w:t>
      </w:r>
      <w:r w:rsidR="00CF6F4E">
        <w:t xml:space="preserve"> </w:t>
      </w:r>
      <w:r w:rsidR="00687C1B">
        <w:t xml:space="preserve">Co do podílu poskytnuté veřejné podpory na </w:t>
      </w:r>
      <w:proofErr w:type="spellStart"/>
      <w:r w:rsidR="00687C1B">
        <w:t>VaV</w:t>
      </w:r>
      <w:proofErr w:type="spellEnd"/>
      <w:r w:rsidR="00687C1B">
        <w:t xml:space="preserve"> v poměru k HDP jsou Japonsko a Čína na stejně úrovni 0,13 %. </w:t>
      </w:r>
    </w:p>
    <w:p w14:paraId="37B47FCA" w14:textId="5A5A1D20" w:rsidR="00CB2392" w:rsidRPr="00B979B4" w:rsidRDefault="00B979B4" w:rsidP="00B979B4">
      <w:pPr>
        <w:keepNext/>
        <w:spacing w:before="120"/>
        <w:jc w:val="both"/>
      </w:pPr>
      <w:r w:rsidRPr="00B979B4">
        <w:rPr>
          <w:b/>
        </w:rPr>
        <w:t xml:space="preserve">Graf </w:t>
      </w:r>
      <w:r w:rsidR="00016E39">
        <w:rPr>
          <w:b/>
        </w:rPr>
        <w:t>28</w:t>
      </w:r>
      <w:r w:rsidR="00CB2392" w:rsidRPr="00B979B4">
        <w:rPr>
          <w:b/>
        </w:rPr>
        <w:t xml:space="preserve">: </w:t>
      </w:r>
      <w:r w:rsidR="006A622B" w:rsidRPr="00B979B4">
        <w:rPr>
          <w:b/>
        </w:rPr>
        <w:t xml:space="preserve">Podíl </w:t>
      </w:r>
      <w:r w:rsidR="00CB2392" w:rsidRPr="00B979B4">
        <w:rPr>
          <w:b/>
        </w:rPr>
        <w:t>veřejn</w:t>
      </w:r>
      <w:r w:rsidR="006A622B" w:rsidRPr="00B979B4">
        <w:rPr>
          <w:b/>
        </w:rPr>
        <w:t>é</w:t>
      </w:r>
      <w:r w:rsidR="00CB2392" w:rsidRPr="00B979B4">
        <w:rPr>
          <w:b/>
        </w:rPr>
        <w:t xml:space="preserve"> podpor</w:t>
      </w:r>
      <w:r w:rsidR="006A622B" w:rsidRPr="00B979B4">
        <w:rPr>
          <w:b/>
        </w:rPr>
        <w:t>y</w:t>
      </w:r>
      <w:r w:rsidR="00CB2392" w:rsidRPr="00B979B4">
        <w:rPr>
          <w:b/>
        </w:rPr>
        <w:t xml:space="preserve"> </w:t>
      </w:r>
      <w:proofErr w:type="spellStart"/>
      <w:r w:rsidR="00CB2392" w:rsidRPr="00B979B4">
        <w:rPr>
          <w:b/>
        </w:rPr>
        <w:t>VaV</w:t>
      </w:r>
      <w:proofErr w:type="spellEnd"/>
      <w:r w:rsidR="00CB2392" w:rsidRPr="00B979B4">
        <w:rPr>
          <w:b/>
        </w:rPr>
        <w:t xml:space="preserve"> </w:t>
      </w:r>
      <w:r w:rsidR="00D30632">
        <w:rPr>
          <w:b/>
        </w:rPr>
        <w:t xml:space="preserve">v podnicích </w:t>
      </w:r>
      <w:r w:rsidR="006A622B" w:rsidRPr="00B979B4">
        <w:rPr>
          <w:b/>
        </w:rPr>
        <w:t>na HDP</w:t>
      </w:r>
      <w:r w:rsidR="00DA6B51">
        <w:rPr>
          <w:b/>
        </w:rPr>
        <w:t xml:space="preserve"> </w:t>
      </w:r>
      <w:r w:rsidR="00DA6B51" w:rsidRPr="00B979B4">
        <w:rPr>
          <w:b/>
        </w:rPr>
        <w:t>ve vybraných zemích</w:t>
      </w:r>
      <w:r w:rsidR="00CB2392" w:rsidRPr="00B979B4">
        <w:rPr>
          <w:b/>
        </w:rPr>
        <w:t xml:space="preserve"> v ro</w:t>
      </w:r>
      <w:r w:rsidR="009C0EB7" w:rsidRPr="00B979B4">
        <w:rPr>
          <w:b/>
        </w:rPr>
        <w:t>ce 2018</w:t>
      </w:r>
      <w:r w:rsidR="00CB2392" w:rsidRPr="00B979B4">
        <w:rPr>
          <w:b/>
        </w:rPr>
        <w:t>*</w:t>
      </w:r>
      <w:r w:rsidR="006A622B" w:rsidRPr="00B979B4">
        <w:rPr>
          <w:b/>
        </w:rPr>
        <w:t xml:space="preserve"> (v</w:t>
      </w:r>
      <w:r w:rsidR="00C51CE7">
        <w:rPr>
          <w:b/>
        </w:rPr>
        <w:t xml:space="preserve"> procentech</w:t>
      </w:r>
      <w:r w:rsidR="006A622B" w:rsidRPr="00B979B4">
        <w:rPr>
          <w:b/>
        </w:rPr>
        <w:t>)</w:t>
      </w:r>
      <w:r w:rsidR="00CB2392" w:rsidRPr="00B979B4">
        <w:rPr>
          <w:b/>
        </w:rPr>
        <w:t xml:space="preserve">  </w:t>
      </w:r>
    </w:p>
    <w:p w14:paraId="1DE5EB75" w14:textId="774186F7" w:rsidR="00CB2392" w:rsidRPr="00764849" w:rsidRDefault="00062383" w:rsidP="00E15008">
      <w:pPr>
        <w:spacing w:before="60"/>
        <w:jc w:val="both"/>
      </w:pPr>
      <w:r>
        <w:rPr>
          <w:noProof/>
        </w:rPr>
        <w:drawing>
          <wp:inline distT="0" distB="0" distL="0" distR="0" wp14:anchorId="27E3B335" wp14:editId="5BDE0917">
            <wp:extent cx="6120000" cy="2562225"/>
            <wp:effectExtent l="0" t="0" r="0" b="0"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4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14:paraId="664E1CC2" w14:textId="5940156F" w:rsidR="00F87C49" w:rsidRPr="00CB2392" w:rsidRDefault="00F87C49" w:rsidP="00F87C49">
      <w:pPr>
        <w:spacing w:before="120"/>
        <w:rPr>
          <w:i/>
          <w:sz w:val="16"/>
          <w:szCs w:val="22"/>
        </w:rPr>
      </w:pPr>
      <w:r w:rsidRPr="00CB2392">
        <w:rPr>
          <w:i/>
          <w:sz w:val="16"/>
          <w:szCs w:val="22"/>
        </w:rPr>
        <w:t>* Nebo poslední dostupný rok</w:t>
      </w:r>
    </w:p>
    <w:p w14:paraId="5DB23B75" w14:textId="1C584E14" w:rsidR="00F87C49" w:rsidRDefault="00E543E7" w:rsidP="00F87C49">
      <w:pPr>
        <w:jc w:val="both"/>
        <w:rPr>
          <w:i/>
          <w:sz w:val="16"/>
          <w:szCs w:val="22"/>
        </w:rPr>
      </w:pPr>
      <w:r>
        <w:rPr>
          <w:i/>
          <w:sz w:val="16"/>
          <w:szCs w:val="22"/>
        </w:rPr>
        <w:t>Zdroj: OECD 2021</w:t>
      </w:r>
    </w:p>
    <w:sectPr w:rsidR="00F87C49" w:rsidSect="007D6BA7">
      <w:headerReference w:type="even" r:id="rId53"/>
      <w:headerReference w:type="default" r:id="rId54"/>
      <w:footerReference w:type="even" r:id="rId55"/>
      <w:footerReference w:type="default" r:id="rId56"/>
      <w:pgSz w:w="11906" w:h="16838" w:code="9"/>
      <w:pgMar w:top="1134" w:right="1134" w:bottom="1418" w:left="1134" w:header="680" w:footer="680" w:gutter="0"/>
      <w:pgNumType w:start="2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5D866" w16cex:dateUtc="2020-04-06T14:33:00Z"/>
  <w16cex:commentExtensible w16cex:durableId="2235BD39" w16cex:dateUtc="2020-04-06T12:37:00Z"/>
  <w16cex:commentExtensible w16cex:durableId="2235BF74" w16cex:dateUtc="2020-04-06T12:47:00Z"/>
  <w16cex:commentExtensible w16cex:durableId="2235C02A" w16cex:dateUtc="2020-04-06T12:50:00Z"/>
  <w16cex:commentExtensible w16cex:durableId="2235C2FA" w16cex:dateUtc="2020-04-06T13:02:00Z"/>
  <w16cex:commentExtensible w16cex:durableId="2235C43A" w16cex:dateUtc="2020-04-06T13:07:00Z"/>
  <w16cex:commentExtensible w16cex:durableId="2235C634" w16cex:dateUtc="2020-04-06T13:16:00Z"/>
  <w16cex:commentExtensible w16cex:durableId="2235C8BD" w16cex:dateUtc="2020-04-06T13:26:00Z"/>
  <w16cex:commentExtensible w16cex:durableId="2235CD21" w16cex:dateUtc="2020-04-06T13:45:00Z"/>
  <w16cex:commentExtensible w16cex:durableId="2235CD68" w16cex:dateUtc="2020-04-06T13:46:00Z"/>
  <w16cex:commentExtensible w16cex:durableId="2235C81F" w16cex:dateUtc="2020-04-06T13:24:00Z"/>
  <w16cex:commentExtensible w16cex:durableId="2235D14F" w16cex:dateUtc="2020-04-06T14:03:00Z"/>
  <w16cex:commentExtensible w16cex:durableId="2235D232" w16cex:dateUtc="2020-04-06T14:07:00Z"/>
  <w16cex:commentExtensible w16cex:durableId="2235D518" w16cex:dateUtc="2020-04-06T14:19:00Z"/>
  <w16cex:commentExtensible w16cex:durableId="2235D597" w16cex:dateUtc="2020-04-06T14:21:00Z"/>
  <w16cex:commentExtensible w16cex:durableId="2235D6E0" w16cex:dateUtc="2020-04-06T14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0EBFE9" w16cid:durableId="2235D866"/>
  <w16cid:commentId w16cid:paraId="12972934" w16cid:durableId="2235BD39"/>
  <w16cid:commentId w16cid:paraId="37B3D031" w16cid:durableId="2235BF74"/>
  <w16cid:commentId w16cid:paraId="37F4D393" w16cid:durableId="2235C02A"/>
  <w16cid:commentId w16cid:paraId="0F73DF8D" w16cid:durableId="2235C2FA"/>
  <w16cid:commentId w16cid:paraId="41525E96" w16cid:durableId="2235C43A"/>
  <w16cid:commentId w16cid:paraId="4B0A4817" w16cid:durableId="2235C634"/>
  <w16cid:commentId w16cid:paraId="0F4B4F9F" w16cid:durableId="2235C8BD"/>
  <w16cid:commentId w16cid:paraId="10F8EC46" w16cid:durableId="2235CD21"/>
  <w16cid:commentId w16cid:paraId="07C51A7A" w16cid:durableId="2235CD68"/>
  <w16cid:commentId w16cid:paraId="603AAC39" w16cid:durableId="2235C81F"/>
  <w16cid:commentId w16cid:paraId="02B37EB9" w16cid:durableId="2235D14F"/>
  <w16cid:commentId w16cid:paraId="03C5DBA6" w16cid:durableId="2235D232"/>
  <w16cid:commentId w16cid:paraId="26D65722" w16cid:durableId="2235D518"/>
  <w16cid:commentId w16cid:paraId="7679F1F1" w16cid:durableId="2235D597"/>
  <w16cid:commentId w16cid:paraId="31185C03" w16cid:durableId="2235D6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67509" w14:textId="77777777" w:rsidR="00557B07" w:rsidRDefault="00557B07" w:rsidP="00E71A58">
      <w:r>
        <w:separator/>
      </w:r>
    </w:p>
  </w:endnote>
  <w:endnote w:type="continuationSeparator" w:id="0">
    <w:p w14:paraId="681FCC6D" w14:textId="77777777" w:rsidR="00557B07" w:rsidRDefault="00557B0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511A2" w14:textId="159978BC" w:rsidR="00CB2392" w:rsidRPr="00214585" w:rsidRDefault="00CB2392" w:rsidP="00214585">
    <w:pPr>
      <w:pStyle w:val="Zpat"/>
      <w:rPr>
        <w:rFonts w:ascii="Arial" w:hAnsi="Arial" w:cs="Arial"/>
        <w:sz w:val="16"/>
        <w:szCs w:val="16"/>
      </w:rPr>
    </w:pPr>
    <w:r w:rsidRPr="00214585">
      <w:rPr>
        <w:rFonts w:ascii="Arial" w:hAnsi="Arial" w:cs="Arial"/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79AB4D95" wp14:editId="3BCC4C6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3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585">
      <w:rPr>
        <w:rFonts w:ascii="Arial" w:hAnsi="Arial" w:cs="Arial"/>
        <w:sz w:val="16"/>
        <w:szCs w:val="16"/>
      </w:rPr>
      <w:fldChar w:fldCharType="begin"/>
    </w:r>
    <w:r w:rsidRPr="00214585">
      <w:rPr>
        <w:rFonts w:ascii="Arial" w:hAnsi="Arial" w:cs="Arial"/>
        <w:sz w:val="16"/>
        <w:szCs w:val="16"/>
      </w:rPr>
      <w:instrText>PAGE   \* MERGEFORMAT</w:instrText>
    </w:r>
    <w:r w:rsidRPr="00214585">
      <w:rPr>
        <w:rFonts w:ascii="Arial" w:hAnsi="Arial" w:cs="Arial"/>
        <w:sz w:val="16"/>
        <w:szCs w:val="16"/>
      </w:rPr>
      <w:fldChar w:fldCharType="separate"/>
    </w:r>
    <w:r w:rsidR="00B043AC">
      <w:rPr>
        <w:rFonts w:ascii="Arial" w:hAnsi="Arial" w:cs="Arial"/>
        <w:noProof/>
        <w:sz w:val="16"/>
        <w:szCs w:val="16"/>
      </w:rPr>
      <w:t>36</w:t>
    </w:r>
    <w:r w:rsidRPr="00214585">
      <w:rPr>
        <w:rFonts w:ascii="Arial" w:hAnsi="Arial" w:cs="Arial"/>
        <w:sz w:val="16"/>
        <w:szCs w:val="16"/>
      </w:rPr>
      <w:fldChar w:fldCharType="end"/>
    </w:r>
    <w:r w:rsidRPr="00214585">
      <w:rPr>
        <w:rFonts w:ascii="Arial" w:hAnsi="Arial" w:cs="Arial"/>
        <w:sz w:val="16"/>
        <w:szCs w:val="16"/>
      </w:rPr>
      <w:tab/>
    </w:r>
    <w:r w:rsidR="0007592D">
      <w:rPr>
        <w:rFonts w:ascii="Arial" w:hAnsi="Arial" w:cs="Arial"/>
        <w:sz w:val="16"/>
        <w:szCs w:val="16"/>
      </w:rPr>
      <w:t>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97443" w14:textId="3A8F2A20" w:rsidR="00CB2392" w:rsidRDefault="00CB2392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6D220DB" wp14:editId="66433FDB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8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14:paraId="083E0D94" w14:textId="555FD6A9" w:rsidR="00CB2392" w:rsidRDefault="00CB2392" w:rsidP="003C7FCB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356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</w:t>
    </w:r>
    <w:r w:rsidR="0007592D">
      <w:rPr>
        <w:rFonts w:ascii="Arial" w:hAnsi="Arial" w:cs="Arial"/>
        <w:sz w:val="16"/>
        <w:szCs w:val="16"/>
      </w:rPr>
      <w:t>9</w:t>
    </w:r>
    <w:r>
      <w:tab/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B043AC">
      <w:rPr>
        <w:rFonts w:ascii="Arial" w:hAnsi="Arial" w:cs="Arial"/>
        <w:noProof/>
        <w:sz w:val="16"/>
        <w:szCs w:val="16"/>
      </w:rPr>
      <w:t>37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59EEB" w14:textId="77777777" w:rsidR="00557B07" w:rsidRDefault="00557B07" w:rsidP="00E71A58">
      <w:r>
        <w:separator/>
      </w:r>
    </w:p>
  </w:footnote>
  <w:footnote w:type="continuationSeparator" w:id="0">
    <w:p w14:paraId="5BFE53E1" w14:textId="77777777" w:rsidR="00557B07" w:rsidRDefault="00557B07" w:rsidP="00E71A58">
      <w:r>
        <w:continuationSeparator/>
      </w:r>
    </w:p>
  </w:footnote>
  <w:footnote w:id="1">
    <w:p w14:paraId="408063BA" w14:textId="362F86D7" w:rsidR="00CB2392" w:rsidRPr="006505D0" w:rsidRDefault="00CB2392" w:rsidP="006505D0">
      <w:pPr>
        <w:pStyle w:val="Textpoznpodarou"/>
        <w:spacing w:after="60"/>
        <w:rPr>
          <w:sz w:val="16"/>
          <w:szCs w:val="18"/>
        </w:rPr>
      </w:pPr>
      <w:r w:rsidRPr="006505D0">
        <w:rPr>
          <w:rStyle w:val="Znakapoznpodarou"/>
          <w:sz w:val="16"/>
          <w:szCs w:val="18"/>
        </w:rPr>
        <w:footnoteRef/>
      </w:r>
      <w:r w:rsidRPr="006505D0">
        <w:rPr>
          <w:sz w:val="16"/>
          <w:szCs w:val="18"/>
        </w:rPr>
        <w:t xml:space="preserve"> Kromě soukromých podniků mohou využívat nepřímou veřejnou podporu </w:t>
      </w:r>
      <w:proofErr w:type="spellStart"/>
      <w:r w:rsidRPr="006505D0">
        <w:rPr>
          <w:sz w:val="16"/>
          <w:szCs w:val="18"/>
        </w:rPr>
        <w:t>VaV</w:t>
      </w:r>
      <w:proofErr w:type="spellEnd"/>
      <w:r w:rsidRPr="006505D0">
        <w:rPr>
          <w:sz w:val="16"/>
          <w:szCs w:val="18"/>
        </w:rPr>
        <w:t xml:space="preserve"> i ostatní právnické osoby, mezi které patří například podniky veřejné. Jejich počet je však velmi nízký a s těmito subjekty v analýze dále nepracujeme.</w:t>
      </w:r>
      <w:r w:rsidR="00991D5E">
        <w:rPr>
          <w:sz w:val="16"/>
          <w:szCs w:val="18"/>
        </w:rPr>
        <w:t xml:space="preserve"> Daňovou podporu </w:t>
      </w:r>
      <w:proofErr w:type="spellStart"/>
      <w:r w:rsidR="00991D5E">
        <w:rPr>
          <w:sz w:val="16"/>
          <w:szCs w:val="18"/>
        </w:rPr>
        <w:t>VaV</w:t>
      </w:r>
      <w:proofErr w:type="spellEnd"/>
      <w:r w:rsidR="00991D5E">
        <w:rPr>
          <w:sz w:val="16"/>
          <w:szCs w:val="18"/>
        </w:rPr>
        <w:t xml:space="preserve"> v roce 2019 využilo pouze 10</w:t>
      </w:r>
      <w:r w:rsidRPr="006505D0">
        <w:rPr>
          <w:sz w:val="16"/>
          <w:szCs w:val="18"/>
        </w:rPr>
        <w:t xml:space="preserve"> </w:t>
      </w:r>
      <w:r w:rsidRPr="001932F0">
        <w:rPr>
          <w:sz w:val="16"/>
          <w:szCs w:val="18"/>
        </w:rPr>
        <w:t xml:space="preserve">veřejných </w:t>
      </w:r>
      <w:r w:rsidR="001932F0" w:rsidRPr="001932F0">
        <w:rPr>
          <w:sz w:val="16"/>
          <w:szCs w:val="18"/>
        </w:rPr>
        <w:t>podniků z 56</w:t>
      </w:r>
      <w:r w:rsidRPr="001932F0">
        <w:rPr>
          <w:sz w:val="16"/>
          <w:szCs w:val="18"/>
        </w:rPr>
        <w:t xml:space="preserve">, které prováděly </w:t>
      </w:r>
      <w:proofErr w:type="spellStart"/>
      <w:r w:rsidRPr="001932F0">
        <w:rPr>
          <w:sz w:val="16"/>
          <w:szCs w:val="18"/>
        </w:rPr>
        <w:t>VaV</w:t>
      </w:r>
      <w:proofErr w:type="spellEnd"/>
      <w:r w:rsidRPr="001932F0">
        <w:rPr>
          <w:sz w:val="16"/>
          <w:szCs w:val="18"/>
        </w:rPr>
        <w:t>.</w:t>
      </w:r>
      <w:r w:rsidRPr="006505D0">
        <w:rPr>
          <w:sz w:val="16"/>
          <w:szCs w:val="18"/>
        </w:rPr>
        <w:t xml:space="preserve"> Z pohledu souhrnné čás</w:t>
      </w:r>
      <w:r w:rsidR="008E3242">
        <w:rPr>
          <w:sz w:val="16"/>
          <w:szCs w:val="18"/>
        </w:rPr>
        <w:t>tky veřejné nepřímé podpory (2,7</w:t>
      </w:r>
      <w:r w:rsidRPr="006505D0">
        <w:rPr>
          <w:sz w:val="16"/>
          <w:szCs w:val="18"/>
        </w:rPr>
        <w:t xml:space="preserve"> mld. </w:t>
      </w:r>
      <w:r w:rsidR="008E3242">
        <w:rPr>
          <w:sz w:val="16"/>
          <w:szCs w:val="18"/>
        </w:rPr>
        <w:t>Kč) si odečetly zanedbatelných 9</w:t>
      </w:r>
      <w:r w:rsidRPr="006505D0">
        <w:rPr>
          <w:sz w:val="16"/>
          <w:szCs w:val="18"/>
        </w:rPr>
        <w:t xml:space="preserve"> mil. korun. Tyto podniky jednoznačně preferují přímou veřejnou podporu </w:t>
      </w:r>
      <w:proofErr w:type="spellStart"/>
      <w:r w:rsidRPr="006505D0">
        <w:rPr>
          <w:sz w:val="16"/>
          <w:szCs w:val="18"/>
        </w:rPr>
        <w:t>VaV</w:t>
      </w:r>
      <w:proofErr w:type="spellEnd"/>
      <w:r w:rsidRPr="006505D0">
        <w:rPr>
          <w:sz w:val="16"/>
          <w:szCs w:val="18"/>
        </w:rPr>
        <w:t>.</w:t>
      </w:r>
    </w:p>
  </w:footnote>
  <w:footnote w:id="2">
    <w:p w14:paraId="6F1E1BDE" w14:textId="621100DF" w:rsidR="00CB2392" w:rsidRPr="008E3D7C" w:rsidRDefault="00CB2392" w:rsidP="006505D0">
      <w:pPr>
        <w:pStyle w:val="Textpoznpodarou"/>
        <w:spacing w:after="60"/>
        <w:rPr>
          <w:sz w:val="18"/>
          <w:szCs w:val="18"/>
        </w:rPr>
      </w:pPr>
      <w:r w:rsidRPr="006505D0">
        <w:rPr>
          <w:rStyle w:val="Znakapoznpodarou"/>
          <w:sz w:val="16"/>
          <w:szCs w:val="18"/>
        </w:rPr>
        <w:footnoteRef/>
      </w:r>
      <w:r w:rsidRPr="006505D0">
        <w:rPr>
          <w:sz w:val="16"/>
          <w:szCs w:val="18"/>
        </w:rPr>
        <w:t xml:space="preserve"> Výpočet nepřímé veřejné podpory </w:t>
      </w:r>
      <w:proofErr w:type="spellStart"/>
      <w:r w:rsidRPr="006505D0">
        <w:rPr>
          <w:sz w:val="16"/>
          <w:szCs w:val="18"/>
        </w:rPr>
        <w:t>VaV</w:t>
      </w:r>
      <w:proofErr w:type="spellEnd"/>
      <w:r w:rsidRPr="006505D0">
        <w:rPr>
          <w:sz w:val="16"/>
          <w:szCs w:val="18"/>
        </w:rPr>
        <w:t xml:space="preserve"> (</w:t>
      </w:r>
      <w:proofErr w:type="spellStart"/>
      <w:r w:rsidRPr="006505D0">
        <w:rPr>
          <w:b/>
          <w:sz w:val="16"/>
          <w:szCs w:val="18"/>
        </w:rPr>
        <w:t>NVPVaV</w:t>
      </w:r>
      <w:proofErr w:type="spellEnd"/>
      <w:r w:rsidRPr="006505D0">
        <w:rPr>
          <w:b/>
          <w:sz w:val="16"/>
          <w:szCs w:val="18"/>
        </w:rPr>
        <w:t xml:space="preserve"> = uplatněné náklady (výdaje) na </w:t>
      </w:r>
      <w:proofErr w:type="spellStart"/>
      <w:r w:rsidRPr="006505D0">
        <w:rPr>
          <w:b/>
          <w:sz w:val="16"/>
          <w:szCs w:val="18"/>
        </w:rPr>
        <w:t>VaV</w:t>
      </w:r>
      <w:proofErr w:type="spellEnd"/>
      <w:r w:rsidRPr="006505D0">
        <w:rPr>
          <w:b/>
          <w:sz w:val="16"/>
          <w:szCs w:val="18"/>
        </w:rPr>
        <w:t xml:space="preserve"> * sazba daně právnických osob</w:t>
      </w:r>
      <w:r w:rsidRPr="006505D0">
        <w:rPr>
          <w:sz w:val="16"/>
          <w:szCs w:val="18"/>
        </w:rPr>
        <w:t>) je odvislý od sazby daně právnických osob. Ta se v jednotlivých letech měnila. V roce 2005 byla daňová sazba na úrovni 26 %, následně klesa</w:t>
      </w:r>
      <w:r w:rsidR="008E3242">
        <w:rPr>
          <w:sz w:val="16"/>
          <w:szCs w:val="18"/>
        </w:rPr>
        <w:t>la až na 19 % v letech 2010–2019</w:t>
      </w:r>
      <w:r w:rsidRPr="006505D0">
        <w:rPr>
          <w:sz w:val="16"/>
          <w:szCs w:val="18"/>
        </w:rPr>
        <w:t xml:space="preserve">. Pokud by byla sazba daně v roce 2005 nynějších 19 %, dosáhla by výše nepřímé veřejné podpory </w:t>
      </w:r>
      <w:proofErr w:type="spellStart"/>
      <w:r w:rsidRPr="006505D0">
        <w:rPr>
          <w:sz w:val="16"/>
          <w:szCs w:val="18"/>
        </w:rPr>
        <w:t>VaV</w:t>
      </w:r>
      <w:proofErr w:type="spellEnd"/>
      <w:r w:rsidRPr="006505D0">
        <w:rPr>
          <w:sz w:val="16"/>
          <w:szCs w:val="18"/>
        </w:rPr>
        <w:t xml:space="preserve"> nikoliv zmíněných 819 mil. Kč, ale pouhých 608 mil. Kč. Byla by tedy o 211 mil. Kč nižší.     </w:t>
      </w:r>
    </w:p>
  </w:footnote>
  <w:footnote w:id="3">
    <w:p w14:paraId="33E0E81A" w14:textId="77777777" w:rsidR="00CB2392" w:rsidRDefault="00CB2392" w:rsidP="004B0EC3">
      <w:pPr>
        <w:pStyle w:val="Textpoznpodarou"/>
      </w:pPr>
      <w:r w:rsidRPr="00F70F76">
        <w:rPr>
          <w:rStyle w:val="Znakapoznpodarou"/>
          <w:sz w:val="18"/>
        </w:rPr>
        <w:footnoteRef/>
      </w:r>
      <w:r w:rsidRPr="00F70F76">
        <w:rPr>
          <w:sz w:val="18"/>
        </w:rPr>
        <w:t xml:space="preserve"> Bulharsko, Estonsko, Finsko, Chorvatsko, Kypr, Německo, Lucembursko, Švýcarsko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0B89A" w14:textId="2CA6112C" w:rsidR="00CB2392" w:rsidRPr="00427E13" w:rsidRDefault="00CB2392" w:rsidP="00427E13">
    <w:pPr>
      <w:pStyle w:val="Zhlav"/>
    </w:pPr>
    <w:r w:rsidRPr="00322505">
      <w:rPr>
        <w:rFonts w:ascii="Arial" w:hAnsi="Arial" w:cs="Arial"/>
        <w:sz w:val="16"/>
        <w:szCs w:val="16"/>
      </w:rPr>
      <w:t>Nepřímá veřejná podpora výzkumu a vývoje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0EAD1" w14:textId="1F6F71AE" w:rsidR="00CB2392" w:rsidRPr="00DC5B3B" w:rsidRDefault="00CB2392" w:rsidP="00427E1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322505">
      <w:rPr>
        <w:rFonts w:ascii="Arial" w:hAnsi="Arial" w:cs="Arial"/>
        <w:sz w:val="16"/>
        <w:szCs w:val="16"/>
      </w:rPr>
      <w:t>Nepřímá veřejná podpora výzkumu a vývoje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C33"/>
    <w:multiLevelType w:val="hybridMultilevel"/>
    <w:tmpl w:val="DE726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D7307"/>
    <w:multiLevelType w:val="hybridMultilevel"/>
    <w:tmpl w:val="FCBC86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71B96"/>
    <w:multiLevelType w:val="hybridMultilevel"/>
    <w:tmpl w:val="E6E44220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06606"/>
    <w:multiLevelType w:val="hybridMultilevel"/>
    <w:tmpl w:val="D256D95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120F0"/>
    <w:multiLevelType w:val="hybridMultilevel"/>
    <w:tmpl w:val="7FA2DD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5F"/>
    <w:rsid w:val="00000A97"/>
    <w:rsid w:val="00000AC4"/>
    <w:rsid w:val="00001E5E"/>
    <w:rsid w:val="00001F7E"/>
    <w:rsid w:val="00002B55"/>
    <w:rsid w:val="0000316C"/>
    <w:rsid w:val="000032AF"/>
    <w:rsid w:val="00004431"/>
    <w:rsid w:val="00004EED"/>
    <w:rsid w:val="0000517D"/>
    <w:rsid w:val="000052DD"/>
    <w:rsid w:val="00005C9C"/>
    <w:rsid w:val="00006457"/>
    <w:rsid w:val="00006C7C"/>
    <w:rsid w:val="00006FA4"/>
    <w:rsid w:val="00007080"/>
    <w:rsid w:val="00007126"/>
    <w:rsid w:val="0000767A"/>
    <w:rsid w:val="00007718"/>
    <w:rsid w:val="000077E7"/>
    <w:rsid w:val="0000799A"/>
    <w:rsid w:val="000100CF"/>
    <w:rsid w:val="00010702"/>
    <w:rsid w:val="00010728"/>
    <w:rsid w:val="00011348"/>
    <w:rsid w:val="00011687"/>
    <w:rsid w:val="000117C2"/>
    <w:rsid w:val="000119C9"/>
    <w:rsid w:val="00011AD9"/>
    <w:rsid w:val="000125B7"/>
    <w:rsid w:val="00012D08"/>
    <w:rsid w:val="000133D7"/>
    <w:rsid w:val="00013CE2"/>
    <w:rsid w:val="0001459E"/>
    <w:rsid w:val="000146A5"/>
    <w:rsid w:val="00014CF5"/>
    <w:rsid w:val="00014D9E"/>
    <w:rsid w:val="00014FA5"/>
    <w:rsid w:val="000155E7"/>
    <w:rsid w:val="000158B9"/>
    <w:rsid w:val="00016501"/>
    <w:rsid w:val="00016CCE"/>
    <w:rsid w:val="00016E39"/>
    <w:rsid w:val="00016F70"/>
    <w:rsid w:val="000173E5"/>
    <w:rsid w:val="000176C6"/>
    <w:rsid w:val="00017A46"/>
    <w:rsid w:val="00020A5D"/>
    <w:rsid w:val="00021023"/>
    <w:rsid w:val="000213B5"/>
    <w:rsid w:val="0002185E"/>
    <w:rsid w:val="000220EB"/>
    <w:rsid w:val="00022ED1"/>
    <w:rsid w:val="00024008"/>
    <w:rsid w:val="000242D6"/>
    <w:rsid w:val="000249EC"/>
    <w:rsid w:val="00025144"/>
    <w:rsid w:val="000262A4"/>
    <w:rsid w:val="000265DC"/>
    <w:rsid w:val="00026A5A"/>
    <w:rsid w:val="00027052"/>
    <w:rsid w:val="00027363"/>
    <w:rsid w:val="0002738F"/>
    <w:rsid w:val="000277E2"/>
    <w:rsid w:val="00027D2B"/>
    <w:rsid w:val="000313F1"/>
    <w:rsid w:val="000318CE"/>
    <w:rsid w:val="00031D06"/>
    <w:rsid w:val="000327AC"/>
    <w:rsid w:val="0003302F"/>
    <w:rsid w:val="0003364A"/>
    <w:rsid w:val="00034385"/>
    <w:rsid w:val="0003523C"/>
    <w:rsid w:val="00035E0B"/>
    <w:rsid w:val="000368A7"/>
    <w:rsid w:val="00036ABF"/>
    <w:rsid w:val="00036CDB"/>
    <w:rsid w:val="000372D7"/>
    <w:rsid w:val="00037A9F"/>
    <w:rsid w:val="00040041"/>
    <w:rsid w:val="00040114"/>
    <w:rsid w:val="00040A5E"/>
    <w:rsid w:val="0004366C"/>
    <w:rsid w:val="00043A7E"/>
    <w:rsid w:val="00043E0A"/>
    <w:rsid w:val="0004428A"/>
    <w:rsid w:val="000448A2"/>
    <w:rsid w:val="0004694F"/>
    <w:rsid w:val="000472C0"/>
    <w:rsid w:val="000472ED"/>
    <w:rsid w:val="00047B0D"/>
    <w:rsid w:val="00047BCD"/>
    <w:rsid w:val="00050C64"/>
    <w:rsid w:val="00050DC8"/>
    <w:rsid w:val="00051C4D"/>
    <w:rsid w:val="00052731"/>
    <w:rsid w:val="000527D4"/>
    <w:rsid w:val="00053336"/>
    <w:rsid w:val="000537B8"/>
    <w:rsid w:val="00053AA9"/>
    <w:rsid w:val="00053CE6"/>
    <w:rsid w:val="000541B5"/>
    <w:rsid w:val="0005426C"/>
    <w:rsid w:val="000544F1"/>
    <w:rsid w:val="000546F3"/>
    <w:rsid w:val="0005471A"/>
    <w:rsid w:val="000552B5"/>
    <w:rsid w:val="00055460"/>
    <w:rsid w:val="000556B7"/>
    <w:rsid w:val="00055877"/>
    <w:rsid w:val="0005601A"/>
    <w:rsid w:val="00056886"/>
    <w:rsid w:val="0005739C"/>
    <w:rsid w:val="000576D7"/>
    <w:rsid w:val="00060045"/>
    <w:rsid w:val="000603BE"/>
    <w:rsid w:val="000608F0"/>
    <w:rsid w:val="00060CD2"/>
    <w:rsid w:val="00060E3B"/>
    <w:rsid w:val="00061057"/>
    <w:rsid w:val="00062383"/>
    <w:rsid w:val="000628CD"/>
    <w:rsid w:val="00062E48"/>
    <w:rsid w:val="00062EC5"/>
    <w:rsid w:val="00064171"/>
    <w:rsid w:val="0006554E"/>
    <w:rsid w:val="00065675"/>
    <w:rsid w:val="0006593F"/>
    <w:rsid w:val="00065E55"/>
    <w:rsid w:val="00065F83"/>
    <w:rsid w:val="00066B31"/>
    <w:rsid w:val="00066B5A"/>
    <w:rsid w:val="00067B63"/>
    <w:rsid w:val="00067EB6"/>
    <w:rsid w:val="000701B1"/>
    <w:rsid w:val="00071250"/>
    <w:rsid w:val="0007230C"/>
    <w:rsid w:val="00072BC9"/>
    <w:rsid w:val="00072EB4"/>
    <w:rsid w:val="00073592"/>
    <w:rsid w:val="00073875"/>
    <w:rsid w:val="00073ED4"/>
    <w:rsid w:val="0007414B"/>
    <w:rsid w:val="000741A9"/>
    <w:rsid w:val="000741DB"/>
    <w:rsid w:val="00074570"/>
    <w:rsid w:val="0007592D"/>
    <w:rsid w:val="00076150"/>
    <w:rsid w:val="00076227"/>
    <w:rsid w:val="0007693C"/>
    <w:rsid w:val="00077629"/>
    <w:rsid w:val="00080342"/>
    <w:rsid w:val="00080600"/>
    <w:rsid w:val="000806E0"/>
    <w:rsid w:val="00080828"/>
    <w:rsid w:val="00080999"/>
    <w:rsid w:val="00080E37"/>
    <w:rsid w:val="0008124F"/>
    <w:rsid w:val="000812FD"/>
    <w:rsid w:val="000814EF"/>
    <w:rsid w:val="000817E1"/>
    <w:rsid w:val="00081AAC"/>
    <w:rsid w:val="00081AB2"/>
    <w:rsid w:val="00082755"/>
    <w:rsid w:val="00082C01"/>
    <w:rsid w:val="00082F96"/>
    <w:rsid w:val="000831D2"/>
    <w:rsid w:val="00083ADC"/>
    <w:rsid w:val="000840A4"/>
    <w:rsid w:val="00084D77"/>
    <w:rsid w:val="00084E88"/>
    <w:rsid w:val="00085870"/>
    <w:rsid w:val="00085C2F"/>
    <w:rsid w:val="00085DD1"/>
    <w:rsid w:val="0008627A"/>
    <w:rsid w:val="000867D1"/>
    <w:rsid w:val="00087634"/>
    <w:rsid w:val="00087A0A"/>
    <w:rsid w:val="00090449"/>
    <w:rsid w:val="00090E52"/>
    <w:rsid w:val="000910BC"/>
    <w:rsid w:val="00091E44"/>
    <w:rsid w:val="00092126"/>
    <w:rsid w:val="0009399C"/>
    <w:rsid w:val="00093C42"/>
    <w:rsid w:val="00093D46"/>
    <w:rsid w:val="00093E8B"/>
    <w:rsid w:val="00094EC1"/>
    <w:rsid w:val="00095170"/>
    <w:rsid w:val="0009671D"/>
    <w:rsid w:val="00096830"/>
    <w:rsid w:val="00096833"/>
    <w:rsid w:val="00096C37"/>
    <w:rsid w:val="00097D1B"/>
    <w:rsid w:val="000A05A7"/>
    <w:rsid w:val="000A07B0"/>
    <w:rsid w:val="000A08C8"/>
    <w:rsid w:val="000A0CD3"/>
    <w:rsid w:val="000A1183"/>
    <w:rsid w:val="000A14B3"/>
    <w:rsid w:val="000A1703"/>
    <w:rsid w:val="000A195F"/>
    <w:rsid w:val="000A19D1"/>
    <w:rsid w:val="000A1E02"/>
    <w:rsid w:val="000A1EC6"/>
    <w:rsid w:val="000A2BFE"/>
    <w:rsid w:val="000A2D07"/>
    <w:rsid w:val="000A2F25"/>
    <w:rsid w:val="000A31B2"/>
    <w:rsid w:val="000A3812"/>
    <w:rsid w:val="000A3956"/>
    <w:rsid w:val="000A403D"/>
    <w:rsid w:val="000A4287"/>
    <w:rsid w:val="000A4349"/>
    <w:rsid w:val="000A447E"/>
    <w:rsid w:val="000A46E5"/>
    <w:rsid w:val="000A4977"/>
    <w:rsid w:val="000A534C"/>
    <w:rsid w:val="000A590E"/>
    <w:rsid w:val="000A76ED"/>
    <w:rsid w:val="000A7E0B"/>
    <w:rsid w:val="000B05FC"/>
    <w:rsid w:val="000B0735"/>
    <w:rsid w:val="000B0777"/>
    <w:rsid w:val="000B1936"/>
    <w:rsid w:val="000B22B2"/>
    <w:rsid w:val="000B2A54"/>
    <w:rsid w:val="000B3355"/>
    <w:rsid w:val="000B3683"/>
    <w:rsid w:val="000B3704"/>
    <w:rsid w:val="000B3D2A"/>
    <w:rsid w:val="000B409F"/>
    <w:rsid w:val="000B46B1"/>
    <w:rsid w:val="000B4802"/>
    <w:rsid w:val="000B67B8"/>
    <w:rsid w:val="000C06D6"/>
    <w:rsid w:val="000C093F"/>
    <w:rsid w:val="000C0A92"/>
    <w:rsid w:val="000C0AF8"/>
    <w:rsid w:val="000C149D"/>
    <w:rsid w:val="000C177D"/>
    <w:rsid w:val="000C1883"/>
    <w:rsid w:val="000C1CE8"/>
    <w:rsid w:val="000C1D77"/>
    <w:rsid w:val="000C2CF5"/>
    <w:rsid w:val="000C32EC"/>
    <w:rsid w:val="000C3408"/>
    <w:rsid w:val="000C3D4D"/>
    <w:rsid w:val="000C4625"/>
    <w:rsid w:val="000C49A4"/>
    <w:rsid w:val="000C4ABE"/>
    <w:rsid w:val="000C4C58"/>
    <w:rsid w:val="000C513B"/>
    <w:rsid w:val="000C55D2"/>
    <w:rsid w:val="000C5C5D"/>
    <w:rsid w:val="000C5EE6"/>
    <w:rsid w:val="000C633F"/>
    <w:rsid w:val="000C769F"/>
    <w:rsid w:val="000C7896"/>
    <w:rsid w:val="000C7A65"/>
    <w:rsid w:val="000D009C"/>
    <w:rsid w:val="000D02F8"/>
    <w:rsid w:val="000D0EAF"/>
    <w:rsid w:val="000D15D0"/>
    <w:rsid w:val="000D2A47"/>
    <w:rsid w:val="000D3594"/>
    <w:rsid w:val="000D4E3E"/>
    <w:rsid w:val="000D5605"/>
    <w:rsid w:val="000D585B"/>
    <w:rsid w:val="000D65EF"/>
    <w:rsid w:val="000D6814"/>
    <w:rsid w:val="000D759F"/>
    <w:rsid w:val="000D7C42"/>
    <w:rsid w:val="000E0B4B"/>
    <w:rsid w:val="000E0C52"/>
    <w:rsid w:val="000E2043"/>
    <w:rsid w:val="000E2C28"/>
    <w:rsid w:val="000E3341"/>
    <w:rsid w:val="000E36B0"/>
    <w:rsid w:val="000E3993"/>
    <w:rsid w:val="000E4238"/>
    <w:rsid w:val="000E42CB"/>
    <w:rsid w:val="000E4300"/>
    <w:rsid w:val="000E50E5"/>
    <w:rsid w:val="000E525D"/>
    <w:rsid w:val="000E5C80"/>
    <w:rsid w:val="000E6086"/>
    <w:rsid w:val="000F0B7C"/>
    <w:rsid w:val="000F0D50"/>
    <w:rsid w:val="000F1C92"/>
    <w:rsid w:val="000F1F88"/>
    <w:rsid w:val="000F21F1"/>
    <w:rsid w:val="000F2CB3"/>
    <w:rsid w:val="000F2D48"/>
    <w:rsid w:val="000F34FD"/>
    <w:rsid w:val="000F37CB"/>
    <w:rsid w:val="000F393A"/>
    <w:rsid w:val="000F3C4B"/>
    <w:rsid w:val="000F41F1"/>
    <w:rsid w:val="000F430B"/>
    <w:rsid w:val="000F436F"/>
    <w:rsid w:val="000F525F"/>
    <w:rsid w:val="000F545E"/>
    <w:rsid w:val="000F58A0"/>
    <w:rsid w:val="000F5C63"/>
    <w:rsid w:val="000F5D9B"/>
    <w:rsid w:val="000F5ED1"/>
    <w:rsid w:val="000F63D9"/>
    <w:rsid w:val="000F6938"/>
    <w:rsid w:val="000F6A39"/>
    <w:rsid w:val="000F72F7"/>
    <w:rsid w:val="000F7B0B"/>
    <w:rsid w:val="000F7DFF"/>
    <w:rsid w:val="00100806"/>
    <w:rsid w:val="00100938"/>
    <w:rsid w:val="00101389"/>
    <w:rsid w:val="001018DF"/>
    <w:rsid w:val="00101A10"/>
    <w:rsid w:val="00101CE4"/>
    <w:rsid w:val="00102205"/>
    <w:rsid w:val="00102435"/>
    <w:rsid w:val="00103894"/>
    <w:rsid w:val="00103B21"/>
    <w:rsid w:val="00104526"/>
    <w:rsid w:val="0010546D"/>
    <w:rsid w:val="0010561E"/>
    <w:rsid w:val="001057C8"/>
    <w:rsid w:val="00105AEC"/>
    <w:rsid w:val="001062CA"/>
    <w:rsid w:val="00106DA0"/>
    <w:rsid w:val="0011034C"/>
    <w:rsid w:val="001103C6"/>
    <w:rsid w:val="00110C27"/>
    <w:rsid w:val="00110CA8"/>
    <w:rsid w:val="001115E4"/>
    <w:rsid w:val="0011197B"/>
    <w:rsid w:val="00112972"/>
    <w:rsid w:val="00112DEE"/>
    <w:rsid w:val="00113488"/>
    <w:rsid w:val="00113CE1"/>
    <w:rsid w:val="00113CF2"/>
    <w:rsid w:val="00114441"/>
    <w:rsid w:val="0011458C"/>
    <w:rsid w:val="00114733"/>
    <w:rsid w:val="00114C05"/>
    <w:rsid w:val="00114D74"/>
    <w:rsid w:val="001150B6"/>
    <w:rsid w:val="001153FB"/>
    <w:rsid w:val="00116182"/>
    <w:rsid w:val="00117EB4"/>
    <w:rsid w:val="00117F2D"/>
    <w:rsid w:val="00117F44"/>
    <w:rsid w:val="001208D1"/>
    <w:rsid w:val="00121182"/>
    <w:rsid w:val="001212C8"/>
    <w:rsid w:val="00121672"/>
    <w:rsid w:val="00121CFA"/>
    <w:rsid w:val="00121F3D"/>
    <w:rsid w:val="00122888"/>
    <w:rsid w:val="00122A7C"/>
    <w:rsid w:val="00122D2E"/>
    <w:rsid w:val="00122FA4"/>
    <w:rsid w:val="00123520"/>
    <w:rsid w:val="00123AFD"/>
    <w:rsid w:val="00123DBE"/>
    <w:rsid w:val="00123DD5"/>
    <w:rsid w:val="00124784"/>
    <w:rsid w:val="00124C7E"/>
    <w:rsid w:val="001252B0"/>
    <w:rsid w:val="001256D4"/>
    <w:rsid w:val="001259F2"/>
    <w:rsid w:val="00127484"/>
    <w:rsid w:val="00127CDF"/>
    <w:rsid w:val="0013058F"/>
    <w:rsid w:val="00130851"/>
    <w:rsid w:val="001309C0"/>
    <w:rsid w:val="00130C70"/>
    <w:rsid w:val="00130FDD"/>
    <w:rsid w:val="00131A3C"/>
    <w:rsid w:val="00131BBF"/>
    <w:rsid w:val="00132B18"/>
    <w:rsid w:val="00132FA8"/>
    <w:rsid w:val="0013374F"/>
    <w:rsid w:val="00134A5F"/>
    <w:rsid w:val="00135589"/>
    <w:rsid w:val="00135C14"/>
    <w:rsid w:val="00136190"/>
    <w:rsid w:val="001364B0"/>
    <w:rsid w:val="0013656F"/>
    <w:rsid w:val="00136632"/>
    <w:rsid w:val="00136C92"/>
    <w:rsid w:val="0013794D"/>
    <w:rsid w:val="00137A58"/>
    <w:rsid w:val="0014042E"/>
    <w:rsid w:val="001405FA"/>
    <w:rsid w:val="001406E7"/>
    <w:rsid w:val="00140A1B"/>
    <w:rsid w:val="001410BB"/>
    <w:rsid w:val="00142303"/>
    <w:rsid w:val="001425C3"/>
    <w:rsid w:val="00142E64"/>
    <w:rsid w:val="00142EC4"/>
    <w:rsid w:val="00143208"/>
    <w:rsid w:val="00143385"/>
    <w:rsid w:val="00143453"/>
    <w:rsid w:val="001436C1"/>
    <w:rsid w:val="001438C6"/>
    <w:rsid w:val="001446AF"/>
    <w:rsid w:val="00144E72"/>
    <w:rsid w:val="00145297"/>
    <w:rsid w:val="00145800"/>
    <w:rsid w:val="00145C93"/>
    <w:rsid w:val="00146553"/>
    <w:rsid w:val="00146993"/>
    <w:rsid w:val="00146BE0"/>
    <w:rsid w:val="00146D95"/>
    <w:rsid w:val="00146D9E"/>
    <w:rsid w:val="001475F6"/>
    <w:rsid w:val="00147896"/>
    <w:rsid w:val="00150863"/>
    <w:rsid w:val="00151339"/>
    <w:rsid w:val="0015151F"/>
    <w:rsid w:val="00151E33"/>
    <w:rsid w:val="0015209E"/>
    <w:rsid w:val="001525E6"/>
    <w:rsid w:val="00152BC9"/>
    <w:rsid w:val="001531FB"/>
    <w:rsid w:val="001538B6"/>
    <w:rsid w:val="0015444D"/>
    <w:rsid w:val="001544C2"/>
    <w:rsid w:val="00154730"/>
    <w:rsid w:val="00154AC5"/>
    <w:rsid w:val="00154E9A"/>
    <w:rsid w:val="00155181"/>
    <w:rsid w:val="00155215"/>
    <w:rsid w:val="001555BA"/>
    <w:rsid w:val="00156A62"/>
    <w:rsid w:val="00156C72"/>
    <w:rsid w:val="00156F9A"/>
    <w:rsid w:val="00157256"/>
    <w:rsid w:val="00157284"/>
    <w:rsid w:val="00157324"/>
    <w:rsid w:val="0015764A"/>
    <w:rsid w:val="0016017F"/>
    <w:rsid w:val="001604A9"/>
    <w:rsid w:val="001605C0"/>
    <w:rsid w:val="001608FF"/>
    <w:rsid w:val="00160A85"/>
    <w:rsid w:val="00161C15"/>
    <w:rsid w:val="00161E99"/>
    <w:rsid w:val="00162076"/>
    <w:rsid w:val="00162454"/>
    <w:rsid w:val="00162EB8"/>
    <w:rsid w:val="00163146"/>
    <w:rsid w:val="00163793"/>
    <w:rsid w:val="0016425E"/>
    <w:rsid w:val="001648A0"/>
    <w:rsid w:val="0016494C"/>
    <w:rsid w:val="001649AA"/>
    <w:rsid w:val="001657D4"/>
    <w:rsid w:val="00166027"/>
    <w:rsid w:val="0016610C"/>
    <w:rsid w:val="001667C4"/>
    <w:rsid w:val="00166BF2"/>
    <w:rsid w:val="00166CFA"/>
    <w:rsid w:val="00166E59"/>
    <w:rsid w:val="00170B65"/>
    <w:rsid w:val="00170BC0"/>
    <w:rsid w:val="001714F2"/>
    <w:rsid w:val="00171CD8"/>
    <w:rsid w:val="00171FA5"/>
    <w:rsid w:val="00172761"/>
    <w:rsid w:val="00172871"/>
    <w:rsid w:val="00172948"/>
    <w:rsid w:val="00172B12"/>
    <w:rsid w:val="00172E38"/>
    <w:rsid w:val="00172EC3"/>
    <w:rsid w:val="00175980"/>
    <w:rsid w:val="00175A98"/>
    <w:rsid w:val="00175BDC"/>
    <w:rsid w:val="00175E27"/>
    <w:rsid w:val="0017693E"/>
    <w:rsid w:val="00176B3E"/>
    <w:rsid w:val="00176B70"/>
    <w:rsid w:val="001775E7"/>
    <w:rsid w:val="0017776E"/>
    <w:rsid w:val="00177999"/>
    <w:rsid w:val="00177F2C"/>
    <w:rsid w:val="00180381"/>
    <w:rsid w:val="001808CD"/>
    <w:rsid w:val="00181A8D"/>
    <w:rsid w:val="00181BC2"/>
    <w:rsid w:val="00181CD5"/>
    <w:rsid w:val="00181D98"/>
    <w:rsid w:val="0018200F"/>
    <w:rsid w:val="00182307"/>
    <w:rsid w:val="00182C43"/>
    <w:rsid w:val="00182C7D"/>
    <w:rsid w:val="00182FB7"/>
    <w:rsid w:val="00182FF5"/>
    <w:rsid w:val="001837D9"/>
    <w:rsid w:val="00183BA3"/>
    <w:rsid w:val="0018408A"/>
    <w:rsid w:val="00184104"/>
    <w:rsid w:val="0018416B"/>
    <w:rsid w:val="00184606"/>
    <w:rsid w:val="001846EA"/>
    <w:rsid w:val="00184C8B"/>
    <w:rsid w:val="00185010"/>
    <w:rsid w:val="001852F7"/>
    <w:rsid w:val="001860FA"/>
    <w:rsid w:val="0018680C"/>
    <w:rsid w:val="00187673"/>
    <w:rsid w:val="0018773B"/>
    <w:rsid w:val="0018779B"/>
    <w:rsid w:val="001907DA"/>
    <w:rsid w:val="00190BF6"/>
    <w:rsid w:val="00191BAF"/>
    <w:rsid w:val="00191E4B"/>
    <w:rsid w:val="00191F3E"/>
    <w:rsid w:val="00192465"/>
    <w:rsid w:val="00192CDA"/>
    <w:rsid w:val="0019317E"/>
    <w:rsid w:val="001932F0"/>
    <w:rsid w:val="00193B73"/>
    <w:rsid w:val="00193D45"/>
    <w:rsid w:val="0019470B"/>
    <w:rsid w:val="001947F8"/>
    <w:rsid w:val="001949BD"/>
    <w:rsid w:val="00195C8C"/>
    <w:rsid w:val="00195D5A"/>
    <w:rsid w:val="00195FB6"/>
    <w:rsid w:val="00196754"/>
    <w:rsid w:val="00196897"/>
    <w:rsid w:val="001969C9"/>
    <w:rsid w:val="001972E3"/>
    <w:rsid w:val="00197778"/>
    <w:rsid w:val="00197A12"/>
    <w:rsid w:val="00197D1F"/>
    <w:rsid w:val="001A0064"/>
    <w:rsid w:val="001A0B10"/>
    <w:rsid w:val="001A14B9"/>
    <w:rsid w:val="001A14BB"/>
    <w:rsid w:val="001A15B4"/>
    <w:rsid w:val="001A1B2E"/>
    <w:rsid w:val="001A2F1F"/>
    <w:rsid w:val="001A31F2"/>
    <w:rsid w:val="001A364E"/>
    <w:rsid w:val="001A3984"/>
    <w:rsid w:val="001A3B6E"/>
    <w:rsid w:val="001A3BF7"/>
    <w:rsid w:val="001A4051"/>
    <w:rsid w:val="001A42D3"/>
    <w:rsid w:val="001A4D44"/>
    <w:rsid w:val="001A4D81"/>
    <w:rsid w:val="001A4F0B"/>
    <w:rsid w:val="001A51D6"/>
    <w:rsid w:val="001A552F"/>
    <w:rsid w:val="001A5BBB"/>
    <w:rsid w:val="001A62EE"/>
    <w:rsid w:val="001A6513"/>
    <w:rsid w:val="001A6B8D"/>
    <w:rsid w:val="001A6CFC"/>
    <w:rsid w:val="001A6FCE"/>
    <w:rsid w:val="001B00E4"/>
    <w:rsid w:val="001B0260"/>
    <w:rsid w:val="001B0873"/>
    <w:rsid w:val="001B0ACC"/>
    <w:rsid w:val="001B0CFD"/>
    <w:rsid w:val="001B200B"/>
    <w:rsid w:val="001B22A7"/>
    <w:rsid w:val="001B26AC"/>
    <w:rsid w:val="001B2E25"/>
    <w:rsid w:val="001B3110"/>
    <w:rsid w:val="001B3462"/>
    <w:rsid w:val="001B34B1"/>
    <w:rsid w:val="001B3A2F"/>
    <w:rsid w:val="001B52AD"/>
    <w:rsid w:val="001B625A"/>
    <w:rsid w:val="001B68DB"/>
    <w:rsid w:val="001B6940"/>
    <w:rsid w:val="001B6C6F"/>
    <w:rsid w:val="001B7194"/>
    <w:rsid w:val="001B75ED"/>
    <w:rsid w:val="001B7941"/>
    <w:rsid w:val="001B7C2E"/>
    <w:rsid w:val="001C04CE"/>
    <w:rsid w:val="001C12AE"/>
    <w:rsid w:val="001C1F75"/>
    <w:rsid w:val="001C30F8"/>
    <w:rsid w:val="001C3BB4"/>
    <w:rsid w:val="001C3D3D"/>
    <w:rsid w:val="001C43EB"/>
    <w:rsid w:val="001C441F"/>
    <w:rsid w:val="001C45AC"/>
    <w:rsid w:val="001C4A4E"/>
    <w:rsid w:val="001C4C36"/>
    <w:rsid w:val="001C51A8"/>
    <w:rsid w:val="001C553F"/>
    <w:rsid w:val="001C59D9"/>
    <w:rsid w:val="001C5C0E"/>
    <w:rsid w:val="001C5EF0"/>
    <w:rsid w:val="001C5F73"/>
    <w:rsid w:val="001C628C"/>
    <w:rsid w:val="001C69DE"/>
    <w:rsid w:val="001C6F92"/>
    <w:rsid w:val="001C7670"/>
    <w:rsid w:val="001D0AA2"/>
    <w:rsid w:val="001D1211"/>
    <w:rsid w:val="001D1481"/>
    <w:rsid w:val="001D1747"/>
    <w:rsid w:val="001D1EA4"/>
    <w:rsid w:val="001D2A1F"/>
    <w:rsid w:val="001D3737"/>
    <w:rsid w:val="001D3DFA"/>
    <w:rsid w:val="001D406B"/>
    <w:rsid w:val="001D4747"/>
    <w:rsid w:val="001D4FE7"/>
    <w:rsid w:val="001D5183"/>
    <w:rsid w:val="001D53B0"/>
    <w:rsid w:val="001D622E"/>
    <w:rsid w:val="001D6CC7"/>
    <w:rsid w:val="001D7660"/>
    <w:rsid w:val="001D7670"/>
    <w:rsid w:val="001D7A62"/>
    <w:rsid w:val="001D7DF2"/>
    <w:rsid w:val="001D7FEF"/>
    <w:rsid w:val="001E0904"/>
    <w:rsid w:val="001E0B59"/>
    <w:rsid w:val="001E1830"/>
    <w:rsid w:val="001E208A"/>
    <w:rsid w:val="001E2E1C"/>
    <w:rsid w:val="001E33F1"/>
    <w:rsid w:val="001E35CE"/>
    <w:rsid w:val="001E3980"/>
    <w:rsid w:val="001E3C0D"/>
    <w:rsid w:val="001E3C82"/>
    <w:rsid w:val="001E3D08"/>
    <w:rsid w:val="001E42DA"/>
    <w:rsid w:val="001E437E"/>
    <w:rsid w:val="001E4962"/>
    <w:rsid w:val="001E5173"/>
    <w:rsid w:val="001E5436"/>
    <w:rsid w:val="001E5B25"/>
    <w:rsid w:val="001E5CBD"/>
    <w:rsid w:val="001E60BF"/>
    <w:rsid w:val="001E64F8"/>
    <w:rsid w:val="001E74D7"/>
    <w:rsid w:val="001E7867"/>
    <w:rsid w:val="001F0082"/>
    <w:rsid w:val="001F0D50"/>
    <w:rsid w:val="001F0D70"/>
    <w:rsid w:val="001F13B6"/>
    <w:rsid w:val="001F199C"/>
    <w:rsid w:val="001F1EA8"/>
    <w:rsid w:val="001F20F5"/>
    <w:rsid w:val="001F21E6"/>
    <w:rsid w:val="001F26BA"/>
    <w:rsid w:val="001F28A3"/>
    <w:rsid w:val="001F36C7"/>
    <w:rsid w:val="001F38BE"/>
    <w:rsid w:val="001F3E03"/>
    <w:rsid w:val="001F4573"/>
    <w:rsid w:val="001F4597"/>
    <w:rsid w:val="001F46EA"/>
    <w:rsid w:val="001F47FC"/>
    <w:rsid w:val="001F4B9C"/>
    <w:rsid w:val="001F4C47"/>
    <w:rsid w:val="001F52C4"/>
    <w:rsid w:val="001F647A"/>
    <w:rsid w:val="001F6760"/>
    <w:rsid w:val="001F68A0"/>
    <w:rsid w:val="001F7541"/>
    <w:rsid w:val="00200515"/>
    <w:rsid w:val="00201371"/>
    <w:rsid w:val="00201767"/>
    <w:rsid w:val="00201A1B"/>
    <w:rsid w:val="00201B44"/>
    <w:rsid w:val="00202148"/>
    <w:rsid w:val="0020344B"/>
    <w:rsid w:val="002036A6"/>
    <w:rsid w:val="00203AC6"/>
    <w:rsid w:val="002048C3"/>
    <w:rsid w:val="0020498B"/>
    <w:rsid w:val="00204CA0"/>
    <w:rsid w:val="002050B6"/>
    <w:rsid w:val="00205553"/>
    <w:rsid w:val="002064C5"/>
    <w:rsid w:val="0020650B"/>
    <w:rsid w:val="00206877"/>
    <w:rsid w:val="00206B1E"/>
    <w:rsid w:val="00206C36"/>
    <w:rsid w:val="002073DB"/>
    <w:rsid w:val="00207A19"/>
    <w:rsid w:val="002111D4"/>
    <w:rsid w:val="00211943"/>
    <w:rsid w:val="00211C16"/>
    <w:rsid w:val="00212408"/>
    <w:rsid w:val="00212AED"/>
    <w:rsid w:val="00214585"/>
    <w:rsid w:val="0021581A"/>
    <w:rsid w:val="00215943"/>
    <w:rsid w:val="00215B5B"/>
    <w:rsid w:val="00215E0F"/>
    <w:rsid w:val="00215E13"/>
    <w:rsid w:val="00216DB0"/>
    <w:rsid w:val="00216EB6"/>
    <w:rsid w:val="002177EA"/>
    <w:rsid w:val="00217B5D"/>
    <w:rsid w:val="002201D9"/>
    <w:rsid w:val="00220822"/>
    <w:rsid w:val="00220865"/>
    <w:rsid w:val="00220C4E"/>
    <w:rsid w:val="0022139E"/>
    <w:rsid w:val="002216A8"/>
    <w:rsid w:val="002216F1"/>
    <w:rsid w:val="0022176D"/>
    <w:rsid w:val="00221863"/>
    <w:rsid w:val="00222322"/>
    <w:rsid w:val="0022275B"/>
    <w:rsid w:val="00222B7E"/>
    <w:rsid w:val="00222E09"/>
    <w:rsid w:val="0022356C"/>
    <w:rsid w:val="00223E41"/>
    <w:rsid w:val="00224077"/>
    <w:rsid w:val="0022439C"/>
    <w:rsid w:val="002248D4"/>
    <w:rsid w:val="00224F4C"/>
    <w:rsid w:val="00224FAC"/>
    <w:rsid w:val="002252E0"/>
    <w:rsid w:val="002255F6"/>
    <w:rsid w:val="002257DA"/>
    <w:rsid w:val="00225C66"/>
    <w:rsid w:val="00225EE9"/>
    <w:rsid w:val="0022664C"/>
    <w:rsid w:val="002271B8"/>
    <w:rsid w:val="002279DD"/>
    <w:rsid w:val="00230B30"/>
    <w:rsid w:val="00230FA2"/>
    <w:rsid w:val="00232D09"/>
    <w:rsid w:val="00233AA3"/>
    <w:rsid w:val="00234209"/>
    <w:rsid w:val="0023441C"/>
    <w:rsid w:val="0023512E"/>
    <w:rsid w:val="00236333"/>
    <w:rsid w:val="00236443"/>
    <w:rsid w:val="00236538"/>
    <w:rsid w:val="002401BE"/>
    <w:rsid w:val="0024129B"/>
    <w:rsid w:val="00242ACA"/>
    <w:rsid w:val="0024309D"/>
    <w:rsid w:val="002436BA"/>
    <w:rsid w:val="0024379D"/>
    <w:rsid w:val="002438DD"/>
    <w:rsid w:val="002439D6"/>
    <w:rsid w:val="00243A5B"/>
    <w:rsid w:val="002443A5"/>
    <w:rsid w:val="0024457B"/>
    <w:rsid w:val="00244A15"/>
    <w:rsid w:val="00244AD0"/>
    <w:rsid w:val="00244BA0"/>
    <w:rsid w:val="00244F0F"/>
    <w:rsid w:val="00245556"/>
    <w:rsid w:val="00246967"/>
    <w:rsid w:val="00246BE7"/>
    <w:rsid w:val="002476C3"/>
    <w:rsid w:val="002478CD"/>
    <w:rsid w:val="0024799E"/>
    <w:rsid w:val="00247DD2"/>
    <w:rsid w:val="00250137"/>
    <w:rsid w:val="002516CC"/>
    <w:rsid w:val="00251F9F"/>
    <w:rsid w:val="00251FD4"/>
    <w:rsid w:val="002521B9"/>
    <w:rsid w:val="0025234A"/>
    <w:rsid w:val="002524A2"/>
    <w:rsid w:val="0025274E"/>
    <w:rsid w:val="00252B20"/>
    <w:rsid w:val="002530DB"/>
    <w:rsid w:val="00253392"/>
    <w:rsid w:val="0025392D"/>
    <w:rsid w:val="00254352"/>
    <w:rsid w:val="00254BF0"/>
    <w:rsid w:val="00255DB2"/>
    <w:rsid w:val="00256B36"/>
    <w:rsid w:val="00256D8F"/>
    <w:rsid w:val="00256E5F"/>
    <w:rsid w:val="002579D6"/>
    <w:rsid w:val="00260106"/>
    <w:rsid w:val="002604E8"/>
    <w:rsid w:val="00260621"/>
    <w:rsid w:val="00261DBF"/>
    <w:rsid w:val="00262C71"/>
    <w:rsid w:val="00262E31"/>
    <w:rsid w:val="0026372B"/>
    <w:rsid w:val="00264463"/>
    <w:rsid w:val="00264937"/>
    <w:rsid w:val="00264FB0"/>
    <w:rsid w:val="002656DE"/>
    <w:rsid w:val="00265BD4"/>
    <w:rsid w:val="00266AEE"/>
    <w:rsid w:val="00266DBA"/>
    <w:rsid w:val="00267C5E"/>
    <w:rsid w:val="00267DE8"/>
    <w:rsid w:val="00267F49"/>
    <w:rsid w:val="002704E6"/>
    <w:rsid w:val="00270567"/>
    <w:rsid w:val="0027128B"/>
    <w:rsid w:val="00271FCF"/>
    <w:rsid w:val="002728E5"/>
    <w:rsid w:val="00272944"/>
    <w:rsid w:val="002731F4"/>
    <w:rsid w:val="0027360D"/>
    <w:rsid w:val="00273BD1"/>
    <w:rsid w:val="00274098"/>
    <w:rsid w:val="00274DF0"/>
    <w:rsid w:val="0027509A"/>
    <w:rsid w:val="00275315"/>
    <w:rsid w:val="00275BC0"/>
    <w:rsid w:val="00276495"/>
    <w:rsid w:val="00276B63"/>
    <w:rsid w:val="00277099"/>
    <w:rsid w:val="002771CE"/>
    <w:rsid w:val="00277478"/>
    <w:rsid w:val="00277706"/>
    <w:rsid w:val="0028086B"/>
    <w:rsid w:val="00280C39"/>
    <w:rsid w:val="00281435"/>
    <w:rsid w:val="00281459"/>
    <w:rsid w:val="002814B4"/>
    <w:rsid w:val="0028177B"/>
    <w:rsid w:val="00281BCC"/>
    <w:rsid w:val="0028217C"/>
    <w:rsid w:val="0028293B"/>
    <w:rsid w:val="00283284"/>
    <w:rsid w:val="00283564"/>
    <w:rsid w:val="002835A8"/>
    <w:rsid w:val="002840A2"/>
    <w:rsid w:val="00284FE3"/>
    <w:rsid w:val="00285461"/>
    <w:rsid w:val="00285B5F"/>
    <w:rsid w:val="002866B9"/>
    <w:rsid w:val="002866FC"/>
    <w:rsid w:val="002872C2"/>
    <w:rsid w:val="002874F0"/>
    <w:rsid w:val="0028792D"/>
    <w:rsid w:val="00287BE0"/>
    <w:rsid w:val="00287CCB"/>
    <w:rsid w:val="00287CCF"/>
    <w:rsid w:val="00287FFD"/>
    <w:rsid w:val="00290C0F"/>
    <w:rsid w:val="002914EE"/>
    <w:rsid w:val="00292845"/>
    <w:rsid w:val="002928D5"/>
    <w:rsid w:val="00292BE4"/>
    <w:rsid w:val="00292F17"/>
    <w:rsid w:val="00293089"/>
    <w:rsid w:val="00293295"/>
    <w:rsid w:val="00293916"/>
    <w:rsid w:val="00293CEF"/>
    <w:rsid w:val="00293F7A"/>
    <w:rsid w:val="00294C49"/>
    <w:rsid w:val="00295694"/>
    <w:rsid w:val="002958A1"/>
    <w:rsid w:val="0029633E"/>
    <w:rsid w:val="002963FE"/>
    <w:rsid w:val="00296547"/>
    <w:rsid w:val="00296C86"/>
    <w:rsid w:val="002976B9"/>
    <w:rsid w:val="00297B1F"/>
    <w:rsid w:val="00297FBA"/>
    <w:rsid w:val="002A0214"/>
    <w:rsid w:val="002A0702"/>
    <w:rsid w:val="002A07F7"/>
    <w:rsid w:val="002A104E"/>
    <w:rsid w:val="002A143B"/>
    <w:rsid w:val="002A1933"/>
    <w:rsid w:val="002A21A2"/>
    <w:rsid w:val="002A26AB"/>
    <w:rsid w:val="002A2816"/>
    <w:rsid w:val="002A2CF9"/>
    <w:rsid w:val="002A3061"/>
    <w:rsid w:val="002A31E9"/>
    <w:rsid w:val="002A36A6"/>
    <w:rsid w:val="002A46D1"/>
    <w:rsid w:val="002A4F13"/>
    <w:rsid w:val="002A620C"/>
    <w:rsid w:val="002A65BC"/>
    <w:rsid w:val="002A67A5"/>
    <w:rsid w:val="002A7621"/>
    <w:rsid w:val="002A7E3F"/>
    <w:rsid w:val="002B030B"/>
    <w:rsid w:val="002B0B09"/>
    <w:rsid w:val="002B0E1F"/>
    <w:rsid w:val="002B0FA7"/>
    <w:rsid w:val="002B1DF8"/>
    <w:rsid w:val="002B2848"/>
    <w:rsid w:val="002B2E50"/>
    <w:rsid w:val="002B36F1"/>
    <w:rsid w:val="002B439B"/>
    <w:rsid w:val="002B578D"/>
    <w:rsid w:val="002B5A86"/>
    <w:rsid w:val="002B67D8"/>
    <w:rsid w:val="002B6CDB"/>
    <w:rsid w:val="002B6DF3"/>
    <w:rsid w:val="002B6E4D"/>
    <w:rsid w:val="002B74ED"/>
    <w:rsid w:val="002B7691"/>
    <w:rsid w:val="002B782B"/>
    <w:rsid w:val="002C09AB"/>
    <w:rsid w:val="002C0D94"/>
    <w:rsid w:val="002C0FFC"/>
    <w:rsid w:val="002C112B"/>
    <w:rsid w:val="002C1CCB"/>
    <w:rsid w:val="002C2278"/>
    <w:rsid w:val="002C31C4"/>
    <w:rsid w:val="002C31D3"/>
    <w:rsid w:val="002C31F0"/>
    <w:rsid w:val="002C37DB"/>
    <w:rsid w:val="002C43BD"/>
    <w:rsid w:val="002C453D"/>
    <w:rsid w:val="002C46D6"/>
    <w:rsid w:val="002C50C0"/>
    <w:rsid w:val="002C63C8"/>
    <w:rsid w:val="002C6C77"/>
    <w:rsid w:val="002C74EA"/>
    <w:rsid w:val="002C7779"/>
    <w:rsid w:val="002D0D0A"/>
    <w:rsid w:val="002D13DD"/>
    <w:rsid w:val="002D2170"/>
    <w:rsid w:val="002D3010"/>
    <w:rsid w:val="002D38D5"/>
    <w:rsid w:val="002D3A94"/>
    <w:rsid w:val="002D3DF2"/>
    <w:rsid w:val="002D3EAF"/>
    <w:rsid w:val="002D3F0F"/>
    <w:rsid w:val="002D4104"/>
    <w:rsid w:val="002D47D8"/>
    <w:rsid w:val="002D487C"/>
    <w:rsid w:val="002D56ED"/>
    <w:rsid w:val="002D5931"/>
    <w:rsid w:val="002D5FFE"/>
    <w:rsid w:val="002D6AFD"/>
    <w:rsid w:val="002D7293"/>
    <w:rsid w:val="002D7465"/>
    <w:rsid w:val="002D779D"/>
    <w:rsid w:val="002D78F2"/>
    <w:rsid w:val="002D7A34"/>
    <w:rsid w:val="002E0064"/>
    <w:rsid w:val="002E02A1"/>
    <w:rsid w:val="002E06EB"/>
    <w:rsid w:val="002E0773"/>
    <w:rsid w:val="002E0AD7"/>
    <w:rsid w:val="002E1BC6"/>
    <w:rsid w:val="002E24FF"/>
    <w:rsid w:val="002E29E6"/>
    <w:rsid w:val="002E2BDD"/>
    <w:rsid w:val="002E2E66"/>
    <w:rsid w:val="002E34BF"/>
    <w:rsid w:val="002E3F91"/>
    <w:rsid w:val="002E4155"/>
    <w:rsid w:val="002E468D"/>
    <w:rsid w:val="002E53EB"/>
    <w:rsid w:val="002E58FA"/>
    <w:rsid w:val="002E5C9C"/>
    <w:rsid w:val="002E638E"/>
    <w:rsid w:val="002E6E37"/>
    <w:rsid w:val="002E7275"/>
    <w:rsid w:val="002E7BB0"/>
    <w:rsid w:val="002E7D89"/>
    <w:rsid w:val="002F08EF"/>
    <w:rsid w:val="002F0E9F"/>
    <w:rsid w:val="002F12F5"/>
    <w:rsid w:val="002F13ED"/>
    <w:rsid w:val="002F1AB5"/>
    <w:rsid w:val="002F1C06"/>
    <w:rsid w:val="002F23F1"/>
    <w:rsid w:val="002F2B01"/>
    <w:rsid w:val="002F2EF8"/>
    <w:rsid w:val="002F3032"/>
    <w:rsid w:val="002F313B"/>
    <w:rsid w:val="002F3249"/>
    <w:rsid w:val="002F3795"/>
    <w:rsid w:val="002F3B62"/>
    <w:rsid w:val="002F3BD2"/>
    <w:rsid w:val="002F3C65"/>
    <w:rsid w:val="002F3CFD"/>
    <w:rsid w:val="002F4070"/>
    <w:rsid w:val="002F455B"/>
    <w:rsid w:val="002F473A"/>
    <w:rsid w:val="002F4840"/>
    <w:rsid w:val="002F48A6"/>
    <w:rsid w:val="002F53A6"/>
    <w:rsid w:val="002F6F8C"/>
    <w:rsid w:val="002F702A"/>
    <w:rsid w:val="002F7055"/>
    <w:rsid w:val="002F7080"/>
    <w:rsid w:val="002F7270"/>
    <w:rsid w:val="002F74C6"/>
    <w:rsid w:val="002F7590"/>
    <w:rsid w:val="0030076C"/>
    <w:rsid w:val="00301010"/>
    <w:rsid w:val="0030115C"/>
    <w:rsid w:val="00301900"/>
    <w:rsid w:val="00301A1D"/>
    <w:rsid w:val="00301A62"/>
    <w:rsid w:val="00301C0F"/>
    <w:rsid w:val="00301DA0"/>
    <w:rsid w:val="00303156"/>
    <w:rsid w:val="00304147"/>
    <w:rsid w:val="00304771"/>
    <w:rsid w:val="00304CA4"/>
    <w:rsid w:val="0030504B"/>
    <w:rsid w:val="00305F36"/>
    <w:rsid w:val="003061B7"/>
    <w:rsid w:val="00306288"/>
    <w:rsid w:val="00306BFA"/>
    <w:rsid w:val="00306C0F"/>
    <w:rsid w:val="00306C5B"/>
    <w:rsid w:val="003071E1"/>
    <w:rsid w:val="003072C5"/>
    <w:rsid w:val="0030764E"/>
    <w:rsid w:val="00307719"/>
    <w:rsid w:val="00307C28"/>
    <w:rsid w:val="00307E36"/>
    <w:rsid w:val="003104D4"/>
    <w:rsid w:val="00310702"/>
    <w:rsid w:val="00310C4C"/>
    <w:rsid w:val="00311453"/>
    <w:rsid w:val="00311D3E"/>
    <w:rsid w:val="00311E05"/>
    <w:rsid w:val="00311E71"/>
    <w:rsid w:val="00312451"/>
    <w:rsid w:val="00312646"/>
    <w:rsid w:val="00312C84"/>
    <w:rsid w:val="00313553"/>
    <w:rsid w:val="003138DC"/>
    <w:rsid w:val="003141C3"/>
    <w:rsid w:val="00314AAB"/>
    <w:rsid w:val="003155FB"/>
    <w:rsid w:val="003156E7"/>
    <w:rsid w:val="00315DFF"/>
    <w:rsid w:val="003172C5"/>
    <w:rsid w:val="00320639"/>
    <w:rsid w:val="003209D6"/>
    <w:rsid w:val="00320BE7"/>
    <w:rsid w:val="00320DA4"/>
    <w:rsid w:val="0032123B"/>
    <w:rsid w:val="0032123E"/>
    <w:rsid w:val="0032130A"/>
    <w:rsid w:val="00321F4E"/>
    <w:rsid w:val="0032220C"/>
    <w:rsid w:val="003225B0"/>
    <w:rsid w:val="00322A85"/>
    <w:rsid w:val="00322B58"/>
    <w:rsid w:val="00322F26"/>
    <w:rsid w:val="0032334F"/>
    <w:rsid w:val="00324598"/>
    <w:rsid w:val="00324D33"/>
    <w:rsid w:val="003257F5"/>
    <w:rsid w:val="00325900"/>
    <w:rsid w:val="0032669A"/>
    <w:rsid w:val="00326C27"/>
    <w:rsid w:val="00326E14"/>
    <w:rsid w:val="00326F52"/>
    <w:rsid w:val="003270BE"/>
    <w:rsid w:val="00327221"/>
    <w:rsid w:val="003276F5"/>
    <w:rsid w:val="00327C7C"/>
    <w:rsid w:val="00327DC4"/>
    <w:rsid w:val="00327F45"/>
    <w:rsid w:val="00331292"/>
    <w:rsid w:val="0033140D"/>
    <w:rsid w:val="00331641"/>
    <w:rsid w:val="00332098"/>
    <w:rsid w:val="003328E9"/>
    <w:rsid w:val="00332DE4"/>
    <w:rsid w:val="0033380D"/>
    <w:rsid w:val="00333DD5"/>
    <w:rsid w:val="00334056"/>
    <w:rsid w:val="00334EAB"/>
    <w:rsid w:val="003350DA"/>
    <w:rsid w:val="0033563D"/>
    <w:rsid w:val="0033571C"/>
    <w:rsid w:val="003357F1"/>
    <w:rsid w:val="003363FB"/>
    <w:rsid w:val="00336576"/>
    <w:rsid w:val="003366B6"/>
    <w:rsid w:val="00337C62"/>
    <w:rsid w:val="00341515"/>
    <w:rsid w:val="00341B7E"/>
    <w:rsid w:val="00341C43"/>
    <w:rsid w:val="00341D20"/>
    <w:rsid w:val="00341E45"/>
    <w:rsid w:val="00341ED1"/>
    <w:rsid w:val="00342135"/>
    <w:rsid w:val="00342153"/>
    <w:rsid w:val="003429AA"/>
    <w:rsid w:val="00342A7A"/>
    <w:rsid w:val="00344516"/>
    <w:rsid w:val="003447BC"/>
    <w:rsid w:val="0034612C"/>
    <w:rsid w:val="00346B28"/>
    <w:rsid w:val="0034730D"/>
    <w:rsid w:val="0034799C"/>
    <w:rsid w:val="00347A9E"/>
    <w:rsid w:val="003503BB"/>
    <w:rsid w:val="00352F70"/>
    <w:rsid w:val="00353BD5"/>
    <w:rsid w:val="00354492"/>
    <w:rsid w:val="00354634"/>
    <w:rsid w:val="00354986"/>
    <w:rsid w:val="003559DE"/>
    <w:rsid w:val="00355E80"/>
    <w:rsid w:val="00356039"/>
    <w:rsid w:val="003562CA"/>
    <w:rsid w:val="00356A61"/>
    <w:rsid w:val="00356ABD"/>
    <w:rsid w:val="00357CC8"/>
    <w:rsid w:val="003603CE"/>
    <w:rsid w:val="00361916"/>
    <w:rsid w:val="00361F49"/>
    <w:rsid w:val="0036215B"/>
    <w:rsid w:val="003630CD"/>
    <w:rsid w:val="0036317A"/>
    <w:rsid w:val="003633C2"/>
    <w:rsid w:val="00364B79"/>
    <w:rsid w:val="003657F3"/>
    <w:rsid w:val="00366452"/>
    <w:rsid w:val="003665AB"/>
    <w:rsid w:val="003669A4"/>
    <w:rsid w:val="00366AD8"/>
    <w:rsid w:val="00366C80"/>
    <w:rsid w:val="003678B8"/>
    <w:rsid w:val="00367A06"/>
    <w:rsid w:val="00367B0E"/>
    <w:rsid w:val="00367BEA"/>
    <w:rsid w:val="00370721"/>
    <w:rsid w:val="003715C8"/>
    <w:rsid w:val="00371906"/>
    <w:rsid w:val="00371E86"/>
    <w:rsid w:val="00372A2B"/>
    <w:rsid w:val="00372ECF"/>
    <w:rsid w:val="00373061"/>
    <w:rsid w:val="00373282"/>
    <w:rsid w:val="003738F1"/>
    <w:rsid w:val="00373D64"/>
    <w:rsid w:val="003743BD"/>
    <w:rsid w:val="003747CC"/>
    <w:rsid w:val="00374920"/>
    <w:rsid w:val="00374FC4"/>
    <w:rsid w:val="0037626F"/>
    <w:rsid w:val="00376624"/>
    <w:rsid w:val="0037774A"/>
    <w:rsid w:val="00377B43"/>
    <w:rsid w:val="0038023A"/>
    <w:rsid w:val="003805DD"/>
    <w:rsid w:val="00380B0F"/>
    <w:rsid w:val="00381287"/>
    <w:rsid w:val="003813E1"/>
    <w:rsid w:val="003814B5"/>
    <w:rsid w:val="00381B38"/>
    <w:rsid w:val="00381E40"/>
    <w:rsid w:val="00382234"/>
    <w:rsid w:val="0038306D"/>
    <w:rsid w:val="00383531"/>
    <w:rsid w:val="00383594"/>
    <w:rsid w:val="0038391D"/>
    <w:rsid w:val="00383C4C"/>
    <w:rsid w:val="0038458E"/>
    <w:rsid w:val="00384686"/>
    <w:rsid w:val="00384701"/>
    <w:rsid w:val="00384823"/>
    <w:rsid w:val="003849AC"/>
    <w:rsid w:val="0038554E"/>
    <w:rsid w:val="003855FD"/>
    <w:rsid w:val="00385D98"/>
    <w:rsid w:val="003860DA"/>
    <w:rsid w:val="00386236"/>
    <w:rsid w:val="00386481"/>
    <w:rsid w:val="003864AE"/>
    <w:rsid w:val="003869AD"/>
    <w:rsid w:val="00387E63"/>
    <w:rsid w:val="003909D7"/>
    <w:rsid w:val="003912FF"/>
    <w:rsid w:val="00391589"/>
    <w:rsid w:val="0039159A"/>
    <w:rsid w:val="0039161C"/>
    <w:rsid w:val="00391639"/>
    <w:rsid w:val="00391B49"/>
    <w:rsid w:val="00391F28"/>
    <w:rsid w:val="0039328F"/>
    <w:rsid w:val="00393366"/>
    <w:rsid w:val="00393D3B"/>
    <w:rsid w:val="00394169"/>
    <w:rsid w:val="00394398"/>
    <w:rsid w:val="00394756"/>
    <w:rsid w:val="0039487C"/>
    <w:rsid w:val="00394F60"/>
    <w:rsid w:val="00394FBF"/>
    <w:rsid w:val="00395AD8"/>
    <w:rsid w:val="00395C65"/>
    <w:rsid w:val="00395EBF"/>
    <w:rsid w:val="00395EF5"/>
    <w:rsid w:val="00396BC7"/>
    <w:rsid w:val="00396D47"/>
    <w:rsid w:val="00397CB9"/>
    <w:rsid w:val="00397F92"/>
    <w:rsid w:val="003A054D"/>
    <w:rsid w:val="003A071A"/>
    <w:rsid w:val="003A0B95"/>
    <w:rsid w:val="003A10CD"/>
    <w:rsid w:val="003A139A"/>
    <w:rsid w:val="003A1BC5"/>
    <w:rsid w:val="003A1F7F"/>
    <w:rsid w:val="003A212A"/>
    <w:rsid w:val="003A22E9"/>
    <w:rsid w:val="003A2B4D"/>
    <w:rsid w:val="003A36EE"/>
    <w:rsid w:val="003A384C"/>
    <w:rsid w:val="003A3962"/>
    <w:rsid w:val="003A3B7E"/>
    <w:rsid w:val="003A3BC5"/>
    <w:rsid w:val="003A3FDB"/>
    <w:rsid w:val="003A434B"/>
    <w:rsid w:val="003A46A2"/>
    <w:rsid w:val="003A4766"/>
    <w:rsid w:val="003A478C"/>
    <w:rsid w:val="003A4C2B"/>
    <w:rsid w:val="003A5525"/>
    <w:rsid w:val="003A5EC2"/>
    <w:rsid w:val="003A6AB3"/>
    <w:rsid w:val="003A6B38"/>
    <w:rsid w:val="003A6FBE"/>
    <w:rsid w:val="003A70FA"/>
    <w:rsid w:val="003A7B23"/>
    <w:rsid w:val="003A7D04"/>
    <w:rsid w:val="003B07C1"/>
    <w:rsid w:val="003B07D7"/>
    <w:rsid w:val="003B0B1C"/>
    <w:rsid w:val="003B0D43"/>
    <w:rsid w:val="003B0D78"/>
    <w:rsid w:val="003B1105"/>
    <w:rsid w:val="003B1C34"/>
    <w:rsid w:val="003B2C29"/>
    <w:rsid w:val="003B3719"/>
    <w:rsid w:val="003B3854"/>
    <w:rsid w:val="003B3CD1"/>
    <w:rsid w:val="003B4AB9"/>
    <w:rsid w:val="003B4D62"/>
    <w:rsid w:val="003B5810"/>
    <w:rsid w:val="003B588F"/>
    <w:rsid w:val="003B5A32"/>
    <w:rsid w:val="003B75E7"/>
    <w:rsid w:val="003B75ED"/>
    <w:rsid w:val="003B7D25"/>
    <w:rsid w:val="003C0343"/>
    <w:rsid w:val="003C100D"/>
    <w:rsid w:val="003C1098"/>
    <w:rsid w:val="003C1606"/>
    <w:rsid w:val="003C1BDB"/>
    <w:rsid w:val="003C20FF"/>
    <w:rsid w:val="003C2B86"/>
    <w:rsid w:val="003C2D8C"/>
    <w:rsid w:val="003C3177"/>
    <w:rsid w:val="003C334B"/>
    <w:rsid w:val="003C3487"/>
    <w:rsid w:val="003C4755"/>
    <w:rsid w:val="003C4892"/>
    <w:rsid w:val="003C48BB"/>
    <w:rsid w:val="003C4A60"/>
    <w:rsid w:val="003C4AB2"/>
    <w:rsid w:val="003C54D3"/>
    <w:rsid w:val="003C5540"/>
    <w:rsid w:val="003C565A"/>
    <w:rsid w:val="003C5BE5"/>
    <w:rsid w:val="003C5FB3"/>
    <w:rsid w:val="003C77D1"/>
    <w:rsid w:val="003C793A"/>
    <w:rsid w:val="003C7C38"/>
    <w:rsid w:val="003C7FCB"/>
    <w:rsid w:val="003D0F87"/>
    <w:rsid w:val="003D1514"/>
    <w:rsid w:val="003D1BBE"/>
    <w:rsid w:val="003D1BF5"/>
    <w:rsid w:val="003D20B9"/>
    <w:rsid w:val="003D2A5D"/>
    <w:rsid w:val="003D396D"/>
    <w:rsid w:val="003D3CA9"/>
    <w:rsid w:val="003D3D33"/>
    <w:rsid w:val="003D476F"/>
    <w:rsid w:val="003D4D7C"/>
    <w:rsid w:val="003D4F10"/>
    <w:rsid w:val="003D5195"/>
    <w:rsid w:val="003D53AA"/>
    <w:rsid w:val="003E006B"/>
    <w:rsid w:val="003E0297"/>
    <w:rsid w:val="003E05A0"/>
    <w:rsid w:val="003E081A"/>
    <w:rsid w:val="003E0B6A"/>
    <w:rsid w:val="003E183C"/>
    <w:rsid w:val="003E1A32"/>
    <w:rsid w:val="003E1CB4"/>
    <w:rsid w:val="003E23A0"/>
    <w:rsid w:val="003E2BEE"/>
    <w:rsid w:val="003E4697"/>
    <w:rsid w:val="003E517B"/>
    <w:rsid w:val="003E5BC2"/>
    <w:rsid w:val="003E5D6E"/>
    <w:rsid w:val="003E6B24"/>
    <w:rsid w:val="003E6D10"/>
    <w:rsid w:val="003E7003"/>
    <w:rsid w:val="003E71A3"/>
    <w:rsid w:val="003E7290"/>
    <w:rsid w:val="003E796F"/>
    <w:rsid w:val="003E7A25"/>
    <w:rsid w:val="003F0699"/>
    <w:rsid w:val="003F073D"/>
    <w:rsid w:val="003F0D54"/>
    <w:rsid w:val="003F1F84"/>
    <w:rsid w:val="003F23F3"/>
    <w:rsid w:val="003F244B"/>
    <w:rsid w:val="003F263C"/>
    <w:rsid w:val="003F278C"/>
    <w:rsid w:val="003F2807"/>
    <w:rsid w:val="003F313C"/>
    <w:rsid w:val="003F3376"/>
    <w:rsid w:val="003F357B"/>
    <w:rsid w:val="003F3B36"/>
    <w:rsid w:val="003F40D4"/>
    <w:rsid w:val="003F4EF4"/>
    <w:rsid w:val="003F50AF"/>
    <w:rsid w:val="003F52E9"/>
    <w:rsid w:val="003F563D"/>
    <w:rsid w:val="003F62AA"/>
    <w:rsid w:val="003F73F0"/>
    <w:rsid w:val="003F7A7D"/>
    <w:rsid w:val="00400636"/>
    <w:rsid w:val="0040115E"/>
    <w:rsid w:val="00401B38"/>
    <w:rsid w:val="00402062"/>
    <w:rsid w:val="0040255C"/>
    <w:rsid w:val="00403558"/>
    <w:rsid w:val="004039E7"/>
    <w:rsid w:val="00403C51"/>
    <w:rsid w:val="00403ED7"/>
    <w:rsid w:val="00404665"/>
    <w:rsid w:val="0040533B"/>
    <w:rsid w:val="00405BB9"/>
    <w:rsid w:val="00405CF7"/>
    <w:rsid w:val="00405D48"/>
    <w:rsid w:val="00406C11"/>
    <w:rsid w:val="0040729C"/>
    <w:rsid w:val="00407395"/>
    <w:rsid w:val="004073A2"/>
    <w:rsid w:val="00407605"/>
    <w:rsid w:val="004079F7"/>
    <w:rsid w:val="004106A5"/>
    <w:rsid w:val="00410844"/>
    <w:rsid w:val="00410C60"/>
    <w:rsid w:val="00410D5F"/>
    <w:rsid w:val="00411DC7"/>
    <w:rsid w:val="0041207B"/>
    <w:rsid w:val="004124B5"/>
    <w:rsid w:val="00412A29"/>
    <w:rsid w:val="00412C2E"/>
    <w:rsid w:val="00412F1A"/>
    <w:rsid w:val="00413856"/>
    <w:rsid w:val="0041398E"/>
    <w:rsid w:val="00413C01"/>
    <w:rsid w:val="00413D2F"/>
    <w:rsid w:val="00413D6B"/>
    <w:rsid w:val="00414240"/>
    <w:rsid w:val="00414606"/>
    <w:rsid w:val="00414664"/>
    <w:rsid w:val="004155CD"/>
    <w:rsid w:val="00415677"/>
    <w:rsid w:val="004166B2"/>
    <w:rsid w:val="00416B8E"/>
    <w:rsid w:val="0041734A"/>
    <w:rsid w:val="0041762C"/>
    <w:rsid w:val="00417F05"/>
    <w:rsid w:val="004207AE"/>
    <w:rsid w:val="00420985"/>
    <w:rsid w:val="00421359"/>
    <w:rsid w:val="00421554"/>
    <w:rsid w:val="00422315"/>
    <w:rsid w:val="004225E1"/>
    <w:rsid w:val="00422F8E"/>
    <w:rsid w:val="0042341B"/>
    <w:rsid w:val="004236B3"/>
    <w:rsid w:val="00423910"/>
    <w:rsid w:val="00424486"/>
    <w:rsid w:val="004245DD"/>
    <w:rsid w:val="00424A56"/>
    <w:rsid w:val="00424AB7"/>
    <w:rsid w:val="00424DD4"/>
    <w:rsid w:val="0042519C"/>
    <w:rsid w:val="00425A39"/>
    <w:rsid w:val="00425C3A"/>
    <w:rsid w:val="004260A7"/>
    <w:rsid w:val="00426330"/>
    <w:rsid w:val="00426422"/>
    <w:rsid w:val="004268C5"/>
    <w:rsid w:val="00427185"/>
    <w:rsid w:val="00427765"/>
    <w:rsid w:val="00427E13"/>
    <w:rsid w:val="00427FC8"/>
    <w:rsid w:val="00430090"/>
    <w:rsid w:val="00430301"/>
    <w:rsid w:val="00430674"/>
    <w:rsid w:val="00430AEE"/>
    <w:rsid w:val="00430CE0"/>
    <w:rsid w:val="004313F0"/>
    <w:rsid w:val="0043194A"/>
    <w:rsid w:val="00431954"/>
    <w:rsid w:val="00431AA8"/>
    <w:rsid w:val="004322C6"/>
    <w:rsid w:val="0043232A"/>
    <w:rsid w:val="00432AB9"/>
    <w:rsid w:val="00432D64"/>
    <w:rsid w:val="004341DF"/>
    <w:rsid w:val="00434E4A"/>
    <w:rsid w:val="00434EA2"/>
    <w:rsid w:val="00435316"/>
    <w:rsid w:val="00435439"/>
    <w:rsid w:val="00435CBA"/>
    <w:rsid w:val="00436048"/>
    <w:rsid w:val="004362C7"/>
    <w:rsid w:val="00436398"/>
    <w:rsid w:val="00436BE7"/>
    <w:rsid w:val="004377D2"/>
    <w:rsid w:val="004403DD"/>
    <w:rsid w:val="00440A9B"/>
    <w:rsid w:val="0044161B"/>
    <w:rsid w:val="00441BA1"/>
    <w:rsid w:val="004420EE"/>
    <w:rsid w:val="004423DA"/>
    <w:rsid w:val="00442B70"/>
    <w:rsid w:val="004431A3"/>
    <w:rsid w:val="00443232"/>
    <w:rsid w:val="00443F89"/>
    <w:rsid w:val="00443FBC"/>
    <w:rsid w:val="00444354"/>
    <w:rsid w:val="00444A6B"/>
    <w:rsid w:val="00445784"/>
    <w:rsid w:val="00445D1D"/>
    <w:rsid w:val="00446C05"/>
    <w:rsid w:val="004477D7"/>
    <w:rsid w:val="0044781D"/>
    <w:rsid w:val="004478D7"/>
    <w:rsid w:val="004479AD"/>
    <w:rsid w:val="004500A7"/>
    <w:rsid w:val="004504AF"/>
    <w:rsid w:val="004519F2"/>
    <w:rsid w:val="00451E6B"/>
    <w:rsid w:val="00451EE4"/>
    <w:rsid w:val="004521A6"/>
    <w:rsid w:val="00452920"/>
    <w:rsid w:val="00452FAC"/>
    <w:rsid w:val="00453061"/>
    <w:rsid w:val="0045366B"/>
    <w:rsid w:val="00453F26"/>
    <w:rsid w:val="0045479C"/>
    <w:rsid w:val="00454B4B"/>
    <w:rsid w:val="00454F72"/>
    <w:rsid w:val="004555AE"/>
    <w:rsid w:val="00455781"/>
    <w:rsid w:val="00455A21"/>
    <w:rsid w:val="00455BF7"/>
    <w:rsid w:val="00455E35"/>
    <w:rsid w:val="004567A9"/>
    <w:rsid w:val="00456844"/>
    <w:rsid w:val="00456845"/>
    <w:rsid w:val="00456CEB"/>
    <w:rsid w:val="00457A19"/>
    <w:rsid w:val="00457EA5"/>
    <w:rsid w:val="00460032"/>
    <w:rsid w:val="00461A58"/>
    <w:rsid w:val="004624F4"/>
    <w:rsid w:val="00463277"/>
    <w:rsid w:val="00463E74"/>
    <w:rsid w:val="00463E8E"/>
    <w:rsid w:val="004644D9"/>
    <w:rsid w:val="004645C1"/>
    <w:rsid w:val="0046625C"/>
    <w:rsid w:val="00466611"/>
    <w:rsid w:val="004717A6"/>
    <w:rsid w:val="00471D56"/>
    <w:rsid w:val="00472688"/>
    <w:rsid w:val="00472A71"/>
    <w:rsid w:val="00472D0C"/>
    <w:rsid w:val="00473149"/>
    <w:rsid w:val="00473708"/>
    <w:rsid w:val="00474E40"/>
    <w:rsid w:val="0047507B"/>
    <w:rsid w:val="004752A7"/>
    <w:rsid w:val="004753E9"/>
    <w:rsid w:val="004759F2"/>
    <w:rsid w:val="00475D13"/>
    <w:rsid w:val="00475FE9"/>
    <w:rsid w:val="00476BD6"/>
    <w:rsid w:val="00480A0A"/>
    <w:rsid w:val="00480B0C"/>
    <w:rsid w:val="00480CC3"/>
    <w:rsid w:val="0048139F"/>
    <w:rsid w:val="00481B3C"/>
    <w:rsid w:val="00482B61"/>
    <w:rsid w:val="004830CE"/>
    <w:rsid w:val="004836E2"/>
    <w:rsid w:val="004837AE"/>
    <w:rsid w:val="00483CCC"/>
    <w:rsid w:val="00484121"/>
    <w:rsid w:val="004843F9"/>
    <w:rsid w:val="00484781"/>
    <w:rsid w:val="00484EC2"/>
    <w:rsid w:val="00485340"/>
    <w:rsid w:val="00485894"/>
    <w:rsid w:val="00485EF6"/>
    <w:rsid w:val="004860DF"/>
    <w:rsid w:val="0048673C"/>
    <w:rsid w:val="00486BAC"/>
    <w:rsid w:val="00486EDF"/>
    <w:rsid w:val="0048734B"/>
    <w:rsid w:val="00487705"/>
    <w:rsid w:val="00487DE1"/>
    <w:rsid w:val="0049040D"/>
    <w:rsid w:val="00490AA9"/>
    <w:rsid w:val="00490B42"/>
    <w:rsid w:val="00490DC2"/>
    <w:rsid w:val="00490DDC"/>
    <w:rsid w:val="004918CF"/>
    <w:rsid w:val="00492782"/>
    <w:rsid w:val="00493D07"/>
    <w:rsid w:val="004944EE"/>
    <w:rsid w:val="00494BB0"/>
    <w:rsid w:val="00495330"/>
    <w:rsid w:val="00496186"/>
    <w:rsid w:val="00496630"/>
    <w:rsid w:val="004972CB"/>
    <w:rsid w:val="00497328"/>
    <w:rsid w:val="004976DF"/>
    <w:rsid w:val="00497A90"/>
    <w:rsid w:val="004A0405"/>
    <w:rsid w:val="004A0961"/>
    <w:rsid w:val="004A0C12"/>
    <w:rsid w:val="004A0CD4"/>
    <w:rsid w:val="004A0D47"/>
    <w:rsid w:val="004A118A"/>
    <w:rsid w:val="004A1A39"/>
    <w:rsid w:val="004A206F"/>
    <w:rsid w:val="004A2867"/>
    <w:rsid w:val="004A2ED0"/>
    <w:rsid w:val="004A30F7"/>
    <w:rsid w:val="004A33C7"/>
    <w:rsid w:val="004A37CA"/>
    <w:rsid w:val="004A3B8F"/>
    <w:rsid w:val="004A4499"/>
    <w:rsid w:val="004A4C70"/>
    <w:rsid w:val="004A4D9F"/>
    <w:rsid w:val="004A503D"/>
    <w:rsid w:val="004A520B"/>
    <w:rsid w:val="004A54DA"/>
    <w:rsid w:val="004A6811"/>
    <w:rsid w:val="004A6C99"/>
    <w:rsid w:val="004A6E50"/>
    <w:rsid w:val="004A7244"/>
    <w:rsid w:val="004A742A"/>
    <w:rsid w:val="004A7516"/>
    <w:rsid w:val="004A774A"/>
    <w:rsid w:val="004A77DF"/>
    <w:rsid w:val="004A7DBE"/>
    <w:rsid w:val="004A7F6D"/>
    <w:rsid w:val="004B00D8"/>
    <w:rsid w:val="004B0827"/>
    <w:rsid w:val="004B0EC3"/>
    <w:rsid w:val="004B0EFC"/>
    <w:rsid w:val="004B116C"/>
    <w:rsid w:val="004B1EFD"/>
    <w:rsid w:val="004B21BD"/>
    <w:rsid w:val="004B228E"/>
    <w:rsid w:val="004B22F1"/>
    <w:rsid w:val="004B32AB"/>
    <w:rsid w:val="004B34E0"/>
    <w:rsid w:val="004B38CF"/>
    <w:rsid w:val="004B443E"/>
    <w:rsid w:val="004B5359"/>
    <w:rsid w:val="004B55B7"/>
    <w:rsid w:val="004B62D9"/>
    <w:rsid w:val="004B6C36"/>
    <w:rsid w:val="004B7407"/>
    <w:rsid w:val="004B789D"/>
    <w:rsid w:val="004B79D3"/>
    <w:rsid w:val="004C008B"/>
    <w:rsid w:val="004C0ADF"/>
    <w:rsid w:val="004C0F0B"/>
    <w:rsid w:val="004C1966"/>
    <w:rsid w:val="004C19A9"/>
    <w:rsid w:val="004C1E7C"/>
    <w:rsid w:val="004C219B"/>
    <w:rsid w:val="004C2813"/>
    <w:rsid w:val="004C2E6C"/>
    <w:rsid w:val="004C2E9A"/>
    <w:rsid w:val="004C3376"/>
    <w:rsid w:val="004C3411"/>
    <w:rsid w:val="004C3867"/>
    <w:rsid w:val="004C3AE6"/>
    <w:rsid w:val="004C4121"/>
    <w:rsid w:val="004C4CD0"/>
    <w:rsid w:val="004C5035"/>
    <w:rsid w:val="004C533E"/>
    <w:rsid w:val="004C5416"/>
    <w:rsid w:val="004C5960"/>
    <w:rsid w:val="004C6C3F"/>
    <w:rsid w:val="004C6F38"/>
    <w:rsid w:val="004C70DC"/>
    <w:rsid w:val="004C728B"/>
    <w:rsid w:val="004D0211"/>
    <w:rsid w:val="004D29B8"/>
    <w:rsid w:val="004D2AC0"/>
    <w:rsid w:val="004D2C50"/>
    <w:rsid w:val="004D3AA6"/>
    <w:rsid w:val="004D4145"/>
    <w:rsid w:val="004D4253"/>
    <w:rsid w:val="004D4844"/>
    <w:rsid w:val="004D488B"/>
    <w:rsid w:val="004D4ED3"/>
    <w:rsid w:val="004D4F8D"/>
    <w:rsid w:val="004D50C1"/>
    <w:rsid w:val="004D53B0"/>
    <w:rsid w:val="004D5A8D"/>
    <w:rsid w:val="004D6B14"/>
    <w:rsid w:val="004D6DD7"/>
    <w:rsid w:val="004D70A1"/>
    <w:rsid w:val="004D7352"/>
    <w:rsid w:val="004D7622"/>
    <w:rsid w:val="004D7DD4"/>
    <w:rsid w:val="004E07F2"/>
    <w:rsid w:val="004E0DA0"/>
    <w:rsid w:val="004E16F6"/>
    <w:rsid w:val="004E1E04"/>
    <w:rsid w:val="004E1FB2"/>
    <w:rsid w:val="004E2105"/>
    <w:rsid w:val="004E2F6C"/>
    <w:rsid w:val="004E3005"/>
    <w:rsid w:val="004E3936"/>
    <w:rsid w:val="004E3B21"/>
    <w:rsid w:val="004E3D6B"/>
    <w:rsid w:val="004E3E7B"/>
    <w:rsid w:val="004E44F4"/>
    <w:rsid w:val="004E46DF"/>
    <w:rsid w:val="004E4AF3"/>
    <w:rsid w:val="004E5288"/>
    <w:rsid w:val="004E57C7"/>
    <w:rsid w:val="004E5C31"/>
    <w:rsid w:val="004E600C"/>
    <w:rsid w:val="004E6919"/>
    <w:rsid w:val="004E6BC8"/>
    <w:rsid w:val="004E6F47"/>
    <w:rsid w:val="004E7551"/>
    <w:rsid w:val="004E789E"/>
    <w:rsid w:val="004E7A13"/>
    <w:rsid w:val="004E7D3D"/>
    <w:rsid w:val="004E7E94"/>
    <w:rsid w:val="004F02B7"/>
    <w:rsid w:val="004F06F5"/>
    <w:rsid w:val="004F0BD9"/>
    <w:rsid w:val="004F0C6A"/>
    <w:rsid w:val="004F0F92"/>
    <w:rsid w:val="004F11F4"/>
    <w:rsid w:val="004F1890"/>
    <w:rsid w:val="004F18B5"/>
    <w:rsid w:val="004F1915"/>
    <w:rsid w:val="004F2019"/>
    <w:rsid w:val="004F25E7"/>
    <w:rsid w:val="004F2F3C"/>
    <w:rsid w:val="004F33A0"/>
    <w:rsid w:val="004F4117"/>
    <w:rsid w:val="004F411B"/>
    <w:rsid w:val="004F4FE7"/>
    <w:rsid w:val="004F5016"/>
    <w:rsid w:val="004F5578"/>
    <w:rsid w:val="004F5721"/>
    <w:rsid w:val="004F5E50"/>
    <w:rsid w:val="004F663F"/>
    <w:rsid w:val="004F6B41"/>
    <w:rsid w:val="004F6BBE"/>
    <w:rsid w:val="004F7168"/>
    <w:rsid w:val="004F7575"/>
    <w:rsid w:val="004F7E6A"/>
    <w:rsid w:val="00500748"/>
    <w:rsid w:val="00500D87"/>
    <w:rsid w:val="00500EBF"/>
    <w:rsid w:val="00501BA8"/>
    <w:rsid w:val="00501BC0"/>
    <w:rsid w:val="005020D2"/>
    <w:rsid w:val="00502265"/>
    <w:rsid w:val="0050264F"/>
    <w:rsid w:val="00502D0B"/>
    <w:rsid w:val="00502D0E"/>
    <w:rsid w:val="00503123"/>
    <w:rsid w:val="005036CD"/>
    <w:rsid w:val="00503742"/>
    <w:rsid w:val="0050375D"/>
    <w:rsid w:val="0050384D"/>
    <w:rsid w:val="00503A24"/>
    <w:rsid w:val="00503DFA"/>
    <w:rsid w:val="0050486B"/>
    <w:rsid w:val="005055DF"/>
    <w:rsid w:val="00505692"/>
    <w:rsid w:val="0050601E"/>
    <w:rsid w:val="005060B8"/>
    <w:rsid w:val="00506701"/>
    <w:rsid w:val="00507292"/>
    <w:rsid w:val="005072D0"/>
    <w:rsid w:val="00507F95"/>
    <w:rsid w:val="0051035C"/>
    <w:rsid w:val="00510890"/>
    <w:rsid w:val="005108C0"/>
    <w:rsid w:val="00510A30"/>
    <w:rsid w:val="00510CB2"/>
    <w:rsid w:val="00510D4F"/>
    <w:rsid w:val="005110A5"/>
    <w:rsid w:val="005116AE"/>
    <w:rsid w:val="00511873"/>
    <w:rsid w:val="00511B1D"/>
    <w:rsid w:val="00511C88"/>
    <w:rsid w:val="0051240C"/>
    <w:rsid w:val="00512441"/>
    <w:rsid w:val="00512D79"/>
    <w:rsid w:val="00512E6D"/>
    <w:rsid w:val="005130E9"/>
    <w:rsid w:val="00513433"/>
    <w:rsid w:val="00513B7E"/>
    <w:rsid w:val="00514924"/>
    <w:rsid w:val="00514B3C"/>
    <w:rsid w:val="005151EB"/>
    <w:rsid w:val="005155BF"/>
    <w:rsid w:val="00515CA9"/>
    <w:rsid w:val="005161B9"/>
    <w:rsid w:val="00516807"/>
    <w:rsid w:val="00516C32"/>
    <w:rsid w:val="00516CC3"/>
    <w:rsid w:val="00517142"/>
    <w:rsid w:val="005171EB"/>
    <w:rsid w:val="005176F5"/>
    <w:rsid w:val="00517B67"/>
    <w:rsid w:val="00517B68"/>
    <w:rsid w:val="00520BF3"/>
    <w:rsid w:val="005226AE"/>
    <w:rsid w:val="00523A55"/>
    <w:rsid w:val="00523DBF"/>
    <w:rsid w:val="00524CD4"/>
    <w:rsid w:val="00525137"/>
    <w:rsid w:val="005251DD"/>
    <w:rsid w:val="005253B9"/>
    <w:rsid w:val="00525FE7"/>
    <w:rsid w:val="00526B5D"/>
    <w:rsid w:val="00526E88"/>
    <w:rsid w:val="00527020"/>
    <w:rsid w:val="00527437"/>
    <w:rsid w:val="0052748E"/>
    <w:rsid w:val="0052775C"/>
    <w:rsid w:val="00527BD3"/>
    <w:rsid w:val="00527DA3"/>
    <w:rsid w:val="00527E4A"/>
    <w:rsid w:val="00530BFD"/>
    <w:rsid w:val="0053206D"/>
    <w:rsid w:val="005323FC"/>
    <w:rsid w:val="0053254A"/>
    <w:rsid w:val="00532B87"/>
    <w:rsid w:val="0053330F"/>
    <w:rsid w:val="005333C7"/>
    <w:rsid w:val="00533490"/>
    <w:rsid w:val="00533F4C"/>
    <w:rsid w:val="00535248"/>
    <w:rsid w:val="00535A73"/>
    <w:rsid w:val="00535DB6"/>
    <w:rsid w:val="005361D3"/>
    <w:rsid w:val="005363E4"/>
    <w:rsid w:val="005363FE"/>
    <w:rsid w:val="00536462"/>
    <w:rsid w:val="00537C4A"/>
    <w:rsid w:val="00540700"/>
    <w:rsid w:val="00540B2D"/>
    <w:rsid w:val="005419BA"/>
    <w:rsid w:val="00542027"/>
    <w:rsid w:val="0054266F"/>
    <w:rsid w:val="00542F68"/>
    <w:rsid w:val="005438A7"/>
    <w:rsid w:val="005438DE"/>
    <w:rsid w:val="005438E4"/>
    <w:rsid w:val="00543CE7"/>
    <w:rsid w:val="0054507F"/>
    <w:rsid w:val="005455DA"/>
    <w:rsid w:val="00545734"/>
    <w:rsid w:val="005458F4"/>
    <w:rsid w:val="00545AFD"/>
    <w:rsid w:val="00545C15"/>
    <w:rsid w:val="00545C50"/>
    <w:rsid w:val="0054607B"/>
    <w:rsid w:val="005460BD"/>
    <w:rsid w:val="00546883"/>
    <w:rsid w:val="0055033D"/>
    <w:rsid w:val="00550AE5"/>
    <w:rsid w:val="00551344"/>
    <w:rsid w:val="005518EF"/>
    <w:rsid w:val="00552735"/>
    <w:rsid w:val="005529F6"/>
    <w:rsid w:val="00552A7D"/>
    <w:rsid w:val="00552AF9"/>
    <w:rsid w:val="00552F1A"/>
    <w:rsid w:val="00553465"/>
    <w:rsid w:val="0055358A"/>
    <w:rsid w:val="00553D4C"/>
    <w:rsid w:val="0055454F"/>
    <w:rsid w:val="005554D3"/>
    <w:rsid w:val="0055632A"/>
    <w:rsid w:val="005563A7"/>
    <w:rsid w:val="00557007"/>
    <w:rsid w:val="0055773E"/>
    <w:rsid w:val="00557B07"/>
    <w:rsid w:val="00557E1D"/>
    <w:rsid w:val="00560C17"/>
    <w:rsid w:val="00560FB2"/>
    <w:rsid w:val="00561796"/>
    <w:rsid w:val="00562596"/>
    <w:rsid w:val="005629BB"/>
    <w:rsid w:val="00562F22"/>
    <w:rsid w:val="00563888"/>
    <w:rsid w:val="00563B0F"/>
    <w:rsid w:val="00563D83"/>
    <w:rsid w:val="00564054"/>
    <w:rsid w:val="00564633"/>
    <w:rsid w:val="00564B70"/>
    <w:rsid w:val="0056597A"/>
    <w:rsid w:val="00565A4E"/>
    <w:rsid w:val="00565E96"/>
    <w:rsid w:val="00566393"/>
    <w:rsid w:val="00566445"/>
    <w:rsid w:val="005668B7"/>
    <w:rsid w:val="00566A33"/>
    <w:rsid w:val="00566C7B"/>
    <w:rsid w:val="005679C5"/>
    <w:rsid w:val="005706B1"/>
    <w:rsid w:val="005709D3"/>
    <w:rsid w:val="00570CD6"/>
    <w:rsid w:val="00570F82"/>
    <w:rsid w:val="005716C1"/>
    <w:rsid w:val="00571D93"/>
    <w:rsid w:val="00572349"/>
    <w:rsid w:val="005729F5"/>
    <w:rsid w:val="00573FFF"/>
    <w:rsid w:val="00574197"/>
    <w:rsid w:val="00574490"/>
    <w:rsid w:val="00574541"/>
    <w:rsid w:val="00574547"/>
    <w:rsid w:val="00574590"/>
    <w:rsid w:val="005745F8"/>
    <w:rsid w:val="00574AB8"/>
    <w:rsid w:val="00574E66"/>
    <w:rsid w:val="00575AFF"/>
    <w:rsid w:val="005764F0"/>
    <w:rsid w:val="00576B55"/>
    <w:rsid w:val="00576FE4"/>
    <w:rsid w:val="00577204"/>
    <w:rsid w:val="00577F03"/>
    <w:rsid w:val="00577F80"/>
    <w:rsid w:val="00581786"/>
    <w:rsid w:val="00581B79"/>
    <w:rsid w:val="00582AD9"/>
    <w:rsid w:val="00582FE0"/>
    <w:rsid w:val="005830FC"/>
    <w:rsid w:val="00583F8C"/>
    <w:rsid w:val="00583FFD"/>
    <w:rsid w:val="005851AF"/>
    <w:rsid w:val="005854DA"/>
    <w:rsid w:val="0058628D"/>
    <w:rsid w:val="0058644C"/>
    <w:rsid w:val="005866E9"/>
    <w:rsid w:val="0058702F"/>
    <w:rsid w:val="005872D8"/>
    <w:rsid w:val="005874A9"/>
    <w:rsid w:val="00587F1E"/>
    <w:rsid w:val="00587F3D"/>
    <w:rsid w:val="00590264"/>
    <w:rsid w:val="00590645"/>
    <w:rsid w:val="00591058"/>
    <w:rsid w:val="00591A62"/>
    <w:rsid w:val="0059258E"/>
    <w:rsid w:val="0059288E"/>
    <w:rsid w:val="00592A8D"/>
    <w:rsid w:val="00592E15"/>
    <w:rsid w:val="00592E3A"/>
    <w:rsid w:val="00593152"/>
    <w:rsid w:val="005932BA"/>
    <w:rsid w:val="00593415"/>
    <w:rsid w:val="00593616"/>
    <w:rsid w:val="005938F5"/>
    <w:rsid w:val="0059475B"/>
    <w:rsid w:val="0059538A"/>
    <w:rsid w:val="00595B7A"/>
    <w:rsid w:val="00595E5C"/>
    <w:rsid w:val="005962A0"/>
    <w:rsid w:val="005963DF"/>
    <w:rsid w:val="005965AB"/>
    <w:rsid w:val="00597A1D"/>
    <w:rsid w:val="005A0714"/>
    <w:rsid w:val="005A0B78"/>
    <w:rsid w:val="005A1B66"/>
    <w:rsid w:val="005A1E1A"/>
    <w:rsid w:val="005A21E0"/>
    <w:rsid w:val="005A2579"/>
    <w:rsid w:val="005A28B5"/>
    <w:rsid w:val="005A2ADA"/>
    <w:rsid w:val="005A3160"/>
    <w:rsid w:val="005A35C9"/>
    <w:rsid w:val="005A3CEB"/>
    <w:rsid w:val="005A3DE8"/>
    <w:rsid w:val="005A4539"/>
    <w:rsid w:val="005A46D2"/>
    <w:rsid w:val="005A5FA9"/>
    <w:rsid w:val="005A60BF"/>
    <w:rsid w:val="005A704F"/>
    <w:rsid w:val="005A771E"/>
    <w:rsid w:val="005A779E"/>
    <w:rsid w:val="005A7D8C"/>
    <w:rsid w:val="005B02E2"/>
    <w:rsid w:val="005B0B56"/>
    <w:rsid w:val="005B1FC4"/>
    <w:rsid w:val="005B2178"/>
    <w:rsid w:val="005B22A7"/>
    <w:rsid w:val="005B259E"/>
    <w:rsid w:val="005B30A1"/>
    <w:rsid w:val="005B3B22"/>
    <w:rsid w:val="005B4204"/>
    <w:rsid w:val="005B4222"/>
    <w:rsid w:val="005B48E0"/>
    <w:rsid w:val="005B496A"/>
    <w:rsid w:val="005B4A27"/>
    <w:rsid w:val="005B52EE"/>
    <w:rsid w:val="005B5DCD"/>
    <w:rsid w:val="005B5E34"/>
    <w:rsid w:val="005B609E"/>
    <w:rsid w:val="005B6358"/>
    <w:rsid w:val="005B65C2"/>
    <w:rsid w:val="005B6B27"/>
    <w:rsid w:val="005B7627"/>
    <w:rsid w:val="005B7AFC"/>
    <w:rsid w:val="005C0B72"/>
    <w:rsid w:val="005C0BF9"/>
    <w:rsid w:val="005C11AC"/>
    <w:rsid w:val="005C14C8"/>
    <w:rsid w:val="005C20C3"/>
    <w:rsid w:val="005C22C7"/>
    <w:rsid w:val="005C2A0C"/>
    <w:rsid w:val="005C2E14"/>
    <w:rsid w:val="005C2E31"/>
    <w:rsid w:val="005C3CB9"/>
    <w:rsid w:val="005C3CD6"/>
    <w:rsid w:val="005C3DF6"/>
    <w:rsid w:val="005C4344"/>
    <w:rsid w:val="005C4540"/>
    <w:rsid w:val="005C4A5A"/>
    <w:rsid w:val="005C4A63"/>
    <w:rsid w:val="005C50F6"/>
    <w:rsid w:val="005C54D2"/>
    <w:rsid w:val="005C5616"/>
    <w:rsid w:val="005C5C6E"/>
    <w:rsid w:val="005C5FE9"/>
    <w:rsid w:val="005C64B3"/>
    <w:rsid w:val="005C665F"/>
    <w:rsid w:val="005C66E8"/>
    <w:rsid w:val="005C6EC5"/>
    <w:rsid w:val="005C7569"/>
    <w:rsid w:val="005C7E3F"/>
    <w:rsid w:val="005D0C21"/>
    <w:rsid w:val="005D12C9"/>
    <w:rsid w:val="005D148B"/>
    <w:rsid w:val="005D16F5"/>
    <w:rsid w:val="005D353F"/>
    <w:rsid w:val="005D3651"/>
    <w:rsid w:val="005D37AA"/>
    <w:rsid w:val="005D3A8D"/>
    <w:rsid w:val="005D44A6"/>
    <w:rsid w:val="005D5459"/>
    <w:rsid w:val="005D5733"/>
    <w:rsid w:val="005D57F6"/>
    <w:rsid w:val="005D5802"/>
    <w:rsid w:val="005D5C82"/>
    <w:rsid w:val="005D5E5F"/>
    <w:rsid w:val="005D5F3F"/>
    <w:rsid w:val="005D601C"/>
    <w:rsid w:val="005D6484"/>
    <w:rsid w:val="005D65CF"/>
    <w:rsid w:val="005D78C1"/>
    <w:rsid w:val="005D7C3B"/>
    <w:rsid w:val="005E1604"/>
    <w:rsid w:val="005E2022"/>
    <w:rsid w:val="005E2322"/>
    <w:rsid w:val="005E2A52"/>
    <w:rsid w:val="005E2DDB"/>
    <w:rsid w:val="005E3325"/>
    <w:rsid w:val="005E33B5"/>
    <w:rsid w:val="005E347D"/>
    <w:rsid w:val="005E3A2D"/>
    <w:rsid w:val="005E3B4E"/>
    <w:rsid w:val="005E3FBD"/>
    <w:rsid w:val="005E4BB3"/>
    <w:rsid w:val="005E4F53"/>
    <w:rsid w:val="005E505B"/>
    <w:rsid w:val="005E51A7"/>
    <w:rsid w:val="005E52CA"/>
    <w:rsid w:val="005E559F"/>
    <w:rsid w:val="005E5841"/>
    <w:rsid w:val="005E601C"/>
    <w:rsid w:val="005E62AE"/>
    <w:rsid w:val="005E68B8"/>
    <w:rsid w:val="005E6B47"/>
    <w:rsid w:val="005E6DBE"/>
    <w:rsid w:val="005E763D"/>
    <w:rsid w:val="005E7685"/>
    <w:rsid w:val="005E781C"/>
    <w:rsid w:val="005F0BD1"/>
    <w:rsid w:val="005F17D5"/>
    <w:rsid w:val="005F2478"/>
    <w:rsid w:val="005F260F"/>
    <w:rsid w:val="005F269E"/>
    <w:rsid w:val="005F2A6F"/>
    <w:rsid w:val="005F3C22"/>
    <w:rsid w:val="005F3E1D"/>
    <w:rsid w:val="005F479D"/>
    <w:rsid w:val="005F47E7"/>
    <w:rsid w:val="005F5310"/>
    <w:rsid w:val="005F55C1"/>
    <w:rsid w:val="005F5CC1"/>
    <w:rsid w:val="005F6069"/>
    <w:rsid w:val="005F6461"/>
    <w:rsid w:val="005F6801"/>
    <w:rsid w:val="005F6A35"/>
    <w:rsid w:val="005F6F84"/>
    <w:rsid w:val="005F7DE8"/>
    <w:rsid w:val="00600AF3"/>
    <w:rsid w:val="006010B5"/>
    <w:rsid w:val="00601AA9"/>
    <w:rsid w:val="00601C10"/>
    <w:rsid w:val="00602291"/>
    <w:rsid w:val="0060238B"/>
    <w:rsid w:val="0060342E"/>
    <w:rsid w:val="0060348B"/>
    <w:rsid w:val="006034DE"/>
    <w:rsid w:val="00603963"/>
    <w:rsid w:val="00603BF6"/>
    <w:rsid w:val="00604307"/>
    <w:rsid w:val="0060487F"/>
    <w:rsid w:val="00604E0D"/>
    <w:rsid w:val="00604FC4"/>
    <w:rsid w:val="00605386"/>
    <w:rsid w:val="00605C8E"/>
    <w:rsid w:val="00605CFF"/>
    <w:rsid w:val="00607283"/>
    <w:rsid w:val="006078AD"/>
    <w:rsid w:val="006079E4"/>
    <w:rsid w:val="00607CF0"/>
    <w:rsid w:val="00610EDF"/>
    <w:rsid w:val="006115C5"/>
    <w:rsid w:val="00611722"/>
    <w:rsid w:val="00611810"/>
    <w:rsid w:val="00611903"/>
    <w:rsid w:val="006119BF"/>
    <w:rsid w:val="00611A94"/>
    <w:rsid w:val="00612194"/>
    <w:rsid w:val="0061330D"/>
    <w:rsid w:val="006137B9"/>
    <w:rsid w:val="00613E83"/>
    <w:rsid w:val="00613EFD"/>
    <w:rsid w:val="00615A4E"/>
    <w:rsid w:val="00615C16"/>
    <w:rsid w:val="00615C91"/>
    <w:rsid w:val="00616319"/>
    <w:rsid w:val="00616A62"/>
    <w:rsid w:val="00616B56"/>
    <w:rsid w:val="0061701C"/>
    <w:rsid w:val="006179E9"/>
    <w:rsid w:val="00620044"/>
    <w:rsid w:val="00620179"/>
    <w:rsid w:val="00620F61"/>
    <w:rsid w:val="00621656"/>
    <w:rsid w:val="0062247C"/>
    <w:rsid w:val="00622C23"/>
    <w:rsid w:val="0062305D"/>
    <w:rsid w:val="00623456"/>
    <w:rsid w:val="00624093"/>
    <w:rsid w:val="006240FF"/>
    <w:rsid w:val="006257D8"/>
    <w:rsid w:val="00625BCA"/>
    <w:rsid w:val="00625EDA"/>
    <w:rsid w:val="0062654A"/>
    <w:rsid w:val="006269D5"/>
    <w:rsid w:val="006269EA"/>
    <w:rsid w:val="00626CB4"/>
    <w:rsid w:val="00626E12"/>
    <w:rsid w:val="00626F55"/>
    <w:rsid w:val="006278B3"/>
    <w:rsid w:val="0063056C"/>
    <w:rsid w:val="0063086D"/>
    <w:rsid w:val="00630B4A"/>
    <w:rsid w:val="00631019"/>
    <w:rsid w:val="006310E4"/>
    <w:rsid w:val="006312C3"/>
    <w:rsid w:val="00631344"/>
    <w:rsid w:val="00631BD8"/>
    <w:rsid w:val="00631D04"/>
    <w:rsid w:val="00631D5A"/>
    <w:rsid w:val="00631DE7"/>
    <w:rsid w:val="00631FE8"/>
    <w:rsid w:val="0063342F"/>
    <w:rsid w:val="006337DD"/>
    <w:rsid w:val="0063382F"/>
    <w:rsid w:val="006338B4"/>
    <w:rsid w:val="00634017"/>
    <w:rsid w:val="006343AA"/>
    <w:rsid w:val="006347D0"/>
    <w:rsid w:val="00634C80"/>
    <w:rsid w:val="00635458"/>
    <w:rsid w:val="0063562D"/>
    <w:rsid w:val="006356AF"/>
    <w:rsid w:val="00635C2B"/>
    <w:rsid w:val="0063630B"/>
    <w:rsid w:val="00636984"/>
    <w:rsid w:val="00637170"/>
    <w:rsid w:val="0063741F"/>
    <w:rsid w:val="00637B11"/>
    <w:rsid w:val="00637D37"/>
    <w:rsid w:val="0064003F"/>
    <w:rsid w:val="006400ED"/>
    <w:rsid w:val="006404A7"/>
    <w:rsid w:val="0064082E"/>
    <w:rsid w:val="00640A5F"/>
    <w:rsid w:val="0064152C"/>
    <w:rsid w:val="00641532"/>
    <w:rsid w:val="00641BF3"/>
    <w:rsid w:val="006426B8"/>
    <w:rsid w:val="00642B43"/>
    <w:rsid w:val="006437D3"/>
    <w:rsid w:val="00643C82"/>
    <w:rsid w:val="00644401"/>
    <w:rsid w:val="00644C7A"/>
    <w:rsid w:val="00644C9D"/>
    <w:rsid w:val="00644EDE"/>
    <w:rsid w:val="00645105"/>
    <w:rsid w:val="006451E4"/>
    <w:rsid w:val="006451F0"/>
    <w:rsid w:val="0064533C"/>
    <w:rsid w:val="00645A5A"/>
    <w:rsid w:val="00645A9B"/>
    <w:rsid w:val="00645B93"/>
    <w:rsid w:val="0064605F"/>
    <w:rsid w:val="00646871"/>
    <w:rsid w:val="00646DA3"/>
    <w:rsid w:val="006505D0"/>
    <w:rsid w:val="006523FA"/>
    <w:rsid w:val="00652AFC"/>
    <w:rsid w:val="00652D61"/>
    <w:rsid w:val="00652D74"/>
    <w:rsid w:val="00652F28"/>
    <w:rsid w:val="00653287"/>
    <w:rsid w:val="006532F0"/>
    <w:rsid w:val="00653F6E"/>
    <w:rsid w:val="006542ED"/>
    <w:rsid w:val="0065484D"/>
    <w:rsid w:val="00655FB6"/>
    <w:rsid w:val="006564BD"/>
    <w:rsid w:val="00656658"/>
    <w:rsid w:val="00656BF8"/>
    <w:rsid w:val="00657195"/>
    <w:rsid w:val="006573DF"/>
    <w:rsid w:val="00657597"/>
    <w:rsid w:val="00657E87"/>
    <w:rsid w:val="00660575"/>
    <w:rsid w:val="006606E7"/>
    <w:rsid w:val="006613D6"/>
    <w:rsid w:val="00662212"/>
    <w:rsid w:val="00662635"/>
    <w:rsid w:val="00662694"/>
    <w:rsid w:val="00662A19"/>
    <w:rsid w:val="00662A1B"/>
    <w:rsid w:val="00663859"/>
    <w:rsid w:val="006638A2"/>
    <w:rsid w:val="00663E02"/>
    <w:rsid w:val="0066450D"/>
    <w:rsid w:val="006646F2"/>
    <w:rsid w:val="006652C4"/>
    <w:rsid w:val="006655D8"/>
    <w:rsid w:val="006664F5"/>
    <w:rsid w:val="00666845"/>
    <w:rsid w:val="00666DBD"/>
    <w:rsid w:val="006670FB"/>
    <w:rsid w:val="006671BA"/>
    <w:rsid w:val="006671D2"/>
    <w:rsid w:val="0066733C"/>
    <w:rsid w:val="00670B89"/>
    <w:rsid w:val="006710C9"/>
    <w:rsid w:val="0067118A"/>
    <w:rsid w:val="00671976"/>
    <w:rsid w:val="00671A9F"/>
    <w:rsid w:val="00671CEF"/>
    <w:rsid w:val="00671F0C"/>
    <w:rsid w:val="00672AB0"/>
    <w:rsid w:val="00672B6E"/>
    <w:rsid w:val="00673310"/>
    <w:rsid w:val="00673CD6"/>
    <w:rsid w:val="00674310"/>
    <w:rsid w:val="00674B6E"/>
    <w:rsid w:val="00674E7F"/>
    <w:rsid w:val="006750B0"/>
    <w:rsid w:val="00675E37"/>
    <w:rsid w:val="00675F3A"/>
    <w:rsid w:val="00675F55"/>
    <w:rsid w:val="0067630D"/>
    <w:rsid w:val="00676763"/>
    <w:rsid w:val="0067698C"/>
    <w:rsid w:val="00676F9C"/>
    <w:rsid w:val="00680484"/>
    <w:rsid w:val="006804FC"/>
    <w:rsid w:val="00680A48"/>
    <w:rsid w:val="006819E5"/>
    <w:rsid w:val="00681A9C"/>
    <w:rsid w:val="00681CB3"/>
    <w:rsid w:val="00681EC9"/>
    <w:rsid w:val="0068221E"/>
    <w:rsid w:val="0068260E"/>
    <w:rsid w:val="00683779"/>
    <w:rsid w:val="00683947"/>
    <w:rsid w:val="00683E98"/>
    <w:rsid w:val="00684158"/>
    <w:rsid w:val="00684459"/>
    <w:rsid w:val="0068574B"/>
    <w:rsid w:val="00687495"/>
    <w:rsid w:val="00687C1B"/>
    <w:rsid w:val="00687CC4"/>
    <w:rsid w:val="00687F82"/>
    <w:rsid w:val="006902F9"/>
    <w:rsid w:val="00690C1C"/>
    <w:rsid w:val="00690FC3"/>
    <w:rsid w:val="00690FED"/>
    <w:rsid w:val="00691266"/>
    <w:rsid w:val="00691988"/>
    <w:rsid w:val="00691FC8"/>
    <w:rsid w:val="00692262"/>
    <w:rsid w:val="006930F9"/>
    <w:rsid w:val="006932B7"/>
    <w:rsid w:val="00693366"/>
    <w:rsid w:val="0069364F"/>
    <w:rsid w:val="00693C50"/>
    <w:rsid w:val="00693D68"/>
    <w:rsid w:val="00693DE1"/>
    <w:rsid w:val="00693FBD"/>
    <w:rsid w:val="0069442A"/>
    <w:rsid w:val="006950BA"/>
    <w:rsid w:val="006954F9"/>
    <w:rsid w:val="00695BEF"/>
    <w:rsid w:val="00696EB8"/>
    <w:rsid w:val="006977F6"/>
    <w:rsid w:val="006979C7"/>
    <w:rsid w:val="00697A13"/>
    <w:rsid w:val="00697C74"/>
    <w:rsid w:val="006A07BD"/>
    <w:rsid w:val="006A0B78"/>
    <w:rsid w:val="006A0EB3"/>
    <w:rsid w:val="006A109C"/>
    <w:rsid w:val="006A10A9"/>
    <w:rsid w:val="006A12FD"/>
    <w:rsid w:val="006A15D6"/>
    <w:rsid w:val="006A15E1"/>
    <w:rsid w:val="006A1BA5"/>
    <w:rsid w:val="006A281E"/>
    <w:rsid w:val="006A282C"/>
    <w:rsid w:val="006A2DAC"/>
    <w:rsid w:val="006A3A77"/>
    <w:rsid w:val="006A3AB0"/>
    <w:rsid w:val="006A3D7A"/>
    <w:rsid w:val="006A41F7"/>
    <w:rsid w:val="006A4FCA"/>
    <w:rsid w:val="006A56A2"/>
    <w:rsid w:val="006A57CA"/>
    <w:rsid w:val="006A5CD8"/>
    <w:rsid w:val="006A622B"/>
    <w:rsid w:val="006A68FD"/>
    <w:rsid w:val="006A6CEC"/>
    <w:rsid w:val="006A7BA8"/>
    <w:rsid w:val="006A7FF3"/>
    <w:rsid w:val="006B0C92"/>
    <w:rsid w:val="006B0CCD"/>
    <w:rsid w:val="006B1002"/>
    <w:rsid w:val="006B10C5"/>
    <w:rsid w:val="006B1C9D"/>
    <w:rsid w:val="006B22E2"/>
    <w:rsid w:val="006B2637"/>
    <w:rsid w:val="006B2E13"/>
    <w:rsid w:val="006B2F1A"/>
    <w:rsid w:val="006B3F78"/>
    <w:rsid w:val="006B44EB"/>
    <w:rsid w:val="006B4855"/>
    <w:rsid w:val="006B4B34"/>
    <w:rsid w:val="006B4ED0"/>
    <w:rsid w:val="006B506D"/>
    <w:rsid w:val="006B5334"/>
    <w:rsid w:val="006B61C5"/>
    <w:rsid w:val="006B6C1B"/>
    <w:rsid w:val="006B7451"/>
    <w:rsid w:val="006B7741"/>
    <w:rsid w:val="006B776F"/>
    <w:rsid w:val="006B78D8"/>
    <w:rsid w:val="006B79DE"/>
    <w:rsid w:val="006C0693"/>
    <w:rsid w:val="006C113F"/>
    <w:rsid w:val="006C1A41"/>
    <w:rsid w:val="006C201D"/>
    <w:rsid w:val="006C2600"/>
    <w:rsid w:val="006C27E6"/>
    <w:rsid w:val="006C2A01"/>
    <w:rsid w:val="006C2A0E"/>
    <w:rsid w:val="006C33DF"/>
    <w:rsid w:val="006C34C1"/>
    <w:rsid w:val="006C3601"/>
    <w:rsid w:val="006C373E"/>
    <w:rsid w:val="006C3C9F"/>
    <w:rsid w:val="006C3E42"/>
    <w:rsid w:val="006C446E"/>
    <w:rsid w:val="006C4C3F"/>
    <w:rsid w:val="006C4F1F"/>
    <w:rsid w:val="006C4F92"/>
    <w:rsid w:val="006C50CC"/>
    <w:rsid w:val="006C6369"/>
    <w:rsid w:val="006C637E"/>
    <w:rsid w:val="006C684C"/>
    <w:rsid w:val="006C6B07"/>
    <w:rsid w:val="006C7525"/>
    <w:rsid w:val="006C7EA7"/>
    <w:rsid w:val="006D0D80"/>
    <w:rsid w:val="006D1029"/>
    <w:rsid w:val="006D102B"/>
    <w:rsid w:val="006D1CB5"/>
    <w:rsid w:val="006D2016"/>
    <w:rsid w:val="006D2396"/>
    <w:rsid w:val="006D24BB"/>
    <w:rsid w:val="006D2559"/>
    <w:rsid w:val="006D26CB"/>
    <w:rsid w:val="006D275D"/>
    <w:rsid w:val="006D27E6"/>
    <w:rsid w:val="006D2BB0"/>
    <w:rsid w:val="006D2BDA"/>
    <w:rsid w:val="006D2F32"/>
    <w:rsid w:val="006D34C1"/>
    <w:rsid w:val="006D41F9"/>
    <w:rsid w:val="006D4556"/>
    <w:rsid w:val="006D4821"/>
    <w:rsid w:val="006D5215"/>
    <w:rsid w:val="006D553C"/>
    <w:rsid w:val="006D566D"/>
    <w:rsid w:val="006D5E0A"/>
    <w:rsid w:val="006D5F4D"/>
    <w:rsid w:val="006D61F6"/>
    <w:rsid w:val="006D71D1"/>
    <w:rsid w:val="006D78AF"/>
    <w:rsid w:val="006D7F8A"/>
    <w:rsid w:val="006E022D"/>
    <w:rsid w:val="006E0C18"/>
    <w:rsid w:val="006E0C59"/>
    <w:rsid w:val="006E1970"/>
    <w:rsid w:val="006E1F73"/>
    <w:rsid w:val="006E20A5"/>
    <w:rsid w:val="006E279A"/>
    <w:rsid w:val="006E30C5"/>
    <w:rsid w:val="006E313B"/>
    <w:rsid w:val="006E3720"/>
    <w:rsid w:val="006E3E5E"/>
    <w:rsid w:val="006E42AA"/>
    <w:rsid w:val="006E445B"/>
    <w:rsid w:val="006E4775"/>
    <w:rsid w:val="006E48D6"/>
    <w:rsid w:val="006E4920"/>
    <w:rsid w:val="006E4DBB"/>
    <w:rsid w:val="006E5039"/>
    <w:rsid w:val="006E53F8"/>
    <w:rsid w:val="006E5469"/>
    <w:rsid w:val="006E5572"/>
    <w:rsid w:val="006E582A"/>
    <w:rsid w:val="006E5B5C"/>
    <w:rsid w:val="006E5CD2"/>
    <w:rsid w:val="006E77B8"/>
    <w:rsid w:val="006E7C47"/>
    <w:rsid w:val="006F08B7"/>
    <w:rsid w:val="006F0AE3"/>
    <w:rsid w:val="006F1594"/>
    <w:rsid w:val="006F1979"/>
    <w:rsid w:val="006F1D47"/>
    <w:rsid w:val="006F1F52"/>
    <w:rsid w:val="006F20A7"/>
    <w:rsid w:val="006F211A"/>
    <w:rsid w:val="006F218F"/>
    <w:rsid w:val="006F2432"/>
    <w:rsid w:val="006F2516"/>
    <w:rsid w:val="006F26E7"/>
    <w:rsid w:val="006F36B5"/>
    <w:rsid w:val="006F3933"/>
    <w:rsid w:val="006F44F9"/>
    <w:rsid w:val="006F4E51"/>
    <w:rsid w:val="006F4FEB"/>
    <w:rsid w:val="006F51D5"/>
    <w:rsid w:val="006F56DF"/>
    <w:rsid w:val="006F5B35"/>
    <w:rsid w:val="006F5D28"/>
    <w:rsid w:val="006F5D5F"/>
    <w:rsid w:val="006F5EAF"/>
    <w:rsid w:val="006F62F4"/>
    <w:rsid w:val="006F66A0"/>
    <w:rsid w:val="006F6A6F"/>
    <w:rsid w:val="006F6BF4"/>
    <w:rsid w:val="006F6EE2"/>
    <w:rsid w:val="006F7318"/>
    <w:rsid w:val="006F7D6F"/>
    <w:rsid w:val="0070046A"/>
    <w:rsid w:val="0070067E"/>
    <w:rsid w:val="00700C44"/>
    <w:rsid w:val="007011A3"/>
    <w:rsid w:val="0070165B"/>
    <w:rsid w:val="00701C33"/>
    <w:rsid w:val="00702060"/>
    <w:rsid w:val="00702312"/>
    <w:rsid w:val="00702E00"/>
    <w:rsid w:val="00703A95"/>
    <w:rsid w:val="007047B1"/>
    <w:rsid w:val="0070497E"/>
    <w:rsid w:val="00704E80"/>
    <w:rsid w:val="0070607A"/>
    <w:rsid w:val="0070709B"/>
    <w:rsid w:val="00707ACC"/>
    <w:rsid w:val="00710016"/>
    <w:rsid w:val="007105BB"/>
    <w:rsid w:val="007106B3"/>
    <w:rsid w:val="00710A84"/>
    <w:rsid w:val="00710C31"/>
    <w:rsid w:val="00711271"/>
    <w:rsid w:val="00711334"/>
    <w:rsid w:val="00711A84"/>
    <w:rsid w:val="0071202B"/>
    <w:rsid w:val="007122DD"/>
    <w:rsid w:val="007131AB"/>
    <w:rsid w:val="00713671"/>
    <w:rsid w:val="00713E26"/>
    <w:rsid w:val="00714A89"/>
    <w:rsid w:val="007155A3"/>
    <w:rsid w:val="007158BD"/>
    <w:rsid w:val="00715C3C"/>
    <w:rsid w:val="00715D75"/>
    <w:rsid w:val="00716471"/>
    <w:rsid w:val="00716A27"/>
    <w:rsid w:val="00716A94"/>
    <w:rsid w:val="007201E8"/>
    <w:rsid w:val="007202F8"/>
    <w:rsid w:val="00720A77"/>
    <w:rsid w:val="00720A8A"/>
    <w:rsid w:val="00720BAA"/>
    <w:rsid w:val="00720EBC"/>
    <w:rsid w:val="007211F5"/>
    <w:rsid w:val="007214BF"/>
    <w:rsid w:val="0072169B"/>
    <w:rsid w:val="00721870"/>
    <w:rsid w:val="0072281F"/>
    <w:rsid w:val="0072329A"/>
    <w:rsid w:val="0072337E"/>
    <w:rsid w:val="00723469"/>
    <w:rsid w:val="007239E6"/>
    <w:rsid w:val="007256C9"/>
    <w:rsid w:val="007259FC"/>
    <w:rsid w:val="00725B5F"/>
    <w:rsid w:val="0072728F"/>
    <w:rsid w:val="00727ACC"/>
    <w:rsid w:val="00730645"/>
    <w:rsid w:val="00730AE8"/>
    <w:rsid w:val="00730E5F"/>
    <w:rsid w:val="00731218"/>
    <w:rsid w:val="00731782"/>
    <w:rsid w:val="007318A1"/>
    <w:rsid w:val="0073223F"/>
    <w:rsid w:val="007325E4"/>
    <w:rsid w:val="00732A80"/>
    <w:rsid w:val="00732E71"/>
    <w:rsid w:val="00733287"/>
    <w:rsid w:val="00733953"/>
    <w:rsid w:val="00734158"/>
    <w:rsid w:val="0073537D"/>
    <w:rsid w:val="00735492"/>
    <w:rsid w:val="00735558"/>
    <w:rsid w:val="007357DE"/>
    <w:rsid w:val="0073609F"/>
    <w:rsid w:val="007361AB"/>
    <w:rsid w:val="00736642"/>
    <w:rsid w:val="00736A22"/>
    <w:rsid w:val="00736A3D"/>
    <w:rsid w:val="00737392"/>
    <w:rsid w:val="0073775D"/>
    <w:rsid w:val="00737F64"/>
    <w:rsid w:val="00740247"/>
    <w:rsid w:val="00741493"/>
    <w:rsid w:val="00741639"/>
    <w:rsid w:val="00741D6A"/>
    <w:rsid w:val="00741F63"/>
    <w:rsid w:val="0074284E"/>
    <w:rsid w:val="00742AE4"/>
    <w:rsid w:val="00742B15"/>
    <w:rsid w:val="0074337C"/>
    <w:rsid w:val="0074449E"/>
    <w:rsid w:val="00744629"/>
    <w:rsid w:val="00745E09"/>
    <w:rsid w:val="00746A14"/>
    <w:rsid w:val="00747B3A"/>
    <w:rsid w:val="00750912"/>
    <w:rsid w:val="00751074"/>
    <w:rsid w:val="00751481"/>
    <w:rsid w:val="00751643"/>
    <w:rsid w:val="0075166A"/>
    <w:rsid w:val="00751E09"/>
    <w:rsid w:val="0075203E"/>
    <w:rsid w:val="00752180"/>
    <w:rsid w:val="007522FD"/>
    <w:rsid w:val="00752754"/>
    <w:rsid w:val="00752784"/>
    <w:rsid w:val="00752BF3"/>
    <w:rsid w:val="00753D5E"/>
    <w:rsid w:val="0075508B"/>
    <w:rsid w:val="0075538A"/>
    <w:rsid w:val="007556A4"/>
    <w:rsid w:val="007556C3"/>
    <w:rsid w:val="00755AFC"/>
    <w:rsid w:val="00755CEA"/>
    <w:rsid w:val="00755D3A"/>
    <w:rsid w:val="00755DEF"/>
    <w:rsid w:val="0075638E"/>
    <w:rsid w:val="00756547"/>
    <w:rsid w:val="00756767"/>
    <w:rsid w:val="007574A0"/>
    <w:rsid w:val="007574AD"/>
    <w:rsid w:val="00757838"/>
    <w:rsid w:val="00757DD3"/>
    <w:rsid w:val="00757E60"/>
    <w:rsid w:val="0076034C"/>
    <w:rsid w:val="007607DE"/>
    <w:rsid w:val="007609C6"/>
    <w:rsid w:val="00761412"/>
    <w:rsid w:val="00761B3D"/>
    <w:rsid w:val="007620B1"/>
    <w:rsid w:val="00763242"/>
    <w:rsid w:val="00763492"/>
    <w:rsid w:val="00763981"/>
    <w:rsid w:val="00764739"/>
    <w:rsid w:val="00764849"/>
    <w:rsid w:val="00764CB6"/>
    <w:rsid w:val="00766481"/>
    <w:rsid w:val="0076676A"/>
    <w:rsid w:val="00767805"/>
    <w:rsid w:val="0076785F"/>
    <w:rsid w:val="00767CA5"/>
    <w:rsid w:val="00767FE9"/>
    <w:rsid w:val="007701FB"/>
    <w:rsid w:val="00770B5B"/>
    <w:rsid w:val="0077211E"/>
    <w:rsid w:val="0077219B"/>
    <w:rsid w:val="00772FD6"/>
    <w:rsid w:val="00773C24"/>
    <w:rsid w:val="007743A7"/>
    <w:rsid w:val="007749AC"/>
    <w:rsid w:val="00776527"/>
    <w:rsid w:val="007766BF"/>
    <w:rsid w:val="0077675E"/>
    <w:rsid w:val="00776925"/>
    <w:rsid w:val="00776E52"/>
    <w:rsid w:val="00777A7F"/>
    <w:rsid w:val="00777C02"/>
    <w:rsid w:val="00780661"/>
    <w:rsid w:val="00781100"/>
    <w:rsid w:val="00782360"/>
    <w:rsid w:val="00782419"/>
    <w:rsid w:val="00782B94"/>
    <w:rsid w:val="00782C2D"/>
    <w:rsid w:val="00783986"/>
    <w:rsid w:val="00784715"/>
    <w:rsid w:val="00784EA4"/>
    <w:rsid w:val="00784FF8"/>
    <w:rsid w:val="007862F6"/>
    <w:rsid w:val="007866C8"/>
    <w:rsid w:val="0078765D"/>
    <w:rsid w:val="00787B62"/>
    <w:rsid w:val="007902DA"/>
    <w:rsid w:val="00790395"/>
    <w:rsid w:val="00790BA8"/>
    <w:rsid w:val="00792B2C"/>
    <w:rsid w:val="00792E1B"/>
    <w:rsid w:val="0079301B"/>
    <w:rsid w:val="007930ED"/>
    <w:rsid w:val="0079384B"/>
    <w:rsid w:val="00793B02"/>
    <w:rsid w:val="00793D33"/>
    <w:rsid w:val="00794BA7"/>
    <w:rsid w:val="00795CBA"/>
    <w:rsid w:val="00796238"/>
    <w:rsid w:val="007974EF"/>
    <w:rsid w:val="00797B10"/>
    <w:rsid w:val="00797EAB"/>
    <w:rsid w:val="00797F5F"/>
    <w:rsid w:val="007A04CE"/>
    <w:rsid w:val="007A0BE9"/>
    <w:rsid w:val="007A0F26"/>
    <w:rsid w:val="007A14F0"/>
    <w:rsid w:val="007A17A9"/>
    <w:rsid w:val="007A1D16"/>
    <w:rsid w:val="007A22BC"/>
    <w:rsid w:val="007A2597"/>
    <w:rsid w:val="007A2BC5"/>
    <w:rsid w:val="007A319B"/>
    <w:rsid w:val="007A33E4"/>
    <w:rsid w:val="007A3CED"/>
    <w:rsid w:val="007A430A"/>
    <w:rsid w:val="007A5223"/>
    <w:rsid w:val="007A5252"/>
    <w:rsid w:val="007A5363"/>
    <w:rsid w:val="007A54CE"/>
    <w:rsid w:val="007A566D"/>
    <w:rsid w:val="007A5794"/>
    <w:rsid w:val="007A5AF0"/>
    <w:rsid w:val="007A5FA4"/>
    <w:rsid w:val="007A6427"/>
    <w:rsid w:val="007A6F78"/>
    <w:rsid w:val="007A7EE3"/>
    <w:rsid w:val="007B05E9"/>
    <w:rsid w:val="007B06B2"/>
    <w:rsid w:val="007B06EC"/>
    <w:rsid w:val="007B077B"/>
    <w:rsid w:val="007B09B5"/>
    <w:rsid w:val="007B1270"/>
    <w:rsid w:val="007B1ADF"/>
    <w:rsid w:val="007B1B84"/>
    <w:rsid w:val="007B27B9"/>
    <w:rsid w:val="007B31E6"/>
    <w:rsid w:val="007B39E8"/>
    <w:rsid w:val="007B3D95"/>
    <w:rsid w:val="007B3FCD"/>
    <w:rsid w:val="007B447A"/>
    <w:rsid w:val="007B5995"/>
    <w:rsid w:val="007B5B94"/>
    <w:rsid w:val="007B6154"/>
    <w:rsid w:val="007B6A57"/>
    <w:rsid w:val="007B7271"/>
    <w:rsid w:val="007B78D9"/>
    <w:rsid w:val="007B7C95"/>
    <w:rsid w:val="007B7CBB"/>
    <w:rsid w:val="007B7CF9"/>
    <w:rsid w:val="007C167F"/>
    <w:rsid w:val="007C1955"/>
    <w:rsid w:val="007C1C09"/>
    <w:rsid w:val="007C1FCD"/>
    <w:rsid w:val="007C1FFE"/>
    <w:rsid w:val="007C2268"/>
    <w:rsid w:val="007C2719"/>
    <w:rsid w:val="007C295A"/>
    <w:rsid w:val="007C2A31"/>
    <w:rsid w:val="007C3691"/>
    <w:rsid w:val="007C375F"/>
    <w:rsid w:val="007C3F6A"/>
    <w:rsid w:val="007C468A"/>
    <w:rsid w:val="007C4C1A"/>
    <w:rsid w:val="007C530B"/>
    <w:rsid w:val="007C626D"/>
    <w:rsid w:val="007C632B"/>
    <w:rsid w:val="007D0303"/>
    <w:rsid w:val="007D0714"/>
    <w:rsid w:val="007D096C"/>
    <w:rsid w:val="007D0CCD"/>
    <w:rsid w:val="007D102C"/>
    <w:rsid w:val="007D1919"/>
    <w:rsid w:val="007D1FB5"/>
    <w:rsid w:val="007D240C"/>
    <w:rsid w:val="007D39BE"/>
    <w:rsid w:val="007D39EA"/>
    <w:rsid w:val="007D4055"/>
    <w:rsid w:val="007D4CD3"/>
    <w:rsid w:val="007D5181"/>
    <w:rsid w:val="007D5D87"/>
    <w:rsid w:val="007D66A3"/>
    <w:rsid w:val="007D6BA7"/>
    <w:rsid w:val="007D713D"/>
    <w:rsid w:val="007D7252"/>
    <w:rsid w:val="007D74AA"/>
    <w:rsid w:val="007D75B1"/>
    <w:rsid w:val="007D7C56"/>
    <w:rsid w:val="007D7D1D"/>
    <w:rsid w:val="007E09C0"/>
    <w:rsid w:val="007E1268"/>
    <w:rsid w:val="007E14E5"/>
    <w:rsid w:val="007E2CCC"/>
    <w:rsid w:val="007E30D5"/>
    <w:rsid w:val="007E3E6D"/>
    <w:rsid w:val="007E3FA2"/>
    <w:rsid w:val="007E41A1"/>
    <w:rsid w:val="007E4208"/>
    <w:rsid w:val="007E469C"/>
    <w:rsid w:val="007E47EB"/>
    <w:rsid w:val="007E4A12"/>
    <w:rsid w:val="007E5E83"/>
    <w:rsid w:val="007E66BC"/>
    <w:rsid w:val="007E6D13"/>
    <w:rsid w:val="007E7007"/>
    <w:rsid w:val="007E77A9"/>
    <w:rsid w:val="007E7BB1"/>
    <w:rsid w:val="007E7E61"/>
    <w:rsid w:val="007F0845"/>
    <w:rsid w:val="007F0C79"/>
    <w:rsid w:val="007F11F8"/>
    <w:rsid w:val="007F146E"/>
    <w:rsid w:val="007F1D03"/>
    <w:rsid w:val="007F1DB7"/>
    <w:rsid w:val="007F21F2"/>
    <w:rsid w:val="007F22A2"/>
    <w:rsid w:val="007F22C4"/>
    <w:rsid w:val="007F2C20"/>
    <w:rsid w:val="007F2DDA"/>
    <w:rsid w:val="007F35DE"/>
    <w:rsid w:val="007F3DCD"/>
    <w:rsid w:val="007F43BF"/>
    <w:rsid w:val="007F53C9"/>
    <w:rsid w:val="007F54C9"/>
    <w:rsid w:val="007F5A1B"/>
    <w:rsid w:val="007F6055"/>
    <w:rsid w:val="007F6237"/>
    <w:rsid w:val="007F6411"/>
    <w:rsid w:val="007F7CD2"/>
    <w:rsid w:val="0080002C"/>
    <w:rsid w:val="0080029B"/>
    <w:rsid w:val="008006AC"/>
    <w:rsid w:val="008007AC"/>
    <w:rsid w:val="0080103E"/>
    <w:rsid w:val="00801042"/>
    <w:rsid w:val="00801128"/>
    <w:rsid w:val="008019C8"/>
    <w:rsid w:val="00801FD4"/>
    <w:rsid w:val="008024CE"/>
    <w:rsid w:val="00802804"/>
    <w:rsid w:val="0080322C"/>
    <w:rsid w:val="00803276"/>
    <w:rsid w:val="008046CE"/>
    <w:rsid w:val="0080498A"/>
    <w:rsid w:val="00804F81"/>
    <w:rsid w:val="0080500B"/>
    <w:rsid w:val="0080521C"/>
    <w:rsid w:val="00805E10"/>
    <w:rsid w:val="0080613B"/>
    <w:rsid w:val="00806451"/>
    <w:rsid w:val="008079A8"/>
    <w:rsid w:val="00807C33"/>
    <w:rsid w:val="008101D1"/>
    <w:rsid w:val="00811222"/>
    <w:rsid w:val="00811389"/>
    <w:rsid w:val="008116DE"/>
    <w:rsid w:val="00811FF4"/>
    <w:rsid w:val="00811FFE"/>
    <w:rsid w:val="0081287F"/>
    <w:rsid w:val="00812945"/>
    <w:rsid w:val="008132DA"/>
    <w:rsid w:val="00813845"/>
    <w:rsid w:val="008144AC"/>
    <w:rsid w:val="008148DB"/>
    <w:rsid w:val="00815240"/>
    <w:rsid w:val="008159F0"/>
    <w:rsid w:val="00816275"/>
    <w:rsid w:val="008169B7"/>
    <w:rsid w:val="00816BC8"/>
    <w:rsid w:val="00816CAA"/>
    <w:rsid w:val="00817A19"/>
    <w:rsid w:val="00820B41"/>
    <w:rsid w:val="00821033"/>
    <w:rsid w:val="00821847"/>
    <w:rsid w:val="00821E1B"/>
    <w:rsid w:val="00821FF6"/>
    <w:rsid w:val="008221F2"/>
    <w:rsid w:val="008224C3"/>
    <w:rsid w:val="00822615"/>
    <w:rsid w:val="00822FAF"/>
    <w:rsid w:val="00823117"/>
    <w:rsid w:val="008239D7"/>
    <w:rsid w:val="00823A73"/>
    <w:rsid w:val="00824887"/>
    <w:rsid w:val="00824C92"/>
    <w:rsid w:val="00824D98"/>
    <w:rsid w:val="00825A4F"/>
    <w:rsid w:val="00825F7B"/>
    <w:rsid w:val="00827A65"/>
    <w:rsid w:val="0083029F"/>
    <w:rsid w:val="008305D4"/>
    <w:rsid w:val="00830955"/>
    <w:rsid w:val="0083143E"/>
    <w:rsid w:val="0083159F"/>
    <w:rsid w:val="00831B03"/>
    <w:rsid w:val="00832251"/>
    <w:rsid w:val="00832C5B"/>
    <w:rsid w:val="00832F47"/>
    <w:rsid w:val="008339E7"/>
    <w:rsid w:val="0083426D"/>
    <w:rsid w:val="0083479A"/>
    <w:rsid w:val="00834FAA"/>
    <w:rsid w:val="00835139"/>
    <w:rsid w:val="008356F5"/>
    <w:rsid w:val="00836086"/>
    <w:rsid w:val="00836D93"/>
    <w:rsid w:val="00837BC5"/>
    <w:rsid w:val="00840136"/>
    <w:rsid w:val="0084014C"/>
    <w:rsid w:val="00840592"/>
    <w:rsid w:val="00840C7B"/>
    <w:rsid w:val="00840E30"/>
    <w:rsid w:val="00840F15"/>
    <w:rsid w:val="00841063"/>
    <w:rsid w:val="008418E3"/>
    <w:rsid w:val="00842DE0"/>
    <w:rsid w:val="00842E41"/>
    <w:rsid w:val="00844545"/>
    <w:rsid w:val="008445B0"/>
    <w:rsid w:val="00844734"/>
    <w:rsid w:val="00845774"/>
    <w:rsid w:val="008458BA"/>
    <w:rsid w:val="00846030"/>
    <w:rsid w:val="00846103"/>
    <w:rsid w:val="0084616E"/>
    <w:rsid w:val="00847509"/>
    <w:rsid w:val="00847610"/>
    <w:rsid w:val="00847A9F"/>
    <w:rsid w:val="00847AE7"/>
    <w:rsid w:val="00847B1D"/>
    <w:rsid w:val="00847E75"/>
    <w:rsid w:val="008507EC"/>
    <w:rsid w:val="0085164D"/>
    <w:rsid w:val="0085169F"/>
    <w:rsid w:val="008516CA"/>
    <w:rsid w:val="008527D0"/>
    <w:rsid w:val="00852AA6"/>
    <w:rsid w:val="00853055"/>
    <w:rsid w:val="008530CD"/>
    <w:rsid w:val="00854C42"/>
    <w:rsid w:val="00855447"/>
    <w:rsid w:val="00856E6C"/>
    <w:rsid w:val="00860672"/>
    <w:rsid w:val="0086158A"/>
    <w:rsid w:val="0086178F"/>
    <w:rsid w:val="0086188F"/>
    <w:rsid w:val="008623C5"/>
    <w:rsid w:val="00862859"/>
    <w:rsid w:val="00862F08"/>
    <w:rsid w:val="00863620"/>
    <w:rsid w:val="0086369B"/>
    <w:rsid w:val="00863914"/>
    <w:rsid w:val="00863D57"/>
    <w:rsid w:val="00863E1D"/>
    <w:rsid w:val="00864575"/>
    <w:rsid w:val="00864753"/>
    <w:rsid w:val="00864965"/>
    <w:rsid w:val="008666FB"/>
    <w:rsid w:val="00866930"/>
    <w:rsid w:val="00866C5B"/>
    <w:rsid w:val="00867769"/>
    <w:rsid w:val="00867F87"/>
    <w:rsid w:val="00870BD2"/>
    <w:rsid w:val="0087136A"/>
    <w:rsid w:val="008738BE"/>
    <w:rsid w:val="00874347"/>
    <w:rsid w:val="00874492"/>
    <w:rsid w:val="0087478F"/>
    <w:rsid w:val="00874DC3"/>
    <w:rsid w:val="00875ACA"/>
    <w:rsid w:val="00875C10"/>
    <w:rsid w:val="00875DD5"/>
    <w:rsid w:val="00876086"/>
    <w:rsid w:val="00876B40"/>
    <w:rsid w:val="00876CA7"/>
    <w:rsid w:val="00876ED6"/>
    <w:rsid w:val="00877369"/>
    <w:rsid w:val="00877587"/>
    <w:rsid w:val="008777BA"/>
    <w:rsid w:val="00877A50"/>
    <w:rsid w:val="00877B42"/>
    <w:rsid w:val="00877BA6"/>
    <w:rsid w:val="008810E4"/>
    <w:rsid w:val="00882081"/>
    <w:rsid w:val="00882361"/>
    <w:rsid w:val="00882683"/>
    <w:rsid w:val="00882CA7"/>
    <w:rsid w:val="008837E8"/>
    <w:rsid w:val="00883EF6"/>
    <w:rsid w:val="0088572B"/>
    <w:rsid w:val="00885EF9"/>
    <w:rsid w:val="00885F25"/>
    <w:rsid w:val="00886DEC"/>
    <w:rsid w:val="00887167"/>
    <w:rsid w:val="0088724D"/>
    <w:rsid w:val="0088749F"/>
    <w:rsid w:val="008877F9"/>
    <w:rsid w:val="0088780D"/>
    <w:rsid w:val="00887973"/>
    <w:rsid w:val="00887BDA"/>
    <w:rsid w:val="00887E21"/>
    <w:rsid w:val="008909AD"/>
    <w:rsid w:val="00891172"/>
    <w:rsid w:val="00891302"/>
    <w:rsid w:val="00891FF9"/>
    <w:rsid w:val="00892300"/>
    <w:rsid w:val="008937CB"/>
    <w:rsid w:val="00893EC7"/>
    <w:rsid w:val="00895421"/>
    <w:rsid w:val="00895501"/>
    <w:rsid w:val="00895A03"/>
    <w:rsid w:val="00896305"/>
    <w:rsid w:val="00896452"/>
    <w:rsid w:val="00896654"/>
    <w:rsid w:val="00896ECF"/>
    <w:rsid w:val="008A07BC"/>
    <w:rsid w:val="008A0A10"/>
    <w:rsid w:val="008A0E03"/>
    <w:rsid w:val="008A132D"/>
    <w:rsid w:val="008A1F0F"/>
    <w:rsid w:val="008A23EC"/>
    <w:rsid w:val="008A2CD5"/>
    <w:rsid w:val="008A2EA4"/>
    <w:rsid w:val="008A31DC"/>
    <w:rsid w:val="008A4969"/>
    <w:rsid w:val="008A5856"/>
    <w:rsid w:val="008A5FFF"/>
    <w:rsid w:val="008A64B4"/>
    <w:rsid w:val="008A69D9"/>
    <w:rsid w:val="008A6C6F"/>
    <w:rsid w:val="008A746F"/>
    <w:rsid w:val="008A7826"/>
    <w:rsid w:val="008A7D69"/>
    <w:rsid w:val="008B038A"/>
    <w:rsid w:val="008B0594"/>
    <w:rsid w:val="008B07CF"/>
    <w:rsid w:val="008B0BBF"/>
    <w:rsid w:val="008B0F3B"/>
    <w:rsid w:val="008B272B"/>
    <w:rsid w:val="008B2742"/>
    <w:rsid w:val="008B2949"/>
    <w:rsid w:val="008B2B07"/>
    <w:rsid w:val="008B2DD5"/>
    <w:rsid w:val="008B3105"/>
    <w:rsid w:val="008B3F80"/>
    <w:rsid w:val="008B43D2"/>
    <w:rsid w:val="008B4E2F"/>
    <w:rsid w:val="008B5965"/>
    <w:rsid w:val="008B5E16"/>
    <w:rsid w:val="008B675B"/>
    <w:rsid w:val="008B7C02"/>
    <w:rsid w:val="008C0003"/>
    <w:rsid w:val="008C082F"/>
    <w:rsid w:val="008C08CC"/>
    <w:rsid w:val="008C0B61"/>
    <w:rsid w:val="008C0B92"/>
    <w:rsid w:val="008C0E88"/>
    <w:rsid w:val="008C123E"/>
    <w:rsid w:val="008C1A57"/>
    <w:rsid w:val="008C1F03"/>
    <w:rsid w:val="008C26F3"/>
    <w:rsid w:val="008C2775"/>
    <w:rsid w:val="008C2BD7"/>
    <w:rsid w:val="008C2C9A"/>
    <w:rsid w:val="008C446A"/>
    <w:rsid w:val="008C4937"/>
    <w:rsid w:val="008C4B37"/>
    <w:rsid w:val="008C4E97"/>
    <w:rsid w:val="008C5B23"/>
    <w:rsid w:val="008C5C25"/>
    <w:rsid w:val="008C608F"/>
    <w:rsid w:val="008C62FD"/>
    <w:rsid w:val="008C642A"/>
    <w:rsid w:val="008C69E8"/>
    <w:rsid w:val="008C6BAC"/>
    <w:rsid w:val="008C6E0F"/>
    <w:rsid w:val="008C755E"/>
    <w:rsid w:val="008C7DD3"/>
    <w:rsid w:val="008C7ED2"/>
    <w:rsid w:val="008D0754"/>
    <w:rsid w:val="008D097B"/>
    <w:rsid w:val="008D0BD0"/>
    <w:rsid w:val="008D0CCB"/>
    <w:rsid w:val="008D116E"/>
    <w:rsid w:val="008D1982"/>
    <w:rsid w:val="008D2A16"/>
    <w:rsid w:val="008D3A3D"/>
    <w:rsid w:val="008D3CBD"/>
    <w:rsid w:val="008D4858"/>
    <w:rsid w:val="008D4A07"/>
    <w:rsid w:val="008D500A"/>
    <w:rsid w:val="008D5241"/>
    <w:rsid w:val="008D5730"/>
    <w:rsid w:val="008D606A"/>
    <w:rsid w:val="008D6563"/>
    <w:rsid w:val="008D68F3"/>
    <w:rsid w:val="008D7406"/>
    <w:rsid w:val="008D7565"/>
    <w:rsid w:val="008D7E6E"/>
    <w:rsid w:val="008E0D8D"/>
    <w:rsid w:val="008E180F"/>
    <w:rsid w:val="008E183C"/>
    <w:rsid w:val="008E1D9E"/>
    <w:rsid w:val="008E1E73"/>
    <w:rsid w:val="008E257C"/>
    <w:rsid w:val="008E26B3"/>
    <w:rsid w:val="008E2FA1"/>
    <w:rsid w:val="008E31FF"/>
    <w:rsid w:val="008E3242"/>
    <w:rsid w:val="008E3998"/>
    <w:rsid w:val="008E3D7C"/>
    <w:rsid w:val="008E4065"/>
    <w:rsid w:val="008E41C1"/>
    <w:rsid w:val="008E4639"/>
    <w:rsid w:val="008E5244"/>
    <w:rsid w:val="008E5792"/>
    <w:rsid w:val="008E57E7"/>
    <w:rsid w:val="008E5C16"/>
    <w:rsid w:val="008E5F9B"/>
    <w:rsid w:val="008E6520"/>
    <w:rsid w:val="008E674E"/>
    <w:rsid w:val="008E676B"/>
    <w:rsid w:val="008E712F"/>
    <w:rsid w:val="008E78C9"/>
    <w:rsid w:val="008E7974"/>
    <w:rsid w:val="008F0178"/>
    <w:rsid w:val="008F0538"/>
    <w:rsid w:val="008F0BA1"/>
    <w:rsid w:val="008F1814"/>
    <w:rsid w:val="008F1B28"/>
    <w:rsid w:val="008F1F72"/>
    <w:rsid w:val="008F20CD"/>
    <w:rsid w:val="008F22FF"/>
    <w:rsid w:val="008F2D49"/>
    <w:rsid w:val="008F371B"/>
    <w:rsid w:val="008F3B54"/>
    <w:rsid w:val="008F3EF4"/>
    <w:rsid w:val="008F450D"/>
    <w:rsid w:val="008F5169"/>
    <w:rsid w:val="008F5329"/>
    <w:rsid w:val="008F7393"/>
    <w:rsid w:val="008F7F10"/>
    <w:rsid w:val="009003A8"/>
    <w:rsid w:val="00900E78"/>
    <w:rsid w:val="00901510"/>
    <w:rsid w:val="00902EFF"/>
    <w:rsid w:val="00903547"/>
    <w:rsid w:val="009037D1"/>
    <w:rsid w:val="00904F49"/>
    <w:rsid w:val="00905123"/>
    <w:rsid w:val="009059F0"/>
    <w:rsid w:val="009064E1"/>
    <w:rsid w:val="00906960"/>
    <w:rsid w:val="00907169"/>
    <w:rsid w:val="009073C2"/>
    <w:rsid w:val="009074F0"/>
    <w:rsid w:val="00910405"/>
    <w:rsid w:val="00910D1F"/>
    <w:rsid w:val="00911684"/>
    <w:rsid w:val="00911855"/>
    <w:rsid w:val="009125DA"/>
    <w:rsid w:val="0091261C"/>
    <w:rsid w:val="00912CAA"/>
    <w:rsid w:val="0091366D"/>
    <w:rsid w:val="00914040"/>
    <w:rsid w:val="009140CA"/>
    <w:rsid w:val="009142BB"/>
    <w:rsid w:val="00914909"/>
    <w:rsid w:val="00914A9A"/>
    <w:rsid w:val="009153F3"/>
    <w:rsid w:val="009155F3"/>
    <w:rsid w:val="00915C41"/>
    <w:rsid w:val="0091620A"/>
    <w:rsid w:val="00916458"/>
    <w:rsid w:val="0091647B"/>
    <w:rsid w:val="00916650"/>
    <w:rsid w:val="00916747"/>
    <w:rsid w:val="00916862"/>
    <w:rsid w:val="00916E47"/>
    <w:rsid w:val="00916FBA"/>
    <w:rsid w:val="0091715F"/>
    <w:rsid w:val="00917541"/>
    <w:rsid w:val="00917CB3"/>
    <w:rsid w:val="0092016C"/>
    <w:rsid w:val="00921108"/>
    <w:rsid w:val="0092147C"/>
    <w:rsid w:val="0092187B"/>
    <w:rsid w:val="00921F14"/>
    <w:rsid w:val="009222BA"/>
    <w:rsid w:val="00922BE8"/>
    <w:rsid w:val="00922C06"/>
    <w:rsid w:val="00923235"/>
    <w:rsid w:val="009233C7"/>
    <w:rsid w:val="00923736"/>
    <w:rsid w:val="00923A83"/>
    <w:rsid w:val="00923D25"/>
    <w:rsid w:val="00924430"/>
    <w:rsid w:val="00924E49"/>
    <w:rsid w:val="00925189"/>
    <w:rsid w:val="009251C3"/>
    <w:rsid w:val="00925407"/>
    <w:rsid w:val="00925CA7"/>
    <w:rsid w:val="009265F6"/>
    <w:rsid w:val="00926679"/>
    <w:rsid w:val="00926913"/>
    <w:rsid w:val="00927D22"/>
    <w:rsid w:val="00927D35"/>
    <w:rsid w:val="009301E9"/>
    <w:rsid w:val="009303E8"/>
    <w:rsid w:val="009306E0"/>
    <w:rsid w:val="00930D0F"/>
    <w:rsid w:val="0093102B"/>
    <w:rsid w:val="009311FE"/>
    <w:rsid w:val="00932499"/>
    <w:rsid w:val="0093260B"/>
    <w:rsid w:val="00933073"/>
    <w:rsid w:val="009338E5"/>
    <w:rsid w:val="0093390B"/>
    <w:rsid w:val="00933CA7"/>
    <w:rsid w:val="00933CE7"/>
    <w:rsid w:val="00933D08"/>
    <w:rsid w:val="009349AB"/>
    <w:rsid w:val="00935942"/>
    <w:rsid w:val="00935B09"/>
    <w:rsid w:val="00935B0F"/>
    <w:rsid w:val="009366ED"/>
    <w:rsid w:val="0093703E"/>
    <w:rsid w:val="0093730E"/>
    <w:rsid w:val="00937967"/>
    <w:rsid w:val="00937C5F"/>
    <w:rsid w:val="009400D5"/>
    <w:rsid w:val="0094030D"/>
    <w:rsid w:val="00940C0F"/>
    <w:rsid w:val="00940ECE"/>
    <w:rsid w:val="00941519"/>
    <w:rsid w:val="00941573"/>
    <w:rsid w:val="00941A36"/>
    <w:rsid w:val="00942A69"/>
    <w:rsid w:val="009430C4"/>
    <w:rsid w:val="0094427A"/>
    <w:rsid w:val="009446E3"/>
    <w:rsid w:val="009451E4"/>
    <w:rsid w:val="0094535A"/>
    <w:rsid w:val="00945A3E"/>
    <w:rsid w:val="00945C5B"/>
    <w:rsid w:val="00946443"/>
    <w:rsid w:val="00946733"/>
    <w:rsid w:val="00946E61"/>
    <w:rsid w:val="00947596"/>
    <w:rsid w:val="00950226"/>
    <w:rsid w:val="00950886"/>
    <w:rsid w:val="00950943"/>
    <w:rsid w:val="00951123"/>
    <w:rsid w:val="0095152E"/>
    <w:rsid w:val="0095235E"/>
    <w:rsid w:val="0095288C"/>
    <w:rsid w:val="009528F0"/>
    <w:rsid w:val="00952983"/>
    <w:rsid w:val="00953502"/>
    <w:rsid w:val="0095395C"/>
    <w:rsid w:val="00953C6A"/>
    <w:rsid w:val="009545C5"/>
    <w:rsid w:val="00954772"/>
    <w:rsid w:val="00954BB6"/>
    <w:rsid w:val="009550CD"/>
    <w:rsid w:val="009558BD"/>
    <w:rsid w:val="009558ED"/>
    <w:rsid w:val="00955989"/>
    <w:rsid w:val="00955B8B"/>
    <w:rsid w:val="00955F9C"/>
    <w:rsid w:val="00956737"/>
    <w:rsid w:val="009571CF"/>
    <w:rsid w:val="00957513"/>
    <w:rsid w:val="00957710"/>
    <w:rsid w:val="00957AD4"/>
    <w:rsid w:val="00960146"/>
    <w:rsid w:val="009602F1"/>
    <w:rsid w:val="00960870"/>
    <w:rsid w:val="00960BD9"/>
    <w:rsid w:val="00960C15"/>
    <w:rsid w:val="00961240"/>
    <w:rsid w:val="009613DB"/>
    <w:rsid w:val="0096196D"/>
    <w:rsid w:val="00961E31"/>
    <w:rsid w:val="0096245A"/>
    <w:rsid w:val="0096258D"/>
    <w:rsid w:val="0096271C"/>
    <w:rsid w:val="00962A7A"/>
    <w:rsid w:val="00963527"/>
    <w:rsid w:val="00963AA4"/>
    <w:rsid w:val="00963F00"/>
    <w:rsid w:val="00964646"/>
    <w:rsid w:val="009648EA"/>
    <w:rsid w:val="00965629"/>
    <w:rsid w:val="00965EF1"/>
    <w:rsid w:val="0096694B"/>
    <w:rsid w:val="00966A24"/>
    <w:rsid w:val="00967434"/>
    <w:rsid w:val="009675BB"/>
    <w:rsid w:val="00970275"/>
    <w:rsid w:val="009702B1"/>
    <w:rsid w:val="00970C5E"/>
    <w:rsid w:val="00970D0A"/>
    <w:rsid w:val="00970D6B"/>
    <w:rsid w:val="00971068"/>
    <w:rsid w:val="009711CF"/>
    <w:rsid w:val="009711D5"/>
    <w:rsid w:val="0097140A"/>
    <w:rsid w:val="0097142A"/>
    <w:rsid w:val="0097151A"/>
    <w:rsid w:val="00971E56"/>
    <w:rsid w:val="0097252D"/>
    <w:rsid w:val="0097331B"/>
    <w:rsid w:val="009733C8"/>
    <w:rsid w:val="00974328"/>
    <w:rsid w:val="00974672"/>
    <w:rsid w:val="00974694"/>
    <w:rsid w:val="00974923"/>
    <w:rsid w:val="009757A9"/>
    <w:rsid w:val="009761F9"/>
    <w:rsid w:val="0097638C"/>
    <w:rsid w:val="00976B35"/>
    <w:rsid w:val="00977132"/>
    <w:rsid w:val="009778D3"/>
    <w:rsid w:val="00977E3B"/>
    <w:rsid w:val="009802CF"/>
    <w:rsid w:val="009804D9"/>
    <w:rsid w:val="009804EE"/>
    <w:rsid w:val="00980512"/>
    <w:rsid w:val="009811FD"/>
    <w:rsid w:val="00981E42"/>
    <w:rsid w:val="0098213E"/>
    <w:rsid w:val="009827ED"/>
    <w:rsid w:val="009834D3"/>
    <w:rsid w:val="00983C65"/>
    <w:rsid w:val="00984079"/>
    <w:rsid w:val="0098459E"/>
    <w:rsid w:val="00984A3F"/>
    <w:rsid w:val="00984E99"/>
    <w:rsid w:val="00985002"/>
    <w:rsid w:val="0098513A"/>
    <w:rsid w:val="00986188"/>
    <w:rsid w:val="00986843"/>
    <w:rsid w:val="009874BD"/>
    <w:rsid w:val="00987C3D"/>
    <w:rsid w:val="00987D3C"/>
    <w:rsid w:val="00987E97"/>
    <w:rsid w:val="00990EDA"/>
    <w:rsid w:val="0099174D"/>
    <w:rsid w:val="00991D5E"/>
    <w:rsid w:val="00991D73"/>
    <w:rsid w:val="009922C9"/>
    <w:rsid w:val="00992BDC"/>
    <w:rsid w:val="009932AF"/>
    <w:rsid w:val="009932EC"/>
    <w:rsid w:val="00993641"/>
    <w:rsid w:val="009937D0"/>
    <w:rsid w:val="00993D78"/>
    <w:rsid w:val="00994A4E"/>
    <w:rsid w:val="00994FE3"/>
    <w:rsid w:val="00995A29"/>
    <w:rsid w:val="00995C04"/>
    <w:rsid w:val="0099613B"/>
    <w:rsid w:val="00996C62"/>
    <w:rsid w:val="0099779C"/>
    <w:rsid w:val="009A1150"/>
    <w:rsid w:val="009A12B4"/>
    <w:rsid w:val="009A1C6B"/>
    <w:rsid w:val="009A1FCC"/>
    <w:rsid w:val="009A2016"/>
    <w:rsid w:val="009A21A1"/>
    <w:rsid w:val="009A24F5"/>
    <w:rsid w:val="009A2A29"/>
    <w:rsid w:val="009A3AED"/>
    <w:rsid w:val="009A4061"/>
    <w:rsid w:val="009A45FF"/>
    <w:rsid w:val="009A4AAA"/>
    <w:rsid w:val="009A4B96"/>
    <w:rsid w:val="009A4E1E"/>
    <w:rsid w:val="009A547E"/>
    <w:rsid w:val="009A5806"/>
    <w:rsid w:val="009A624C"/>
    <w:rsid w:val="009A7070"/>
    <w:rsid w:val="009A7503"/>
    <w:rsid w:val="009A7EBA"/>
    <w:rsid w:val="009B0673"/>
    <w:rsid w:val="009B1054"/>
    <w:rsid w:val="009B1BEA"/>
    <w:rsid w:val="009B2276"/>
    <w:rsid w:val="009B2FA0"/>
    <w:rsid w:val="009B429E"/>
    <w:rsid w:val="009B4372"/>
    <w:rsid w:val="009B449B"/>
    <w:rsid w:val="009B4DF9"/>
    <w:rsid w:val="009B4E99"/>
    <w:rsid w:val="009B5325"/>
    <w:rsid w:val="009B5624"/>
    <w:rsid w:val="009B580A"/>
    <w:rsid w:val="009B6D02"/>
    <w:rsid w:val="009B6FD3"/>
    <w:rsid w:val="009B7472"/>
    <w:rsid w:val="009B74F3"/>
    <w:rsid w:val="009B76CE"/>
    <w:rsid w:val="009B7811"/>
    <w:rsid w:val="009C084A"/>
    <w:rsid w:val="009C096C"/>
    <w:rsid w:val="009C09AC"/>
    <w:rsid w:val="009C0A61"/>
    <w:rsid w:val="009C0EB7"/>
    <w:rsid w:val="009C2F27"/>
    <w:rsid w:val="009C3246"/>
    <w:rsid w:val="009C3B7E"/>
    <w:rsid w:val="009C4226"/>
    <w:rsid w:val="009C4435"/>
    <w:rsid w:val="009C5416"/>
    <w:rsid w:val="009C5435"/>
    <w:rsid w:val="009C5518"/>
    <w:rsid w:val="009C5D96"/>
    <w:rsid w:val="009C5F70"/>
    <w:rsid w:val="009C6C13"/>
    <w:rsid w:val="009C71AF"/>
    <w:rsid w:val="009C761C"/>
    <w:rsid w:val="009C7BCC"/>
    <w:rsid w:val="009D0475"/>
    <w:rsid w:val="009D0A38"/>
    <w:rsid w:val="009D12F1"/>
    <w:rsid w:val="009D170A"/>
    <w:rsid w:val="009D1848"/>
    <w:rsid w:val="009D1CD2"/>
    <w:rsid w:val="009D2407"/>
    <w:rsid w:val="009D24A7"/>
    <w:rsid w:val="009D2817"/>
    <w:rsid w:val="009D2966"/>
    <w:rsid w:val="009D2BBA"/>
    <w:rsid w:val="009D2BE1"/>
    <w:rsid w:val="009D2EFB"/>
    <w:rsid w:val="009D31C9"/>
    <w:rsid w:val="009D3D3E"/>
    <w:rsid w:val="009D4359"/>
    <w:rsid w:val="009D47DA"/>
    <w:rsid w:val="009D493D"/>
    <w:rsid w:val="009D49F7"/>
    <w:rsid w:val="009D5058"/>
    <w:rsid w:val="009D5333"/>
    <w:rsid w:val="009D549B"/>
    <w:rsid w:val="009D7A68"/>
    <w:rsid w:val="009E00E5"/>
    <w:rsid w:val="009E07D9"/>
    <w:rsid w:val="009E1A45"/>
    <w:rsid w:val="009E20CC"/>
    <w:rsid w:val="009E20FF"/>
    <w:rsid w:val="009E34BE"/>
    <w:rsid w:val="009E361F"/>
    <w:rsid w:val="009E3903"/>
    <w:rsid w:val="009E39B1"/>
    <w:rsid w:val="009E3B01"/>
    <w:rsid w:val="009E3DED"/>
    <w:rsid w:val="009E49F6"/>
    <w:rsid w:val="009E5537"/>
    <w:rsid w:val="009E5D62"/>
    <w:rsid w:val="009E63F4"/>
    <w:rsid w:val="009E65B8"/>
    <w:rsid w:val="009E670B"/>
    <w:rsid w:val="009E7CBA"/>
    <w:rsid w:val="009E7D09"/>
    <w:rsid w:val="009E7E7E"/>
    <w:rsid w:val="009F0F75"/>
    <w:rsid w:val="009F11E9"/>
    <w:rsid w:val="009F15A0"/>
    <w:rsid w:val="009F192E"/>
    <w:rsid w:val="009F2015"/>
    <w:rsid w:val="009F25B3"/>
    <w:rsid w:val="009F29BB"/>
    <w:rsid w:val="009F31BB"/>
    <w:rsid w:val="009F36C4"/>
    <w:rsid w:val="009F374A"/>
    <w:rsid w:val="009F3A10"/>
    <w:rsid w:val="009F4381"/>
    <w:rsid w:val="009F4623"/>
    <w:rsid w:val="009F4C2C"/>
    <w:rsid w:val="009F5737"/>
    <w:rsid w:val="009F5791"/>
    <w:rsid w:val="009F5B9D"/>
    <w:rsid w:val="009F5EC5"/>
    <w:rsid w:val="009F6378"/>
    <w:rsid w:val="009F68D6"/>
    <w:rsid w:val="009F6F61"/>
    <w:rsid w:val="009F701D"/>
    <w:rsid w:val="009F73C2"/>
    <w:rsid w:val="009F78A6"/>
    <w:rsid w:val="009F7C85"/>
    <w:rsid w:val="009F7CDE"/>
    <w:rsid w:val="00A00B99"/>
    <w:rsid w:val="00A00D69"/>
    <w:rsid w:val="00A00DBD"/>
    <w:rsid w:val="00A00EB2"/>
    <w:rsid w:val="00A01212"/>
    <w:rsid w:val="00A01405"/>
    <w:rsid w:val="00A01989"/>
    <w:rsid w:val="00A031E5"/>
    <w:rsid w:val="00A033E7"/>
    <w:rsid w:val="00A0354C"/>
    <w:rsid w:val="00A04299"/>
    <w:rsid w:val="00A05934"/>
    <w:rsid w:val="00A059CB"/>
    <w:rsid w:val="00A05C52"/>
    <w:rsid w:val="00A05E18"/>
    <w:rsid w:val="00A06533"/>
    <w:rsid w:val="00A07049"/>
    <w:rsid w:val="00A0746B"/>
    <w:rsid w:val="00A07537"/>
    <w:rsid w:val="00A07932"/>
    <w:rsid w:val="00A07C4B"/>
    <w:rsid w:val="00A10D66"/>
    <w:rsid w:val="00A114DE"/>
    <w:rsid w:val="00A11505"/>
    <w:rsid w:val="00A1191D"/>
    <w:rsid w:val="00A11A53"/>
    <w:rsid w:val="00A11ADB"/>
    <w:rsid w:val="00A11D95"/>
    <w:rsid w:val="00A11E10"/>
    <w:rsid w:val="00A1203B"/>
    <w:rsid w:val="00A12306"/>
    <w:rsid w:val="00A125BD"/>
    <w:rsid w:val="00A140CD"/>
    <w:rsid w:val="00A1441D"/>
    <w:rsid w:val="00A14C4E"/>
    <w:rsid w:val="00A1533F"/>
    <w:rsid w:val="00A1562A"/>
    <w:rsid w:val="00A1562B"/>
    <w:rsid w:val="00A1596F"/>
    <w:rsid w:val="00A16023"/>
    <w:rsid w:val="00A16195"/>
    <w:rsid w:val="00A1626A"/>
    <w:rsid w:val="00A17069"/>
    <w:rsid w:val="00A174B3"/>
    <w:rsid w:val="00A176BE"/>
    <w:rsid w:val="00A17C11"/>
    <w:rsid w:val="00A17E3B"/>
    <w:rsid w:val="00A17ECA"/>
    <w:rsid w:val="00A2067F"/>
    <w:rsid w:val="00A20A84"/>
    <w:rsid w:val="00A21A2E"/>
    <w:rsid w:val="00A21FB3"/>
    <w:rsid w:val="00A22C32"/>
    <w:rsid w:val="00A22DA0"/>
    <w:rsid w:val="00A2354E"/>
    <w:rsid w:val="00A23653"/>
    <w:rsid w:val="00A23769"/>
    <w:rsid w:val="00A23790"/>
    <w:rsid w:val="00A23A22"/>
    <w:rsid w:val="00A23E43"/>
    <w:rsid w:val="00A23F13"/>
    <w:rsid w:val="00A24E16"/>
    <w:rsid w:val="00A2569D"/>
    <w:rsid w:val="00A25902"/>
    <w:rsid w:val="00A259C1"/>
    <w:rsid w:val="00A25DCA"/>
    <w:rsid w:val="00A26B10"/>
    <w:rsid w:val="00A27B3D"/>
    <w:rsid w:val="00A31AD8"/>
    <w:rsid w:val="00A31E71"/>
    <w:rsid w:val="00A32AE3"/>
    <w:rsid w:val="00A32E10"/>
    <w:rsid w:val="00A32F3F"/>
    <w:rsid w:val="00A330DE"/>
    <w:rsid w:val="00A335E1"/>
    <w:rsid w:val="00A3368E"/>
    <w:rsid w:val="00A33820"/>
    <w:rsid w:val="00A33BB6"/>
    <w:rsid w:val="00A3413D"/>
    <w:rsid w:val="00A343B3"/>
    <w:rsid w:val="00A36ADC"/>
    <w:rsid w:val="00A407B6"/>
    <w:rsid w:val="00A4170C"/>
    <w:rsid w:val="00A42145"/>
    <w:rsid w:val="00A4255E"/>
    <w:rsid w:val="00A43EB1"/>
    <w:rsid w:val="00A43F6E"/>
    <w:rsid w:val="00A45746"/>
    <w:rsid w:val="00A459EC"/>
    <w:rsid w:val="00A45F8B"/>
    <w:rsid w:val="00A46DE0"/>
    <w:rsid w:val="00A4796F"/>
    <w:rsid w:val="00A47E46"/>
    <w:rsid w:val="00A50470"/>
    <w:rsid w:val="00A5071B"/>
    <w:rsid w:val="00A50B33"/>
    <w:rsid w:val="00A5138A"/>
    <w:rsid w:val="00A51F7A"/>
    <w:rsid w:val="00A5214B"/>
    <w:rsid w:val="00A527DD"/>
    <w:rsid w:val="00A52921"/>
    <w:rsid w:val="00A5354B"/>
    <w:rsid w:val="00A53854"/>
    <w:rsid w:val="00A53C8D"/>
    <w:rsid w:val="00A53F26"/>
    <w:rsid w:val="00A540A1"/>
    <w:rsid w:val="00A542FC"/>
    <w:rsid w:val="00A5489A"/>
    <w:rsid w:val="00A549A0"/>
    <w:rsid w:val="00A55C50"/>
    <w:rsid w:val="00A56047"/>
    <w:rsid w:val="00A56914"/>
    <w:rsid w:val="00A56D87"/>
    <w:rsid w:val="00A56E4D"/>
    <w:rsid w:val="00A56EEC"/>
    <w:rsid w:val="00A56EF8"/>
    <w:rsid w:val="00A5724F"/>
    <w:rsid w:val="00A57A3A"/>
    <w:rsid w:val="00A604F5"/>
    <w:rsid w:val="00A605DD"/>
    <w:rsid w:val="00A605EB"/>
    <w:rsid w:val="00A609DA"/>
    <w:rsid w:val="00A60E38"/>
    <w:rsid w:val="00A611DE"/>
    <w:rsid w:val="00A61690"/>
    <w:rsid w:val="00A62CE1"/>
    <w:rsid w:val="00A62D42"/>
    <w:rsid w:val="00A6360B"/>
    <w:rsid w:val="00A63804"/>
    <w:rsid w:val="00A650A8"/>
    <w:rsid w:val="00A65AEE"/>
    <w:rsid w:val="00A65D80"/>
    <w:rsid w:val="00A65F61"/>
    <w:rsid w:val="00A66FB5"/>
    <w:rsid w:val="00A6719C"/>
    <w:rsid w:val="00A671E7"/>
    <w:rsid w:val="00A677D4"/>
    <w:rsid w:val="00A67CF2"/>
    <w:rsid w:val="00A67DC0"/>
    <w:rsid w:val="00A67FDB"/>
    <w:rsid w:val="00A703FC"/>
    <w:rsid w:val="00A70410"/>
    <w:rsid w:val="00A70A04"/>
    <w:rsid w:val="00A72F8C"/>
    <w:rsid w:val="00A7383D"/>
    <w:rsid w:val="00A746B1"/>
    <w:rsid w:val="00A74873"/>
    <w:rsid w:val="00A749B8"/>
    <w:rsid w:val="00A74DC3"/>
    <w:rsid w:val="00A752C4"/>
    <w:rsid w:val="00A753ED"/>
    <w:rsid w:val="00A75964"/>
    <w:rsid w:val="00A75E40"/>
    <w:rsid w:val="00A76274"/>
    <w:rsid w:val="00A76B96"/>
    <w:rsid w:val="00A76D58"/>
    <w:rsid w:val="00A77005"/>
    <w:rsid w:val="00A77461"/>
    <w:rsid w:val="00A775F7"/>
    <w:rsid w:val="00A778F2"/>
    <w:rsid w:val="00A77CC5"/>
    <w:rsid w:val="00A80041"/>
    <w:rsid w:val="00A808E6"/>
    <w:rsid w:val="00A81347"/>
    <w:rsid w:val="00A81641"/>
    <w:rsid w:val="00A81C4D"/>
    <w:rsid w:val="00A824E3"/>
    <w:rsid w:val="00A82AE9"/>
    <w:rsid w:val="00A82CF5"/>
    <w:rsid w:val="00A8314E"/>
    <w:rsid w:val="00A83480"/>
    <w:rsid w:val="00A84141"/>
    <w:rsid w:val="00A842D6"/>
    <w:rsid w:val="00A85057"/>
    <w:rsid w:val="00A857C0"/>
    <w:rsid w:val="00A858D8"/>
    <w:rsid w:val="00A87389"/>
    <w:rsid w:val="00A8787E"/>
    <w:rsid w:val="00A87C69"/>
    <w:rsid w:val="00A87F2E"/>
    <w:rsid w:val="00A900ED"/>
    <w:rsid w:val="00A91997"/>
    <w:rsid w:val="00A91A16"/>
    <w:rsid w:val="00A92FE8"/>
    <w:rsid w:val="00A93911"/>
    <w:rsid w:val="00A93FD6"/>
    <w:rsid w:val="00A9412A"/>
    <w:rsid w:val="00A9429F"/>
    <w:rsid w:val="00A94532"/>
    <w:rsid w:val="00A9460A"/>
    <w:rsid w:val="00A94A15"/>
    <w:rsid w:val="00A94AC3"/>
    <w:rsid w:val="00A94DFF"/>
    <w:rsid w:val="00A94E20"/>
    <w:rsid w:val="00A95590"/>
    <w:rsid w:val="00A95994"/>
    <w:rsid w:val="00A95A16"/>
    <w:rsid w:val="00A96720"/>
    <w:rsid w:val="00A973DE"/>
    <w:rsid w:val="00A97D5A"/>
    <w:rsid w:val="00A97F6B"/>
    <w:rsid w:val="00AA024F"/>
    <w:rsid w:val="00AA026C"/>
    <w:rsid w:val="00AA0D43"/>
    <w:rsid w:val="00AA12C2"/>
    <w:rsid w:val="00AA1C22"/>
    <w:rsid w:val="00AA1CCA"/>
    <w:rsid w:val="00AA1FBD"/>
    <w:rsid w:val="00AA28E1"/>
    <w:rsid w:val="00AA294B"/>
    <w:rsid w:val="00AA2DF1"/>
    <w:rsid w:val="00AA421E"/>
    <w:rsid w:val="00AA4791"/>
    <w:rsid w:val="00AA52FA"/>
    <w:rsid w:val="00AA559A"/>
    <w:rsid w:val="00AA56F3"/>
    <w:rsid w:val="00AA5887"/>
    <w:rsid w:val="00AA599C"/>
    <w:rsid w:val="00AA650F"/>
    <w:rsid w:val="00AA6C83"/>
    <w:rsid w:val="00AA7316"/>
    <w:rsid w:val="00AA7429"/>
    <w:rsid w:val="00AA77CA"/>
    <w:rsid w:val="00AA7D02"/>
    <w:rsid w:val="00AA7EB1"/>
    <w:rsid w:val="00AB0E37"/>
    <w:rsid w:val="00AB10C4"/>
    <w:rsid w:val="00AB1E85"/>
    <w:rsid w:val="00AB1F4B"/>
    <w:rsid w:val="00AB257C"/>
    <w:rsid w:val="00AB25BC"/>
    <w:rsid w:val="00AB2AF1"/>
    <w:rsid w:val="00AB33FE"/>
    <w:rsid w:val="00AB3650"/>
    <w:rsid w:val="00AB3AF7"/>
    <w:rsid w:val="00AB4416"/>
    <w:rsid w:val="00AB51E4"/>
    <w:rsid w:val="00AB5ACD"/>
    <w:rsid w:val="00AB67CD"/>
    <w:rsid w:val="00AB67EE"/>
    <w:rsid w:val="00AB68D7"/>
    <w:rsid w:val="00AB6DA6"/>
    <w:rsid w:val="00AB6EEC"/>
    <w:rsid w:val="00AB70B0"/>
    <w:rsid w:val="00AB7188"/>
    <w:rsid w:val="00AB7BFC"/>
    <w:rsid w:val="00AB7F14"/>
    <w:rsid w:val="00AC126E"/>
    <w:rsid w:val="00AC1511"/>
    <w:rsid w:val="00AC172E"/>
    <w:rsid w:val="00AC194C"/>
    <w:rsid w:val="00AC1AEC"/>
    <w:rsid w:val="00AC24D3"/>
    <w:rsid w:val="00AC2691"/>
    <w:rsid w:val="00AC2B58"/>
    <w:rsid w:val="00AC2FB3"/>
    <w:rsid w:val="00AC3332"/>
    <w:rsid w:val="00AC3697"/>
    <w:rsid w:val="00AC392B"/>
    <w:rsid w:val="00AC44C3"/>
    <w:rsid w:val="00AC48C9"/>
    <w:rsid w:val="00AC4DCB"/>
    <w:rsid w:val="00AC4EDB"/>
    <w:rsid w:val="00AC57CA"/>
    <w:rsid w:val="00AC5832"/>
    <w:rsid w:val="00AC62CF"/>
    <w:rsid w:val="00AC6C48"/>
    <w:rsid w:val="00AC7183"/>
    <w:rsid w:val="00AC72F7"/>
    <w:rsid w:val="00AC7319"/>
    <w:rsid w:val="00AC73FA"/>
    <w:rsid w:val="00AC7546"/>
    <w:rsid w:val="00AC7FEA"/>
    <w:rsid w:val="00AD03C4"/>
    <w:rsid w:val="00AD0520"/>
    <w:rsid w:val="00AD056B"/>
    <w:rsid w:val="00AD0857"/>
    <w:rsid w:val="00AD0B5C"/>
    <w:rsid w:val="00AD1571"/>
    <w:rsid w:val="00AD1714"/>
    <w:rsid w:val="00AD1D52"/>
    <w:rsid w:val="00AD233C"/>
    <w:rsid w:val="00AD2487"/>
    <w:rsid w:val="00AD2666"/>
    <w:rsid w:val="00AD2E3D"/>
    <w:rsid w:val="00AD306C"/>
    <w:rsid w:val="00AD3C0A"/>
    <w:rsid w:val="00AD3CE8"/>
    <w:rsid w:val="00AD3CEB"/>
    <w:rsid w:val="00AD40B9"/>
    <w:rsid w:val="00AD50ED"/>
    <w:rsid w:val="00AD5637"/>
    <w:rsid w:val="00AD5EDA"/>
    <w:rsid w:val="00AD636D"/>
    <w:rsid w:val="00AD67C2"/>
    <w:rsid w:val="00AD6866"/>
    <w:rsid w:val="00AD6A19"/>
    <w:rsid w:val="00AD6EAC"/>
    <w:rsid w:val="00AE0623"/>
    <w:rsid w:val="00AE0846"/>
    <w:rsid w:val="00AE1AFF"/>
    <w:rsid w:val="00AE1D54"/>
    <w:rsid w:val="00AE1D7E"/>
    <w:rsid w:val="00AE1FC6"/>
    <w:rsid w:val="00AE20C4"/>
    <w:rsid w:val="00AE2B96"/>
    <w:rsid w:val="00AE302E"/>
    <w:rsid w:val="00AE3308"/>
    <w:rsid w:val="00AE3995"/>
    <w:rsid w:val="00AE3BAB"/>
    <w:rsid w:val="00AE4893"/>
    <w:rsid w:val="00AE4D94"/>
    <w:rsid w:val="00AE501C"/>
    <w:rsid w:val="00AE5259"/>
    <w:rsid w:val="00AE53B8"/>
    <w:rsid w:val="00AE6B98"/>
    <w:rsid w:val="00AE6BF0"/>
    <w:rsid w:val="00AE6DBF"/>
    <w:rsid w:val="00AE7361"/>
    <w:rsid w:val="00AF1B04"/>
    <w:rsid w:val="00AF3EF6"/>
    <w:rsid w:val="00AF4A7E"/>
    <w:rsid w:val="00AF53B7"/>
    <w:rsid w:val="00AF543B"/>
    <w:rsid w:val="00AF5995"/>
    <w:rsid w:val="00AF6897"/>
    <w:rsid w:val="00AF6948"/>
    <w:rsid w:val="00AF7003"/>
    <w:rsid w:val="00AF71E4"/>
    <w:rsid w:val="00AF750B"/>
    <w:rsid w:val="00AF775B"/>
    <w:rsid w:val="00AF77F0"/>
    <w:rsid w:val="00AF7C4B"/>
    <w:rsid w:val="00AF7DE7"/>
    <w:rsid w:val="00AF7F53"/>
    <w:rsid w:val="00B00BC8"/>
    <w:rsid w:val="00B00C7B"/>
    <w:rsid w:val="00B00DEC"/>
    <w:rsid w:val="00B00E2A"/>
    <w:rsid w:val="00B01322"/>
    <w:rsid w:val="00B01847"/>
    <w:rsid w:val="00B01EE5"/>
    <w:rsid w:val="00B021DC"/>
    <w:rsid w:val="00B031D4"/>
    <w:rsid w:val="00B03333"/>
    <w:rsid w:val="00B03CC3"/>
    <w:rsid w:val="00B043AC"/>
    <w:rsid w:val="00B04526"/>
    <w:rsid w:val="00B04635"/>
    <w:rsid w:val="00B050E2"/>
    <w:rsid w:val="00B0569B"/>
    <w:rsid w:val="00B056A3"/>
    <w:rsid w:val="00B05D74"/>
    <w:rsid w:val="00B062B3"/>
    <w:rsid w:val="00B06698"/>
    <w:rsid w:val="00B06CC4"/>
    <w:rsid w:val="00B06DA9"/>
    <w:rsid w:val="00B07216"/>
    <w:rsid w:val="00B07572"/>
    <w:rsid w:val="00B07C65"/>
    <w:rsid w:val="00B07DD5"/>
    <w:rsid w:val="00B10959"/>
    <w:rsid w:val="00B119FD"/>
    <w:rsid w:val="00B11B89"/>
    <w:rsid w:val="00B1291C"/>
    <w:rsid w:val="00B133AC"/>
    <w:rsid w:val="00B13FBD"/>
    <w:rsid w:val="00B13FFF"/>
    <w:rsid w:val="00B14361"/>
    <w:rsid w:val="00B14791"/>
    <w:rsid w:val="00B14834"/>
    <w:rsid w:val="00B14BDD"/>
    <w:rsid w:val="00B15069"/>
    <w:rsid w:val="00B151B7"/>
    <w:rsid w:val="00B15254"/>
    <w:rsid w:val="00B15BDC"/>
    <w:rsid w:val="00B165C6"/>
    <w:rsid w:val="00B1690D"/>
    <w:rsid w:val="00B16BD5"/>
    <w:rsid w:val="00B170AD"/>
    <w:rsid w:val="00B178A2"/>
    <w:rsid w:val="00B17E71"/>
    <w:rsid w:val="00B17ED9"/>
    <w:rsid w:val="00B17FDE"/>
    <w:rsid w:val="00B204CF"/>
    <w:rsid w:val="00B2077E"/>
    <w:rsid w:val="00B20CAF"/>
    <w:rsid w:val="00B21349"/>
    <w:rsid w:val="00B21429"/>
    <w:rsid w:val="00B214B0"/>
    <w:rsid w:val="00B2261C"/>
    <w:rsid w:val="00B226C7"/>
    <w:rsid w:val="00B2285A"/>
    <w:rsid w:val="00B22AB8"/>
    <w:rsid w:val="00B2302C"/>
    <w:rsid w:val="00B233C9"/>
    <w:rsid w:val="00B24292"/>
    <w:rsid w:val="00B24A27"/>
    <w:rsid w:val="00B252C6"/>
    <w:rsid w:val="00B252E7"/>
    <w:rsid w:val="00B260DE"/>
    <w:rsid w:val="00B27E1F"/>
    <w:rsid w:val="00B3069F"/>
    <w:rsid w:val="00B30908"/>
    <w:rsid w:val="00B30BF1"/>
    <w:rsid w:val="00B31896"/>
    <w:rsid w:val="00B32114"/>
    <w:rsid w:val="00B325AF"/>
    <w:rsid w:val="00B327B7"/>
    <w:rsid w:val="00B32C6A"/>
    <w:rsid w:val="00B32DDB"/>
    <w:rsid w:val="00B33248"/>
    <w:rsid w:val="00B3335A"/>
    <w:rsid w:val="00B33686"/>
    <w:rsid w:val="00B33A89"/>
    <w:rsid w:val="00B33C05"/>
    <w:rsid w:val="00B33C76"/>
    <w:rsid w:val="00B34B01"/>
    <w:rsid w:val="00B34DA5"/>
    <w:rsid w:val="00B350AB"/>
    <w:rsid w:val="00B35719"/>
    <w:rsid w:val="00B360DE"/>
    <w:rsid w:val="00B360EA"/>
    <w:rsid w:val="00B361A6"/>
    <w:rsid w:val="00B368C3"/>
    <w:rsid w:val="00B36BB3"/>
    <w:rsid w:val="00B4079B"/>
    <w:rsid w:val="00B40F2C"/>
    <w:rsid w:val="00B41129"/>
    <w:rsid w:val="00B41CFC"/>
    <w:rsid w:val="00B42399"/>
    <w:rsid w:val="00B42A43"/>
    <w:rsid w:val="00B42BB5"/>
    <w:rsid w:val="00B42FC5"/>
    <w:rsid w:val="00B432F1"/>
    <w:rsid w:val="00B436C9"/>
    <w:rsid w:val="00B43872"/>
    <w:rsid w:val="00B43A04"/>
    <w:rsid w:val="00B44616"/>
    <w:rsid w:val="00B447BF"/>
    <w:rsid w:val="00B4494E"/>
    <w:rsid w:val="00B44AB9"/>
    <w:rsid w:val="00B45180"/>
    <w:rsid w:val="00B45197"/>
    <w:rsid w:val="00B452E4"/>
    <w:rsid w:val="00B45542"/>
    <w:rsid w:val="00B456FE"/>
    <w:rsid w:val="00B45F1C"/>
    <w:rsid w:val="00B46311"/>
    <w:rsid w:val="00B47706"/>
    <w:rsid w:val="00B47CEB"/>
    <w:rsid w:val="00B51581"/>
    <w:rsid w:val="00B51672"/>
    <w:rsid w:val="00B5168E"/>
    <w:rsid w:val="00B522F9"/>
    <w:rsid w:val="00B52739"/>
    <w:rsid w:val="00B52837"/>
    <w:rsid w:val="00B52D3F"/>
    <w:rsid w:val="00B52E8D"/>
    <w:rsid w:val="00B52EF0"/>
    <w:rsid w:val="00B53020"/>
    <w:rsid w:val="00B535DD"/>
    <w:rsid w:val="00B54E81"/>
    <w:rsid w:val="00B55302"/>
    <w:rsid w:val="00B5555B"/>
    <w:rsid w:val="00B55672"/>
    <w:rsid w:val="00B5646F"/>
    <w:rsid w:val="00B566DE"/>
    <w:rsid w:val="00B56E66"/>
    <w:rsid w:val="00B56F03"/>
    <w:rsid w:val="00B571F0"/>
    <w:rsid w:val="00B57516"/>
    <w:rsid w:val="00B57987"/>
    <w:rsid w:val="00B6083A"/>
    <w:rsid w:val="00B613B1"/>
    <w:rsid w:val="00B61F38"/>
    <w:rsid w:val="00B63217"/>
    <w:rsid w:val="00B63B72"/>
    <w:rsid w:val="00B6406A"/>
    <w:rsid w:val="00B64CB3"/>
    <w:rsid w:val="00B64DCC"/>
    <w:rsid w:val="00B6551F"/>
    <w:rsid w:val="00B658C4"/>
    <w:rsid w:val="00B6608F"/>
    <w:rsid w:val="00B66298"/>
    <w:rsid w:val="00B664E4"/>
    <w:rsid w:val="00B66952"/>
    <w:rsid w:val="00B67452"/>
    <w:rsid w:val="00B6765F"/>
    <w:rsid w:val="00B67811"/>
    <w:rsid w:val="00B6781F"/>
    <w:rsid w:val="00B678F3"/>
    <w:rsid w:val="00B67A0C"/>
    <w:rsid w:val="00B67CC5"/>
    <w:rsid w:val="00B70DD8"/>
    <w:rsid w:val="00B718E1"/>
    <w:rsid w:val="00B72231"/>
    <w:rsid w:val="00B73E45"/>
    <w:rsid w:val="00B73E8F"/>
    <w:rsid w:val="00B74895"/>
    <w:rsid w:val="00B74ED5"/>
    <w:rsid w:val="00B750A5"/>
    <w:rsid w:val="00B75A83"/>
    <w:rsid w:val="00B765A7"/>
    <w:rsid w:val="00B76D1E"/>
    <w:rsid w:val="00B772C5"/>
    <w:rsid w:val="00B813FE"/>
    <w:rsid w:val="00B821E5"/>
    <w:rsid w:val="00B822E5"/>
    <w:rsid w:val="00B82A76"/>
    <w:rsid w:val="00B831C3"/>
    <w:rsid w:val="00B8345F"/>
    <w:rsid w:val="00B8383B"/>
    <w:rsid w:val="00B84304"/>
    <w:rsid w:val="00B846F8"/>
    <w:rsid w:val="00B849FD"/>
    <w:rsid w:val="00B851B4"/>
    <w:rsid w:val="00B8559A"/>
    <w:rsid w:val="00B858DD"/>
    <w:rsid w:val="00B86028"/>
    <w:rsid w:val="00B86C5E"/>
    <w:rsid w:val="00B86FC5"/>
    <w:rsid w:val="00B87969"/>
    <w:rsid w:val="00B91063"/>
    <w:rsid w:val="00B91197"/>
    <w:rsid w:val="00B912EA"/>
    <w:rsid w:val="00B913BF"/>
    <w:rsid w:val="00B92C17"/>
    <w:rsid w:val="00B93D28"/>
    <w:rsid w:val="00B9482C"/>
    <w:rsid w:val="00B949F1"/>
    <w:rsid w:val="00B955FF"/>
    <w:rsid w:val="00B95940"/>
    <w:rsid w:val="00B95AB1"/>
    <w:rsid w:val="00B967BC"/>
    <w:rsid w:val="00B969F1"/>
    <w:rsid w:val="00B96B3A"/>
    <w:rsid w:val="00B96C64"/>
    <w:rsid w:val="00B9771C"/>
    <w:rsid w:val="00B97970"/>
    <w:rsid w:val="00B979B4"/>
    <w:rsid w:val="00B97D6A"/>
    <w:rsid w:val="00BA0022"/>
    <w:rsid w:val="00BA0F35"/>
    <w:rsid w:val="00BA23CA"/>
    <w:rsid w:val="00BA2839"/>
    <w:rsid w:val="00BA2D52"/>
    <w:rsid w:val="00BA3D19"/>
    <w:rsid w:val="00BA3EF0"/>
    <w:rsid w:val="00BA3F08"/>
    <w:rsid w:val="00BA42D1"/>
    <w:rsid w:val="00BA4E76"/>
    <w:rsid w:val="00BA51F2"/>
    <w:rsid w:val="00BA5D4A"/>
    <w:rsid w:val="00BA5E51"/>
    <w:rsid w:val="00BA6B07"/>
    <w:rsid w:val="00BA7CB9"/>
    <w:rsid w:val="00BA7D31"/>
    <w:rsid w:val="00BA7DB6"/>
    <w:rsid w:val="00BB0DE6"/>
    <w:rsid w:val="00BB106E"/>
    <w:rsid w:val="00BB1863"/>
    <w:rsid w:val="00BB2410"/>
    <w:rsid w:val="00BB26C2"/>
    <w:rsid w:val="00BB2C27"/>
    <w:rsid w:val="00BB4A76"/>
    <w:rsid w:val="00BB53C8"/>
    <w:rsid w:val="00BB5FE5"/>
    <w:rsid w:val="00BB6326"/>
    <w:rsid w:val="00BB6799"/>
    <w:rsid w:val="00BB6921"/>
    <w:rsid w:val="00BB6CFA"/>
    <w:rsid w:val="00BB7453"/>
    <w:rsid w:val="00BB764B"/>
    <w:rsid w:val="00BB76D5"/>
    <w:rsid w:val="00BB76FE"/>
    <w:rsid w:val="00BB7952"/>
    <w:rsid w:val="00BB7E20"/>
    <w:rsid w:val="00BC0AD9"/>
    <w:rsid w:val="00BC0EDC"/>
    <w:rsid w:val="00BC1309"/>
    <w:rsid w:val="00BC1C68"/>
    <w:rsid w:val="00BC1E02"/>
    <w:rsid w:val="00BC1FBF"/>
    <w:rsid w:val="00BC209F"/>
    <w:rsid w:val="00BC2308"/>
    <w:rsid w:val="00BC2AAC"/>
    <w:rsid w:val="00BC3805"/>
    <w:rsid w:val="00BC39D0"/>
    <w:rsid w:val="00BC3A9B"/>
    <w:rsid w:val="00BC3E99"/>
    <w:rsid w:val="00BC46B1"/>
    <w:rsid w:val="00BC5110"/>
    <w:rsid w:val="00BC57A9"/>
    <w:rsid w:val="00BC5A30"/>
    <w:rsid w:val="00BC6AC1"/>
    <w:rsid w:val="00BC6B89"/>
    <w:rsid w:val="00BC6BDD"/>
    <w:rsid w:val="00BC6DAF"/>
    <w:rsid w:val="00BC7372"/>
    <w:rsid w:val="00BC79BD"/>
    <w:rsid w:val="00BC7B9A"/>
    <w:rsid w:val="00BD0691"/>
    <w:rsid w:val="00BD0BE3"/>
    <w:rsid w:val="00BD0D66"/>
    <w:rsid w:val="00BD0E3B"/>
    <w:rsid w:val="00BD12B6"/>
    <w:rsid w:val="00BD17C4"/>
    <w:rsid w:val="00BD1D6D"/>
    <w:rsid w:val="00BD20F4"/>
    <w:rsid w:val="00BD2295"/>
    <w:rsid w:val="00BD2910"/>
    <w:rsid w:val="00BD2A2E"/>
    <w:rsid w:val="00BD2B28"/>
    <w:rsid w:val="00BD2BC9"/>
    <w:rsid w:val="00BD35AB"/>
    <w:rsid w:val="00BD363F"/>
    <w:rsid w:val="00BD366B"/>
    <w:rsid w:val="00BD3835"/>
    <w:rsid w:val="00BD3A99"/>
    <w:rsid w:val="00BD469D"/>
    <w:rsid w:val="00BD51D4"/>
    <w:rsid w:val="00BD57E8"/>
    <w:rsid w:val="00BD5808"/>
    <w:rsid w:val="00BD5A27"/>
    <w:rsid w:val="00BD60A1"/>
    <w:rsid w:val="00BD6537"/>
    <w:rsid w:val="00BD6601"/>
    <w:rsid w:val="00BD6CC1"/>
    <w:rsid w:val="00BD6D50"/>
    <w:rsid w:val="00BD79FF"/>
    <w:rsid w:val="00BE0470"/>
    <w:rsid w:val="00BE0EF9"/>
    <w:rsid w:val="00BE0FEA"/>
    <w:rsid w:val="00BE1794"/>
    <w:rsid w:val="00BE1BBB"/>
    <w:rsid w:val="00BE2C72"/>
    <w:rsid w:val="00BE31EA"/>
    <w:rsid w:val="00BE33B7"/>
    <w:rsid w:val="00BE3ADF"/>
    <w:rsid w:val="00BE41CD"/>
    <w:rsid w:val="00BE49C2"/>
    <w:rsid w:val="00BE4B95"/>
    <w:rsid w:val="00BE4FA5"/>
    <w:rsid w:val="00BE53CE"/>
    <w:rsid w:val="00BE607F"/>
    <w:rsid w:val="00BE6172"/>
    <w:rsid w:val="00BE627E"/>
    <w:rsid w:val="00BE63D0"/>
    <w:rsid w:val="00BE6F43"/>
    <w:rsid w:val="00BE748A"/>
    <w:rsid w:val="00BE76F6"/>
    <w:rsid w:val="00BE779A"/>
    <w:rsid w:val="00BE7CA3"/>
    <w:rsid w:val="00BE7F9B"/>
    <w:rsid w:val="00BF0713"/>
    <w:rsid w:val="00BF09A3"/>
    <w:rsid w:val="00BF0AA3"/>
    <w:rsid w:val="00BF0BAB"/>
    <w:rsid w:val="00BF1348"/>
    <w:rsid w:val="00BF1401"/>
    <w:rsid w:val="00BF154B"/>
    <w:rsid w:val="00BF1812"/>
    <w:rsid w:val="00BF1815"/>
    <w:rsid w:val="00BF1D46"/>
    <w:rsid w:val="00BF1FFC"/>
    <w:rsid w:val="00BF2057"/>
    <w:rsid w:val="00BF24B9"/>
    <w:rsid w:val="00BF2837"/>
    <w:rsid w:val="00BF2A80"/>
    <w:rsid w:val="00BF3008"/>
    <w:rsid w:val="00BF306F"/>
    <w:rsid w:val="00BF3D17"/>
    <w:rsid w:val="00BF3E1C"/>
    <w:rsid w:val="00BF3EDA"/>
    <w:rsid w:val="00BF57A5"/>
    <w:rsid w:val="00BF5E16"/>
    <w:rsid w:val="00BF6243"/>
    <w:rsid w:val="00BF6BE5"/>
    <w:rsid w:val="00BF6FC7"/>
    <w:rsid w:val="00BF752C"/>
    <w:rsid w:val="00BF7C21"/>
    <w:rsid w:val="00BF7E76"/>
    <w:rsid w:val="00BF7EC0"/>
    <w:rsid w:val="00C00376"/>
    <w:rsid w:val="00C00741"/>
    <w:rsid w:val="00C018F4"/>
    <w:rsid w:val="00C01BB8"/>
    <w:rsid w:val="00C0254E"/>
    <w:rsid w:val="00C03D65"/>
    <w:rsid w:val="00C03F42"/>
    <w:rsid w:val="00C0448C"/>
    <w:rsid w:val="00C0450E"/>
    <w:rsid w:val="00C0474E"/>
    <w:rsid w:val="00C04FD8"/>
    <w:rsid w:val="00C05180"/>
    <w:rsid w:val="00C05523"/>
    <w:rsid w:val="00C0554F"/>
    <w:rsid w:val="00C055AC"/>
    <w:rsid w:val="00C058F6"/>
    <w:rsid w:val="00C05A64"/>
    <w:rsid w:val="00C06CC8"/>
    <w:rsid w:val="00C07C74"/>
    <w:rsid w:val="00C07D04"/>
    <w:rsid w:val="00C1031A"/>
    <w:rsid w:val="00C10447"/>
    <w:rsid w:val="00C1053C"/>
    <w:rsid w:val="00C1059A"/>
    <w:rsid w:val="00C108E2"/>
    <w:rsid w:val="00C10FB2"/>
    <w:rsid w:val="00C10FC4"/>
    <w:rsid w:val="00C11031"/>
    <w:rsid w:val="00C11467"/>
    <w:rsid w:val="00C11FBC"/>
    <w:rsid w:val="00C1208D"/>
    <w:rsid w:val="00C12835"/>
    <w:rsid w:val="00C131F6"/>
    <w:rsid w:val="00C13E05"/>
    <w:rsid w:val="00C13EC4"/>
    <w:rsid w:val="00C13EF3"/>
    <w:rsid w:val="00C13FFB"/>
    <w:rsid w:val="00C140D5"/>
    <w:rsid w:val="00C14494"/>
    <w:rsid w:val="00C14ECE"/>
    <w:rsid w:val="00C15FE7"/>
    <w:rsid w:val="00C16A27"/>
    <w:rsid w:val="00C16D82"/>
    <w:rsid w:val="00C16FA7"/>
    <w:rsid w:val="00C1712A"/>
    <w:rsid w:val="00C1712C"/>
    <w:rsid w:val="00C17654"/>
    <w:rsid w:val="00C1798C"/>
    <w:rsid w:val="00C17B40"/>
    <w:rsid w:val="00C17B8A"/>
    <w:rsid w:val="00C2040D"/>
    <w:rsid w:val="00C21091"/>
    <w:rsid w:val="00C21D10"/>
    <w:rsid w:val="00C21D1B"/>
    <w:rsid w:val="00C21DE9"/>
    <w:rsid w:val="00C21F94"/>
    <w:rsid w:val="00C23D40"/>
    <w:rsid w:val="00C249B7"/>
    <w:rsid w:val="00C24DA9"/>
    <w:rsid w:val="00C26A32"/>
    <w:rsid w:val="00C276E7"/>
    <w:rsid w:val="00C27DAA"/>
    <w:rsid w:val="00C31655"/>
    <w:rsid w:val="00C31744"/>
    <w:rsid w:val="00C3236E"/>
    <w:rsid w:val="00C32F2D"/>
    <w:rsid w:val="00C334C7"/>
    <w:rsid w:val="00C33933"/>
    <w:rsid w:val="00C33AD8"/>
    <w:rsid w:val="00C34457"/>
    <w:rsid w:val="00C349BC"/>
    <w:rsid w:val="00C34E66"/>
    <w:rsid w:val="00C351C0"/>
    <w:rsid w:val="00C3533B"/>
    <w:rsid w:val="00C3589C"/>
    <w:rsid w:val="00C35B98"/>
    <w:rsid w:val="00C35C48"/>
    <w:rsid w:val="00C36807"/>
    <w:rsid w:val="00C370B8"/>
    <w:rsid w:val="00C377C4"/>
    <w:rsid w:val="00C37EA8"/>
    <w:rsid w:val="00C401E1"/>
    <w:rsid w:val="00C40E92"/>
    <w:rsid w:val="00C41A67"/>
    <w:rsid w:val="00C42179"/>
    <w:rsid w:val="00C422C5"/>
    <w:rsid w:val="00C42D86"/>
    <w:rsid w:val="00C4352B"/>
    <w:rsid w:val="00C43588"/>
    <w:rsid w:val="00C43B05"/>
    <w:rsid w:val="00C43BDF"/>
    <w:rsid w:val="00C43F49"/>
    <w:rsid w:val="00C440E2"/>
    <w:rsid w:val="00C45298"/>
    <w:rsid w:val="00C45446"/>
    <w:rsid w:val="00C45B5D"/>
    <w:rsid w:val="00C45CAF"/>
    <w:rsid w:val="00C46015"/>
    <w:rsid w:val="00C46027"/>
    <w:rsid w:val="00C46D20"/>
    <w:rsid w:val="00C470F8"/>
    <w:rsid w:val="00C50046"/>
    <w:rsid w:val="00C50385"/>
    <w:rsid w:val="00C5090D"/>
    <w:rsid w:val="00C50A5E"/>
    <w:rsid w:val="00C50FDC"/>
    <w:rsid w:val="00C512E7"/>
    <w:rsid w:val="00C51CE7"/>
    <w:rsid w:val="00C52041"/>
    <w:rsid w:val="00C5219C"/>
    <w:rsid w:val="00C52271"/>
    <w:rsid w:val="00C52CFF"/>
    <w:rsid w:val="00C53308"/>
    <w:rsid w:val="00C53A98"/>
    <w:rsid w:val="00C53CF4"/>
    <w:rsid w:val="00C54122"/>
    <w:rsid w:val="00C542DA"/>
    <w:rsid w:val="00C54302"/>
    <w:rsid w:val="00C54ED4"/>
    <w:rsid w:val="00C55B0C"/>
    <w:rsid w:val="00C55C3C"/>
    <w:rsid w:val="00C55CB9"/>
    <w:rsid w:val="00C55F81"/>
    <w:rsid w:val="00C56392"/>
    <w:rsid w:val="00C564EB"/>
    <w:rsid w:val="00C5697F"/>
    <w:rsid w:val="00C56FAC"/>
    <w:rsid w:val="00C57270"/>
    <w:rsid w:val="00C57443"/>
    <w:rsid w:val="00C576C1"/>
    <w:rsid w:val="00C5798B"/>
    <w:rsid w:val="00C608DB"/>
    <w:rsid w:val="00C60D30"/>
    <w:rsid w:val="00C618DB"/>
    <w:rsid w:val="00C622D3"/>
    <w:rsid w:val="00C62C8D"/>
    <w:rsid w:val="00C62DD3"/>
    <w:rsid w:val="00C6309F"/>
    <w:rsid w:val="00C634DF"/>
    <w:rsid w:val="00C639DA"/>
    <w:rsid w:val="00C63BD4"/>
    <w:rsid w:val="00C63F30"/>
    <w:rsid w:val="00C63FC3"/>
    <w:rsid w:val="00C642DA"/>
    <w:rsid w:val="00C64C19"/>
    <w:rsid w:val="00C66382"/>
    <w:rsid w:val="00C6646D"/>
    <w:rsid w:val="00C66519"/>
    <w:rsid w:val="00C66F99"/>
    <w:rsid w:val="00C67235"/>
    <w:rsid w:val="00C675B1"/>
    <w:rsid w:val="00C676BB"/>
    <w:rsid w:val="00C67AC4"/>
    <w:rsid w:val="00C67F19"/>
    <w:rsid w:val="00C67F66"/>
    <w:rsid w:val="00C70139"/>
    <w:rsid w:val="00C70166"/>
    <w:rsid w:val="00C70499"/>
    <w:rsid w:val="00C70560"/>
    <w:rsid w:val="00C708C3"/>
    <w:rsid w:val="00C70F35"/>
    <w:rsid w:val="00C717C7"/>
    <w:rsid w:val="00C718C4"/>
    <w:rsid w:val="00C719D9"/>
    <w:rsid w:val="00C723FE"/>
    <w:rsid w:val="00C7294A"/>
    <w:rsid w:val="00C735EE"/>
    <w:rsid w:val="00C7376E"/>
    <w:rsid w:val="00C73C88"/>
    <w:rsid w:val="00C73F4C"/>
    <w:rsid w:val="00C74158"/>
    <w:rsid w:val="00C74297"/>
    <w:rsid w:val="00C742FF"/>
    <w:rsid w:val="00C74512"/>
    <w:rsid w:val="00C746C2"/>
    <w:rsid w:val="00C74DB8"/>
    <w:rsid w:val="00C75024"/>
    <w:rsid w:val="00C7594F"/>
    <w:rsid w:val="00C76348"/>
    <w:rsid w:val="00C7658A"/>
    <w:rsid w:val="00C771A3"/>
    <w:rsid w:val="00C774BB"/>
    <w:rsid w:val="00C777CE"/>
    <w:rsid w:val="00C77967"/>
    <w:rsid w:val="00C77C0B"/>
    <w:rsid w:val="00C80ED6"/>
    <w:rsid w:val="00C81902"/>
    <w:rsid w:val="00C81DEC"/>
    <w:rsid w:val="00C820B0"/>
    <w:rsid w:val="00C821FC"/>
    <w:rsid w:val="00C82CE9"/>
    <w:rsid w:val="00C83155"/>
    <w:rsid w:val="00C8321D"/>
    <w:rsid w:val="00C83C33"/>
    <w:rsid w:val="00C83F52"/>
    <w:rsid w:val="00C84DE9"/>
    <w:rsid w:val="00C857FB"/>
    <w:rsid w:val="00C85C91"/>
    <w:rsid w:val="00C866FE"/>
    <w:rsid w:val="00C86903"/>
    <w:rsid w:val="00C86C49"/>
    <w:rsid w:val="00C87251"/>
    <w:rsid w:val="00C9027C"/>
    <w:rsid w:val="00C902FF"/>
    <w:rsid w:val="00C903FE"/>
    <w:rsid w:val="00C907E4"/>
    <w:rsid w:val="00C90CF4"/>
    <w:rsid w:val="00C90D47"/>
    <w:rsid w:val="00C92B71"/>
    <w:rsid w:val="00C92FA6"/>
    <w:rsid w:val="00C93389"/>
    <w:rsid w:val="00C936FC"/>
    <w:rsid w:val="00C93A0D"/>
    <w:rsid w:val="00C9472B"/>
    <w:rsid w:val="00C94E77"/>
    <w:rsid w:val="00C9506B"/>
    <w:rsid w:val="00C958DA"/>
    <w:rsid w:val="00C95DA3"/>
    <w:rsid w:val="00C95E3D"/>
    <w:rsid w:val="00C96482"/>
    <w:rsid w:val="00C96A50"/>
    <w:rsid w:val="00C97150"/>
    <w:rsid w:val="00CA0C7F"/>
    <w:rsid w:val="00CA0F40"/>
    <w:rsid w:val="00CA117A"/>
    <w:rsid w:val="00CA218E"/>
    <w:rsid w:val="00CA27C1"/>
    <w:rsid w:val="00CA27F3"/>
    <w:rsid w:val="00CA2942"/>
    <w:rsid w:val="00CA33B9"/>
    <w:rsid w:val="00CA35BA"/>
    <w:rsid w:val="00CA3C8F"/>
    <w:rsid w:val="00CA441C"/>
    <w:rsid w:val="00CA4D03"/>
    <w:rsid w:val="00CA4D94"/>
    <w:rsid w:val="00CA59EE"/>
    <w:rsid w:val="00CA5C74"/>
    <w:rsid w:val="00CA612E"/>
    <w:rsid w:val="00CA653F"/>
    <w:rsid w:val="00CA68A8"/>
    <w:rsid w:val="00CA72C5"/>
    <w:rsid w:val="00CA7561"/>
    <w:rsid w:val="00CA760D"/>
    <w:rsid w:val="00CA7700"/>
    <w:rsid w:val="00CA7A3A"/>
    <w:rsid w:val="00CA7F19"/>
    <w:rsid w:val="00CB00A8"/>
    <w:rsid w:val="00CB0BB6"/>
    <w:rsid w:val="00CB10EE"/>
    <w:rsid w:val="00CB119D"/>
    <w:rsid w:val="00CB1250"/>
    <w:rsid w:val="00CB13C9"/>
    <w:rsid w:val="00CB17B1"/>
    <w:rsid w:val="00CB2392"/>
    <w:rsid w:val="00CB23A0"/>
    <w:rsid w:val="00CB27E8"/>
    <w:rsid w:val="00CB2D19"/>
    <w:rsid w:val="00CB32EC"/>
    <w:rsid w:val="00CB36E1"/>
    <w:rsid w:val="00CB3964"/>
    <w:rsid w:val="00CB3A1F"/>
    <w:rsid w:val="00CB3DC4"/>
    <w:rsid w:val="00CB3EB5"/>
    <w:rsid w:val="00CB3F4C"/>
    <w:rsid w:val="00CB41CA"/>
    <w:rsid w:val="00CB4485"/>
    <w:rsid w:val="00CB558B"/>
    <w:rsid w:val="00CB56F5"/>
    <w:rsid w:val="00CB600C"/>
    <w:rsid w:val="00CB62F8"/>
    <w:rsid w:val="00CB64BF"/>
    <w:rsid w:val="00CB654D"/>
    <w:rsid w:val="00CB6F91"/>
    <w:rsid w:val="00CB72EF"/>
    <w:rsid w:val="00CB7567"/>
    <w:rsid w:val="00CB769D"/>
    <w:rsid w:val="00CB79B5"/>
    <w:rsid w:val="00CB7FC6"/>
    <w:rsid w:val="00CC01DD"/>
    <w:rsid w:val="00CC0876"/>
    <w:rsid w:val="00CC0AE6"/>
    <w:rsid w:val="00CC0CE0"/>
    <w:rsid w:val="00CC0FC5"/>
    <w:rsid w:val="00CC113E"/>
    <w:rsid w:val="00CC1887"/>
    <w:rsid w:val="00CC3493"/>
    <w:rsid w:val="00CC39AF"/>
    <w:rsid w:val="00CC3D30"/>
    <w:rsid w:val="00CC40D1"/>
    <w:rsid w:val="00CC4331"/>
    <w:rsid w:val="00CC52FA"/>
    <w:rsid w:val="00CC53D5"/>
    <w:rsid w:val="00CC56B2"/>
    <w:rsid w:val="00CC611D"/>
    <w:rsid w:val="00CC6896"/>
    <w:rsid w:val="00CC7383"/>
    <w:rsid w:val="00CC73F3"/>
    <w:rsid w:val="00CC7BE3"/>
    <w:rsid w:val="00CD0F1F"/>
    <w:rsid w:val="00CD19C1"/>
    <w:rsid w:val="00CD1EA4"/>
    <w:rsid w:val="00CD1EB8"/>
    <w:rsid w:val="00CD2C95"/>
    <w:rsid w:val="00CD3B46"/>
    <w:rsid w:val="00CD43CB"/>
    <w:rsid w:val="00CD4C7A"/>
    <w:rsid w:val="00CD5F03"/>
    <w:rsid w:val="00CD5FCE"/>
    <w:rsid w:val="00CD6A92"/>
    <w:rsid w:val="00CD75FA"/>
    <w:rsid w:val="00CE00F3"/>
    <w:rsid w:val="00CE08D6"/>
    <w:rsid w:val="00CE0AD5"/>
    <w:rsid w:val="00CE14CF"/>
    <w:rsid w:val="00CE15BA"/>
    <w:rsid w:val="00CE1C7B"/>
    <w:rsid w:val="00CE24B5"/>
    <w:rsid w:val="00CE2731"/>
    <w:rsid w:val="00CE2846"/>
    <w:rsid w:val="00CE308D"/>
    <w:rsid w:val="00CE3283"/>
    <w:rsid w:val="00CE36C6"/>
    <w:rsid w:val="00CE3BA6"/>
    <w:rsid w:val="00CE4101"/>
    <w:rsid w:val="00CE415F"/>
    <w:rsid w:val="00CE4504"/>
    <w:rsid w:val="00CE4B01"/>
    <w:rsid w:val="00CE4DCD"/>
    <w:rsid w:val="00CE53F6"/>
    <w:rsid w:val="00CE56E4"/>
    <w:rsid w:val="00CE598F"/>
    <w:rsid w:val="00CE5BDB"/>
    <w:rsid w:val="00CE609F"/>
    <w:rsid w:val="00CE7406"/>
    <w:rsid w:val="00CE77BF"/>
    <w:rsid w:val="00CE7D64"/>
    <w:rsid w:val="00CE7EF8"/>
    <w:rsid w:val="00CF0027"/>
    <w:rsid w:val="00CF0137"/>
    <w:rsid w:val="00CF0555"/>
    <w:rsid w:val="00CF0BAB"/>
    <w:rsid w:val="00CF224A"/>
    <w:rsid w:val="00CF2DA7"/>
    <w:rsid w:val="00CF390A"/>
    <w:rsid w:val="00CF3F02"/>
    <w:rsid w:val="00CF462A"/>
    <w:rsid w:val="00CF47FD"/>
    <w:rsid w:val="00CF51EC"/>
    <w:rsid w:val="00CF5D65"/>
    <w:rsid w:val="00CF600C"/>
    <w:rsid w:val="00CF63CB"/>
    <w:rsid w:val="00CF6A20"/>
    <w:rsid w:val="00CF6F4E"/>
    <w:rsid w:val="00CF72A1"/>
    <w:rsid w:val="00CF7D9F"/>
    <w:rsid w:val="00D007E7"/>
    <w:rsid w:val="00D00F19"/>
    <w:rsid w:val="00D010FF"/>
    <w:rsid w:val="00D02C4B"/>
    <w:rsid w:val="00D02D01"/>
    <w:rsid w:val="00D02E65"/>
    <w:rsid w:val="00D02E9B"/>
    <w:rsid w:val="00D03555"/>
    <w:rsid w:val="00D0392F"/>
    <w:rsid w:val="00D040DD"/>
    <w:rsid w:val="00D04381"/>
    <w:rsid w:val="00D043C9"/>
    <w:rsid w:val="00D045D0"/>
    <w:rsid w:val="00D04839"/>
    <w:rsid w:val="00D048AF"/>
    <w:rsid w:val="00D04D24"/>
    <w:rsid w:val="00D05A9B"/>
    <w:rsid w:val="00D05CBC"/>
    <w:rsid w:val="00D05F2C"/>
    <w:rsid w:val="00D067EE"/>
    <w:rsid w:val="00D06ABA"/>
    <w:rsid w:val="00D072F7"/>
    <w:rsid w:val="00D07FA1"/>
    <w:rsid w:val="00D10FA7"/>
    <w:rsid w:val="00D111CD"/>
    <w:rsid w:val="00D11246"/>
    <w:rsid w:val="00D1146A"/>
    <w:rsid w:val="00D11560"/>
    <w:rsid w:val="00D11679"/>
    <w:rsid w:val="00D126A7"/>
    <w:rsid w:val="00D13C77"/>
    <w:rsid w:val="00D1430D"/>
    <w:rsid w:val="00D146E8"/>
    <w:rsid w:val="00D15629"/>
    <w:rsid w:val="00D17E91"/>
    <w:rsid w:val="00D20B8E"/>
    <w:rsid w:val="00D20C71"/>
    <w:rsid w:val="00D21613"/>
    <w:rsid w:val="00D218F2"/>
    <w:rsid w:val="00D21CFE"/>
    <w:rsid w:val="00D22511"/>
    <w:rsid w:val="00D22E4C"/>
    <w:rsid w:val="00D234F5"/>
    <w:rsid w:val="00D24017"/>
    <w:rsid w:val="00D241E6"/>
    <w:rsid w:val="00D2433D"/>
    <w:rsid w:val="00D24532"/>
    <w:rsid w:val="00D24AE3"/>
    <w:rsid w:val="00D24E55"/>
    <w:rsid w:val="00D25814"/>
    <w:rsid w:val="00D25946"/>
    <w:rsid w:val="00D26413"/>
    <w:rsid w:val="00D267E2"/>
    <w:rsid w:val="00D269E0"/>
    <w:rsid w:val="00D26F9E"/>
    <w:rsid w:val="00D27218"/>
    <w:rsid w:val="00D2735D"/>
    <w:rsid w:val="00D2751F"/>
    <w:rsid w:val="00D27C55"/>
    <w:rsid w:val="00D27CCE"/>
    <w:rsid w:val="00D27D15"/>
    <w:rsid w:val="00D27E6E"/>
    <w:rsid w:val="00D30632"/>
    <w:rsid w:val="00D30698"/>
    <w:rsid w:val="00D316BB"/>
    <w:rsid w:val="00D316EF"/>
    <w:rsid w:val="00D31B2D"/>
    <w:rsid w:val="00D31B66"/>
    <w:rsid w:val="00D31E66"/>
    <w:rsid w:val="00D32157"/>
    <w:rsid w:val="00D32602"/>
    <w:rsid w:val="00D327F0"/>
    <w:rsid w:val="00D3282C"/>
    <w:rsid w:val="00D32A5F"/>
    <w:rsid w:val="00D33388"/>
    <w:rsid w:val="00D33575"/>
    <w:rsid w:val="00D338DA"/>
    <w:rsid w:val="00D34E21"/>
    <w:rsid w:val="00D355F0"/>
    <w:rsid w:val="00D358C6"/>
    <w:rsid w:val="00D359FB"/>
    <w:rsid w:val="00D35C7A"/>
    <w:rsid w:val="00D3643E"/>
    <w:rsid w:val="00D36755"/>
    <w:rsid w:val="00D36AF6"/>
    <w:rsid w:val="00D36B56"/>
    <w:rsid w:val="00D40F24"/>
    <w:rsid w:val="00D41754"/>
    <w:rsid w:val="00D418D5"/>
    <w:rsid w:val="00D41AEF"/>
    <w:rsid w:val="00D41AF1"/>
    <w:rsid w:val="00D424DE"/>
    <w:rsid w:val="00D42693"/>
    <w:rsid w:val="00D42C33"/>
    <w:rsid w:val="00D439AC"/>
    <w:rsid w:val="00D43CF4"/>
    <w:rsid w:val="00D45574"/>
    <w:rsid w:val="00D45F16"/>
    <w:rsid w:val="00D46EE4"/>
    <w:rsid w:val="00D46F5F"/>
    <w:rsid w:val="00D47518"/>
    <w:rsid w:val="00D4780B"/>
    <w:rsid w:val="00D47DCB"/>
    <w:rsid w:val="00D50475"/>
    <w:rsid w:val="00D507BE"/>
    <w:rsid w:val="00D50B72"/>
    <w:rsid w:val="00D515BC"/>
    <w:rsid w:val="00D515C9"/>
    <w:rsid w:val="00D516A1"/>
    <w:rsid w:val="00D51E6B"/>
    <w:rsid w:val="00D51EA7"/>
    <w:rsid w:val="00D52355"/>
    <w:rsid w:val="00D5418F"/>
    <w:rsid w:val="00D54C44"/>
    <w:rsid w:val="00D5555C"/>
    <w:rsid w:val="00D55656"/>
    <w:rsid w:val="00D56469"/>
    <w:rsid w:val="00D56A23"/>
    <w:rsid w:val="00D56DE9"/>
    <w:rsid w:val="00D57021"/>
    <w:rsid w:val="00D57EE6"/>
    <w:rsid w:val="00D6000F"/>
    <w:rsid w:val="00D60E57"/>
    <w:rsid w:val="00D613CB"/>
    <w:rsid w:val="00D617D1"/>
    <w:rsid w:val="00D6239C"/>
    <w:rsid w:val="00D62682"/>
    <w:rsid w:val="00D6275B"/>
    <w:rsid w:val="00D62A99"/>
    <w:rsid w:val="00D64451"/>
    <w:rsid w:val="00D644E2"/>
    <w:rsid w:val="00D65484"/>
    <w:rsid w:val="00D654DC"/>
    <w:rsid w:val="00D65603"/>
    <w:rsid w:val="00D66CCF"/>
    <w:rsid w:val="00D67011"/>
    <w:rsid w:val="00D672A9"/>
    <w:rsid w:val="00D672B5"/>
    <w:rsid w:val="00D67670"/>
    <w:rsid w:val="00D6788F"/>
    <w:rsid w:val="00D67910"/>
    <w:rsid w:val="00D67F43"/>
    <w:rsid w:val="00D7025D"/>
    <w:rsid w:val="00D7030C"/>
    <w:rsid w:val="00D70357"/>
    <w:rsid w:val="00D71318"/>
    <w:rsid w:val="00D7198E"/>
    <w:rsid w:val="00D71C8B"/>
    <w:rsid w:val="00D722FD"/>
    <w:rsid w:val="00D72638"/>
    <w:rsid w:val="00D72C5F"/>
    <w:rsid w:val="00D72C81"/>
    <w:rsid w:val="00D72D65"/>
    <w:rsid w:val="00D72E21"/>
    <w:rsid w:val="00D73131"/>
    <w:rsid w:val="00D7320C"/>
    <w:rsid w:val="00D73536"/>
    <w:rsid w:val="00D73A93"/>
    <w:rsid w:val="00D740F1"/>
    <w:rsid w:val="00D7448A"/>
    <w:rsid w:val="00D74C64"/>
    <w:rsid w:val="00D74F7F"/>
    <w:rsid w:val="00D75128"/>
    <w:rsid w:val="00D76098"/>
    <w:rsid w:val="00D76E1F"/>
    <w:rsid w:val="00D76E2C"/>
    <w:rsid w:val="00D77E6A"/>
    <w:rsid w:val="00D8110A"/>
    <w:rsid w:val="00D81FA6"/>
    <w:rsid w:val="00D8256A"/>
    <w:rsid w:val="00D82BFB"/>
    <w:rsid w:val="00D83753"/>
    <w:rsid w:val="00D83F55"/>
    <w:rsid w:val="00D84DA6"/>
    <w:rsid w:val="00D852D7"/>
    <w:rsid w:val="00D85D62"/>
    <w:rsid w:val="00D85F9E"/>
    <w:rsid w:val="00D86D4C"/>
    <w:rsid w:val="00D87A8C"/>
    <w:rsid w:val="00D87C69"/>
    <w:rsid w:val="00D87E8E"/>
    <w:rsid w:val="00D87F26"/>
    <w:rsid w:val="00D90761"/>
    <w:rsid w:val="00D90817"/>
    <w:rsid w:val="00D90BEC"/>
    <w:rsid w:val="00D90C01"/>
    <w:rsid w:val="00D91C28"/>
    <w:rsid w:val="00D91C65"/>
    <w:rsid w:val="00D91D14"/>
    <w:rsid w:val="00D922DB"/>
    <w:rsid w:val="00D92675"/>
    <w:rsid w:val="00D9313A"/>
    <w:rsid w:val="00D9320F"/>
    <w:rsid w:val="00D9321F"/>
    <w:rsid w:val="00D94983"/>
    <w:rsid w:val="00D94B8F"/>
    <w:rsid w:val="00D956B6"/>
    <w:rsid w:val="00D9588A"/>
    <w:rsid w:val="00D95A80"/>
    <w:rsid w:val="00D95E42"/>
    <w:rsid w:val="00D96588"/>
    <w:rsid w:val="00D9797A"/>
    <w:rsid w:val="00D97EDD"/>
    <w:rsid w:val="00DA0014"/>
    <w:rsid w:val="00DA043A"/>
    <w:rsid w:val="00DA0BAF"/>
    <w:rsid w:val="00DA31B9"/>
    <w:rsid w:val="00DA343E"/>
    <w:rsid w:val="00DA3477"/>
    <w:rsid w:val="00DA3C1D"/>
    <w:rsid w:val="00DA440D"/>
    <w:rsid w:val="00DA4844"/>
    <w:rsid w:val="00DA49B8"/>
    <w:rsid w:val="00DA5013"/>
    <w:rsid w:val="00DA5B9A"/>
    <w:rsid w:val="00DA61D7"/>
    <w:rsid w:val="00DA6B51"/>
    <w:rsid w:val="00DA6EF6"/>
    <w:rsid w:val="00DA7501"/>
    <w:rsid w:val="00DA7808"/>
    <w:rsid w:val="00DA7822"/>
    <w:rsid w:val="00DB08A1"/>
    <w:rsid w:val="00DB0B09"/>
    <w:rsid w:val="00DB121B"/>
    <w:rsid w:val="00DB192A"/>
    <w:rsid w:val="00DB217C"/>
    <w:rsid w:val="00DB33F3"/>
    <w:rsid w:val="00DB3811"/>
    <w:rsid w:val="00DB3C3F"/>
    <w:rsid w:val="00DB3CE2"/>
    <w:rsid w:val="00DB4A23"/>
    <w:rsid w:val="00DB55CC"/>
    <w:rsid w:val="00DB5F1F"/>
    <w:rsid w:val="00DB5F40"/>
    <w:rsid w:val="00DB63C1"/>
    <w:rsid w:val="00DB6452"/>
    <w:rsid w:val="00DB6782"/>
    <w:rsid w:val="00DC02CB"/>
    <w:rsid w:val="00DC08A4"/>
    <w:rsid w:val="00DC1338"/>
    <w:rsid w:val="00DC1D1D"/>
    <w:rsid w:val="00DC1FE0"/>
    <w:rsid w:val="00DC256B"/>
    <w:rsid w:val="00DC27A2"/>
    <w:rsid w:val="00DC2914"/>
    <w:rsid w:val="00DC37A8"/>
    <w:rsid w:val="00DC3A8A"/>
    <w:rsid w:val="00DC3CFF"/>
    <w:rsid w:val="00DC4158"/>
    <w:rsid w:val="00DC5B3B"/>
    <w:rsid w:val="00DC67CB"/>
    <w:rsid w:val="00DC698A"/>
    <w:rsid w:val="00DC6DF6"/>
    <w:rsid w:val="00DC7739"/>
    <w:rsid w:val="00DC784D"/>
    <w:rsid w:val="00DD0290"/>
    <w:rsid w:val="00DD1820"/>
    <w:rsid w:val="00DD1ADC"/>
    <w:rsid w:val="00DD26FF"/>
    <w:rsid w:val="00DD319B"/>
    <w:rsid w:val="00DD43FE"/>
    <w:rsid w:val="00DD49EA"/>
    <w:rsid w:val="00DD54A1"/>
    <w:rsid w:val="00DD56C3"/>
    <w:rsid w:val="00DD7300"/>
    <w:rsid w:val="00DE01C1"/>
    <w:rsid w:val="00DE0583"/>
    <w:rsid w:val="00DE0CF4"/>
    <w:rsid w:val="00DE1008"/>
    <w:rsid w:val="00DE104D"/>
    <w:rsid w:val="00DE1958"/>
    <w:rsid w:val="00DE25A4"/>
    <w:rsid w:val="00DE25AE"/>
    <w:rsid w:val="00DE349B"/>
    <w:rsid w:val="00DE38CF"/>
    <w:rsid w:val="00DE3AD5"/>
    <w:rsid w:val="00DE3B56"/>
    <w:rsid w:val="00DE3FC2"/>
    <w:rsid w:val="00DE44CA"/>
    <w:rsid w:val="00DE4519"/>
    <w:rsid w:val="00DE4922"/>
    <w:rsid w:val="00DE4A74"/>
    <w:rsid w:val="00DE501C"/>
    <w:rsid w:val="00DE57C6"/>
    <w:rsid w:val="00DE5E80"/>
    <w:rsid w:val="00DE5EC9"/>
    <w:rsid w:val="00DE6696"/>
    <w:rsid w:val="00DE66C5"/>
    <w:rsid w:val="00DE7B4E"/>
    <w:rsid w:val="00DE7E3F"/>
    <w:rsid w:val="00DE7E9F"/>
    <w:rsid w:val="00DF0548"/>
    <w:rsid w:val="00DF10E8"/>
    <w:rsid w:val="00DF11D8"/>
    <w:rsid w:val="00DF1398"/>
    <w:rsid w:val="00DF186C"/>
    <w:rsid w:val="00DF1EBA"/>
    <w:rsid w:val="00DF20A3"/>
    <w:rsid w:val="00DF213B"/>
    <w:rsid w:val="00DF25B2"/>
    <w:rsid w:val="00DF29A0"/>
    <w:rsid w:val="00DF2CD8"/>
    <w:rsid w:val="00DF2F10"/>
    <w:rsid w:val="00DF2F8C"/>
    <w:rsid w:val="00DF33F0"/>
    <w:rsid w:val="00DF364F"/>
    <w:rsid w:val="00DF372F"/>
    <w:rsid w:val="00DF38DC"/>
    <w:rsid w:val="00DF3DB2"/>
    <w:rsid w:val="00DF3F1A"/>
    <w:rsid w:val="00DF3F78"/>
    <w:rsid w:val="00DF45F2"/>
    <w:rsid w:val="00DF482B"/>
    <w:rsid w:val="00DF4CB8"/>
    <w:rsid w:val="00DF53E1"/>
    <w:rsid w:val="00DF5CF2"/>
    <w:rsid w:val="00DF5D0F"/>
    <w:rsid w:val="00DF6334"/>
    <w:rsid w:val="00DF683A"/>
    <w:rsid w:val="00DF6A7E"/>
    <w:rsid w:val="00DF6D2E"/>
    <w:rsid w:val="00DF6D95"/>
    <w:rsid w:val="00DF7B1F"/>
    <w:rsid w:val="00E006FC"/>
    <w:rsid w:val="00E01C0E"/>
    <w:rsid w:val="00E023FA"/>
    <w:rsid w:val="00E02E42"/>
    <w:rsid w:val="00E03826"/>
    <w:rsid w:val="00E0386D"/>
    <w:rsid w:val="00E03E4C"/>
    <w:rsid w:val="00E04694"/>
    <w:rsid w:val="00E04E69"/>
    <w:rsid w:val="00E058AC"/>
    <w:rsid w:val="00E05B49"/>
    <w:rsid w:val="00E05C11"/>
    <w:rsid w:val="00E05CD9"/>
    <w:rsid w:val="00E061EE"/>
    <w:rsid w:val="00E06BAF"/>
    <w:rsid w:val="00E0715B"/>
    <w:rsid w:val="00E076DE"/>
    <w:rsid w:val="00E077D6"/>
    <w:rsid w:val="00E07C43"/>
    <w:rsid w:val="00E07E5C"/>
    <w:rsid w:val="00E07EEF"/>
    <w:rsid w:val="00E106F4"/>
    <w:rsid w:val="00E106F6"/>
    <w:rsid w:val="00E1187E"/>
    <w:rsid w:val="00E11919"/>
    <w:rsid w:val="00E11A6B"/>
    <w:rsid w:val="00E11DCA"/>
    <w:rsid w:val="00E126EA"/>
    <w:rsid w:val="00E12D30"/>
    <w:rsid w:val="00E12E8B"/>
    <w:rsid w:val="00E13C79"/>
    <w:rsid w:val="00E13DDD"/>
    <w:rsid w:val="00E1419F"/>
    <w:rsid w:val="00E14242"/>
    <w:rsid w:val="00E1486C"/>
    <w:rsid w:val="00E15008"/>
    <w:rsid w:val="00E15779"/>
    <w:rsid w:val="00E158E3"/>
    <w:rsid w:val="00E15937"/>
    <w:rsid w:val="00E161F0"/>
    <w:rsid w:val="00E164B5"/>
    <w:rsid w:val="00E164F6"/>
    <w:rsid w:val="00E170DD"/>
    <w:rsid w:val="00E17535"/>
    <w:rsid w:val="00E17624"/>
    <w:rsid w:val="00E17709"/>
    <w:rsid w:val="00E177BB"/>
    <w:rsid w:val="00E2006C"/>
    <w:rsid w:val="00E203F4"/>
    <w:rsid w:val="00E20999"/>
    <w:rsid w:val="00E20E82"/>
    <w:rsid w:val="00E21405"/>
    <w:rsid w:val="00E22100"/>
    <w:rsid w:val="00E22211"/>
    <w:rsid w:val="00E23138"/>
    <w:rsid w:val="00E2338A"/>
    <w:rsid w:val="00E23409"/>
    <w:rsid w:val="00E235DA"/>
    <w:rsid w:val="00E23AED"/>
    <w:rsid w:val="00E24232"/>
    <w:rsid w:val="00E2558F"/>
    <w:rsid w:val="00E257CE"/>
    <w:rsid w:val="00E25875"/>
    <w:rsid w:val="00E25DE3"/>
    <w:rsid w:val="00E266C0"/>
    <w:rsid w:val="00E2686C"/>
    <w:rsid w:val="00E26BD6"/>
    <w:rsid w:val="00E27604"/>
    <w:rsid w:val="00E27CCB"/>
    <w:rsid w:val="00E27E45"/>
    <w:rsid w:val="00E300E9"/>
    <w:rsid w:val="00E30576"/>
    <w:rsid w:val="00E30C67"/>
    <w:rsid w:val="00E30F7E"/>
    <w:rsid w:val="00E31D5E"/>
    <w:rsid w:val="00E3226E"/>
    <w:rsid w:val="00E32358"/>
    <w:rsid w:val="00E331F9"/>
    <w:rsid w:val="00E3331F"/>
    <w:rsid w:val="00E33EAE"/>
    <w:rsid w:val="00E340F9"/>
    <w:rsid w:val="00E34536"/>
    <w:rsid w:val="00E350F1"/>
    <w:rsid w:val="00E356DC"/>
    <w:rsid w:val="00E357C8"/>
    <w:rsid w:val="00E36668"/>
    <w:rsid w:val="00E36C13"/>
    <w:rsid w:val="00E37673"/>
    <w:rsid w:val="00E378AB"/>
    <w:rsid w:val="00E37E22"/>
    <w:rsid w:val="00E408E6"/>
    <w:rsid w:val="00E41018"/>
    <w:rsid w:val="00E417F5"/>
    <w:rsid w:val="00E41ADA"/>
    <w:rsid w:val="00E42577"/>
    <w:rsid w:val="00E433FC"/>
    <w:rsid w:val="00E4343A"/>
    <w:rsid w:val="00E43DB7"/>
    <w:rsid w:val="00E4463C"/>
    <w:rsid w:val="00E44790"/>
    <w:rsid w:val="00E448D6"/>
    <w:rsid w:val="00E448FE"/>
    <w:rsid w:val="00E452C6"/>
    <w:rsid w:val="00E4734A"/>
    <w:rsid w:val="00E4796A"/>
    <w:rsid w:val="00E47F4A"/>
    <w:rsid w:val="00E5027D"/>
    <w:rsid w:val="00E504C3"/>
    <w:rsid w:val="00E50680"/>
    <w:rsid w:val="00E50CCB"/>
    <w:rsid w:val="00E51222"/>
    <w:rsid w:val="00E51DD4"/>
    <w:rsid w:val="00E51F58"/>
    <w:rsid w:val="00E527E6"/>
    <w:rsid w:val="00E53275"/>
    <w:rsid w:val="00E5387D"/>
    <w:rsid w:val="00E543E7"/>
    <w:rsid w:val="00E549E3"/>
    <w:rsid w:val="00E55662"/>
    <w:rsid w:val="00E55854"/>
    <w:rsid w:val="00E568B5"/>
    <w:rsid w:val="00E56A9D"/>
    <w:rsid w:val="00E572E7"/>
    <w:rsid w:val="00E57599"/>
    <w:rsid w:val="00E5759B"/>
    <w:rsid w:val="00E57625"/>
    <w:rsid w:val="00E5766A"/>
    <w:rsid w:val="00E578D8"/>
    <w:rsid w:val="00E57EE1"/>
    <w:rsid w:val="00E60142"/>
    <w:rsid w:val="00E6039F"/>
    <w:rsid w:val="00E605BF"/>
    <w:rsid w:val="00E607EB"/>
    <w:rsid w:val="00E6084F"/>
    <w:rsid w:val="00E608AE"/>
    <w:rsid w:val="00E61548"/>
    <w:rsid w:val="00E6176C"/>
    <w:rsid w:val="00E619AA"/>
    <w:rsid w:val="00E61EDF"/>
    <w:rsid w:val="00E62AD2"/>
    <w:rsid w:val="00E6375D"/>
    <w:rsid w:val="00E6382B"/>
    <w:rsid w:val="00E641E7"/>
    <w:rsid w:val="00E645F1"/>
    <w:rsid w:val="00E6521D"/>
    <w:rsid w:val="00E67CC2"/>
    <w:rsid w:val="00E67DC3"/>
    <w:rsid w:val="00E70185"/>
    <w:rsid w:val="00E7033C"/>
    <w:rsid w:val="00E70E16"/>
    <w:rsid w:val="00E70ED1"/>
    <w:rsid w:val="00E7113C"/>
    <w:rsid w:val="00E714C9"/>
    <w:rsid w:val="00E71A58"/>
    <w:rsid w:val="00E71B2F"/>
    <w:rsid w:val="00E72A15"/>
    <w:rsid w:val="00E7339F"/>
    <w:rsid w:val="00E7371B"/>
    <w:rsid w:val="00E73C68"/>
    <w:rsid w:val="00E73F4C"/>
    <w:rsid w:val="00E743CE"/>
    <w:rsid w:val="00E74422"/>
    <w:rsid w:val="00E74F8C"/>
    <w:rsid w:val="00E7515E"/>
    <w:rsid w:val="00E75176"/>
    <w:rsid w:val="00E76203"/>
    <w:rsid w:val="00E76796"/>
    <w:rsid w:val="00E77335"/>
    <w:rsid w:val="00E774CD"/>
    <w:rsid w:val="00E77984"/>
    <w:rsid w:val="00E80180"/>
    <w:rsid w:val="00E8090A"/>
    <w:rsid w:val="00E81C3B"/>
    <w:rsid w:val="00E81E1F"/>
    <w:rsid w:val="00E8200F"/>
    <w:rsid w:val="00E82D69"/>
    <w:rsid w:val="00E83246"/>
    <w:rsid w:val="00E836BF"/>
    <w:rsid w:val="00E839A9"/>
    <w:rsid w:val="00E83E99"/>
    <w:rsid w:val="00E84101"/>
    <w:rsid w:val="00E84970"/>
    <w:rsid w:val="00E85053"/>
    <w:rsid w:val="00E860DB"/>
    <w:rsid w:val="00E86361"/>
    <w:rsid w:val="00E86604"/>
    <w:rsid w:val="00E868DA"/>
    <w:rsid w:val="00E86C04"/>
    <w:rsid w:val="00E86C83"/>
    <w:rsid w:val="00E878A4"/>
    <w:rsid w:val="00E90788"/>
    <w:rsid w:val="00E90A26"/>
    <w:rsid w:val="00E90EB8"/>
    <w:rsid w:val="00E90FC9"/>
    <w:rsid w:val="00E9169A"/>
    <w:rsid w:val="00E91769"/>
    <w:rsid w:val="00E91A44"/>
    <w:rsid w:val="00E926B1"/>
    <w:rsid w:val="00E92DDB"/>
    <w:rsid w:val="00E931CE"/>
    <w:rsid w:val="00E9343A"/>
    <w:rsid w:val="00E9378E"/>
    <w:rsid w:val="00E93909"/>
    <w:rsid w:val="00E93AE0"/>
    <w:rsid w:val="00E942A8"/>
    <w:rsid w:val="00E945C7"/>
    <w:rsid w:val="00E9466F"/>
    <w:rsid w:val="00E9503B"/>
    <w:rsid w:val="00E956A6"/>
    <w:rsid w:val="00E95EF9"/>
    <w:rsid w:val="00E96046"/>
    <w:rsid w:val="00E96515"/>
    <w:rsid w:val="00E96735"/>
    <w:rsid w:val="00E97C25"/>
    <w:rsid w:val="00E97D13"/>
    <w:rsid w:val="00E97DEF"/>
    <w:rsid w:val="00E97E9A"/>
    <w:rsid w:val="00EA00A2"/>
    <w:rsid w:val="00EA0C68"/>
    <w:rsid w:val="00EA152C"/>
    <w:rsid w:val="00EA1CF5"/>
    <w:rsid w:val="00EA3028"/>
    <w:rsid w:val="00EA3065"/>
    <w:rsid w:val="00EA32AC"/>
    <w:rsid w:val="00EA357B"/>
    <w:rsid w:val="00EA3AE2"/>
    <w:rsid w:val="00EA3C16"/>
    <w:rsid w:val="00EA4AEE"/>
    <w:rsid w:val="00EA59D1"/>
    <w:rsid w:val="00EA5ABB"/>
    <w:rsid w:val="00EA5C9B"/>
    <w:rsid w:val="00EA682A"/>
    <w:rsid w:val="00EA6B7C"/>
    <w:rsid w:val="00EA781F"/>
    <w:rsid w:val="00EA7BE0"/>
    <w:rsid w:val="00EA7E13"/>
    <w:rsid w:val="00EB0339"/>
    <w:rsid w:val="00EB041A"/>
    <w:rsid w:val="00EB086B"/>
    <w:rsid w:val="00EB0F76"/>
    <w:rsid w:val="00EB1980"/>
    <w:rsid w:val="00EB1C91"/>
    <w:rsid w:val="00EB1CE5"/>
    <w:rsid w:val="00EB1CF6"/>
    <w:rsid w:val="00EB2396"/>
    <w:rsid w:val="00EB3283"/>
    <w:rsid w:val="00EB3B30"/>
    <w:rsid w:val="00EB3BAF"/>
    <w:rsid w:val="00EB4236"/>
    <w:rsid w:val="00EB563D"/>
    <w:rsid w:val="00EB5A3F"/>
    <w:rsid w:val="00EB61E0"/>
    <w:rsid w:val="00EB74A4"/>
    <w:rsid w:val="00EB7F5D"/>
    <w:rsid w:val="00EC0259"/>
    <w:rsid w:val="00EC04E4"/>
    <w:rsid w:val="00EC0DCE"/>
    <w:rsid w:val="00EC14A4"/>
    <w:rsid w:val="00EC1576"/>
    <w:rsid w:val="00EC15F8"/>
    <w:rsid w:val="00EC1CE9"/>
    <w:rsid w:val="00EC3108"/>
    <w:rsid w:val="00EC3A88"/>
    <w:rsid w:val="00EC4790"/>
    <w:rsid w:val="00EC51F6"/>
    <w:rsid w:val="00EC5A8E"/>
    <w:rsid w:val="00EC5C30"/>
    <w:rsid w:val="00EC5D6C"/>
    <w:rsid w:val="00EC6A44"/>
    <w:rsid w:val="00EC7CA6"/>
    <w:rsid w:val="00ED03EF"/>
    <w:rsid w:val="00ED0410"/>
    <w:rsid w:val="00ED0646"/>
    <w:rsid w:val="00ED0B9D"/>
    <w:rsid w:val="00ED0D88"/>
    <w:rsid w:val="00ED171B"/>
    <w:rsid w:val="00ED18F9"/>
    <w:rsid w:val="00ED1A01"/>
    <w:rsid w:val="00ED2197"/>
    <w:rsid w:val="00ED3641"/>
    <w:rsid w:val="00ED38EF"/>
    <w:rsid w:val="00ED3DF9"/>
    <w:rsid w:val="00ED474F"/>
    <w:rsid w:val="00ED47AF"/>
    <w:rsid w:val="00ED47CE"/>
    <w:rsid w:val="00ED48F5"/>
    <w:rsid w:val="00ED5438"/>
    <w:rsid w:val="00ED57B2"/>
    <w:rsid w:val="00ED5C49"/>
    <w:rsid w:val="00ED6076"/>
    <w:rsid w:val="00ED66D8"/>
    <w:rsid w:val="00ED7B6C"/>
    <w:rsid w:val="00ED7D19"/>
    <w:rsid w:val="00ED7D87"/>
    <w:rsid w:val="00EE01F9"/>
    <w:rsid w:val="00EE0758"/>
    <w:rsid w:val="00EE0F63"/>
    <w:rsid w:val="00EE14BA"/>
    <w:rsid w:val="00EE156F"/>
    <w:rsid w:val="00EE15DA"/>
    <w:rsid w:val="00EE18C8"/>
    <w:rsid w:val="00EE19D4"/>
    <w:rsid w:val="00EE1E97"/>
    <w:rsid w:val="00EE31AF"/>
    <w:rsid w:val="00EE33BB"/>
    <w:rsid w:val="00EE3668"/>
    <w:rsid w:val="00EE3B2D"/>
    <w:rsid w:val="00EE3CB5"/>
    <w:rsid w:val="00EE3E78"/>
    <w:rsid w:val="00EE3EA9"/>
    <w:rsid w:val="00EE46B8"/>
    <w:rsid w:val="00EE4BE6"/>
    <w:rsid w:val="00EE52FC"/>
    <w:rsid w:val="00EE59C6"/>
    <w:rsid w:val="00EE5A03"/>
    <w:rsid w:val="00EE6480"/>
    <w:rsid w:val="00EE70BE"/>
    <w:rsid w:val="00EE7964"/>
    <w:rsid w:val="00EE7AE5"/>
    <w:rsid w:val="00EF00AA"/>
    <w:rsid w:val="00EF0F1E"/>
    <w:rsid w:val="00EF103D"/>
    <w:rsid w:val="00EF19A3"/>
    <w:rsid w:val="00EF1F5A"/>
    <w:rsid w:val="00EF242C"/>
    <w:rsid w:val="00EF2B34"/>
    <w:rsid w:val="00EF3978"/>
    <w:rsid w:val="00EF3A62"/>
    <w:rsid w:val="00EF3BA6"/>
    <w:rsid w:val="00EF472B"/>
    <w:rsid w:val="00EF58F3"/>
    <w:rsid w:val="00EF5B72"/>
    <w:rsid w:val="00EF5D7B"/>
    <w:rsid w:val="00EF5E53"/>
    <w:rsid w:val="00EF638D"/>
    <w:rsid w:val="00EF645E"/>
    <w:rsid w:val="00EF66EC"/>
    <w:rsid w:val="00EF67EC"/>
    <w:rsid w:val="00EF7C40"/>
    <w:rsid w:val="00F007A2"/>
    <w:rsid w:val="00F01025"/>
    <w:rsid w:val="00F012A8"/>
    <w:rsid w:val="00F01F49"/>
    <w:rsid w:val="00F0200A"/>
    <w:rsid w:val="00F02B0A"/>
    <w:rsid w:val="00F02B3F"/>
    <w:rsid w:val="00F03ED5"/>
    <w:rsid w:val="00F03EFF"/>
    <w:rsid w:val="00F04227"/>
    <w:rsid w:val="00F0434B"/>
    <w:rsid w:val="00F04811"/>
    <w:rsid w:val="00F0488C"/>
    <w:rsid w:val="00F04FA9"/>
    <w:rsid w:val="00F056D2"/>
    <w:rsid w:val="00F057AB"/>
    <w:rsid w:val="00F06B2F"/>
    <w:rsid w:val="00F06F4A"/>
    <w:rsid w:val="00F07A2F"/>
    <w:rsid w:val="00F10454"/>
    <w:rsid w:val="00F10BC7"/>
    <w:rsid w:val="00F111AC"/>
    <w:rsid w:val="00F11A1C"/>
    <w:rsid w:val="00F11CF4"/>
    <w:rsid w:val="00F11F1D"/>
    <w:rsid w:val="00F11FB6"/>
    <w:rsid w:val="00F1224F"/>
    <w:rsid w:val="00F12B9A"/>
    <w:rsid w:val="00F13638"/>
    <w:rsid w:val="00F13E2C"/>
    <w:rsid w:val="00F1491D"/>
    <w:rsid w:val="00F14C04"/>
    <w:rsid w:val="00F15118"/>
    <w:rsid w:val="00F15524"/>
    <w:rsid w:val="00F15BEF"/>
    <w:rsid w:val="00F161B0"/>
    <w:rsid w:val="00F16E5D"/>
    <w:rsid w:val="00F17053"/>
    <w:rsid w:val="00F20947"/>
    <w:rsid w:val="00F20C3E"/>
    <w:rsid w:val="00F21717"/>
    <w:rsid w:val="00F22085"/>
    <w:rsid w:val="00F2270F"/>
    <w:rsid w:val="00F2286E"/>
    <w:rsid w:val="00F22E88"/>
    <w:rsid w:val="00F22E95"/>
    <w:rsid w:val="00F2363E"/>
    <w:rsid w:val="00F23A13"/>
    <w:rsid w:val="00F23B29"/>
    <w:rsid w:val="00F23C81"/>
    <w:rsid w:val="00F240B2"/>
    <w:rsid w:val="00F24712"/>
    <w:rsid w:val="00F2475D"/>
    <w:rsid w:val="00F24AA0"/>
    <w:rsid w:val="00F24FAA"/>
    <w:rsid w:val="00F2570D"/>
    <w:rsid w:val="00F25F70"/>
    <w:rsid w:val="00F26446"/>
    <w:rsid w:val="00F26A1E"/>
    <w:rsid w:val="00F279B9"/>
    <w:rsid w:val="00F30D8A"/>
    <w:rsid w:val="00F30DDC"/>
    <w:rsid w:val="00F3116D"/>
    <w:rsid w:val="00F31444"/>
    <w:rsid w:val="00F326AB"/>
    <w:rsid w:val="00F3364D"/>
    <w:rsid w:val="00F34BCA"/>
    <w:rsid w:val="00F34E25"/>
    <w:rsid w:val="00F35998"/>
    <w:rsid w:val="00F35B76"/>
    <w:rsid w:val="00F36022"/>
    <w:rsid w:val="00F3614B"/>
    <w:rsid w:val="00F367D7"/>
    <w:rsid w:val="00F36C53"/>
    <w:rsid w:val="00F37371"/>
    <w:rsid w:val="00F37C46"/>
    <w:rsid w:val="00F37C53"/>
    <w:rsid w:val="00F40065"/>
    <w:rsid w:val="00F4024A"/>
    <w:rsid w:val="00F408FA"/>
    <w:rsid w:val="00F40DE5"/>
    <w:rsid w:val="00F4122C"/>
    <w:rsid w:val="00F413C7"/>
    <w:rsid w:val="00F4171E"/>
    <w:rsid w:val="00F421F8"/>
    <w:rsid w:val="00F42349"/>
    <w:rsid w:val="00F4270C"/>
    <w:rsid w:val="00F42776"/>
    <w:rsid w:val="00F428B6"/>
    <w:rsid w:val="00F42971"/>
    <w:rsid w:val="00F43141"/>
    <w:rsid w:val="00F43356"/>
    <w:rsid w:val="00F436E5"/>
    <w:rsid w:val="00F437B7"/>
    <w:rsid w:val="00F43C7C"/>
    <w:rsid w:val="00F43EEB"/>
    <w:rsid w:val="00F449B4"/>
    <w:rsid w:val="00F451B7"/>
    <w:rsid w:val="00F4592E"/>
    <w:rsid w:val="00F46103"/>
    <w:rsid w:val="00F463E6"/>
    <w:rsid w:val="00F46606"/>
    <w:rsid w:val="00F46AE0"/>
    <w:rsid w:val="00F4728B"/>
    <w:rsid w:val="00F478EB"/>
    <w:rsid w:val="00F478FF"/>
    <w:rsid w:val="00F47AC6"/>
    <w:rsid w:val="00F502E5"/>
    <w:rsid w:val="00F50352"/>
    <w:rsid w:val="00F504EA"/>
    <w:rsid w:val="00F50970"/>
    <w:rsid w:val="00F50DD5"/>
    <w:rsid w:val="00F50F6D"/>
    <w:rsid w:val="00F51CEA"/>
    <w:rsid w:val="00F51E80"/>
    <w:rsid w:val="00F51FBF"/>
    <w:rsid w:val="00F52B42"/>
    <w:rsid w:val="00F52FA3"/>
    <w:rsid w:val="00F531AC"/>
    <w:rsid w:val="00F532C7"/>
    <w:rsid w:val="00F536F9"/>
    <w:rsid w:val="00F53BD4"/>
    <w:rsid w:val="00F53FD3"/>
    <w:rsid w:val="00F5401F"/>
    <w:rsid w:val="00F540E4"/>
    <w:rsid w:val="00F546FB"/>
    <w:rsid w:val="00F550CF"/>
    <w:rsid w:val="00F550E1"/>
    <w:rsid w:val="00F553C2"/>
    <w:rsid w:val="00F55CC4"/>
    <w:rsid w:val="00F55EE2"/>
    <w:rsid w:val="00F56D22"/>
    <w:rsid w:val="00F5744D"/>
    <w:rsid w:val="00F578EF"/>
    <w:rsid w:val="00F602B9"/>
    <w:rsid w:val="00F6053C"/>
    <w:rsid w:val="00F60D2B"/>
    <w:rsid w:val="00F61A55"/>
    <w:rsid w:val="00F61CC7"/>
    <w:rsid w:val="00F624DF"/>
    <w:rsid w:val="00F629CC"/>
    <w:rsid w:val="00F62ADC"/>
    <w:rsid w:val="00F62B28"/>
    <w:rsid w:val="00F63783"/>
    <w:rsid w:val="00F638C8"/>
    <w:rsid w:val="00F63B01"/>
    <w:rsid w:val="00F63DDE"/>
    <w:rsid w:val="00F63FB7"/>
    <w:rsid w:val="00F64173"/>
    <w:rsid w:val="00F647F4"/>
    <w:rsid w:val="00F64CCD"/>
    <w:rsid w:val="00F65304"/>
    <w:rsid w:val="00F65B22"/>
    <w:rsid w:val="00F65CF4"/>
    <w:rsid w:val="00F6693A"/>
    <w:rsid w:val="00F6758A"/>
    <w:rsid w:val="00F70DEF"/>
    <w:rsid w:val="00F70F16"/>
    <w:rsid w:val="00F70F6E"/>
    <w:rsid w:val="00F70F76"/>
    <w:rsid w:val="00F71114"/>
    <w:rsid w:val="00F722F8"/>
    <w:rsid w:val="00F728A1"/>
    <w:rsid w:val="00F72D92"/>
    <w:rsid w:val="00F72EE1"/>
    <w:rsid w:val="00F73825"/>
    <w:rsid w:val="00F73A0C"/>
    <w:rsid w:val="00F73BE5"/>
    <w:rsid w:val="00F74D16"/>
    <w:rsid w:val="00F75ABF"/>
    <w:rsid w:val="00F772E1"/>
    <w:rsid w:val="00F77436"/>
    <w:rsid w:val="00F77B28"/>
    <w:rsid w:val="00F801C6"/>
    <w:rsid w:val="00F802FB"/>
    <w:rsid w:val="00F80F7B"/>
    <w:rsid w:val="00F81435"/>
    <w:rsid w:val="00F81CB0"/>
    <w:rsid w:val="00F825BE"/>
    <w:rsid w:val="00F831FB"/>
    <w:rsid w:val="00F83C23"/>
    <w:rsid w:val="00F84AD0"/>
    <w:rsid w:val="00F850DF"/>
    <w:rsid w:val="00F85DDB"/>
    <w:rsid w:val="00F85E63"/>
    <w:rsid w:val="00F86068"/>
    <w:rsid w:val="00F870B4"/>
    <w:rsid w:val="00F875E0"/>
    <w:rsid w:val="00F8791C"/>
    <w:rsid w:val="00F87C49"/>
    <w:rsid w:val="00F90AD7"/>
    <w:rsid w:val="00F917D2"/>
    <w:rsid w:val="00F91859"/>
    <w:rsid w:val="00F919BA"/>
    <w:rsid w:val="00F91B31"/>
    <w:rsid w:val="00F91B9A"/>
    <w:rsid w:val="00F91D4D"/>
    <w:rsid w:val="00F91F3C"/>
    <w:rsid w:val="00F922A4"/>
    <w:rsid w:val="00F92525"/>
    <w:rsid w:val="00F92858"/>
    <w:rsid w:val="00F93289"/>
    <w:rsid w:val="00F93C73"/>
    <w:rsid w:val="00F94952"/>
    <w:rsid w:val="00F94DCE"/>
    <w:rsid w:val="00F95055"/>
    <w:rsid w:val="00F95342"/>
    <w:rsid w:val="00F96331"/>
    <w:rsid w:val="00F96B12"/>
    <w:rsid w:val="00F96C06"/>
    <w:rsid w:val="00F97022"/>
    <w:rsid w:val="00F97043"/>
    <w:rsid w:val="00F974DF"/>
    <w:rsid w:val="00F9787B"/>
    <w:rsid w:val="00FA00FB"/>
    <w:rsid w:val="00FA2BF1"/>
    <w:rsid w:val="00FA34C6"/>
    <w:rsid w:val="00FA3780"/>
    <w:rsid w:val="00FA3F57"/>
    <w:rsid w:val="00FA409B"/>
    <w:rsid w:val="00FA4137"/>
    <w:rsid w:val="00FA44E5"/>
    <w:rsid w:val="00FA457D"/>
    <w:rsid w:val="00FA46DB"/>
    <w:rsid w:val="00FA4A85"/>
    <w:rsid w:val="00FA4C51"/>
    <w:rsid w:val="00FA4D1E"/>
    <w:rsid w:val="00FA50EE"/>
    <w:rsid w:val="00FA564F"/>
    <w:rsid w:val="00FA5FDF"/>
    <w:rsid w:val="00FA6380"/>
    <w:rsid w:val="00FA6A1F"/>
    <w:rsid w:val="00FA701D"/>
    <w:rsid w:val="00FA7991"/>
    <w:rsid w:val="00FB0324"/>
    <w:rsid w:val="00FB1007"/>
    <w:rsid w:val="00FB1379"/>
    <w:rsid w:val="00FB1BEC"/>
    <w:rsid w:val="00FB259D"/>
    <w:rsid w:val="00FB2B28"/>
    <w:rsid w:val="00FB3236"/>
    <w:rsid w:val="00FB35B9"/>
    <w:rsid w:val="00FB3A1F"/>
    <w:rsid w:val="00FB3A68"/>
    <w:rsid w:val="00FB45E6"/>
    <w:rsid w:val="00FB4E14"/>
    <w:rsid w:val="00FB57C8"/>
    <w:rsid w:val="00FB5C16"/>
    <w:rsid w:val="00FB6AB1"/>
    <w:rsid w:val="00FB7645"/>
    <w:rsid w:val="00FB78CA"/>
    <w:rsid w:val="00FB7E0A"/>
    <w:rsid w:val="00FC005F"/>
    <w:rsid w:val="00FC075C"/>
    <w:rsid w:val="00FC0E5F"/>
    <w:rsid w:val="00FC11A6"/>
    <w:rsid w:val="00FC14F2"/>
    <w:rsid w:val="00FC15DA"/>
    <w:rsid w:val="00FC19BD"/>
    <w:rsid w:val="00FC2DA5"/>
    <w:rsid w:val="00FC3396"/>
    <w:rsid w:val="00FC3657"/>
    <w:rsid w:val="00FC3922"/>
    <w:rsid w:val="00FC3EA3"/>
    <w:rsid w:val="00FC47B4"/>
    <w:rsid w:val="00FC56DE"/>
    <w:rsid w:val="00FC58DB"/>
    <w:rsid w:val="00FC692D"/>
    <w:rsid w:val="00FC7CAF"/>
    <w:rsid w:val="00FD0158"/>
    <w:rsid w:val="00FD074C"/>
    <w:rsid w:val="00FD0F83"/>
    <w:rsid w:val="00FD141D"/>
    <w:rsid w:val="00FD1BF6"/>
    <w:rsid w:val="00FD1FA7"/>
    <w:rsid w:val="00FD27A6"/>
    <w:rsid w:val="00FD2888"/>
    <w:rsid w:val="00FD2941"/>
    <w:rsid w:val="00FD2946"/>
    <w:rsid w:val="00FD3421"/>
    <w:rsid w:val="00FD364E"/>
    <w:rsid w:val="00FD3859"/>
    <w:rsid w:val="00FD3A0E"/>
    <w:rsid w:val="00FD457F"/>
    <w:rsid w:val="00FD4884"/>
    <w:rsid w:val="00FD4C55"/>
    <w:rsid w:val="00FD4F97"/>
    <w:rsid w:val="00FD5138"/>
    <w:rsid w:val="00FD61A3"/>
    <w:rsid w:val="00FD6624"/>
    <w:rsid w:val="00FD72B0"/>
    <w:rsid w:val="00FD73C6"/>
    <w:rsid w:val="00FD73EC"/>
    <w:rsid w:val="00FD759F"/>
    <w:rsid w:val="00FD75DC"/>
    <w:rsid w:val="00FD7723"/>
    <w:rsid w:val="00FE026D"/>
    <w:rsid w:val="00FE05E8"/>
    <w:rsid w:val="00FE0EDF"/>
    <w:rsid w:val="00FE14FD"/>
    <w:rsid w:val="00FE1EFA"/>
    <w:rsid w:val="00FE2310"/>
    <w:rsid w:val="00FE2398"/>
    <w:rsid w:val="00FE2612"/>
    <w:rsid w:val="00FE2B14"/>
    <w:rsid w:val="00FE2F78"/>
    <w:rsid w:val="00FE47AD"/>
    <w:rsid w:val="00FE4D2D"/>
    <w:rsid w:val="00FE50A6"/>
    <w:rsid w:val="00FE639D"/>
    <w:rsid w:val="00FE6728"/>
    <w:rsid w:val="00FE7501"/>
    <w:rsid w:val="00FE7571"/>
    <w:rsid w:val="00FE7C6F"/>
    <w:rsid w:val="00FF0219"/>
    <w:rsid w:val="00FF05D5"/>
    <w:rsid w:val="00FF074A"/>
    <w:rsid w:val="00FF0A31"/>
    <w:rsid w:val="00FF1633"/>
    <w:rsid w:val="00FF2B86"/>
    <w:rsid w:val="00FF3BD8"/>
    <w:rsid w:val="00FF3BF1"/>
    <w:rsid w:val="00FF4878"/>
    <w:rsid w:val="00FF4D13"/>
    <w:rsid w:val="00FF5580"/>
    <w:rsid w:val="00FF565B"/>
    <w:rsid w:val="00FF5881"/>
    <w:rsid w:val="00FF6474"/>
    <w:rsid w:val="00FF6C92"/>
    <w:rsid w:val="00FF73AD"/>
    <w:rsid w:val="00FF77A9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AEB640B"/>
  <w15:docId w15:val="{4905C160-BD5C-4117-8CEB-519BC20C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1C91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qFormat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C0BF9"/>
    <w:rPr>
      <w:color w:val="800080" w:themeColor="followedHyperlink"/>
      <w:u w:val="single"/>
    </w:rPr>
  </w:style>
  <w:style w:type="character" w:customStyle="1" w:styleId="st">
    <w:name w:val="st"/>
    <w:basedOn w:val="Standardnpsmoodstavce"/>
    <w:rsid w:val="00BC1FBF"/>
  </w:style>
  <w:style w:type="table" w:styleId="Stednmka3zvraznn5">
    <w:name w:val="Medium Grid 3 Accent 5"/>
    <w:basedOn w:val="Normlntabulka"/>
    <w:uiPriority w:val="60"/>
    <w:rsid w:val="00FD3A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F66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F66A0"/>
    <w:rPr>
      <w:rFonts w:ascii="Tahoma" w:eastAsia="Times New Roman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5144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90D47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C728B"/>
    <w:rPr>
      <w:color w:val="808080"/>
      <w:shd w:val="clear" w:color="auto" w:fill="E6E6E6"/>
    </w:rPr>
  </w:style>
  <w:style w:type="paragraph" w:styleId="Titulek">
    <w:name w:val="caption"/>
    <w:basedOn w:val="Normln"/>
    <w:next w:val="Normln"/>
    <w:uiPriority w:val="35"/>
    <w:unhideWhenUsed/>
    <w:qFormat/>
    <w:rsid w:val="0069364F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26" Type="http://schemas.openxmlformats.org/officeDocument/2006/relationships/chart" Target="charts/chart15.xml"/><Relationship Id="rId21" Type="http://schemas.openxmlformats.org/officeDocument/2006/relationships/chart" Target="charts/chart10.xml"/><Relationship Id="rId34" Type="http://schemas.openxmlformats.org/officeDocument/2006/relationships/chart" Target="charts/chart23.xml"/><Relationship Id="rId42" Type="http://schemas.openxmlformats.org/officeDocument/2006/relationships/image" Target="media/image6.png"/><Relationship Id="rId47" Type="http://schemas.openxmlformats.org/officeDocument/2006/relationships/image" Target="media/image8.png"/><Relationship Id="rId50" Type="http://schemas.openxmlformats.org/officeDocument/2006/relationships/image" Target="media/image9.png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9" Type="http://schemas.openxmlformats.org/officeDocument/2006/relationships/chart" Target="charts/chart18.xml"/><Relationship Id="rId11" Type="http://schemas.openxmlformats.org/officeDocument/2006/relationships/chart" Target="charts/chart4.xml"/><Relationship Id="rId24" Type="http://schemas.openxmlformats.org/officeDocument/2006/relationships/chart" Target="charts/chart13.xml"/><Relationship Id="rId32" Type="http://schemas.openxmlformats.org/officeDocument/2006/relationships/chart" Target="charts/chart21.xml"/><Relationship Id="rId37" Type="http://schemas.openxmlformats.org/officeDocument/2006/relationships/chart" Target="charts/chart26.xml"/><Relationship Id="rId45" Type="http://schemas.openxmlformats.org/officeDocument/2006/relationships/chart" Target="charts/chart30.xml"/><Relationship Id="rId53" Type="http://schemas.openxmlformats.org/officeDocument/2006/relationships/header" Target="header1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microsoft.com/office/2018/08/relationships/commentsExtensible" Target="commentsExtensible.xml"/><Relationship Id="rId19" Type="http://schemas.openxmlformats.org/officeDocument/2006/relationships/chart" Target="charts/chart8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2.png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9.xml"/><Relationship Id="rId35" Type="http://schemas.openxmlformats.org/officeDocument/2006/relationships/chart" Target="charts/chart24.xml"/><Relationship Id="rId43" Type="http://schemas.openxmlformats.org/officeDocument/2006/relationships/chart" Target="charts/chart28.xml"/><Relationship Id="rId48" Type="http://schemas.openxmlformats.org/officeDocument/2006/relationships/chart" Target="charts/chart31.xml"/><Relationship Id="rId56" Type="http://schemas.openxmlformats.org/officeDocument/2006/relationships/footer" Target="footer2.xml"/><Relationship Id="rId8" Type="http://schemas.openxmlformats.org/officeDocument/2006/relationships/chart" Target="charts/chart1.xml"/><Relationship Id="rId51" Type="http://schemas.openxmlformats.org/officeDocument/2006/relationships/image" Target="media/image10.png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image" Target="media/image3.png"/><Relationship Id="rId25" Type="http://schemas.openxmlformats.org/officeDocument/2006/relationships/chart" Target="charts/chart14.xml"/><Relationship Id="rId33" Type="http://schemas.openxmlformats.org/officeDocument/2006/relationships/chart" Target="charts/chart22.xml"/><Relationship Id="rId38" Type="http://schemas.openxmlformats.org/officeDocument/2006/relationships/chart" Target="charts/chart27.xml"/><Relationship Id="rId46" Type="http://schemas.openxmlformats.org/officeDocument/2006/relationships/image" Target="media/image7.png"/><Relationship Id="rId20" Type="http://schemas.openxmlformats.org/officeDocument/2006/relationships/chart" Target="charts/chart9.xml"/><Relationship Id="rId41" Type="http://schemas.openxmlformats.org/officeDocument/2006/relationships/image" Target="media/image5.png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6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36" Type="http://schemas.openxmlformats.org/officeDocument/2006/relationships/chart" Target="charts/chart25.xml"/><Relationship Id="rId49" Type="http://schemas.openxmlformats.org/officeDocument/2006/relationships/chart" Target="charts/chart32.xml"/><Relationship Id="rId57" Type="http://schemas.openxmlformats.org/officeDocument/2006/relationships/fontTable" Target="fontTable.xml"/><Relationship Id="rId10" Type="http://schemas.openxmlformats.org/officeDocument/2006/relationships/chart" Target="charts/chart3.xml"/><Relationship Id="rId31" Type="http://schemas.openxmlformats.org/officeDocument/2006/relationships/chart" Target="charts/chart20.xml"/><Relationship Id="rId44" Type="http://schemas.openxmlformats.org/officeDocument/2006/relationships/chart" Target="charts/chart29.xml"/><Relationship Id="rId52" Type="http://schemas.openxmlformats.org/officeDocument/2006/relationships/chart" Target="charts/chart33.xml"/><Relationship Id="rId60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ojka7725\Documents\_PRACOVNI\02_Statistick&#233;%20&#250;lohy\00_GBOARD\07_Nep&#345;&#237;m&#225;%20podpora%20VaV\05_V&#253;stupy\03_Publikace\npvv2019_21100321\1_Web\2_Texty\Final\NVPVV19_graf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ojka7725\Documents\_PRACOVNI\02_Statistick&#233;%20&#250;lohy\00_GBOARD\07_Nep&#345;&#237;m&#225;%20podpora%20VaV\05_V&#253;stupy\03_Publikace\npvv2019_21100321\1_Web\2_Texty\NVPVV19_grafy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ojka7725\Documents\_PRACOVNI\02_Statistick&#233;%20&#250;lohy\00_GBOARD\07_Nep&#345;&#237;m&#225;%20podpora%20VaV\05_V&#253;stupy\03_Publikace\npvv2019_21100321\1_Web\2_Texty\NVPVV19_grafy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jka7725\Documents\_PRACOVNI\02_Statistick&#233;%20&#250;lohy\00_GBOARD\07_Nep&#345;&#237;m&#225;%20podpora%20VaV\05_V&#253;stupy\03_Publikace\npvv2019_21100321\1_Web\2_Texty\Final\NVPVV19_grafy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jka7725\Documents\_PRACOVNI\02_Statistick&#233;%20&#250;lohy\00_GBOARD\07_Nep&#345;&#237;m&#225;%20podpora%20VaV\05_V&#253;stupy\03_Publikace\npvv2019_21100321\1_Web\2_Texty\Final\NVPVV19_grafy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jka7725\Documents\_PRACOVNI\02_Statistick&#233;%20&#250;lohy\00_GBOARD\07_Nep&#345;&#237;m&#225;%20podpora%20VaV\05_V&#253;stupy\03_Publikace\npvv2019_21100321\1_Web\2_Texty\Final\NVPVV19_grafy_final%20verze.xlsx" TargetMode="Externa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ojka7725\Documents\_PRACOVNI\02_Statistick&#233;%20&#250;lohy\00_GBOARD\07_Nep&#345;&#237;m&#225;%20podpora%20VaV\05_V&#253;stupy\03_Publikace\npvv2019_21100321\1_Web\2_Texty\Final\211003-21_grafy_final_verze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ojka7725\Documents\_PRACOVNI\02_Statistick&#233;%20&#250;lohy\00_GBOARD\07_Nep&#345;&#237;m&#225;%20podpora%20VaV\05_V&#253;stupy\03_Publikace\npvv2019_21100321\1_Web\2_Texty\NVPVV19_grafy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ojka7725\Documents\_PRACOVNI\02_Statistick&#233;%20&#250;lohy\00_GBOARD\07_Nep&#345;&#237;m&#225;%20podpora%20VaV\05_V&#253;stupy\03_Publikace\npvv2019_21100321\1_Web\2_Texty\NVPVV19_grafy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ojka7725\Documents\_PRACOVNI\02_Statistick&#233;%20&#250;lohy\00_GBOARD\07_Nep&#345;&#237;m&#225;%20podpora%20VaV\05_V&#253;stupy\03_Publikace\npvv2019_21100321\1_Web\2_Texty\NVPVV19_grafy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ojka7725\Documents\_PRACOVNI\02_Statistick&#233;%20&#250;lohy\00_GBOARD\07_Nep&#345;&#237;m&#225;%20podpora%20VaV\05_V&#253;stupy\03_Publikace\npvv2019_21100321\1_Web\2_Texty\Final\NVPVV19_grafy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jka7725\Documents\_PRACOVNI\02_Statistick&#233;%20&#250;lohy\00_GBOARD\07_Nep&#345;&#237;m&#225;%20podpora%20VaV\05_V&#253;stupy\03_Publikace\npvv2019_21100321\1_Web\2_Texty\Final\NVPVV19_grafy.xlsx" TargetMode="Externa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ojka7725\Documents\_PRACOVNI\02_Statistick&#233;%20&#250;lohy\00_GBOARD\07_Nep&#345;&#237;m&#225;%20podpora%20VaV\05_V&#253;stupy\03_Publikace\npvv2019_21100321\1_Web\2_Texty\Final\NVPVV19_grafy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ojka7725\Documents\_PRACOVNI\02_Statistick&#233;%20&#250;lohy\00_GBOARD\07_Nep&#345;&#237;m&#225;%20podpora%20VaV\05_V&#253;stupy\03_Publikace\npvv2019_21100321\1_Web\2_Texty\Final\NVPVV19_grafy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ojka7725\Documents\_PRACOVNI\02_Statistick&#233;%20&#250;lohy\00_GBOARD\07_Nep&#345;&#237;m&#225;%20podpora%20VaV\05_V&#253;stupy\03_Publikace\npvv2019_21100321\1_Web\2_Texty\NVPVV19_grafy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ojka7725\Documents\_PRACOVNI\02_Statistick&#233;%20&#250;lohy\00_GBOARD\07_Nep&#345;&#237;m&#225;%20podpora%20VaV\05_V&#253;stupy\03_Publikace\npvv2019_21100321\1_Web\2_Texty\NVPVV19_grafy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ojka7725\Documents\_PRACOVNI\02_Statistick&#233;%20&#250;lohy\00_GBOARD\07_Nep&#345;&#237;m&#225;%20podpora%20VaV\05_V&#253;stupy\03_Publikace\npvv2019_21100321\1_Web\2_Texty\Final\NVPVV19_grafy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ojka7725\Documents\_PRACOVNI\02_Statistick&#233;%20&#250;lohy\00_GBOARD\07_Nep&#345;&#237;m&#225;%20podpora%20VaV\05_V&#253;stupy\03_Publikace\npvv2019_21100321\1_Web\2_Texty\Final\NVPVV19_grafy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ojka7725\Documents\_PRACOVNI\02_Statistick&#233;%20&#250;lohy\00_GBOARD\07_Nep&#345;&#237;m&#225;%20podpora%20VaV\05_V&#253;stupy\03_Publikace\npvv2019_21100321\1_Web\2_Texty\NVPVV19_grafy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ojka7725\Documents\_PRACOVNI\02_Statistick&#233;%20&#250;lohy\00_GBOARD\07_Nep&#345;&#237;m&#225;%20podpora%20VaV\05_V&#253;stupy\03_Publikace\npvv2019_21100321\1_Web\2_Texty\NVPVV19_grafy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jka7725\Documents\_PRACOVNI\02_Statistick&#233;%20&#250;lohy\00_GBOARD\07_Nep&#345;&#237;m&#225;%20podpora%20VaV\05_V&#253;stupy\03_Publikace\npvv2019_21100321\1_Web\2_Texty\NVPVV19_grafy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jka7725\Documents\_PRACOVNI\02_Statistick&#233;%20&#250;lohy\00_GBOARD\07_Nep&#345;&#237;m&#225;%20podpora%20VaV\05_V&#253;stupy\03_Publikace\npvv2019_21100321\1_Web\2_Texty\Final\NVPVV19_grafy_fina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jka7725\Documents\_PRACOVNI\02_Statistick&#233;%20&#250;lohy\00_GBOARD\07_Nep&#345;&#237;m&#225;%20podpora%20VaV\05_V&#253;stupy\03_Publikace\npvv2019_21100321\1_Web\2_Texty\NVPVV19_grafy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jka7725\Documents\_PRACOVNI\02_Statistick&#233;%20&#250;lohy\00_GBOARD\07_Nep&#345;&#237;m&#225;%20podpora%20VaV\05_V&#253;stupy\03_Publikace\npvv2019_21100321\1_Web\2_Texty\Final\NVPVV19_grafy_final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jka7725\Documents\_PRACOVNI\02_Statistick&#233;%20&#250;lohy\00_GBOARD\07_Nep&#345;&#237;m&#225;%20podpora%20VaV\05_V&#253;stupy\03_Publikace\npvv2019_21100321\1_Web\2_Texty\Final\NVPVV19_grafy_final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jka7725\Documents\_PRACOVNI\02_Statistick&#233;%20&#250;lohy\00_GBOARD\07_Nep&#345;&#237;m&#225;%20podpora%20VaV\05_V&#253;stupy\03_Publikace\npvv2019_21100321\1_Web\2_Texty\Final\NVPVV19_grafy_final.xlsx" TargetMode="Externa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ojka7725\Documents\_PRACOVNI\02_Statistick&#233;%20&#250;lohy\00_GBOARD\07_Nep&#345;&#237;m&#225;%20podpora%20VaV\05_V&#253;stupy\03_Publikace\npvv2019_21100321\1_Web\2_Texty\Final\211003-21_grafy_final_verze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jka7725\Documents\_PRACOVNI\02_Statistick&#233;%20&#250;lohy\00_GBOARD\07_Nep&#345;&#237;m&#225;%20podpora%20VaV\05_V&#253;stupy\03_Publikace\npvv2019_21100321\1_Web\2_Texty\Final\NVPVV19_graf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jka7725\Documents\_PRACOVNI\02_Statistick&#233;%20&#250;lohy\00_GBOARD\07_Nep&#345;&#237;m&#225;%20podpora%20VaV\05_V&#253;stupy\03_Publikace\npvv2019_21100321\1_Web\2_Texty\Final\NVPVV19_grafy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ojka7725\Documents\_PRACOVNI\02_Statistick&#233;%20&#250;lohy\00_GBOARD\07_Nep&#345;&#237;m&#225;%20podpora%20VaV\05_V&#253;stupy\03_Publikace\npvv2019_21100321\1_Web\2_Texty\NVPVV19_graf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ojka7725\Documents\_PRACOVNI\02_Statistick&#233;%20&#250;lohy\00_GBOARD\07_Nep&#345;&#237;m&#225;%20podpora%20VaV\05_V&#253;stupy\03_Publikace\npvv2019_21100321\1_Web\2_Texty\NVPVV19_graf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jka7725\Documents\_PRACOVNI\02_Statistick&#233;%20&#250;lohy\00_GBOARD\07_Nep&#345;&#237;m&#225;%20podpora%20VaV\05_V&#253;stupy\03_Publikace\npvv2019_21100321\1_Web\2_Texty\Final\NVPVV19_grafy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jka7725\Documents\_PRACOVNI\02_Statistick&#233;%20&#250;lohy\00_GBOARD\07_Nep&#345;&#237;m&#225;%20podpora%20VaV\05_V&#253;stupy\03_Publikace\npvv2019_21100321\1_Web\2_Texty\Final\NVPVV19_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3.0847390926197218E-2"/>
          <c:y val="0.24264712776393579"/>
          <c:w val="0.89478664757413517"/>
          <c:h val="0.662315529363312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'2021G1'!$A$68</c:f>
              <c:strCache>
                <c:ptCount val="1"/>
                <c:pt idx="0">
                  <c:v> Celkem (mld. Kč)</c:v>
                </c:pt>
              </c:strCache>
            </c:strRef>
          </c:tx>
          <c:spPr>
            <a:solidFill>
              <a:srgbClr val="B5D4E0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0"/>
                  <c:y val="6.225490196078431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B84-44D3-B5B2-FBFB181DD4CA}"/>
                </c:ext>
              </c:extLst>
            </c:dLbl>
            <c:dLbl>
              <c:idx val="10"/>
              <c:layout>
                <c:manualLayout>
                  <c:x val="0"/>
                  <c:y val="2.07516339869281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B84-44D3-B5B2-FBFB181DD4C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0"/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'2021G1'!$B$67:$M$67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  <c:extLst/>
            </c:numRef>
          </c:cat>
          <c:val>
            <c:numRef>
              <c:f>'2021G1'!$B$68:$M$68</c:f>
              <c:numCache>
                <c:formatCode>#\ ##0.0</c:formatCode>
                <c:ptCount val="11"/>
                <c:pt idx="0">
                  <c:v>50.874619019999962</c:v>
                </c:pt>
                <c:pt idx="1">
                  <c:v>52.973567630000005</c:v>
                </c:pt>
                <c:pt idx="2">
                  <c:v>62.753402959999875</c:v>
                </c:pt>
                <c:pt idx="3">
                  <c:v>72.360307379999952</c:v>
                </c:pt>
                <c:pt idx="4">
                  <c:v>77.853386009999937</c:v>
                </c:pt>
                <c:pt idx="5">
                  <c:v>85.104466859999647</c:v>
                </c:pt>
                <c:pt idx="6">
                  <c:v>88.663389589999937</c:v>
                </c:pt>
                <c:pt idx="7">
                  <c:v>80.109157268128726</c:v>
                </c:pt>
                <c:pt idx="8">
                  <c:v>90.386024781976644</c:v>
                </c:pt>
                <c:pt idx="9">
                  <c:v>102.75372947535186</c:v>
                </c:pt>
                <c:pt idx="10">
                  <c:v>111.62204681941252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1B84-44D3-B5B2-FBFB181DD4CA}"/>
            </c:ext>
          </c:extLst>
        </c:ser>
        <c:ser>
          <c:idx val="1"/>
          <c:order val="1"/>
          <c:tx>
            <c:strRef>
              <c:f>'2021G1'!$A$69</c:f>
              <c:strCache>
                <c:ptCount val="1"/>
                <c:pt idx="0">
                  <c:v> z toho v soukromých podnicích (mld. Kč)</c:v>
                </c:pt>
              </c:strCache>
            </c:strRef>
          </c:tx>
          <c:spPr>
            <a:solidFill>
              <a:srgbClr val="39869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'2021G1'!$B$67:$M$67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  <c:extLst/>
            </c:numRef>
          </c:cat>
          <c:val>
            <c:numRef>
              <c:f>'2021G1'!$B$69:$M$69</c:f>
              <c:numCache>
                <c:formatCode>#\ ##0.0</c:formatCode>
                <c:ptCount val="11"/>
                <c:pt idx="0">
                  <c:v>25.942967720000023</c:v>
                </c:pt>
                <c:pt idx="1">
                  <c:v>27.858636680000011</c:v>
                </c:pt>
                <c:pt idx="2">
                  <c:v>32.128392349999991</c:v>
                </c:pt>
                <c:pt idx="3">
                  <c:v>36.412414039999959</c:v>
                </c:pt>
                <c:pt idx="4">
                  <c:v>39.493213280000013</c:v>
                </c:pt>
                <c:pt idx="5">
                  <c:v>44.807265029999968</c:v>
                </c:pt>
                <c:pt idx="6">
                  <c:v>45.975406100000022</c:v>
                </c:pt>
                <c:pt idx="7">
                  <c:v>47.025165332821494</c:v>
                </c:pt>
                <c:pt idx="8">
                  <c:v>54.315622408767879</c:v>
                </c:pt>
                <c:pt idx="9">
                  <c:v>61.448939597940409</c:v>
                </c:pt>
                <c:pt idx="10">
                  <c:v>66.588429931785356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1B84-44D3-B5B2-FBFB181DD4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7"/>
        <c:overlap val="71"/>
        <c:axId val="277586304"/>
        <c:axId val="277587840"/>
      </c:barChart>
      <c:lineChart>
        <c:grouping val="standard"/>
        <c:varyColors val="0"/>
        <c:ser>
          <c:idx val="2"/>
          <c:order val="2"/>
          <c:tx>
            <c:strRef>
              <c:f>'2021G1'!$A$70</c:f>
              <c:strCache>
                <c:ptCount val="1"/>
                <c:pt idx="0">
                  <c:v> Podíl soukromých podniků na celkových výdajích na VaV v Česku (%)</c:v>
                </c:pt>
              </c:strCache>
            </c:strRef>
          </c:tx>
          <c:spPr>
            <a:ln w="28575" cap="rnd" cmpd="sng" algn="ctr">
              <a:solidFill>
                <a:srgbClr val="46A1B9"/>
              </a:solidFill>
              <a:prstDash val="solid"/>
              <a:round/>
            </a:ln>
            <a:effectLst/>
          </c:spPr>
          <c:marker>
            <c:symbol val="diamond"/>
            <c:size val="7"/>
            <c:spPr>
              <a:solidFill>
                <a:srgbClr val="39869B"/>
              </a:solidFill>
              <a:ln w="9525" cap="flat" cmpd="sng" algn="ctr">
                <a:solidFill>
                  <a:schemeClr val="accent5">
                    <a:tint val="65000"/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marker>
          <c:cat>
            <c:numRef>
              <c:f>'2021G1'!$B$67:$M$67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  <c:extLst/>
            </c:numRef>
          </c:cat>
          <c:val>
            <c:numRef>
              <c:f>'2021G1'!$B$70:$M$70</c:f>
              <c:numCache>
                <c:formatCode>0.0%</c:formatCode>
                <c:ptCount val="11"/>
                <c:pt idx="0">
                  <c:v>0.50993930214595296</c:v>
                </c:pt>
                <c:pt idx="1">
                  <c:v>0.52589693174116336</c:v>
                </c:pt>
                <c:pt idx="2">
                  <c:v>0.51197848777187671</c:v>
                </c:pt>
                <c:pt idx="3">
                  <c:v>0.50320977561331015</c:v>
                </c:pt>
                <c:pt idx="4">
                  <c:v>0.50727675832785546</c:v>
                </c:pt>
                <c:pt idx="5">
                  <c:v>0.52649721786882941</c:v>
                </c:pt>
                <c:pt idx="6">
                  <c:v>0.5185387826091572</c:v>
                </c:pt>
                <c:pt idx="7">
                  <c:v>0.58701360663958002</c:v>
                </c:pt>
                <c:pt idx="8">
                  <c:v>0.60092943062585613</c:v>
                </c:pt>
                <c:pt idx="9">
                  <c:v>0.5980215016203444</c:v>
                </c:pt>
                <c:pt idx="10">
                  <c:v>0.59655266884252001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4-1B84-44D3-B5B2-FBFB181DD4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4271256"/>
        <c:axId val="726864608"/>
      </c:lineChart>
      <c:catAx>
        <c:axId val="277586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77587840"/>
        <c:crosses val="autoZero"/>
        <c:auto val="1"/>
        <c:lblAlgn val="ctr"/>
        <c:lblOffset val="100"/>
        <c:noMultiLvlLbl val="0"/>
      </c:catAx>
      <c:valAx>
        <c:axId val="277587840"/>
        <c:scaling>
          <c:orientation val="minMax"/>
          <c:max val="150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prstDash val="dash"/>
              <a:round/>
            </a:ln>
            <a:effectLst/>
          </c:spPr>
        </c:majorGridlines>
        <c:numFmt formatCode="#,##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77586304"/>
        <c:crosses val="autoZero"/>
        <c:crossBetween val="between"/>
        <c:majorUnit val="25"/>
      </c:valAx>
      <c:valAx>
        <c:axId val="726864608"/>
        <c:scaling>
          <c:orientation val="minMax"/>
          <c:max val="0.64000000000000012"/>
          <c:min val="0.4"/>
        </c:scaling>
        <c:delete val="0"/>
        <c:axPos val="r"/>
        <c:numFmt formatCode="0%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724271256"/>
        <c:crosses val="max"/>
        <c:crossBetween val="between"/>
        <c:majorUnit val="4.0000000000000008E-2"/>
      </c:valAx>
      <c:catAx>
        <c:axId val="7242712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26864608"/>
        <c:crosses val="autoZero"/>
        <c:auto val="1"/>
        <c:lblAlgn val="ctr"/>
        <c:lblOffset val="100"/>
        <c:noMultiLvlLbl val="0"/>
      </c:catAx>
      <c:spPr>
        <a:solidFill>
          <a:schemeClr val="bg1"/>
        </a:solidFill>
        <a:ln>
          <a:solidFill>
            <a:schemeClr val="bg1">
              <a:lumMod val="75000"/>
            </a:schemeClr>
          </a:solidFill>
        </a:ln>
        <a:effectLst/>
      </c:spPr>
    </c:plotArea>
    <c:legend>
      <c:legendPos val="t"/>
      <c:layout>
        <c:manualLayout>
          <c:xMode val="edge"/>
          <c:yMode val="edge"/>
          <c:x val="7.9918779577164367E-2"/>
          <c:y val="3.5281146637265712E-2"/>
          <c:w val="0.8770406796588478"/>
          <c:h val="0.173532889425205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3.0847390926197218E-2"/>
          <c:y val="0.24264712776393579"/>
          <c:w val="0.89478664757413517"/>
          <c:h val="0.637408780352290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'2021G8G9'!$A$24</c:f>
              <c:strCache>
                <c:ptCount val="1"/>
                <c:pt idx="0">
                  <c:v> Celkem (mld. Kč)</c:v>
                </c:pt>
              </c:strCache>
            </c:strRef>
          </c:tx>
          <c:spPr>
            <a:solidFill>
              <a:srgbClr val="B5D4E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'2021G8G9'!$B$23:$M$23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  <c:extLst/>
            </c:numRef>
          </c:cat>
          <c:val>
            <c:numRef>
              <c:f>'2021G8G9'!$B$24:$M$24</c:f>
              <c:numCache>
                <c:formatCode>#\ ##0.0</c:formatCode>
                <c:ptCount val="11"/>
                <c:pt idx="0">
                  <c:v>24.300861220000005</c:v>
                </c:pt>
                <c:pt idx="1">
                  <c:v>23.538875409999985</c:v>
                </c:pt>
                <c:pt idx="2">
                  <c:v>26.179053030000031</c:v>
                </c:pt>
                <c:pt idx="3">
                  <c:v>26.616461850000025</c:v>
                </c:pt>
                <c:pt idx="4">
                  <c:v>27.045283730000069</c:v>
                </c:pt>
                <c:pt idx="5">
                  <c:v>28.03448045000005</c:v>
                </c:pt>
                <c:pt idx="6">
                  <c:v>28.562501869999998</c:v>
                </c:pt>
                <c:pt idx="7">
                  <c:v>28.534980418193335</c:v>
                </c:pt>
                <c:pt idx="8">
                  <c:v>31.232402071476429</c:v>
                </c:pt>
                <c:pt idx="9">
                  <c:v>35.03651519844869</c:v>
                </c:pt>
                <c:pt idx="10">
                  <c:v>37.580898000000104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78E5-4006-82B6-5EBEEAE54098}"/>
            </c:ext>
          </c:extLst>
        </c:ser>
        <c:ser>
          <c:idx val="1"/>
          <c:order val="1"/>
          <c:tx>
            <c:strRef>
              <c:f>'2021G8G9'!$A$25</c:f>
              <c:strCache>
                <c:ptCount val="1"/>
                <c:pt idx="0">
                  <c:v> z toho v soukromých podnicích (mld. Kč)</c:v>
                </c:pt>
              </c:strCache>
            </c:strRef>
          </c:tx>
          <c:spPr>
            <a:solidFill>
              <a:srgbClr val="39869B"/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accent5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'2021G8G9'!$B$23:$M$23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  <c:extLst/>
            </c:numRef>
          </c:cat>
          <c:val>
            <c:numRef>
              <c:f>'2021G8G9'!$B$25:$M$25</c:f>
              <c:numCache>
                <c:formatCode>#\ ##0.0</c:formatCode>
                <c:ptCount val="11"/>
                <c:pt idx="0">
                  <c:v>3.6895768299999934</c:v>
                </c:pt>
                <c:pt idx="1">
                  <c:v>3.5974832299999999</c:v>
                </c:pt>
                <c:pt idx="2">
                  <c:v>4.5856046799999959</c:v>
                </c:pt>
                <c:pt idx="3">
                  <c:v>4.5621335199999988</c:v>
                </c:pt>
                <c:pt idx="4">
                  <c:v>3.9535794899999943</c:v>
                </c:pt>
                <c:pt idx="5">
                  <c:v>3.7780919500000025</c:v>
                </c:pt>
                <c:pt idx="6">
                  <c:v>3.1555031100000011</c:v>
                </c:pt>
                <c:pt idx="7">
                  <c:v>2.4589610536935615</c:v>
                </c:pt>
                <c:pt idx="8">
                  <c:v>3.0398476373829078</c:v>
                </c:pt>
                <c:pt idx="9">
                  <c:v>3.5454213618724535</c:v>
                </c:pt>
                <c:pt idx="10">
                  <c:v>3.7441000000000004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78E5-4006-82B6-5EBEEAE540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50"/>
        <c:axId val="277586304"/>
        <c:axId val="277587840"/>
      </c:barChart>
      <c:lineChart>
        <c:grouping val="standard"/>
        <c:varyColors val="0"/>
        <c:ser>
          <c:idx val="2"/>
          <c:order val="2"/>
          <c:tx>
            <c:strRef>
              <c:f>'2021G8G9'!$A$26</c:f>
              <c:strCache>
                <c:ptCount val="1"/>
                <c:pt idx="0">
                  <c:v> Podíl soukromých podniků na celkové přímé podpoře VaV ze státního rozpočtu ČR (%)</c:v>
                </c:pt>
              </c:strCache>
            </c:strRef>
          </c:tx>
          <c:spPr>
            <a:ln w="28575" cap="rnd" cmpd="sng" algn="ctr">
              <a:solidFill>
                <a:srgbClr val="46A1B9"/>
              </a:solidFill>
              <a:prstDash val="solid"/>
              <a:round/>
            </a:ln>
            <a:effectLst/>
          </c:spPr>
          <c:marker>
            <c:symbol val="diamond"/>
            <c:size val="7"/>
            <c:spPr>
              <a:solidFill>
                <a:srgbClr val="39869B"/>
              </a:solidFill>
              <a:ln w="9525" cap="flat" cmpd="sng" algn="ctr">
                <a:solidFill>
                  <a:schemeClr val="accent5">
                    <a:tint val="65000"/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marker>
          <c:cat>
            <c:numRef>
              <c:f>'2021G8G9'!$B$23:$M$23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  <c:extLst/>
            </c:numRef>
          </c:cat>
          <c:val>
            <c:numRef>
              <c:f>'2021G8G9'!$B$26:$M$26</c:f>
              <c:numCache>
                <c:formatCode>0.0%</c:formatCode>
                <c:ptCount val="11"/>
                <c:pt idx="0">
                  <c:v>0.15182905645185166</c:v>
                </c:pt>
                <c:pt idx="1">
                  <c:v>0.15283156766578945</c:v>
                </c:pt>
                <c:pt idx="2">
                  <c:v>0.17516312277396348</c:v>
                </c:pt>
                <c:pt idx="3">
                  <c:v>0.17140270354904419</c:v>
                </c:pt>
                <c:pt idx="4">
                  <c:v>0.14618369433538142</c:v>
                </c:pt>
                <c:pt idx="5">
                  <c:v>0.13476589861325558</c:v>
                </c:pt>
                <c:pt idx="6">
                  <c:v>0.11047712572106</c:v>
                </c:pt>
                <c:pt idx="7">
                  <c:v>8.6173567237697382E-2</c:v>
                </c:pt>
                <c:pt idx="8">
                  <c:v>9.7329934163440643E-2</c:v>
                </c:pt>
                <c:pt idx="9">
                  <c:v>0.10119218026653044</c:v>
                </c:pt>
                <c:pt idx="10">
                  <c:v>9.9627741731982827E-2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78E5-4006-82B6-5EBEEAE540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4271256"/>
        <c:axId val="726864608"/>
      </c:lineChart>
      <c:catAx>
        <c:axId val="277586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77587840"/>
        <c:crosses val="autoZero"/>
        <c:auto val="1"/>
        <c:lblAlgn val="ctr"/>
        <c:lblOffset val="100"/>
        <c:noMultiLvlLbl val="0"/>
      </c:catAx>
      <c:valAx>
        <c:axId val="277587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prstDash val="solid"/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tint val="50000"/>
                  <a:shade val="95000"/>
                  <a:satMod val="105000"/>
                </a:schemeClr>
              </a:solidFill>
              <a:prstDash val="dashDot"/>
              <a:round/>
            </a:ln>
            <a:effectLst/>
          </c:spPr>
        </c:minorGridlines>
        <c:numFmt formatCode="#,##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77586304"/>
        <c:crosses val="autoZero"/>
        <c:crossBetween val="between"/>
        <c:majorUnit val="10"/>
        <c:minorUnit val="2"/>
      </c:valAx>
      <c:valAx>
        <c:axId val="726864608"/>
        <c:scaling>
          <c:orientation val="minMax"/>
          <c:max val="0.2"/>
          <c:min val="0"/>
        </c:scaling>
        <c:delete val="0"/>
        <c:axPos val="r"/>
        <c:numFmt formatCode="0%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724271256"/>
        <c:crosses val="max"/>
        <c:crossBetween val="between"/>
        <c:majorUnit val="2.0000000000000004E-2"/>
        <c:minorUnit val="1.0000000000000002E-2"/>
      </c:valAx>
      <c:catAx>
        <c:axId val="7242712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26864608"/>
        <c:crosses val="autoZero"/>
        <c:auto val="1"/>
        <c:lblAlgn val="ctr"/>
        <c:lblOffset val="100"/>
        <c:noMultiLvlLbl val="0"/>
      </c:catAx>
      <c:spPr>
        <a:solidFill>
          <a:schemeClr val="bg1"/>
        </a:solidFill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7.9918779577164367E-2"/>
          <c:y val="3.5281146637265712E-2"/>
          <c:w val="0.8770406796588478"/>
          <c:h val="0.173532889425205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988633770631661E-2"/>
          <c:y val="0.24264712776393579"/>
          <c:w val="0.88008694156825529"/>
          <c:h val="0.637408780352290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'2021G8G9'!$A$31</c:f>
              <c:strCache>
                <c:ptCount val="1"/>
                <c:pt idx="0">
                  <c:v> Celkem (mld. Kč)</c:v>
                </c:pt>
              </c:strCache>
            </c:strRef>
          </c:tx>
          <c:spPr>
            <a:solidFill>
              <a:srgbClr val="B5D4E0"/>
            </a:solidFill>
            <a:ln>
              <a:noFill/>
            </a:ln>
            <a:effectLst/>
          </c:spPr>
          <c:invertIfNegative val="0"/>
          <c:cat>
            <c:numRef>
              <c:f>'2021G8G9'!$B$30:$M$30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  <c:extLst/>
            </c:numRef>
          </c:cat>
          <c:val>
            <c:numRef>
              <c:f>'2021G8G9'!$B$31:$M$31</c:f>
              <c:numCache>
                <c:formatCode>#\ ##0.0</c:formatCode>
                <c:ptCount val="11"/>
                <c:pt idx="0">
                  <c:v>1.1525472599999995</c:v>
                </c:pt>
                <c:pt idx="1">
                  <c:v>1.9988088199999994</c:v>
                </c:pt>
                <c:pt idx="2">
                  <c:v>5.9430411400000125</c:v>
                </c:pt>
                <c:pt idx="3">
                  <c:v>11.502577980000009</c:v>
                </c:pt>
                <c:pt idx="4">
                  <c:v>12.407306980000007</c:v>
                </c:pt>
                <c:pt idx="5">
                  <c:v>13.132098189999985</c:v>
                </c:pt>
                <c:pt idx="6">
                  <c:v>13.523926729999994</c:v>
                </c:pt>
                <c:pt idx="7">
                  <c:v>2.3169812901297955</c:v>
                </c:pt>
                <c:pt idx="8">
                  <c:v>3.9945347100193218</c:v>
                </c:pt>
                <c:pt idx="9">
                  <c:v>6.3089448514748572</c:v>
                </c:pt>
                <c:pt idx="10">
                  <c:v>7.6971810061499921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6C15-47AA-BBC1-C75D12D78393}"/>
            </c:ext>
          </c:extLst>
        </c:ser>
        <c:ser>
          <c:idx val="1"/>
          <c:order val="1"/>
          <c:tx>
            <c:strRef>
              <c:f>'2021G8G9'!$A$32</c:f>
              <c:strCache>
                <c:ptCount val="1"/>
                <c:pt idx="0">
                  <c:v> z toho v soukromých podnicích (mld. Kč)</c:v>
                </c:pt>
              </c:strCache>
            </c:strRef>
          </c:tx>
          <c:spPr>
            <a:solidFill>
              <a:srgbClr val="39869B"/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accent5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'2021G8G9'!$B$30:$M$30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  <c:extLst/>
            </c:numRef>
          </c:cat>
          <c:val>
            <c:numRef>
              <c:f>'2021G8G9'!$B$32:$M$32</c:f>
              <c:numCache>
                <c:formatCode>#\ ##0.0</c:formatCode>
                <c:ptCount val="11"/>
                <c:pt idx="0">
                  <c:v>0.35184426000000013</c:v>
                </c:pt>
                <c:pt idx="1">
                  <c:v>0.68420565999999983</c:v>
                </c:pt>
                <c:pt idx="2">
                  <c:v>1.2299879999999996</c:v>
                </c:pt>
                <c:pt idx="3">
                  <c:v>1.7664173799999994</c:v>
                </c:pt>
                <c:pt idx="4">
                  <c:v>1.7052692900000002</c:v>
                </c:pt>
                <c:pt idx="5">
                  <c:v>1.5833281899999998</c:v>
                </c:pt>
                <c:pt idx="6">
                  <c:v>1.53169329</c:v>
                </c:pt>
                <c:pt idx="7">
                  <c:v>0.41531429012979509</c:v>
                </c:pt>
                <c:pt idx="8">
                  <c:v>0.938158644066172</c:v>
                </c:pt>
                <c:pt idx="9">
                  <c:v>1.497877679405835</c:v>
                </c:pt>
                <c:pt idx="10">
                  <c:v>1.6921960331960342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6C15-47AA-BBC1-C75D12D783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50"/>
        <c:axId val="277586304"/>
        <c:axId val="277587840"/>
      </c:barChart>
      <c:lineChart>
        <c:grouping val="standard"/>
        <c:varyColors val="0"/>
        <c:ser>
          <c:idx val="2"/>
          <c:order val="2"/>
          <c:tx>
            <c:strRef>
              <c:f>'2021G8G9'!$A$33</c:f>
              <c:strCache>
                <c:ptCount val="1"/>
                <c:pt idx="0">
                  <c:v> Podíl soukromých podniků na celkové přímé podpoře VaV ze státního rozpočtu ČR (%)</c:v>
                </c:pt>
              </c:strCache>
            </c:strRef>
          </c:tx>
          <c:spPr>
            <a:ln w="28575" cap="rnd" cmpd="sng" algn="ctr">
              <a:solidFill>
                <a:srgbClr val="46A1B9"/>
              </a:solidFill>
              <a:prstDash val="solid"/>
              <a:round/>
            </a:ln>
            <a:effectLst/>
          </c:spPr>
          <c:marker>
            <c:symbol val="diamond"/>
            <c:size val="7"/>
            <c:spPr>
              <a:solidFill>
                <a:srgbClr val="39869B"/>
              </a:solidFill>
              <a:ln w="9525" cap="flat" cmpd="sng" algn="ctr">
                <a:solidFill>
                  <a:schemeClr val="accent5">
                    <a:tint val="65000"/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marker>
          <c:cat>
            <c:numRef>
              <c:f>'2021G8G9'!$B$30:$M$30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  <c:extLst/>
            </c:numRef>
          </c:cat>
          <c:val>
            <c:numRef>
              <c:f>'2021G8G9'!$B$33:$M$33</c:f>
              <c:numCache>
                <c:formatCode>0.0%</c:formatCode>
                <c:ptCount val="11"/>
                <c:pt idx="0">
                  <c:v>0.30527534289570069</c:v>
                </c:pt>
                <c:pt idx="1">
                  <c:v>0.34230670445010347</c:v>
                </c:pt>
                <c:pt idx="2">
                  <c:v>0.20696272683045858</c:v>
                </c:pt>
                <c:pt idx="3">
                  <c:v>0.15356708583687412</c:v>
                </c:pt>
                <c:pt idx="4">
                  <c:v>0.13744072688366732</c:v>
                </c:pt>
                <c:pt idx="5">
                  <c:v>0.12056932312657355</c:v>
                </c:pt>
                <c:pt idx="6">
                  <c:v>0.11325802931202368</c:v>
                </c:pt>
                <c:pt idx="7">
                  <c:v>0.17924801201417104</c:v>
                </c:pt>
                <c:pt idx="8">
                  <c:v>0.23486055627781341</c:v>
                </c:pt>
                <c:pt idx="9">
                  <c:v>0.2374212668946809</c:v>
                </c:pt>
                <c:pt idx="10">
                  <c:v>0.21984620497348079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6C15-47AA-BBC1-C75D12D783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4271256"/>
        <c:axId val="726864608"/>
      </c:lineChart>
      <c:catAx>
        <c:axId val="277586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77587840"/>
        <c:crosses val="autoZero"/>
        <c:auto val="1"/>
        <c:lblAlgn val="ctr"/>
        <c:lblOffset val="100"/>
        <c:noMultiLvlLbl val="0"/>
      </c:catAx>
      <c:valAx>
        <c:axId val="277587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prstDash val="solid"/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tint val="50000"/>
                  <a:shade val="95000"/>
                  <a:satMod val="105000"/>
                </a:schemeClr>
              </a:solidFill>
              <a:prstDash val="dash"/>
              <a:round/>
            </a:ln>
            <a:effectLst/>
          </c:spPr>
        </c:minorGridlines>
        <c:numFmt formatCode="#,##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77586304"/>
        <c:crosses val="autoZero"/>
        <c:crossBetween val="between"/>
        <c:majorUnit val="2"/>
        <c:minorUnit val="1"/>
      </c:valAx>
      <c:valAx>
        <c:axId val="726864608"/>
        <c:scaling>
          <c:orientation val="minMax"/>
          <c:max val="0.4"/>
          <c:min val="0"/>
        </c:scaling>
        <c:delete val="0"/>
        <c:axPos val="r"/>
        <c:numFmt formatCode="0%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724271256"/>
        <c:crosses val="max"/>
        <c:crossBetween val="between"/>
        <c:majorUnit val="5.000000000000001E-2"/>
        <c:minorUnit val="1.0000000000000002E-2"/>
      </c:valAx>
      <c:catAx>
        <c:axId val="7242712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26864608"/>
        <c:crosses val="autoZero"/>
        <c:auto val="1"/>
        <c:lblAlgn val="ctr"/>
        <c:lblOffset val="100"/>
        <c:noMultiLvlLbl val="0"/>
      </c:catAx>
      <c:spPr>
        <a:solidFill>
          <a:schemeClr val="bg1"/>
        </a:solidFill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7.9918779577164367E-2"/>
          <c:y val="3.5281146637265712E-2"/>
          <c:w val="0.8770406796588478"/>
          <c:h val="0.173532889425205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'2021G10'!$A$32</c:f>
              <c:strCache>
                <c:ptCount val="1"/>
                <c:pt idx="0">
                  <c:v> Výše podpory (mld. Kč)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'2021G10'!$B$31:$L$31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'2021G10'!$B$32:$L$32</c:f>
              <c:numCache>
                <c:formatCode>#\ ##0.0</c:formatCode>
                <c:ptCount val="11"/>
                <c:pt idx="0">
                  <c:v>1.0492181064000001</c:v>
                </c:pt>
                <c:pt idx="1">
                  <c:v>1.31685559461</c:v>
                </c:pt>
                <c:pt idx="2">
                  <c:v>1.8364267862200001</c:v>
                </c:pt>
                <c:pt idx="3">
                  <c:v>1.9826727428099997</c:v>
                </c:pt>
                <c:pt idx="4">
                  <c:v>2.2970599027800001</c:v>
                </c:pt>
                <c:pt idx="5">
                  <c:v>2.2633171474700009</c:v>
                </c:pt>
                <c:pt idx="6">
                  <c:v>2.5245865907399989</c:v>
                </c:pt>
                <c:pt idx="7">
                  <c:v>2.3844497657099977</c:v>
                </c:pt>
                <c:pt idx="8">
                  <c:v>2.5158111914600023</c:v>
                </c:pt>
                <c:pt idx="9">
                  <c:v>2.5830670887900005</c:v>
                </c:pt>
                <c:pt idx="10">
                  <c:v>2.7279852947900043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81-4FD7-AFF7-E3D3CCD0A9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70393728"/>
        <c:axId val="270395264"/>
      </c:barChart>
      <c:lineChart>
        <c:grouping val="standard"/>
        <c:varyColors val="0"/>
        <c:ser>
          <c:idx val="1"/>
          <c:order val="1"/>
          <c:tx>
            <c:strRef>
              <c:f>'2021G10'!$A$33</c:f>
              <c:strCache>
                <c:ptCount val="1"/>
                <c:pt idx="0">
                  <c:v> Podniky, které využily tuto podporu (počet)</c:v>
                </c:pt>
              </c:strCache>
            </c:strRef>
          </c:tx>
          <c:marker>
            <c:symbol val="square"/>
            <c:size val="5"/>
            <c:spPr>
              <a:solidFill>
                <a:schemeClr val="bg1"/>
              </a:solidFill>
            </c:spPr>
          </c:marker>
          <c:cat>
            <c:numRef>
              <c:f>'2021G10'!$B$31:$L$31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'2021G10'!$B$33:$L$33</c:f>
              <c:numCache>
                <c:formatCode>#,##0</c:formatCode>
                <c:ptCount val="11"/>
                <c:pt idx="0">
                  <c:v>632</c:v>
                </c:pt>
                <c:pt idx="1">
                  <c:v>716</c:v>
                </c:pt>
                <c:pt idx="2">
                  <c:v>859</c:v>
                </c:pt>
                <c:pt idx="3">
                  <c:v>1021</c:v>
                </c:pt>
                <c:pt idx="4">
                  <c:v>1120</c:v>
                </c:pt>
                <c:pt idx="5">
                  <c:v>1264</c:v>
                </c:pt>
                <c:pt idx="6">
                  <c:v>1306</c:v>
                </c:pt>
                <c:pt idx="7" formatCode="General">
                  <c:v>1248</c:v>
                </c:pt>
                <c:pt idx="8" formatCode="General">
                  <c:v>1135</c:v>
                </c:pt>
                <c:pt idx="9" formatCode="General">
                  <c:v>1037</c:v>
                </c:pt>
                <c:pt idx="10" formatCode="General">
                  <c:v>940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B81-4FD7-AFF7-E3D3CCD0A9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0665216"/>
        <c:axId val="270663680"/>
      </c:lineChart>
      <c:catAx>
        <c:axId val="270393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0395264"/>
        <c:crosses val="autoZero"/>
        <c:auto val="1"/>
        <c:lblAlgn val="ctr"/>
        <c:lblOffset val="100"/>
        <c:noMultiLvlLbl val="0"/>
      </c:catAx>
      <c:valAx>
        <c:axId val="27039526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solid"/>
            </a:ln>
          </c:spPr>
        </c:majorGridlines>
        <c:minorGridlines>
          <c:spPr>
            <a:ln>
              <a:prstDash val="dash"/>
            </a:ln>
          </c:spPr>
        </c:min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</a:t>
                </a:r>
                <a:r>
                  <a:rPr lang="cs-CZ"/>
                  <a:t>ld</a:t>
                </a:r>
                <a:r>
                  <a:rPr lang="en-US"/>
                  <a:t>. Kč</a:t>
                </a:r>
              </a:p>
            </c:rich>
          </c:tx>
          <c:overlay val="0"/>
        </c:title>
        <c:numFmt formatCode="#\ ##0.0" sourceLinked="1"/>
        <c:majorTickMark val="out"/>
        <c:minorTickMark val="none"/>
        <c:tickLblPos val="nextTo"/>
        <c:crossAx val="270393728"/>
        <c:crosses val="autoZero"/>
        <c:crossBetween val="between"/>
        <c:minorUnit val="0.25"/>
      </c:valAx>
      <c:valAx>
        <c:axId val="270663680"/>
        <c:scaling>
          <c:orientation val="minMax"/>
          <c:max val="1500"/>
        </c:scaling>
        <c:delete val="0"/>
        <c:axPos val="r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počet</a:t>
                </a:r>
              </a:p>
            </c:rich>
          </c:tx>
          <c:overlay val="0"/>
        </c:title>
        <c:numFmt formatCode="#,##0" sourceLinked="1"/>
        <c:majorTickMark val="out"/>
        <c:minorTickMark val="none"/>
        <c:tickLblPos val="nextTo"/>
        <c:crossAx val="270665216"/>
        <c:crosses val="max"/>
        <c:crossBetween val="between"/>
        <c:majorUnit val="250"/>
      </c:valAx>
      <c:catAx>
        <c:axId val="2706652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70663680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75000"/>
            </a:schemeClr>
          </a:solidFill>
        </a:ln>
      </c:spPr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'2021G11'!$A$19</c:f>
              <c:strCache>
                <c:ptCount val="1"/>
                <c:pt idx="0">
                  <c:v> Celkem (mld. Kč)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'2021G11'!$B$18:$N$18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  <c:extLst/>
            </c:numRef>
          </c:cat>
          <c:val>
            <c:numRef>
              <c:f>'2021G11'!$B$19:$N$19</c:f>
              <c:numCache>
                <c:formatCode>0.0</c:formatCode>
                <c:ptCount val="11"/>
                <c:pt idx="0">
                  <c:v>5.2460905319999993</c:v>
                </c:pt>
                <c:pt idx="1">
                  <c:v>6.9308189189999982</c:v>
                </c:pt>
                <c:pt idx="2">
                  <c:v>9.6654041380000031</c:v>
                </c:pt>
                <c:pt idx="3">
                  <c:v>10.435119698999999</c:v>
                </c:pt>
                <c:pt idx="4">
                  <c:v>12.089788961999998</c:v>
                </c:pt>
                <c:pt idx="5">
                  <c:v>11.912195513000002</c:v>
                </c:pt>
                <c:pt idx="6">
                  <c:v>13.287297845999998</c:v>
                </c:pt>
                <c:pt idx="7">
                  <c:v>12.549735608999999</c:v>
                </c:pt>
                <c:pt idx="8">
                  <c:v>13.241111534</c:v>
                </c:pt>
                <c:pt idx="9">
                  <c:v>13.595089941000001</c:v>
                </c:pt>
                <c:pt idx="10">
                  <c:v>14.357817341000008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744D-44B2-A6F1-7F1A037C14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76529536"/>
        <c:axId val="276531072"/>
      </c:barChart>
      <c:lineChart>
        <c:grouping val="standard"/>
        <c:varyColors val="0"/>
        <c:ser>
          <c:idx val="1"/>
          <c:order val="1"/>
          <c:tx>
            <c:strRef>
              <c:f>'2021G11'!$A$20</c:f>
              <c:strCache>
                <c:ptCount val="1"/>
                <c:pt idx="0">
                  <c:v> Připadající v průměru na jeden podnik, který využil tento odečet (mil. Kč)</c:v>
                </c:pt>
              </c:strCache>
            </c:strRef>
          </c:tx>
          <c:marker>
            <c:symbol val="triangle"/>
            <c:size val="5"/>
            <c:spPr>
              <a:solidFill>
                <a:schemeClr val="bg1"/>
              </a:solidFill>
            </c:spPr>
          </c:marker>
          <c:cat>
            <c:numRef>
              <c:f>'2021G11'!$B$18:$N$18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  <c:extLst/>
            </c:numRef>
          </c:cat>
          <c:val>
            <c:numRef>
              <c:f>'2021G11'!$B$20:$N$20</c:f>
              <c:numCache>
                <c:formatCode>#\ ##0.0</c:formatCode>
                <c:ptCount val="11"/>
                <c:pt idx="0">
                  <c:v>8.3007761582278476</c:v>
                </c:pt>
                <c:pt idx="1">
                  <c:v>9.6799146913407803</c:v>
                </c:pt>
                <c:pt idx="2">
                  <c:v>11.251925655413276</c:v>
                </c:pt>
                <c:pt idx="3">
                  <c:v>10.220489421155728</c:v>
                </c:pt>
                <c:pt idx="4">
                  <c:v>10.794454430357142</c:v>
                </c:pt>
                <c:pt idx="5">
                  <c:v>9.4242053109177242</c:v>
                </c:pt>
                <c:pt idx="6">
                  <c:v>10.174041229709033</c:v>
                </c:pt>
                <c:pt idx="7">
                  <c:v>10.055877891826922</c:v>
                </c:pt>
                <c:pt idx="8">
                  <c:v>11.666177562995594</c:v>
                </c:pt>
                <c:pt idx="9">
                  <c:v>13.110019229508199</c:v>
                </c:pt>
                <c:pt idx="10">
                  <c:v>15.274273767021285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744D-44B2-A6F1-7F1A037C14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539264"/>
        <c:axId val="276537344"/>
      </c:lineChart>
      <c:catAx>
        <c:axId val="276529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6531072"/>
        <c:crosses val="autoZero"/>
        <c:auto val="1"/>
        <c:lblAlgn val="ctr"/>
        <c:lblOffset val="100"/>
        <c:noMultiLvlLbl val="0"/>
      </c:catAx>
      <c:valAx>
        <c:axId val="276531072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solid"/>
            </a:ln>
          </c:spPr>
        </c:majorGridlines>
        <c:minorGridlines>
          <c:spPr>
            <a:ln>
              <a:prstDash val="lgDash"/>
            </a:ln>
          </c:spPr>
        </c:min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mld.</a:t>
                </a:r>
                <a:r>
                  <a:rPr lang="cs-CZ" baseline="0"/>
                  <a:t> </a:t>
                </a:r>
                <a:r>
                  <a:rPr lang="en-US"/>
                  <a:t>Kč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crossAx val="276529536"/>
        <c:crosses val="autoZero"/>
        <c:crossBetween val="between"/>
        <c:minorUnit val="1"/>
      </c:valAx>
      <c:valAx>
        <c:axId val="276537344"/>
        <c:scaling>
          <c:orientation val="minMax"/>
          <c:max val="16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mil. Kč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276539264"/>
        <c:crosses val="max"/>
        <c:crossBetween val="between"/>
      </c:valAx>
      <c:catAx>
        <c:axId val="2765392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76537344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75000"/>
            </a:schemeClr>
          </a:solidFill>
        </a:ln>
      </c:spPr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'2021G12'!$A$11</c:f>
              <c:strCache>
                <c:ptCount val="1"/>
                <c:pt idx="0">
                  <c:v> Celkem (mld. Kč)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dLbl>
              <c:idx val="5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A1B-4FC4-9A0C-8D47DE524C15}"/>
                </c:ext>
              </c:extLst>
            </c:dLbl>
            <c:dLbl>
              <c:idx val="6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1B-4FC4-9A0C-8D47DE524C15}"/>
                </c:ext>
              </c:extLst>
            </c:dLbl>
            <c:dLbl>
              <c:idx val="7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A1B-4FC4-9A0C-8D47DE524C15}"/>
                </c:ext>
              </c:extLst>
            </c:dLbl>
            <c:dLbl>
              <c:idx val="8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A1B-4FC4-9A0C-8D47DE524C15}"/>
                </c:ext>
              </c:extLst>
            </c:dLbl>
            <c:dLbl>
              <c:idx val="9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A1B-4FC4-9A0C-8D47DE524C15}"/>
                </c:ext>
              </c:extLst>
            </c:dLbl>
            <c:dLbl>
              <c:idx val="1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A1B-4FC4-9A0C-8D47DE524C1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noFill/>
                    </a:ln>
                  </c:spPr>
                </c15:leaderLines>
              </c:ext>
            </c:extLst>
          </c:dLbls>
          <c:cat>
            <c:numRef>
              <c:f>'2021G12'!$B$10:$N$10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  <c:extLst/>
            </c:numRef>
          </c:cat>
          <c:val>
            <c:numRef>
              <c:f>'2021G12'!$B$11:$N$11</c:f>
              <c:numCache>
                <c:formatCode>#\ ##0.0</c:formatCode>
                <c:ptCount val="11"/>
                <c:pt idx="0">
                  <c:v>1.3083958230000001</c:v>
                </c:pt>
                <c:pt idx="1">
                  <c:v>0.34273062700000001</c:v>
                </c:pt>
                <c:pt idx="2">
                  <c:v>0.67937436600000001</c:v>
                </c:pt>
                <c:pt idx="3">
                  <c:v>0.54799735299999996</c:v>
                </c:pt>
                <c:pt idx="4">
                  <c:v>1.4693907070000001</c:v>
                </c:pt>
                <c:pt idx="5">
                  <c:v>4.4762832529999992</c:v>
                </c:pt>
                <c:pt idx="6">
                  <c:v>4.5408725279999995</c:v>
                </c:pt>
                <c:pt idx="7">
                  <c:v>9.6107982700000001</c:v>
                </c:pt>
                <c:pt idx="8">
                  <c:v>5.0469879709999992</c:v>
                </c:pt>
                <c:pt idx="9">
                  <c:v>5.275909661</c:v>
                </c:pt>
                <c:pt idx="10">
                  <c:v>6.2144256760000021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6-3A1B-4FC4-9A0C-8D47DE524C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76529536"/>
        <c:axId val="276531072"/>
      </c:barChart>
      <c:lineChart>
        <c:grouping val="standard"/>
        <c:varyColors val="0"/>
        <c:ser>
          <c:idx val="1"/>
          <c:order val="1"/>
          <c:tx>
            <c:strRef>
              <c:f>'2021G12'!$A$12</c:f>
              <c:strCache>
                <c:ptCount val="1"/>
                <c:pt idx="0">
                  <c:v> Podniky, které převedly výdaje na VaV k uplatnění do dalšího roku (počet)</c:v>
                </c:pt>
              </c:strCache>
            </c:strRef>
          </c:tx>
          <c:spPr>
            <a:ln>
              <a:solidFill>
                <a:schemeClr val="accent5">
                  <a:lumMod val="60000"/>
                  <a:lumOff val="40000"/>
                  <a:alpha val="0"/>
                </a:schemeClr>
              </a:solidFill>
            </a:ln>
          </c:spPr>
          <c:marker>
            <c:symbol val="circle"/>
            <c:size val="7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solidFill>
                  <a:schemeClr val="accent5"/>
                </a:solidFill>
              </a:ln>
            </c:spPr>
          </c:marker>
          <c:cat>
            <c:numRef>
              <c:f>'2021G12'!$B$10:$N$10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  <c:extLst/>
            </c:numRef>
          </c:cat>
          <c:val>
            <c:numRef>
              <c:f>'2021G12'!$B$12:$N$12</c:f>
              <c:numCache>
                <c:formatCode>#,##0</c:formatCode>
                <c:ptCount val="11"/>
                <c:pt idx="0">
                  <c:v>237</c:v>
                </c:pt>
                <c:pt idx="1">
                  <c:v>45</c:v>
                </c:pt>
                <c:pt idx="2">
                  <c:v>45</c:v>
                </c:pt>
                <c:pt idx="3">
                  <c:v>65</c:v>
                </c:pt>
                <c:pt idx="4">
                  <c:v>110</c:v>
                </c:pt>
                <c:pt idx="5">
                  <c:v>422</c:v>
                </c:pt>
                <c:pt idx="6">
                  <c:v>425</c:v>
                </c:pt>
                <c:pt idx="7" formatCode="General">
                  <c:v>459</c:v>
                </c:pt>
                <c:pt idx="8" formatCode="General">
                  <c:v>426</c:v>
                </c:pt>
                <c:pt idx="9" formatCode="General">
                  <c:v>411</c:v>
                </c:pt>
                <c:pt idx="10" formatCode="General">
                  <c:v>387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7-3A1B-4FC4-9A0C-8D47DE524C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539264"/>
        <c:axId val="276537344"/>
      </c:lineChart>
      <c:catAx>
        <c:axId val="276529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6531072"/>
        <c:crosses val="autoZero"/>
        <c:auto val="1"/>
        <c:lblAlgn val="ctr"/>
        <c:lblOffset val="100"/>
        <c:noMultiLvlLbl val="0"/>
      </c:catAx>
      <c:valAx>
        <c:axId val="276531072"/>
        <c:scaling>
          <c:orientation val="minMax"/>
          <c:max val="1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solid"/>
            </a:ln>
          </c:spPr>
        </c:majorGridlines>
        <c:minorGridlines>
          <c:spPr>
            <a:ln>
              <a:prstDash val="lgDash"/>
            </a:ln>
          </c:spPr>
        </c:min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mld.</a:t>
                </a:r>
                <a:r>
                  <a:rPr lang="cs-CZ" baseline="0"/>
                  <a:t> </a:t>
                </a:r>
                <a:r>
                  <a:rPr lang="en-US"/>
                  <a:t>Kč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crossAx val="276529536"/>
        <c:crosses val="autoZero"/>
        <c:crossBetween val="between"/>
        <c:majorUnit val="2"/>
        <c:minorUnit val="1"/>
      </c:valAx>
      <c:valAx>
        <c:axId val="276537344"/>
        <c:scaling>
          <c:orientation val="minMax"/>
          <c:max val="50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počet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276539264"/>
        <c:crosses val="max"/>
        <c:crossBetween val="between"/>
        <c:majorUnit val="100"/>
      </c:valAx>
      <c:catAx>
        <c:axId val="2765392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76537344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75000"/>
            </a:schemeClr>
          </a:solidFill>
        </a:ln>
      </c:spPr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147874228272069E-2"/>
          <c:y val="6.3747385620915045E-2"/>
          <c:w val="0.88339820261437907"/>
          <c:h val="0.7590169934640522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'2021G13'!$A$3</c:f>
              <c:strCache>
                <c:ptCount val="1"/>
                <c:pt idx="0">
                  <c:v> méně než 0,1 mil. Kč</c:v>
                </c:pt>
              </c:strCache>
            </c:strRef>
          </c:tx>
          <c:spPr>
            <a:solidFill>
              <a:schemeClr val="accent5">
                <a:shade val="5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extLst>
                <c:ext xmlns:c15="http://schemas.microsoft.com/office/drawing/2012/chart" uri="{02D57815-91ED-43cb-92C2-25804820EDAC}">
                  <c15:fullRef>
                    <c15:sqref>'2021G13'!$B$2:$N$2</c15:sqref>
                  </c15:fullRef>
                </c:ext>
              </c:extLst>
              <c:f>'2021G13'!$D$2:$N$2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'2021G13'!$B$3:$N$3</c15:sqref>
                  </c15:fullRef>
                </c:ext>
              </c:extLst>
              <c:f>'2021G13'!$D$3:$N$3</c:f>
              <c:numCache>
                <c:formatCode>General</c:formatCode>
                <c:ptCount val="11"/>
                <c:pt idx="0">
                  <c:v>155</c:v>
                </c:pt>
                <c:pt idx="1">
                  <c:v>173</c:v>
                </c:pt>
                <c:pt idx="2">
                  <c:v>162</c:v>
                </c:pt>
                <c:pt idx="3">
                  <c:v>198</c:v>
                </c:pt>
                <c:pt idx="4">
                  <c:v>207</c:v>
                </c:pt>
                <c:pt idx="5">
                  <c:v>206</c:v>
                </c:pt>
                <c:pt idx="6">
                  <c:v>223</c:v>
                </c:pt>
                <c:pt idx="7">
                  <c:v>191</c:v>
                </c:pt>
                <c:pt idx="8">
                  <c:v>166</c:v>
                </c:pt>
                <c:pt idx="9">
                  <c:v>158</c:v>
                </c:pt>
                <c:pt idx="10">
                  <c:v>150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97-4AD9-BB17-7E7FC561917C}"/>
            </c:ext>
          </c:extLst>
        </c:ser>
        <c:ser>
          <c:idx val="1"/>
          <c:order val="1"/>
          <c:tx>
            <c:strRef>
              <c:f>'2021G13'!$A$4</c:f>
              <c:strCache>
                <c:ptCount val="1"/>
                <c:pt idx="0">
                  <c:v> 0,1-0,99 mil. Kč</c:v>
                </c:pt>
              </c:strCache>
            </c:strRef>
          </c:tx>
          <c:spPr>
            <a:solidFill>
              <a:schemeClr val="accent5">
                <a:shade val="8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extLst>
                <c:ext xmlns:c15="http://schemas.microsoft.com/office/drawing/2012/chart" uri="{02D57815-91ED-43cb-92C2-25804820EDAC}">
                  <c15:fullRef>
                    <c15:sqref>'2021G13'!$B$2:$N$2</c15:sqref>
                  </c15:fullRef>
                </c:ext>
              </c:extLst>
              <c:f>'2021G13'!$D$2:$N$2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'2021G13'!$B$4:$N$4</c15:sqref>
                  </c15:fullRef>
                </c:ext>
              </c:extLst>
              <c:f>'2021G13'!$D$4:$N$4</c:f>
              <c:numCache>
                <c:formatCode>General</c:formatCode>
                <c:ptCount val="11"/>
                <c:pt idx="0">
                  <c:v>334</c:v>
                </c:pt>
                <c:pt idx="1">
                  <c:v>369</c:v>
                </c:pt>
                <c:pt idx="2">
                  <c:v>468</c:v>
                </c:pt>
                <c:pt idx="3">
                  <c:v>536</c:v>
                </c:pt>
                <c:pt idx="4">
                  <c:v>577</c:v>
                </c:pt>
                <c:pt idx="5">
                  <c:v>678</c:v>
                </c:pt>
                <c:pt idx="6">
                  <c:v>694</c:v>
                </c:pt>
                <c:pt idx="7">
                  <c:v>665</c:v>
                </c:pt>
                <c:pt idx="8">
                  <c:v>620</c:v>
                </c:pt>
                <c:pt idx="9">
                  <c:v>561</c:v>
                </c:pt>
                <c:pt idx="10">
                  <c:v>454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97-4AD9-BB17-7E7FC561917C}"/>
            </c:ext>
          </c:extLst>
        </c:ser>
        <c:ser>
          <c:idx val="2"/>
          <c:order val="2"/>
          <c:tx>
            <c:strRef>
              <c:f>'2021G13'!$A$5</c:f>
              <c:strCache>
                <c:ptCount val="1"/>
                <c:pt idx="0">
                  <c:v> 1-9,99 mil. Kč</c:v>
                </c:pt>
              </c:strCache>
            </c:strRef>
          </c:tx>
          <c:spPr>
            <a:solidFill>
              <a:schemeClr val="accent5">
                <a:tint val="8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extLst>
                <c:ext xmlns:c15="http://schemas.microsoft.com/office/drawing/2012/chart" uri="{02D57815-91ED-43cb-92C2-25804820EDAC}">
                  <c15:fullRef>
                    <c15:sqref>'2021G13'!$B$2:$N$2</c15:sqref>
                  </c15:fullRef>
                </c:ext>
              </c:extLst>
              <c:f>'2021G13'!$D$2:$N$2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'2021G13'!$B$5:$N$5</c15:sqref>
                  </c15:fullRef>
                </c:ext>
              </c:extLst>
              <c:f>'2021G13'!$D$5:$N$5</c:f>
              <c:numCache>
                <c:formatCode>General</c:formatCode>
                <c:ptCount val="11"/>
                <c:pt idx="0">
                  <c:v>132</c:v>
                </c:pt>
                <c:pt idx="1">
                  <c:v>157</c:v>
                </c:pt>
                <c:pt idx="2">
                  <c:v>210</c:v>
                </c:pt>
                <c:pt idx="3">
                  <c:v>264</c:v>
                </c:pt>
                <c:pt idx="4">
                  <c:v>304</c:v>
                </c:pt>
                <c:pt idx="5">
                  <c:v>340</c:v>
                </c:pt>
                <c:pt idx="6">
                  <c:v>350</c:v>
                </c:pt>
                <c:pt idx="7">
                  <c:v>353</c:v>
                </c:pt>
                <c:pt idx="8">
                  <c:v>316</c:v>
                </c:pt>
                <c:pt idx="9">
                  <c:v>275</c:v>
                </c:pt>
                <c:pt idx="10">
                  <c:v>292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697-4AD9-BB17-7E7FC561917C}"/>
            </c:ext>
          </c:extLst>
        </c:ser>
        <c:ser>
          <c:idx val="3"/>
          <c:order val="3"/>
          <c:tx>
            <c:strRef>
              <c:f>'2021G13'!$A$6</c:f>
              <c:strCache>
                <c:ptCount val="1"/>
                <c:pt idx="0">
                  <c:v> 10 mil. Kč a více</c:v>
                </c:pt>
              </c:strCache>
            </c:strRef>
          </c:tx>
          <c:spPr>
            <a:solidFill>
              <a:schemeClr val="accent5">
                <a:tint val="5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extLst>
                <c:ext xmlns:c15="http://schemas.microsoft.com/office/drawing/2012/chart" uri="{02D57815-91ED-43cb-92C2-25804820EDAC}">
                  <c15:fullRef>
                    <c15:sqref>'2021G13'!$B$2:$N$2</c15:sqref>
                  </c15:fullRef>
                </c:ext>
              </c:extLst>
              <c:f>'2021G13'!$D$2:$N$2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'2021G13'!$B$6:$N$6</c15:sqref>
                  </c15:fullRef>
                </c:ext>
              </c:extLst>
              <c:f>'2021G13'!$D$6:$N$6</c:f>
              <c:numCache>
                <c:formatCode>General</c:formatCode>
                <c:ptCount val="11"/>
                <c:pt idx="0">
                  <c:v>11</c:v>
                </c:pt>
                <c:pt idx="1">
                  <c:v>17</c:v>
                </c:pt>
                <c:pt idx="2">
                  <c:v>19</c:v>
                </c:pt>
                <c:pt idx="3">
                  <c:v>23</c:v>
                </c:pt>
                <c:pt idx="4">
                  <c:v>32</c:v>
                </c:pt>
                <c:pt idx="5">
                  <c:v>40</c:v>
                </c:pt>
                <c:pt idx="6">
                  <c:v>39</c:v>
                </c:pt>
                <c:pt idx="7">
                  <c:v>39</c:v>
                </c:pt>
                <c:pt idx="8">
                  <c:v>33</c:v>
                </c:pt>
                <c:pt idx="9">
                  <c:v>43</c:v>
                </c:pt>
                <c:pt idx="10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697-4AD9-BB17-7E7FC56191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029031408"/>
        <c:axId val="1029032656"/>
      </c:barChart>
      <c:catAx>
        <c:axId val="1029031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029032656"/>
        <c:crosses val="autoZero"/>
        <c:auto val="1"/>
        <c:lblAlgn val="ctr"/>
        <c:lblOffset val="100"/>
        <c:noMultiLvlLbl val="0"/>
      </c:catAx>
      <c:valAx>
        <c:axId val="1029032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>
                <a:lumMod val="50000"/>
                <a:lumOff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029031408"/>
        <c:crosses val="autoZero"/>
        <c:crossBetween val="between"/>
      </c:valAx>
      <c:spPr>
        <a:noFill/>
        <a:ln>
          <a:solidFill>
            <a:schemeClr val="tx1">
              <a:lumMod val="15000"/>
              <a:lumOff val="85000"/>
            </a:schemeClr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'21G14G15'!$A$6</c:f>
              <c:strCache>
                <c:ptCount val="1"/>
                <c:pt idx="0">
                  <c:v> domácí podniky</c:v>
                </c:pt>
              </c:strCache>
            </c:strRef>
          </c:tx>
          <c:spPr>
            <a:solidFill>
              <a:srgbClr val="39869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'21G14G15'!$B$5:$C$5</c:f>
              <c:numCache>
                <c:formatCode>General</c:formatCode>
                <c:ptCount val="2"/>
                <c:pt idx="0">
                  <c:v>2009</c:v>
                </c:pt>
                <c:pt idx="1">
                  <c:v>2019</c:v>
                </c:pt>
              </c:numCache>
            </c:numRef>
          </c:cat>
          <c:val>
            <c:numRef>
              <c:f>'21G14G15'!$B$6:$C$6</c:f>
              <c:numCache>
                <c:formatCode>#\ ##0" "</c:formatCode>
                <c:ptCount val="2"/>
                <c:pt idx="0">
                  <c:v>452</c:v>
                </c:pt>
                <c:pt idx="1">
                  <c:v>677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A8-477A-B0BD-7CDD1FFB3DE4}"/>
            </c:ext>
          </c:extLst>
        </c:ser>
        <c:ser>
          <c:idx val="1"/>
          <c:order val="1"/>
          <c:tx>
            <c:strRef>
              <c:f>'21G14G15'!$A$7</c:f>
              <c:strCache>
                <c:ptCount val="1"/>
                <c:pt idx="0">
                  <c:v> pod zahraniční kontrolou</c:v>
                </c:pt>
              </c:strCache>
            </c:strRef>
          </c:tx>
          <c:spPr>
            <a:solidFill>
              <a:srgbClr val="7CBBC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'21G14G15'!$B$5:$C$5</c:f>
              <c:numCache>
                <c:formatCode>General</c:formatCode>
                <c:ptCount val="2"/>
                <c:pt idx="0">
                  <c:v>2009</c:v>
                </c:pt>
                <c:pt idx="1">
                  <c:v>2019</c:v>
                </c:pt>
              </c:numCache>
            </c:numRef>
          </c:cat>
          <c:val>
            <c:numRef>
              <c:f>'21G14G15'!$B$7:$C$7</c:f>
              <c:numCache>
                <c:formatCode>#\ ##0" "</c:formatCode>
                <c:ptCount val="2"/>
                <c:pt idx="0">
                  <c:v>180</c:v>
                </c:pt>
                <c:pt idx="1">
                  <c:v>263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A8-477A-B0BD-7CDD1FFB3D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100"/>
        <c:axId val="1126233391"/>
        <c:axId val="1126242127"/>
      </c:barChart>
      <c:catAx>
        <c:axId val="112623339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26242127"/>
        <c:crosses val="autoZero"/>
        <c:auto val="1"/>
        <c:lblAlgn val="ctr"/>
        <c:lblOffset val="100"/>
        <c:noMultiLvlLbl val="0"/>
      </c:catAx>
      <c:valAx>
        <c:axId val="112624212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26233391"/>
        <c:crosses val="autoZero"/>
        <c:crossBetween val="between"/>
      </c:valAx>
      <c:spPr>
        <a:noFill/>
        <a:ln>
          <a:solidFill>
            <a:schemeClr val="bg1">
              <a:lumMod val="65000"/>
            </a:schemeClr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'21G14G15'!$A$13</c:f>
              <c:strCache>
                <c:ptCount val="1"/>
                <c:pt idx="0">
                  <c:v> domácí podniky</c:v>
                </c:pt>
              </c:strCache>
            </c:strRef>
          </c:tx>
          <c:spPr>
            <a:solidFill>
              <a:srgbClr val="39869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'21G14G15'!$B$12:$C$12</c:f>
              <c:numCache>
                <c:formatCode>General</c:formatCode>
                <c:ptCount val="2"/>
                <c:pt idx="0">
                  <c:v>2009</c:v>
                </c:pt>
                <c:pt idx="1">
                  <c:v>2019</c:v>
                </c:pt>
              </c:numCache>
            </c:numRef>
          </c:cat>
          <c:val>
            <c:numRef>
              <c:f>'21G14G15'!$B$13:$C$13</c:f>
              <c:numCache>
                <c:formatCode>#\ ##0" "</c:formatCode>
                <c:ptCount val="2"/>
                <c:pt idx="0">
                  <c:v>270.88657500000005</c:v>
                </c:pt>
                <c:pt idx="1">
                  <c:v>908.7674380400008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3A-492B-BB3E-6D9F3434E7BD}"/>
            </c:ext>
          </c:extLst>
        </c:ser>
        <c:ser>
          <c:idx val="1"/>
          <c:order val="1"/>
          <c:tx>
            <c:strRef>
              <c:f>'21G14G15'!$A$14</c:f>
              <c:strCache>
                <c:ptCount val="1"/>
                <c:pt idx="0">
                  <c:v> pod zahraniční kontrolou</c:v>
                </c:pt>
              </c:strCache>
            </c:strRef>
          </c:tx>
          <c:spPr>
            <a:solidFill>
              <a:srgbClr val="7CBBC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'21G14G15'!$B$12:$C$12</c:f>
              <c:numCache>
                <c:formatCode>General</c:formatCode>
                <c:ptCount val="2"/>
                <c:pt idx="0">
                  <c:v>2009</c:v>
                </c:pt>
                <c:pt idx="1">
                  <c:v>2019</c:v>
                </c:pt>
              </c:numCache>
            </c:numRef>
          </c:cat>
          <c:val>
            <c:numRef>
              <c:f>'21G14G15'!$B$14:$C$14</c:f>
              <c:numCache>
                <c:formatCode>#\ ##0" "</c:formatCode>
                <c:ptCount val="2"/>
                <c:pt idx="0">
                  <c:v>778.3315313999999</c:v>
                </c:pt>
                <c:pt idx="1">
                  <c:v>1819.2178567500023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3A-492B-BB3E-6D9F3434E7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100"/>
        <c:axId val="1126233391"/>
        <c:axId val="1126242127"/>
      </c:barChart>
      <c:catAx>
        <c:axId val="112623339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26242127"/>
        <c:crosses val="autoZero"/>
        <c:auto val="1"/>
        <c:lblAlgn val="ctr"/>
        <c:lblOffset val="100"/>
        <c:noMultiLvlLbl val="0"/>
      </c:catAx>
      <c:valAx>
        <c:axId val="112624212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26233391"/>
        <c:crosses val="autoZero"/>
        <c:crossBetween val="between"/>
      </c:valAx>
      <c:spPr>
        <a:noFill/>
        <a:ln>
          <a:solidFill>
            <a:schemeClr val="bg1">
              <a:lumMod val="65000"/>
            </a:schemeClr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779461942257218"/>
          <c:y val="6.3218390804597707E-2"/>
          <c:w val="0.74322615923009627"/>
          <c:h val="0.6603031948592632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'21G16'!$F$3</c:f>
              <c:strCache>
                <c:ptCount val="1"/>
                <c:pt idx="0">
                  <c:v> méně než 1 mil. Kč</c:v>
                </c:pt>
              </c:strCache>
            </c:strRef>
          </c:tx>
          <c:spPr>
            <a:solidFill>
              <a:srgbClr val="39869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'21G16'!$G$2:$I$2</c:f>
              <c:strCache>
                <c:ptCount val="3"/>
                <c:pt idx="0">
                  <c:v>  Pod zahraniční
kontrolou</c:v>
                </c:pt>
                <c:pt idx="1">
                  <c:v>  Domácí</c:v>
                </c:pt>
                <c:pt idx="2">
                  <c:v>Podniky celkem</c:v>
                </c:pt>
              </c:strCache>
            </c:strRef>
          </c:cat>
          <c:val>
            <c:numRef>
              <c:f>'21G16'!$G$3:$I$3</c:f>
              <c:numCache>
                <c:formatCode>#\ ##0" "</c:formatCode>
                <c:ptCount val="3"/>
                <c:pt idx="0">
                  <c:v>128</c:v>
                </c:pt>
                <c:pt idx="1">
                  <c:v>476</c:v>
                </c:pt>
                <c:pt idx="2">
                  <c:v>150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4F-4A92-9F2B-6437AEA2F895}"/>
            </c:ext>
          </c:extLst>
        </c:ser>
        <c:ser>
          <c:idx val="1"/>
          <c:order val="1"/>
          <c:tx>
            <c:strRef>
              <c:f>'21G16'!$F$4</c:f>
              <c:strCache>
                <c:ptCount val="1"/>
                <c:pt idx="0">
                  <c:v> 1-9,9 mil. Kč</c:v>
                </c:pt>
              </c:strCache>
            </c:strRef>
          </c:tx>
          <c:spPr>
            <a:solidFill>
              <a:srgbClr val="46A1B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'21G16'!$G$2:$I$2</c:f>
              <c:strCache>
                <c:ptCount val="3"/>
                <c:pt idx="0">
                  <c:v>  Pod zahraniční
kontrolou</c:v>
                </c:pt>
                <c:pt idx="1">
                  <c:v>  Domácí</c:v>
                </c:pt>
                <c:pt idx="2">
                  <c:v>Podniky celkem</c:v>
                </c:pt>
              </c:strCache>
            </c:strRef>
          </c:cat>
          <c:val>
            <c:numRef>
              <c:f>'21G16'!$G$4:$I$4</c:f>
              <c:numCache>
                <c:formatCode>#\ ##0" "</c:formatCode>
                <c:ptCount val="3"/>
                <c:pt idx="0">
                  <c:v>106</c:v>
                </c:pt>
                <c:pt idx="1">
                  <c:v>186</c:v>
                </c:pt>
                <c:pt idx="2">
                  <c:v>746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4F-4A92-9F2B-6437AEA2F895}"/>
            </c:ext>
          </c:extLst>
        </c:ser>
        <c:ser>
          <c:idx val="2"/>
          <c:order val="2"/>
          <c:tx>
            <c:strRef>
              <c:f>'21G16'!$F$5</c:f>
              <c:strCache>
                <c:ptCount val="1"/>
                <c:pt idx="0">
                  <c:v> 10 mil. Kč a více</c:v>
                </c:pt>
              </c:strCache>
            </c:strRef>
          </c:tx>
          <c:spPr>
            <a:solidFill>
              <a:srgbClr val="7CBBCF"/>
            </a:solidFill>
            <a:ln>
              <a:noFill/>
            </a:ln>
            <a:effectLst/>
          </c:spPr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F4F-4A92-9F2B-6437AEA2F8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'21G16'!$G$2:$I$2</c:f>
              <c:strCache>
                <c:ptCount val="3"/>
                <c:pt idx="0">
                  <c:v>  Pod zahraniční
kontrolou</c:v>
                </c:pt>
                <c:pt idx="1">
                  <c:v>  Domácí</c:v>
                </c:pt>
                <c:pt idx="2">
                  <c:v>Podniky celkem</c:v>
                </c:pt>
              </c:strCache>
            </c:strRef>
          </c:cat>
          <c:val>
            <c:numRef>
              <c:f>'21G16'!$G$5:$I$5</c:f>
              <c:numCache>
                <c:formatCode>#\ ##0" "</c:formatCode>
                <c:ptCount val="3"/>
                <c:pt idx="0">
                  <c:v>29</c:v>
                </c:pt>
                <c:pt idx="1">
                  <c:v>15</c:v>
                </c:pt>
                <c:pt idx="2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F4F-4A92-9F2B-6437AEA2F8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100"/>
        <c:axId val="492399887"/>
        <c:axId val="404226095"/>
      </c:barChart>
      <c:catAx>
        <c:axId val="49239988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04226095"/>
        <c:crosses val="autoZero"/>
        <c:auto val="1"/>
        <c:lblAlgn val="ctr"/>
        <c:lblOffset val="100"/>
        <c:noMultiLvlLbl val="0"/>
      </c:catAx>
      <c:valAx>
        <c:axId val="40422609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92399887"/>
        <c:crosses val="autoZero"/>
        <c:crossBetween val="between"/>
      </c:valAx>
      <c:spPr>
        <a:noFill/>
        <a:ln>
          <a:solidFill>
            <a:schemeClr val="tx1">
              <a:lumMod val="15000"/>
              <a:lumOff val="85000"/>
            </a:schemeClr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'21G17G18'!$A$28</c:f>
              <c:strCache>
                <c:ptCount val="1"/>
                <c:pt idx="0">
                  <c:v> malé podniky (0-49 zam. osob)</c:v>
                </c:pt>
              </c:strCache>
            </c:strRef>
          </c:tx>
          <c:spPr>
            <a:solidFill>
              <a:srgbClr val="39869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'21G17G18'!$B$27:$C$27</c:f>
              <c:numCache>
                <c:formatCode>General</c:formatCode>
                <c:ptCount val="2"/>
                <c:pt idx="0">
                  <c:v>2009</c:v>
                </c:pt>
                <c:pt idx="1">
                  <c:v>2019</c:v>
                </c:pt>
              </c:numCache>
            </c:numRef>
          </c:cat>
          <c:val>
            <c:numRef>
              <c:f>'21G17G18'!$B$28:$C$28</c:f>
              <c:numCache>
                <c:formatCode>#\ ##0" "</c:formatCode>
                <c:ptCount val="2"/>
                <c:pt idx="0">
                  <c:v>317</c:v>
                </c:pt>
                <c:pt idx="1">
                  <c:v>367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1F-46D9-B6EA-38690517EBF4}"/>
            </c:ext>
          </c:extLst>
        </c:ser>
        <c:ser>
          <c:idx val="1"/>
          <c:order val="1"/>
          <c:tx>
            <c:strRef>
              <c:f>'21G17G18'!$A$29</c:f>
              <c:strCache>
                <c:ptCount val="1"/>
                <c:pt idx="0">
                  <c:v> střední podniky (50-249 zam. osob)</c:v>
                </c:pt>
              </c:strCache>
            </c:strRef>
          </c:tx>
          <c:spPr>
            <a:solidFill>
              <a:srgbClr val="46A1B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'21G17G18'!$B$27:$C$27</c:f>
              <c:numCache>
                <c:formatCode>General</c:formatCode>
                <c:ptCount val="2"/>
                <c:pt idx="0">
                  <c:v>2009</c:v>
                </c:pt>
                <c:pt idx="1">
                  <c:v>2019</c:v>
                </c:pt>
              </c:numCache>
            </c:numRef>
          </c:cat>
          <c:val>
            <c:numRef>
              <c:f>'21G17G18'!$B$29:$C$29</c:f>
              <c:numCache>
                <c:formatCode>#\ ##0" "</c:formatCode>
                <c:ptCount val="2"/>
                <c:pt idx="0">
                  <c:v>214</c:v>
                </c:pt>
                <c:pt idx="1">
                  <c:v>321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1F-46D9-B6EA-38690517EBF4}"/>
            </c:ext>
          </c:extLst>
        </c:ser>
        <c:ser>
          <c:idx val="2"/>
          <c:order val="2"/>
          <c:tx>
            <c:strRef>
              <c:f>'21G17G18'!$A$30</c:f>
              <c:strCache>
                <c:ptCount val="1"/>
                <c:pt idx="0">
                  <c:v> velké podniky (250 a více zam. osob)</c:v>
                </c:pt>
              </c:strCache>
            </c:strRef>
          </c:tx>
          <c:spPr>
            <a:solidFill>
              <a:srgbClr val="7CBBC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'21G17G18'!$B$27:$C$27</c:f>
              <c:numCache>
                <c:formatCode>General</c:formatCode>
                <c:ptCount val="2"/>
                <c:pt idx="0">
                  <c:v>2009</c:v>
                </c:pt>
                <c:pt idx="1">
                  <c:v>2019</c:v>
                </c:pt>
              </c:numCache>
            </c:numRef>
          </c:cat>
          <c:val>
            <c:numRef>
              <c:f>'21G17G18'!$B$30:$C$30</c:f>
              <c:numCache>
                <c:formatCode>#\ ##0" "</c:formatCode>
                <c:ptCount val="2"/>
                <c:pt idx="0">
                  <c:v>101</c:v>
                </c:pt>
                <c:pt idx="1">
                  <c:v>252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41F-46D9-B6EA-38690517EB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100"/>
        <c:axId val="1126233391"/>
        <c:axId val="1126242127"/>
      </c:barChart>
      <c:catAx>
        <c:axId val="112623339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26242127"/>
        <c:crosses val="autoZero"/>
        <c:auto val="1"/>
        <c:lblAlgn val="ctr"/>
        <c:lblOffset val="100"/>
        <c:noMultiLvlLbl val="0"/>
      </c:catAx>
      <c:valAx>
        <c:axId val="112624212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26233391"/>
        <c:crosses val="autoZero"/>
        <c:crossBetween val="between"/>
      </c:valAx>
      <c:spPr>
        <a:noFill/>
        <a:ln>
          <a:solidFill>
            <a:schemeClr val="bg1">
              <a:lumMod val="65000"/>
            </a:schemeClr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5.4796396275098649E-2"/>
          <c:y val="5.5436507936507937E-2"/>
          <c:w val="0.72596164608469815"/>
          <c:h val="0.8424511904761904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'2021G2'!$A$12</c:f>
              <c:strCache>
                <c:ptCount val="1"/>
                <c:pt idx="0">
                  <c:v> domácí přímá 
 - dotace ze SR ČR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'2021G2'!$B$10:$N$10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  <c:extLst/>
            </c:numRef>
          </c:cat>
          <c:val>
            <c:numRef>
              <c:f>'2021G2'!$B$12:$N$12</c:f>
              <c:numCache>
                <c:formatCode>#\ ##0.0</c:formatCode>
                <c:ptCount val="11"/>
                <c:pt idx="0">
                  <c:v>3.6895768299999934</c:v>
                </c:pt>
                <c:pt idx="1">
                  <c:v>3.5974832300000004</c:v>
                </c:pt>
                <c:pt idx="2">
                  <c:v>4.5856046800000012</c:v>
                </c:pt>
                <c:pt idx="3">
                  <c:v>4.5621335200000006</c:v>
                </c:pt>
                <c:pt idx="4">
                  <c:v>3.9535794899999996</c:v>
                </c:pt>
                <c:pt idx="5">
                  <c:v>3.778091949999999</c:v>
                </c:pt>
                <c:pt idx="6">
                  <c:v>3.1555031099999993</c:v>
                </c:pt>
                <c:pt idx="7">
                  <c:v>2.4589610536935629</c:v>
                </c:pt>
                <c:pt idx="8">
                  <c:v>3.0398476373829051</c:v>
                </c:pt>
                <c:pt idx="9">
                  <c:v>3.5454213618724535</c:v>
                </c:pt>
                <c:pt idx="10">
                  <c:v>3.7441000000000004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D730-44FA-9975-D1728CEDB4BD}"/>
            </c:ext>
          </c:extLst>
        </c:ser>
        <c:ser>
          <c:idx val="1"/>
          <c:order val="1"/>
          <c:tx>
            <c:strRef>
              <c:f>'2021G2'!$A$13</c:f>
              <c:strCache>
                <c:ptCount val="1"/>
                <c:pt idx="0">
                  <c:v> domácí nepřímá
 - daňová podpora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'2021G2'!$B$10:$N$10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  <c:extLst/>
            </c:numRef>
          </c:cat>
          <c:val>
            <c:numRef>
              <c:f>'2021G2'!$B$13:$N$13</c:f>
              <c:numCache>
                <c:formatCode>#\ ##0.0</c:formatCode>
                <c:ptCount val="11"/>
                <c:pt idx="0">
                  <c:v>1.0492181064000008</c:v>
                </c:pt>
                <c:pt idx="1">
                  <c:v>1.3168555946099996</c:v>
                </c:pt>
                <c:pt idx="2">
                  <c:v>1.8364267862199999</c:v>
                </c:pt>
                <c:pt idx="3">
                  <c:v>1.9826727428099999</c:v>
                </c:pt>
                <c:pt idx="4">
                  <c:v>2.2970599027800001</c:v>
                </c:pt>
                <c:pt idx="5">
                  <c:v>2.2633171474699982</c:v>
                </c:pt>
                <c:pt idx="6">
                  <c:v>2.5245865907400025</c:v>
                </c:pt>
                <c:pt idx="7">
                  <c:v>2.3844497657100008</c:v>
                </c:pt>
                <c:pt idx="8">
                  <c:v>2.5158111914599997</c:v>
                </c:pt>
                <c:pt idx="9">
                  <c:v>2.5830670887900005</c:v>
                </c:pt>
                <c:pt idx="10">
                  <c:v>2.7279852947900043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D730-44FA-9975-D1728CEDB4BD}"/>
            </c:ext>
          </c:extLst>
        </c:ser>
        <c:ser>
          <c:idx val="2"/>
          <c:order val="2"/>
          <c:tx>
            <c:strRef>
              <c:f>'2021G2'!$A$14</c:f>
              <c:strCache>
                <c:ptCount val="1"/>
                <c:pt idx="0">
                  <c:v> zahraniční přímá
 - zdroje EU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'2021G2'!$B$10:$N$10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  <c:extLst/>
            </c:numRef>
          </c:cat>
          <c:val>
            <c:numRef>
              <c:f>'2021G2'!$B$14:$N$14</c:f>
              <c:numCache>
                <c:formatCode>#\ ##0.0</c:formatCode>
                <c:ptCount val="11"/>
                <c:pt idx="0">
                  <c:v>0.35184426000000013</c:v>
                </c:pt>
                <c:pt idx="1">
                  <c:v>0.68420565999999983</c:v>
                </c:pt>
                <c:pt idx="2">
                  <c:v>1.2299879999999996</c:v>
                </c:pt>
                <c:pt idx="3">
                  <c:v>1.7664173799999994</c:v>
                </c:pt>
                <c:pt idx="4">
                  <c:v>1.7052692900000002</c:v>
                </c:pt>
                <c:pt idx="5">
                  <c:v>1.5833281899999998</c:v>
                </c:pt>
                <c:pt idx="6">
                  <c:v>1.53169329</c:v>
                </c:pt>
                <c:pt idx="7">
                  <c:v>0.41531429012979509</c:v>
                </c:pt>
                <c:pt idx="8">
                  <c:v>0.938158644066172</c:v>
                </c:pt>
                <c:pt idx="9">
                  <c:v>1.497877679405835</c:v>
                </c:pt>
                <c:pt idx="10">
                  <c:v>1.6921960331960342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D730-44FA-9975-D1728CEDB4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100"/>
        <c:axId val="277586304"/>
        <c:axId val="277587840"/>
      </c:barChart>
      <c:catAx>
        <c:axId val="277586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7587840"/>
        <c:crosses val="autoZero"/>
        <c:auto val="1"/>
        <c:lblAlgn val="ctr"/>
        <c:lblOffset val="100"/>
        <c:noMultiLvlLbl val="0"/>
      </c:catAx>
      <c:valAx>
        <c:axId val="277587840"/>
        <c:scaling>
          <c:orientation val="minMax"/>
          <c:max val="9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numFmt formatCode="#,##0" sourceLinked="0"/>
        <c:majorTickMark val="out"/>
        <c:minorTickMark val="none"/>
        <c:tickLblPos val="nextTo"/>
        <c:crossAx val="277586304"/>
        <c:crosses val="autoZero"/>
        <c:crossBetween val="between"/>
        <c:majorUnit val="1"/>
        <c:minorUnit val="1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r"/>
      <c:overlay val="0"/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'21G17G18'!$A$35</c:f>
              <c:strCache>
                <c:ptCount val="1"/>
                <c:pt idx="0">
                  <c:v> malé podniky (0-49 zam. osob)</c:v>
                </c:pt>
              </c:strCache>
            </c:strRef>
          </c:tx>
          <c:spPr>
            <a:solidFill>
              <a:srgbClr val="39869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'21G17G18'!$B$34:$C$34</c:f>
              <c:numCache>
                <c:formatCode>General</c:formatCode>
                <c:ptCount val="2"/>
                <c:pt idx="0">
                  <c:v>2009</c:v>
                </c:pt>
                <c:pt idx="1">
                  <c:v>2019</c:v>
                </c:pt>
              </c:numCache>
            </c:numRef>
          </c:cat>
          <c:val>
            <c:numRef>
              <c:f>'21G17G18'!$B$35:$C$35</c:f>
              <c:numCache>
                <c:formatCode>#\ ##0" "</c:formatCode>
                <c:ptCount val="2"/>
                <c:pt idx="0">
                  <c:v>127.08967900000003</c:v>
                </c:pt>
                <c:pt idx="1">
                  <c:v>204.27918153000005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B2-43A5-93AD-A65C8C814245}"/>
            </c:ext>
          </c:extLst>
        </c:ser>
        <c:ser>
          <c:idx val="1"/>
          <c:order val="1"/>
          <c:tx>
            <c:strRef>
              <c:f>'21G17G18'!$A$36</c:f>
              <c:strCache>
                <c:ptCount val="1"/>
                <c:pt idx="0">
                  <c:v> střední podniky (50-249 zam. osob)</c:v>
                </c:pt>
              </c:strCache>
            </c:strRef>
          </c:tx>
          <c:spPr>
            <a:solidFill>
              <a:srgbClr val="46A1B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'21G17G18'!$B$34:$C$34</c:f>
              <c:numCache>
                <c:formatCode>General</c:formatCode>
                <c:ptCount val="2"/>
                <c:pt idx="0">
                  <c:v>2009</c:v>
                </c:pt>
                <c:pt idx="1">
                  <c:v>2019</c:v>
                </c:pt>
              </c:numCache>
            </c:numRef>
          </c:cat>
          <c:val>
            <c:numRef>
              <c:f>'21G17G18'!$B$36:$C$36</c:f>
              <c:numCache>
                <c:formatCode>#\ ##0" "</c:formatCode>
                <c:ptCount val="2"/>
                <c:pt idx="0">
                  <c:v>212.11221979999999</c:v>
                </c:pt>
                <c:pt idx="1">
                  <c:v>438.71467932000019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B2-43A5-93AD-A65C8C814245}"/>
            </c:ext>
          </c:extLst>
        </c:ser>
        <c:ser>
          <c:idx val="2"/>
          <c:order val="2"/>
          <c:tx>
            <c:strRef>
              <c:f>'21G17G18'!$A$37</c:f>
              <c:strCache>
                <c:ptCount val="1"/>
                <c:pt idx="0">
                  <c:v> velké podniky (250 a více zam. osob)</c:v>
                </c:pt>
              </c:strCache>
            </c:strRef>
          </c:tx>
          <c:spPr>
            <a:solidFill>
              <a:srgbClr val="7CBBC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'21G17G18'!$B$34:$C$34</c:f>
              <c:numCache>
                <c:formatCode>General</c:formatCode>
                <c:ptCount val="2"/>
                <c:pt idx="0">
                  <c:v>2009</c:v>
                </c:pt>
                <c:pt idx="1">
                  <c:v>2019</c:v>
                </c:pt>
              </c:numCache>
            </c:numRef>
          </c:cat>
          <c:val>
            <c:numRef>
              <c:f>'21G17G18'!$B$37:$C$37</c:f>
              <c:numCache>
                <c:formatCode>#\ ##0" "</c:formatCode>
                <c:ptCount val="2"/>
                <c:pt idx="0">
                  <c:v>710.01620759999969</c:v>
                </c:pt>
                <c:pt idx="1">
                  <c:v>2084.9914339400011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FB2-43A5-93AD-A65C8C8142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100"/>
        <c:axId val="1126233391"/>
        <c:axId val="1126242127"/>
      </c:barChart>
      <c:catAx>
        <c:axId val="112623339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26242127"/>
        <c:crosses val="autoZero"/>
        <c:auto val="1"/>
        <c:lblAlgn val="ctr"/>
        <c:lblOffset val="100"/>
        <c:noMultiLvlLbl val="0"/>
      </c:catAx>
      <c:valAx>
        <c:axId val="112624212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26233391"/>
        <c:crosses val="autoZero"/>
        <c:crossBetween val="between"/>
      </c:valAx>
      <c:spPr>
        <a:noFill/>
        <a:ln>
          <a:solidFill>
            <a:schemeClr val="bg1">
              <a:lumMod val="65000"/>
            </a:schemeClr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390573053368329"/>
          <c:y val="6.3218390804597707E-2"/>
          <c:w val="0.67100393700787397"/>
          <c:h val="0.6603031948592632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'21G19'!$A$4</c:f>
              <c:strCache>
                <c:ptCount val="1"/>
                <c:pt idx="0">
                  <c:v> méně než 0,1 mil. Kč</c:v>
                </c:pt>
              </c:strCache>
            </c:strRef>
          </c:tx>
          <c:spPr>
            <a:solidFill>
              <a:srgbClr val="39869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'21G19'!$B$3:$D$3</c:f>
              <c:strCache>
                <c:ptCount val="3"/>
                <c:pt idx="0">
                  <c:v>Velké podniky
(250 a více zaměstnanců)</c:v>
                </c:pt>
                <c:pt idx="1">
                  <c:v>Střední podniky
(50-249 zaměstnanců)</c:v>
                </c:pt>
                <c:pt idx="2">
                  <c:v>Malé podniky
(0-49 zaměstnanců)</c:v>
                </c:pt>
              </c:strCache>
            </c:strRef>
          </c:cat>
          <c:val>
            <c:numRef>
              <c:f>'21G19'!$B$4:$D$4</c:f>
              <c:numCache>
                <c:formatCode>#\ ##0" "</c:formatCode>
                <c:ptCount val="3"/>
                <c:pt idx="0">
                  <c:v>18</c:v>
                </c:pt>
                <c:pt idx="1">
                  <c:v>30</c:v>
                </c:pt>
                <c:pt idx="2">
                  <c:v>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D4-4CC9-A7FC-B09E3456D23E}"/>
            </c:ext>
          </c:extLst>
        </c:ser>
        <c:ser>
          <c:idx val="1"/>
          <c:order val="1"/>
          <c:tx>
            <c:strRef>
              <c:f>'21G19'!$A$5</c:f>
              <c:strCache>
                <c:ptCount val="1"/>
                <c:pt idx="0">
                  <c:v> 0,1-0,99 mil. Kč</c:v>
                </c:pt>
              </c:strCache>
            </c:strRef>
          </c:tx>
          <c:spPr>
            <a:solidFill>
              <a:srgbClr val="46A1B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'21G19'!$B$3:$D$3</c:f>
              <c:strCache>
                <c:ptCount val="3"/>
                <c:pt idx="0">
                  <c:v>Velké podniky
(250 a více zaměstnanců)</c:v>
                </c:pt>
                <c:pt idx="1">
                  <c:v>Střední podniky
(50-249 zaměstnanců)</c:v>
                </c:pt>
                <c:pt idx="2">
                  <c:v>Malé podniky
(0-49 zaměstnanců)</c:v>
                </c:pt>
              </c:strCache>
            </c:strRef>
          </c:cat>
          <c:val>
            <c:numRef>
              <c:f>'21G19'!$B$5:$D$5</c:f>
              <c:numCache>
                <c:formatCode>#\ ##0" "</c:formatCode>
                <c:ptCount val="3"/>
                <c:pt idx="0">
                  <c:v>79</c:v>
                </c:pt>
                <c:pt idx="1">
                  <c:v>169</c:v>
                </c:pt>
                <c:pt idx="2">
                  <c:v>206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D4-4CC9-A7FC-B09E3456D23E}"/>
            </c:ext>
          </c:extLst>
        </c:ser>
        <c:ser>
          <c:idx val="2"/>
          <c:order val="2"/>
          <c:tx>
            <c:strRef>
              <c:f>'21G19'!$A$6</c:f>
              <c:strCache>
                <c:ptCount val="1"/>
                <c:pt idx="0">
                  <c:v> 1 mil. Kč a více</c:v>
                </c:pt>
              </c:strCache>
            </c:strRef>
          </c:tx>
          <c:spPr>
            <a:solidFill>
              <a:srgbClr val="7CBBC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'21G19'!$B$3:$D$3</c:f>
              <c:strCache>
                <c:ptCount val="3"/>
                <c:pt idx="0">
                  <c:v>Velké podniky
(250 a více zaměstnanců)</c:v>
                </c:pt>
                <c:pt idx="1">
                  <c:v>Střední podniky
(50-249 zaměstnanců)</c:v>
                </c:pt>
                <c:pt idx="2">
                  <c:v>Malé podniky
(0-49 zaměstnanců)</c:v>
                </c:pt>
              </c:strCache>
            </c:strRef>
          </c:cat>
          <c:val>
            <c:numRef>
              <c:f>'21G19'!$B$6:$D$6</c:f>
              <c:numCache>
                <c:formatCode>#\ ##0" "</c:formatCode>
                <c:ptCount val="3"/>
                <c:pt idx="0">
                  <c:v>155</c:v>
                </c:pt>
                <c:pt idx="1">
                  <c:v>122</c:v>
                </c:pt>
                <c:pt idx="2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7D4-4CC9-A7FC-B09E3456D2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100"/>
        <c:axId val="492399887"/>
        <c:axId val="404226095"/>
      </c:barChart>
      <c:catAx>
        <c:axId val="49239988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04226095"/>
        <c:crosses val="autoZero"/>
        <c:auto val="1"/>
        <c:lblAlgn val="ctr"/>
        <c:lblOffset val="100"/>
        <c:noMultiLvlLbl val="0"/>
      </c:catAx>
      <c:valAx>
        <c:axId val="40422609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92399887"/>
        <c:crosses val="autoZero"/>
        <c:crossBetween val="between"/>
      </c:valAx>
      <c:spPr>
        <a:noFill/>
        <a:ln>
          <a:solidFill>
            <a:schemeClr val="tx1">
              <a:lumMod val="15000"/>
              <a:lumOff val="85000"/>
            </a:schemeClr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'21G19'!$B$3</c:f>
              <c:strCache>
                <c:ptCount val="1"/>
                <c:pt idx="0">
                  <c:v> Zpracovatelský průmysl</c:v>
                </c:pt>
              </c:strCache>
            </c:strRef>
          </c:tx>
          <c:spPr>
            <a:solidFill>
              <a:srgbClr val="39869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'21G19'!$C$2:$D$2</c:f>
              <c:numCache>
                <c:formatCode>General</c:formatCode>
                <c:ptCount val="2"/>
                <c:pt idx="0">
                  <c:v>2009</c:v>
                </c:pt>
                <c:pt idx="1">
                  <c:v>2019</c:v>
                </c:pt>
              </c:numCache>
            </c:numRef>
          </c:cat>
          <c:val>
            <c:numRef>
              <c:f>'21G19'!$C$3:$D$3</c:f>
              <c:numCache>
                <c:formatCode>#\ ##0" "</c:formatCode>
                <c:ptCount val="2"/>
                <c:pt idx="0">
                  <c:v>346</c:v>
                </c:pt>
                <c:pt idx="1">
                  <c:v>545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98-40E3-8AD7-2F67B945E733}"/>
            </c:ext>
          </c:extLst>
        </c:ser>
        <c:ser>
          <c:idx val="1"/>
          <c:order val="1"/>
          <c:tx>
            <c:strRef>
              <c:f>'21G19'!$B$4</c:f>
              <c:strCache>
                <c:ptCount val="1"/>
                <c:pt idx="0">
                  <c:v> Informační a komunikační činnosti</c:v>
                </c:pt>
              </c:strCache>
            </c:strRef>
          </c:tx>
          <c:spPr>
            <a:solidFill>
              <a:srgbClr val="46A1B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'21G19'!$C$2:$D$2</c:f>
              <c:numCache>
                <c:formatCode>General</c:formatCode>
                <c:ptCount val="2"/>
                <c:pt idx="0">
                  <c:v>2009</c:v>
                </c:pt>
                <c:pt idx="1">
                  <c:v>2019</c:v>
                </c:pt>
              </c:numCache>
            </c:numRef>
          </c:cat>
          <c:val>
            <c:numRef>
              <c:f>'21G19'!$C$4:$D$4</c:f>
              <c:numCache>
                <c:formatCode>#\ ##0" "</c:formatCode>
                <c:ptCount val="2"/>
                <c:pt idx="0">
                  <c:v>96</c:v>
                </c:pt>
                <c:pt idx="1">
                  <c:v>156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98-40E3-8AD7-2F67B945E733}"/>
            </c:ext>
          </c:extLst>
        </c:ser>
        <c:ser>
          <c:idx val="2"/>
          <c:order val="2"/>
          <c:tx>
            <c:strRef>
              <c:f>'21G19'!$B$5</c:f>
              <c:strCache>
                <c:ptCount val="1"/>
                <c:pt idx="0">
                  <c:v> Profesní, vědecké a technické činnosti</c:v>
                </c:pt>
              </c:strCache>
            </c:strRef>
          </c:tx>
          <c:spPr>
            <a:solidFill>
              <a:srgbClr val="7CBBC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'21G19'!$C$2:$D$2</c:f>
              <c:numCache>
                <c:formatCode>General</c:formatCode>
                <c:ptCount val="2"/>
                <c:pt idx="0">
                  <c:v>2009</c:v>
                </c:pt>
                <c:pt idx="1">
                  <c:v>2019</c:v>
                </c:pt>
              </c:numCache>
            </c:numRef>
          </c:cat>
          <c:val>
            <c:numRef>
              <c:f>'21G19'!$C$5:$D$5</c:f>
              <c:numCache>
                <c:formatCode>#\ ##0" "</c:formatCode>
                <c:ptCount val="2"/>
                <c:pt idx="0">
                  <c:v>77</c:v>
                </c:pt>
                <c:pt idx="1">
                  <c:v>119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798-40E3-8AD7-2F67B945E733}"/>
            </c:ext>
          </c:extLst>
        </c:ser>
        <c:ser>
          <c:idx val="3"/>
          <c:order val="3"/>
          <c:tx>
            <c:strRef>
              <c:f>'21G19'!$B$6</c:f>
              <c:strCache>
                <c:ptCount val="1"/>
                <c:pt idx="0">
                  <c:v> Ostatní odvětví</c:v>
                </c:pt>
              </c:strCache>
            </c:strRef>
          </c:tx>
          <c:spPr>
            <a:solidFill>
              <a:srgbClr val="B5D4E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'21G19'!$C$2:$D$2</c:f>
              <c:numCache>
                <c:formatCode>General</c:formatCode>
                <c:ptCount val="2"/>
                <c:pt idx="0">
                  <c:v>2009</c:v>
                </c:pt>
                <c:pt idx="1">
                  <c:v>2019</c:v>
                </c:pt>
              </c:numCache>
            </c:numRef>
          </c:cat>
          <c:val>
            <c:numRef>
              <c:f>'21G19'!$C$6:$D$6</c:f>
              <c:numCache>
                <c:formatCode>#\ ##0" "</c:formatCode>
                <c:ptCount val="2"/>
                <c:pt idx="0">
                  <c:v>113</c:v>
                </c:pt>
                <c:pt idx="1">
                  <c:v>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798-40E3-8AD7-2F67B945E7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100"/>
        <c:axId val="1126233391"/>
        <c:axId val="1126242127"/>
      </c:barChart>
      <c:catAx>
        <c:axId val="112623339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26242127"/>
        <c:crosses val="autoZero"/>
        <c:auto val="1"/>
        <c:lblAlgn val="ctr"/>
        <c:lblOffset val="100"/>
        <c:noMultiLvlLbl val="0"/>
      </c:catAx>
      <c:valAx>
        <c:axId val="112624212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26233391"/>
        <c:crosses val="autoZero"/>
        <c:crossBetween val="between"/>
      </c:valAx>
      <c:spPr>
        <a:noFill/>
        <a:ln>
          <a:solidFill>
            <a:schemeClr val="bg1">
              <a:lumMod val="65000"/>
            </a:schemeClr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'21G19'!$B$11</c:f>
              <c:strCache>
                <c:ptCount val="1"/>
                <c:pt idx="0">
                  <c:v> Zpracovatelský průmysl</c:v>
                </c:pt>
              </c:strCache>
            </c:strRef>
          </c:tx>
          <c:spPr>
            <a:solidFill>
              <a:srgbClr val="39869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'21G19'!$C$10:$D$10</c:f>
              <c:numCache>
                <c:formatCode>General</c:formatCode>
                <c:ptCount val="2"/>
                <c:pt idx="0">
                  <c:v>2009</c:v>
                </c:pt>
                <c:pt idx="1">
                  <c:v>2019</c:v>
                </c:pt>
              </c:numCache>
            </c:numRef>
          </c:cat>
          <c:val>
            <c:numRef>
              <c:f>'21G19'!$C$11:$D$11</c:f>
              <c:numCache>
                <c:formatCode>#\ ##0" "</c:formatCode>
                <c:ptCount val="2"/>
                <c:pt idx="0">
                  <c:v>818.29269459999978</c:v>
                </c:pt>
                <c:pt idx="1">
                  <c:v>1822.2124674600027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DC-4EB4-A31C-C0E457573306}"/>
            </c:ext>
          </c:extLst>
        </c:ser>
        <c:ser>
          <c:idx val="1"/>
          <c:order val="1"/>
          <c:tx>
            <c:strRef>
              <c:f>'21G19'!$B$12</c:f>
              <c:strCache>
                <c:ptCount val="1"/>
                <c:pt idx="0">
                  <c:v> Informační a komunikační činnosti</c:v>
                </c:pt>
              </c:strCache>
            </c:strRef>
          </c:tx>
          <c:spPr>
            <a:solidFill>
              <a:srgbClr val="46A1B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'21G19'!$C$10:$D$10</c:f>
              <c:numCache>
                <c:formatCode>General</c:formatCode>
                <c:ptCount val="2"/>
                <c:pt idx="0">
                  <c:v>2009</c:v>
                </c:pt>
                <c:pt idx="1">
                  <c:v>2019</c:v>
                </c:pt>
              </c:numCache>
            </c:numRef>
          </c:cat>
          <c:val>
            <c:numRef>
              <c:f>'21G19'!$C$12:$D$12</c:f>
              <c:numCache>
                <c:formatCode>#\ ##0" "</c:formatCode>
                <c:ptCount val="2"/>
                <c:pt idx="0">
                  <c:v>83.449386799999999</c:v>
                </c:pt>
                <c:pt idx="1">
                  <c:v>433.18226768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DC-4EB4-A31C-C0E457573306}"/>
            </c:ext>
          </c:extLst>
        </c:ser>
        <c:ser>
          <c:idx val="2"/>
          <c:order val="2"/>
          <c:tx>
            <c:strRef>
              <c:f>'21G19'!$B$13</c:f>
              <c:strCache>
                <c:ptCount val="1"/>
                <c:pt idx="0">
                  <c:v> Profesní, vědecké a technické činnosti</c:v>
                </c:pt>
              </c:strCache>
            </c:strRef>
          </c:tx>
          <c:spPr>
            <a:solidFill>
              <a:srgbClr val="7CBBC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'21G19'!$C$10:$D$10</c:f>
              <c:numCache>
                <c:formatCode>General</c:formatCode>
                <c:ptCount val="2"/>
                <c:pt idx="0">
                  <c:v>2009</c:v>
                </c:pt>
                <c:pt idx="1">
                  <c:v>2019</c:v>
                </c:pt>
              </c:numCache>
            </c:numRef>
          </c:cat>
          <c:val>
            <c:numRef>
              <c:f>'21G19'!$C$13:$D$13</c:f>
              <c:numCache>
                <c:formatCode>#\ ##0" "</c:formatCode>
                <c:ptCount val="2"/>
                <c:pt idx="0">
                  <c:v>60.397563800000007</c:v>
                </c:pt>
                <c:pt idx="1">
                  <c:v>253.67777933000008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DC-4EB4-A31C-C0E457573306}"/>
            </c:ext>
          </c:extLst>
        </c:ser>
        <c:ser>
          <c:idx val="3"/>
          <c:order val="3"/>
          <c:tx>
            <c:strRef>
              <c:f>'21G19'!$B$14</c:f>
              <c:strCache>
                <c:ptCount val="1"/>
                <c:pt idx="0">
                  <c:v> Ostatní odvětví</c:v>
                </c:pt>
              </c:strCache>
            </c:strRef>
          </c:tx>
          <c:spPr>
            <a:solidFill>
              <a:srgbClr val="B5D4E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'21G19'!$C$10:$D$10</c:f>
              <c:numCache>
                <c:formatCode>General</c:formatCode>
                <c:ptCount val="2"/>
                <c:pt idx="0">
                  <c:v>2009</c:v>
                </c:pt>
                <c:pt idx="1">
                  <c:v>2019</c:v>
                </c:pt>
              </c:numCache>
            </c:numRef>
          </c:cat>
          <c:val>
            <c:numRef>
              <c:f>'21G19'!$C$14:$D$14</c:f>
              <c:numCache>
                <c:formatCode>#\ ##0" "</c:formatCode>
                <c:ptCount val="2"/>
                <c:pt idx="0">
                  <c:v>87.078461199999879</c:v>
                </c:pt>
                <c:pt idx="1">
                  <c:v>218.91278032000167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BDC-4EB4-A31C-C0E4575733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100"/>
        <c:axId val="1126233391"/>
        <c:axId val="1126242127"/>
      </c:barChart>
      <c:catAx>
        <c:axId val="112623339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26242127"/>
        <c:crosses val="autoZero"/>
        <c:auto val="1"/>
        <c:lblAlgn val="ctr"/>
        <c:lblOffset val="100"/>
        <c:noMultiLvlLbl val="0"/>
      </c:catAx>
      <c:valAx>
        <c:axId val="112624212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26233391"/>
        <c:crosses val="autoZero"/>
        <c:crossBetween val="between"/>
      </c:valAx>
      <c:spPr>
        <a:noFill/>
        <a:ln>
          <a:solidFill>
            <a:schemeClr val="bg1">
              <a:lumMod val="65000"/>
            </a:schemeClr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5056911764705881"/>
          <c:y val="2.3789316239316242E-2"/>
          <c:w val="0.5170495098039215"/>
          <c:h val="0.93936709401709406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39869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'21G22G23'!$A$4:$A$13</c:f>
              <c:strCache>
                <c:ptCount val="10"/>
                <c:pt idx="0">
                  <c:v>Potravinářský a nápojový průmysl (10-12)</c:v>
                </c:pt>
                <c:pt idx="1">
                  <c:v>Výr. ostatních dopr. prostředků a zařízení (30)</c:v>
                </c:pt>
                <c:pt idx="2">
                  <c:v>Gumárenský a plastový průmysl (22)</c:v>
                </c:pt>
                <c:pt idx="3">
                  <c:v>Petrochemický a chemický průmysl (19-20)</c:v>
                </c:pt>
                <c:pt idx="4">
                  <c:v>Automobilový průmysl (29)</c:v>
                </c:pt>
                <c:pt idx="5">
                  <c:v>Ostatní zpracovatelský průmysl (18, 32, 33)</c:v>
                </c:pt>
                <c:pt idx="6">
                  <c:v>Elektronický průmysl (26)</c:v>
                </c:pt>
                <c:pt idx="7">
                  <c:v>Elektrotechnický průmysl (27)</c:v>
                </c:pt>
                <c:pt idx="8">
                  <c:v>Výroba kovových konstrukcí a kov. výrobků (25)</c:v>
                </c:pt>
                <c:pt idx="9">
                  <c:v>Strojírenský průmysl (28)</c:v>
                </c:pt>
              </c:strCache>
            </c:strRef>
          </c:cat>
          <c:val>
            <c:numRef>
              <c:f>'21G22G23'!$B$4:$B$13</c:f>
              <c:numCache>
                <c:formatCode>#\ ##0" "</c:formatCode>
                <c:ptCount val="10"/>
                <c:pt idx="0" formatCode="General">
                  <c:v>15</c:v>
                </c:pt>
                <c:pt idx="1">
                  <c:v>19</c:v>
                </c:pt>
                <c:pt idx="2">
                  <c:v>32</c:v>
                </c:pt>
                <c:pt idx="3">
                  <c:v>34</c:v>
                </c:pt>
                <c:pt idx="4">
                  <c:v>34</c:v>
                </c:pt>
                <c:pt idx="5">
                  <c:v>45</c:v>
                </c:pt>
                <c:pt idx="6">
                  <c:v>54</c:v>
                </c:pt>
                <c:pt idx="7">
                  <c:v>63</c:v>
                </c:pt>
                <c:pt idx="8">
                  <c:v>75</c:v>
                </c:pt>
                <c:pt idx="9">
                  <c:v>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84-41D1-A3AC-BC7B998FB1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1126227983"/>
        <c:axId val="1126238383"/>
      </c:barChart>
      <c:catAx>
        <c:axId val="112622798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26238383"/>
        <c:crosses val="autoZero"/>
        <c:auto val="1"/>
        <c:lblAlgn val="ctr"/>
        <c:lblOffset val="100"/>
        <c:noMultiLvlLbl val="0"/>
      </c:catAx>
      <c:valAx>
        <c:axId val="1126238383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126227983"/>
        <c:crosses val="autoZero"/>
        <c:crossBetween val="between"/>
      </c:valAx>
      <c:spPr>
        <a:noFill/>
        <a:ln>
          <a:solidFill>
            <a:schemeClr val="bg1">
              <a:lumMod val="65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5456470588235293"/>
          <c:y val="5.9700854700854698E-2"/>
          <c:w val="0.52260849673202614"/>
          <c:h val="0.8805982905982906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39869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'21G22G23'!$D$4:$D$13</c:f>
              <c:strCache>
                <c:ptCount val="10"/>
                <c:pt idx="0">
                  <c:v>Farmaceutický průmysl (21)</c:v>
                </c:pt>
                <c:pt idx="1">
                  <c:v>Gumárenský a plastový průmysl (22)</c:v>
                </c:pt>
                <c:pt idx="2">
                  <c:v>Petrochemický a chemický průmysl (19-20)</c:v>
                </c:pt>
                <c:pt idx="3">
                  <c:v>Výr. ostatních dopr. prostředků a zařízení (30)</c:v>
                </c:pt>
                <c:pt idx="4">
                  <c:v>Výroba kovových konstrukcí a kov. výrobků (25)</c:v>
                </c:pt>
                <c:pt idx="5">
                  <c:v>Elektronický průmysl (26)</c:v>
                </c:pt>
                <c:pt idx="6">
                  <c:v>Ostatní zpracovatelský průmysl (18, 32, 33)</c:v>
                </c:pt>
                <c:pt idx="7">
                  <c:v>Elektrotechnický průmysl (27)</c:v>
                </c:pt>
                <c:pt idx="8">
                  <c:v>Strojírenský průmysl (28)</c:v>
                </c:pt>
                <c:pt idx="9">
                  <c:v>Automobilový průmysl (29)</c:v>
                </c:pt>
              </c:strCache>
            </c:strRef>
          </c:cat>
          <c:val>
            <c:numRef>
              <c:f>'21G22G23'!$E$4:$E$13</c:f>
              <c:numCache>
                <c:formatCode>#\ ##0" "</c:formatCode>
                <c:ptCount val="10"/>
                <c:pt idx="0">
                  <c:v>37.687837600000002</c:v>
                </c:pt>
                <c:pt idx="1">
                  <c:v>45.571907550000013</c:v>
                </c:pt>
                <c:pt idx="2">
                  <c:v>49.298947360000007</c:v>
                </c:pt>
                <c:pt idx="3">
                  <c:v>67.956892830000001</c:v>
                </c:pt>
                <c:pt idx="4">
                  <c:v>74.532177039999951</c:v>
                </c:pt>
                <c:pt idx="5">
                  <c:v>104.34258424000002</c:v>
                </c:pt>
                <c:pt idx="6">
                  <c:v>131.56063600000002</c:v>
                </c:pt>
                <c:pt idx="7">
                  <c:v>200.55216926999995</c:v>
                </c:pt>
                <c:pt idx="8">
                  <c:v>272.01295014000004</c:v>
                </c:pt>
                <c:pt idx="9">
                  <c:v>794.8963139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7B-4DA1-9BFC-85713069F0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1126227983"/>
        <c:axId val="1126238383"/>
      </c:barChart>
      <c:catAx>
        <c:axId val="112622798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26238383"/>
        <c:crosses val="autoZero"/>
        <c:auto val="1"/>
        <c:lblAlgn val="ctr"/>
        <c:lblOffset val="100"/>
        <c:noMultiLvlLbl val="0"/>
      </c:catAx>
      <c:valAx>
        <c:axId val="1126238383"/>
        <c:scaling>
          <c:orientation val="minMax"/>
        </c:scaling>
        <c:delete val="1"/>
        <c:axPos val="b"/>
        <c:numFmt formatCode="#\ ##0&quot; &quot;" sourceLinked="1"/>
        <c:majorTickMark val="none"/>
        <c:minorTickMark val="none"/>
        <c:tickLblPos val="nextTo"/>
        <c:crossAx val="1126227983"/>
        <c:crosses val="autoZero"/>
        <c:crossBetween val="between"/>
      </c:valAx>
      <c:spPr>
        <a:noFill/>
        <a:ln>
          <a:solidFill>
            <a:schemeClr val="bg1">
              <a:lumMod val="65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800" b="1"/>
              <a:t>a) Počet podniků</a:t>
            </a:r>
          </a:p>
        </c:rich>
      </c:tx>
      <c:layout>
        <c:manualLayout>
          <c:xMode val="edge"/>
          <c:yMode val="edge"/>
          <c:x val="0.17154411764705882"/>
          <c:y val="2.16363960113960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5188856209150325"/>
          <c:y val="0.10325213675213678"/>
          <c:w val="0.31200555555555554"/>
          <c:h val="0.8120185185185184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'21G21'!$A$3:$A$16</c:f>
              <c:strCache>
                <c:ptCount val="14"/>
                <c:pt idx="0">
                  <c:v>Karlovarský</c:v>
                </c:pt>
                <c:pt idx="1">
                  <c:v>Ústecký</c:v>
                </c:pt>
                <c:pt idx="2">
                  <c:v>Vysočina</c:v>
                </c:pt>
                <c:pt idx="3">
                  <c:v>Plzeňský</c:v>
                </c:pt>
                <c:pt idx="4">
                  <c:v>Královéhradecký</c:v>
                </c:pt>
                <c:pt idx="5">
                  <c:v>Olomoucký</c:v>
                </c:pt>
                <c:pt idx="6">
                  <c:v>Jihočeský</c:v>
                </c:pt>
                <c:pt idx="7">
                  <c:v>Pardubický</c:v>
                </c:pt>
                <c:pt idx="8">
                  <c:v>Liberecký</c:v>
                </c:pt>
                <c:pt idx="9">
                  <c:v>Středočeský</c:v>
                </c:pt>
                <c:pt idx="10">
                  <c:v>Moravskoslezský</c:v>
                </c:pt>
                <c:pt idx="11">
                  <c:v>Zlínský</c:v>
                </c:pt>
                <c:pt idx="12">
                  <c:v>Jihomoravský</c:v>
                </c:pt>
                <c:pt idx="13">
                  <c:v>Praha</c:v>
                </c:pt>
              </c:strCache>
            </c:strRef>
          </c:cat>
          <c:val>
            <c:numRef>
              <c:f>'21G21'!$B$3:$B$16</c:f>
              <c:numCache>
                <c:formatCode>#\ ##0" "</c:formatCode>
                <c:ptCount val="14"/>
                <c:pt idx="0">
                  <c:v>9</c:v>
                </c:pt>
                <c:pt idx="1">
                  <c:v>23</c:v>
                </c:pt>
                <c:pt idx="2">
                  <c:v>30</c:v>
                </c:pt>
                <c:pt idx="3">
                  <c:v>38</c:v>
                </c:pt>
                <c:pt idx="4">
                  <c:v>38</c:v>
                </c:pt>
                <c:pt idx="5">
                  <c:v>38</c:v>
                </c:pt>
                <c:pt idx="6">
                  <c:v>42</c:v>
                </c:pt>
                <c:pt idx="7">
                  <c:v>44</c:v>
                </c:pt>
                <c:pt idx="8">
                  <c:v>45</c:v>
                </c:pt>
                <c:pt idx="9">
                  <c:v>79</c:v>
                </c:pt>
                <c:pt idx="10">
                  <c:v>83</c:v>
                </c:pt>
                <c:pt idx="11">
                  <c:v>89</c:v>
                </c:pt>
                <c:pt idx="12">
                  <c:v>120</c:v>
                </c:pt>
                <c:pt idx="13">
                  <c:v>262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D7-4393-9CFE-2A29C5743B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855746704"/>
        <c:axId val="855744208"/>
      </c:barChart>
      <c:catAx>
        <c:axId val="855746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855744208"/>
        <c:crosses val="autoZero"/>
        <c:auto val="1"/>
        <c:lblAlgn val="ctr"/>
        <c:lblOffset val="100"/>
        <c:noMultiLvlLbl val="0"/>
      </c:catAx>
      <c:valAx>
        <c:axId val="8557442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#\ ##0&quot; &quot;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855746704"/>
        <c:crosses val="autoZero"/>
        <c:crossBetween val="between"/>
        <c:majorUnit val="50"/>
      </c:valAx>
      <c:spPr>
        <a:noFill/>
        <a:ln>
          <a:solidFill>
            <a:schemeClr val="bg1">
              <a:lumMod val="65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800" b="1"/>
              <a:t>b) Výše nepřímé podpory VaV (mil. Kč)</a:t>
            </a:r>
          </a:p>
        </c:rich>
      </c:tx>
      <c:layout>
        <c:manualLayout>
          <c:xMode val="edge"/>
          <c:yMode val="edge"/>
          <c:x val="0.16946896529340344"/>
          <c:y val="4.875519262504979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29333531421779824"/>
          <c:y val="0.12593787344221249"/>
          <c:w val="0.6191248969430645"/>
          <c:h val="0.80267171228589318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'21G21'!$A$20:$A$33</c:f>
              <c:strCache>
                <c:ptCount val="14"/>
                <c:pt idx="0">
                  <c:v>Karlovarský</c:v>
                </c:pt>
                <c:pt idx="1">
                  <c:v>Jihočeský</c:v>
                </c:pt>
                <c:pt idx="2">
                  <c:v>Ústecký</c:v>
                </c:pt>
                <c:pt idx="3">
                  <c:v>Královéhradecký</c:v>
                </c:pt>
                <c:pt idx="4">
                  <c:v>Olomoucký</c:v>
                </c:pt>
                <c:pt idx="5">
                  <c:v>Pardubický</c:v>
                </c:pt>
                <c:pt idx="6">
                  <c:v>Plzeňský</c:v>
                </c:pt>
                <c:pt idx="7">
                  <c:v>Vysočina</c:v>
                </c:pt>
                <c:pt idx="8">
                  <c:v>Moravskoslezský</c:v>
                </c:pt>
                <c:pt idx="9">
                  <c:v>Zlínský</c:v>
                </c:pt>
                <c:pt idx="10">
                  <c:v>Jihomoravský</c:v>
                </c:pt>
                <c:pt idx="11">
                  <c:v>Liberecký</c:v>
                </c:pt>
                <c:pt idx="12">
                  <c:v>Středočeský</c:v>
                </c:pt>
                <c:pt idx="13">
                  <c:v>Praha</c:v>
                </c:pt>
              </c:strCache>
            </c:strRef>
          </c:cat>
          <c:val>
            <c:numRef>
              <c:f>'21G21'!$C$20:$C$33</c:f>
              <c:numCache>
                <c:formatCode>#\ ##0" "</c:formatCode>
                <c:ptCount val="14"/>
                <c:pt idx="0">
                  <c:v>18.221694259999996</c:v>
                </c:pt>
                <c:pt idx="1">
                  <c:v>27.01800703</c:v>
                </c:pt>
                <c:pt idx="2">
                  <c:v>37.538182389999982</c:v>
                </c:pt>
                <c:pt idx="3">
                  <c:v>40.625039430000001</c:v>
                </c:pt>
                <c:pt idx="4">
                  <c:v>46.626799709999979</c:v>
                </c:pt>
                <c:pt idx="5">
                  <c:v>66.106992409999989</c:v>
                </c:pt>
                <c:pt idx="6">
                  <c:v>82.452393159999986</c:v>
                </c:pt>
                <c:pt idx="7">
                  <c:v>107.01433023</c:v>
                </c:pt>
                <c:pt idx="8">
                  <c:v>117.27404124000005</c:v>
                </c:pt>
                <c:pt idx="9">
                  <c:v>157.14963688</c:v>
                </c:pt>
                <c:pt idx="10">
                  <c:v>175.23111949999986</c:v>
                </c:pt>
                <c:pt idx="11">
                  <c:v>185.72146866000003</c:v>
                </c:pt>
                <c:pt idx="12">
                  <c:v>757.17498177000004</c:v>
                </c:pt>
                <c:pt idx="13">
                  <c:v>909.83060812000031</c:v>
                </c:pt>
              </c:numCache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0-879C-4BB9-91EC-E5C54BB33F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855746704"/>
        <c:axId val="855744208"/>
        <c:extLst/>
      </c:barChart>
      <c:catAx>
        <c:axId val="855746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855744208"/>
        <c:crosses val="autoZero"/>
        <c:auto val="1"/>
        <c:lblAlgn val="ctr"/>
        <c:lblOffset val="100"/>
        <c:noMultiLvlLbl val="0"/>
      </c:catAx>
      <c:valAx>
        <c:axId val="8557442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#\ ##0&quot; &quot;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855746704"/>
        <c:crosses val="autoZero"/>
        <c:crossBetween val="between"/>
        <c:majorUnit val="200"/>
      </c:valAx>
      <c:spPr>
        <a:noFill/>
        <a:ln>
          <a:solidFill>
            <a:schemeClr val="bg1">
              <a:lumMod val="65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5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651C-47DB-9677-855152E0704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'21G25'!$A$3:$A$17</c:f>
              <c:strCache>
                <c:ptCount val="15"/>
                <c:pt idx="0">
                  <c:v>ČR CELKEM</c:v>
                </c:pt>
                <c:pt idx="1">
                  <c:v>Středočeský</c:v>
                </c:pt>
                <c:pt idx="2">
                  <c:v>Liberecký</c:v>
                </c:pt>
                <c:pt idx="3">
                  <c:v>Vysočina</c:v>
                </c:pt>
                <c:pt idx="4">
                  <c:v>Praha</c:v>
                </c:pt>
                <c:pt idx="5">
                  <c:v>Plzeňský</c:v>
                </c:pt>
                <c:pt idx="6">
                  <c:v>Karlovarský</c:v>
                </c:pt>
                <c:pt idx="7">
                  <c:v>Zlínský</c:v>
                </c:pt>
                <c:pt idx="8">
                  <c:v>Ústecký</c:v>
                </c:pt>
                <c:pt idx="9">
                  <c:v>Pardubický</c:v>
                </c:pt>
                <c:pt idx="10">
                  <c:v>Jihomoravský</c:v>
                </c:pt>
                <c:pt idx="11">
                  <c:v>Moravskoslezský</c:v>
                </c:pt>
                <c:pt idx="12">
                  <c:v>Olomoucký</c:v>
                </c:pt>
                <c:pt idx="13">
                  <c:v>Královéhradecký</c:v>
                </c:pt>
                <c:pt idx="14">
                  <c:v>Jihočeský</c:v>
                </c:pt>
              </c:strCache>
            </c:strRef>
          </c:cat>
          <c:val>
            <c:numRef>
              <c:f>'21G25'!$D$3:$D$17</c:f>
              <c:numCache>
                <c:formatCode>0.0</c:formatCode>
                <c:ptCount val="15"/>
                <c:pt idx="0">
                  <c:v>2.9021120157340499</c:v>
                </c:pt>
                <c:pt idx="1">
                  <c:v>9.5844934401265824</c:v>
                </c:pt>
                <c:pt idx="2">
                  <c:v>4.1271437480000008</c:v>
                </c:pt>
                <c:pt idx="3">
                  <c:v>3.5671443410000001</c:v>
                </c:pt>
                <c:pt idx="4">
                  <c:v>3.4726359088549632</c:v>
                </c:pt>
                <c:pt idx="5">
                  <c:v>2.1697998199999997</c:v>
                </c:pt>
                <c:pt idx="6">
                  <c:v>2.0246326955555549</c:v>
                </c:pt>
                <c:pt idx="7">
                  <c:v>1.7657262570786516</c:v>
                </c:pt>
                <c:pt idx="8">
                  <c:v>1.6320948865217384</c:v>
                </c:pt>
                <c:pt idx="9">
                  <c:v>1.5024316456818179</c:v>
                </c:pt>
                <c:pt idx="10">
                  <c:v>1.4602593291666655</c:v>
                </c:pt>
                <c:pt idx="11">
                  <c:v>1.412940255903615</c:v>
                </c:pt>
                <c:pt idx="12">
                  <c:v>1.2270210449999994</c:v>
                </c:pt>
                <c:pt idx="13">
                  <c:v>1.0690799850000001</c:v>
                </c:pt>
                <c:pt idx="14">
                  <c:v>0.64328588166666667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1C-47DB-9677-855152E070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270393728"/>
        <c:axId val="270395264"/>
      </c:barChart>
      <c:catAx>
        <c:axId val="270393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cs-CZ"/>
          </a:p>
        </c:txPr>
        <c:crossAx val="270395264"/>
        <c:crosses val="autoZero"/>
        <c:auto val="1"/>
        <c:lblAlgn val="ctr"/>
        <c:lblOffset val="100"/>
        <c:noMultiLvlLbl val="0"/>
      </c:catAx>
      <c:valAx>
        <c:axId val="270395264"/>
        <c:scaling>
          <c:orientation val="minMax"/>
          <c:max val="11"/>
          <c:min val="0"/>
        </c:scaling>
        <c:delete val="1"/>
        <c:axPos val="l"/>
        <c:numFmt formatCode="0.0" sourceLinked="1"/>
        <c:majorTickMark val="out"/>
        <c:minorTickMark val="none"/>
        <c:tickLblPos val="nextTo"/>
        <c:crossAx val="270393728"/>
        <c:crosses val="autoZero"/>
        <c:crossBetween val="between"/>
        <c:majorUnit val="4"/>
      </c:valAx>
      <c:spPr>
        <a:ln>
          <a:solidFill>
            <a:schemeClr val="bg1">
              <a:lumMod val="75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cs-CZ" sz="800"/>
              <a:t>Nepřímá</a:t>
            </a:r>
            <a:r>
              <a:rPr lang="cs-CZ" sz="800" baseline="0"/>
              <a:t> veřejná podpora VaV</a:t>
            </a:r>
            <a:endParaRPr lang="en-US" sz="8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7557430259243754"/>
          <c:y val="6.6204860484871994E-2"/>
          <c:w val="0.68045025660328595"/>
          <c:h val="0.9139722242250526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'21G27_TEST'!$C$35</c:f>
              <c:strCache>
                <c:ptCount val="1"/>
                <c:pt idx="0">
                  <c:v>Volume of R&amp;D tax incentives, million current USD PPPs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A510-4339-80E1-50A00711A4B4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A510-4339-80E1-50A00711A4B4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A510-4339-80E1-50A00711A4B4}"/>
              </c:ext>
            </c:extLst>
          </c:dPt>
          <c:dLbls>
            <c:dLbl>
              <c:idx val="0"/>
              <c:spPr/>
              <c:txPr>
                <a:bodyPr rot="0" vert="horz"/>
                <a:lstStyle/>
                <a:p>
                  <a:pPr>
                    <a:defRPr b="1"/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A510-4339-80E1-50A00711A4B4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vert="horz"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510-4339-80E1-50A00711A4B4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vert="horz"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510-4339-80E1-50A00711A4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'21G27_TEST'!$B$36:$B$62</c:f>
              <c:strCache>
                <c:ptCount val="27"/>
                <c:pt idx="0">
                  <c:v>Norsko</c:v>
                </c:pt>
                <c:pt idx="1">
                  <c:v>Jižní Korea</c:v>
                </c:pt>
                <c:pt idx="2">
                  <c:v>Rusko</c:v>
                </c:pt>
                <c:pt idx="3">
                  <c:v>Japonsko</c:v>
                </c:pt>
                <c:pt idx="4">
                  <c:v>Spojené státy</c:v>
                </c:pt>
                <c:pt idx="5">
                  <c:v>Čína</c:v>
                </c:pt>
                <c:pt idx="7">
                  <c:v>Lotyšsko</c:v>
                </c:pt>
                <c:pt idx="8">
                  <c:v>Malta</c:v>
                </c:pt>
                <c:pt idx="9">
                  <c:v>Litva</c:v>
                </c:pt>
                <c:pt idx="10">
                  <c:v>Řecko</c:v>
                </c:pt>
                <c:pt idx="11">
                  <c:v>Slovensko</c:v>
                </c:pt>
                <c:pt idx="12">
                  <c:v>Švédsko</c:v>
                </c:pt>
                <c:pt idx="13">
                  <c:v>Slovinsko</c:v>
                </c:pt>
                <c:pt idx="14">
                  <c:v>Dánsko</c:v>
                </c:pt>
                <c:pt idx="15">
                  <c:v>Maďarsko</c:v>
                </c:pt>
                <c:pt idx="16">
                  <c:v>Polsko</c:v>
                </c:pt>
                <c:pt idx="17">
                  <c:v>Česko</c:v>
                </c:pt>
                <c:pt idx="18">
                  <c:v>Španělsko</c:v>
                </c:pt>
                <c:pt idx="19">
                  <c:v>Irsko</c:v>
                </c:pt>
                <c:pt idx="20">
                  <c:v>Portugalsko</c:v>
                </c:pt>
                <c:pt idx="21">
                  <c:v>Rakousko</c:v>
                </c:pt>
                <c:pt idx="22">
                  <c:v>Nizozemsko</c:v>
                </c:pt>
                <c:pt idx="23">
                  <c:v>Belgie</c:v>
                </c:pt>
                <c:pt idx="24">
                  <c:v>Itálie</c:v>
                </c:pt>
                <c:pt idx="25">
                  <c:v>Velká Británie</c:v>
                </c:pt>
                <c:pt idx="26">
                  <c:v>Francie</c:v>
                </c:pt>
              </c:strCache>
            </c:strRef>
          </c:cat>
          <c:val>
            <c:numRef>
              <c:f>'21G27_TEST'!$C$36:$C$62</c:f>
              <c:numCache>
                <c:formatCode>#,##0</c:formatCode>
                <c:ptCount val="27"/>
                <c:pt idx="0">
                  <c:v>398.17944728522133</c:v>
                </c:pt>
                <c:pt idx="1">
                  <c:v>2946.858854736397</c:v>
                </c:pt>
                <c:pt idx="2">
                  <c:v>3700.0786232603118</c:v>
                </c:pt>
                <c:pt idx="3">
                  <c:v>6211.1066821150234</c:v>
                </c:pt>
                <c:pt idx="4">
                  <c:v>15068.1</c:v>
                </c:pt>
                <c:pt idx="5">
                  <c:v>16054.637985649837</c:v>
                </c:pt>
                <c:pt idx="7">
                  <c:v>1.4109478292183668</c:v>
                </c:pt>
                <c:pt idx="8">
                  <c:v>8.0192997814740803</c:v>
                </c:pt>
                <c:pt idx="9">
                  <c:v>20.887732311942184</c:v>
                </c:pt>
                <c:pt idx="10">
                  <c:v>24.636668005993432</c:v>
                </c:pt>
                <c:pt idx="11">
                  <c:v>51.618714373602913</c:v>
                </c:pt>
                <c:pt idx="12">
                  <c:v>70.808312719603975</c:v>
                </c:pt>
                <c:pt idx="13">
                  <c:v>79.001466429048108</c:v>
                </c:pt>
                <c:pt idx="14">
                  <c:v>80.959848203523009</c:v>
                </c:pt>
                <c:pt idx="15">
                  <c:v>179.28204017972718</c:v>
                </c:pt>
                <c:pt idx="16">
                  <c:v>184.70511570097761</c:v>
                </c:pt>
                <c:pt idx="17">
                  <c:v>207.49833704669516</c:v>
                </c:pt>
                <c:pt idx="18">
                  <c:v>354.36546281462068</c:v>
                </c:pt>
                <c:pt idx="19">
                  <c:v>454.84970939825035</c:v>
                </c:pt>
                <c:pt idx="20">
                  <c:v>596.74399589807035</c:v>
                </c:pt>
                <c:pt idx="21">
                  <c:v>919.18291076478079</c:v>
                </c:pt>
                <c:pt idx="22">
                  <c:v>1354.7083714798318</c:v>
                </c:pt>
                <c:pt idx="23">
                  <c:v>1697.0511256386535</c:v>
                </c:pt>
                <c:pt idx="24">
                  <c:v>4733.2815940000746</c:v>
                </c:pt>
                <c:pt idx="25">
                  <c:v>7759.6695078216271</c:v>
                </c:pt>
                <c:pt idx="26">
                  <c:v>7964.0958511318804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510-4339-80E1-50A00711A4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71622528"/>
        <c:axId val="271624064"/>
      </c:barChart>
      <c:catAx>
        <c:axId val="2716225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cs-CZ"/>
          </a:p>
        </c:txPr>
        <c:crossAx val="271624064"/>
        <c:crosses val="autoZero"/>
        <c:auto val="1"/>
        <c:lblAlgn val="ctr"/>
        <c:lblOffset val="100"/>
        <c:noMultiLvlLbl val="0"/>
      </c:catAx>
      <c:valAx>
        <c:axId val="271624064"/>
        <c:scaling>
          <c:orientation val="minMax"/>
          <c:max val="17000"/>
          <c:min val="0"/>
        </c:scaling>
        <c:delete val="1"/>
        <c:axPos val="b"/>
        <c:numFmt formatCode="#,##0" sourceLinked="1"/>
        <c:majorTickMark val="out"/>
        <c:minorTickMark val="none"/>
        <c:tickLblPos val="nextTo"/>
        <c:crossAx val="271622528"/>
        <c:crosses val="autoZero"/>
        <c:crossBetween val="between"/>
      </c:val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322537692395797E-2"/>
          <c:y val="5.5436507936507937E-2"/>
          <c:w val="0.7077205989686427"/>
          <c:h val="0.84245119047619044"/>
        </c:manualLayout>
      </c:layout>
      <c:lineChart>
        <c:grouping val="standard"/>
        <c:varyColors val="0"/>
        <c:ser>
          <c:idx val="0"/>
          <c:order val="0"/>
          <c:tx>
            <c:strRef>
              <c:f>'2021G3'!$A$8</c:f>
              <c:strCache>
                <c:ptCount val="1"/>
                <c:pt idx="0">
                  <c:v>CELKEM</c:v>
                </c:pt>
              </c:strCache>
            </c:strRef>
          </c:tx>
          <c:spPr>
            <a:ln>
              <a:solidFill>
                <a:schemeClr val="accent5">
                  <a:lumMod val="50000"/>
                </a:schemeClr>
              </a:solidFill>
            </a:ln>
          </c:spPr>
          <c:marker>
            <c:symbol val="circle"/>
            <c:size val="5"/>
            <c:spPr>
              <a:solidFill>
                <a:schemeClr val="bg1"/>
              </a:solidFill>
              <a:ln>
                <a:solidFill>
                  <a:schemeClr val="accent5">
                    <a:lumMod val="50000"/>
                  </a:schemeClr>
                </a:solidFill>
              </a:ln>
            </c:spPr>
          </c:marker>
          <c:dLbls>
            <c:spPr>
              <a:solidFill>
                <a:schemeClr val="accent5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'2021G3'!$B$3:$N$3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  <c:extLst/>
            </c:numRef>
          </c:cat>
          <c:val>
            <c:numRef>
              <c:f>'2021G3'!$B$8:$N$8</c:f>
              <c:numCache>
                <c:formatCode>0.0%</c:formatCode>
                <c:ptCount val="11"/>
                <c:pt idx="0">
                  <c:v>0.1963446698837113</c:v>
                </c:pt>
                <c:pt idx="1">
                  <c:v>0.20107611405568301</c:v>
                </c:pt>
                <c:pt idx="2">
                  <c:v>0.2350100365482827</c:v>
                </c:pt>
                <c:pt idx="3">
                  <c:v>0.22584090141154708</c:v>
                </c:pt>
                <c:pt idx="4">
                  <c:v>0.19921807327816057</c:v>
                </c:pt>
                <c:pt idx="5">
                  <c:v>0.17045053321237405</c:v>
                </c:pt>
                <c:pt idx="6">
                  <c:v>0.1571414477491547</c:v>
                </c:pt>
                <c:pt idx="7">
                  <c:v>0.11202298400330193</c:v>
                </c:pt>
                <c:pt idx="8">
                  <c:v>0.1195570847745791</c:v>
                </c:pt>
                <c:pt idx="9">
                  <c:v>0.12410899488205182</c:v>
                </c:pt>
                <c:pt idx="10">
                  <c:v>0.12260810678896832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50EF-4B90-803B-A690CED9B804}"/>
            </c:ext>
          </c:extLst>
        </c:ser>
        <c:ser>
          <c:idx val="1"/>
          <c:order val="1"/>
          <c:tx>
            <c:strRef>
              <c:f>'2021G3'!$A$9</c:f>
              <c:strCache>
                <c:ptCount val="1"/>
                <c:pt idx="0">
                  <c:v>domácí přímá 
- dotace ze SR ČR</c:v>
                </c:pt>
              </c:strCache>
            </c:strRef>
          </c:tx>
          <c:cat>
            <c:numRef>
              <c:f>'2021G3'!$B$3:$N$3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  <c:extLst/>
            </c:numRef>
          </c:cat>
          <c:val>
            <c:numRef>
              <c:f>'2021G3'!$B$9:$N$9</c:f>
              <c:numCache>
                <c:formatCode>0.0%</c:formatCode>
                <c:ptCount val="11"/>
                <c:pt idx="0">
                  <c:v>0.14230604777671954</c:v>
                </c:pt>
                <c:pt idx="1">
                  <c:v>0.12920643039585986</c:v>
                </c:pt>
                <c:pt idx="2">
                  <c:v>0.14083381886313054</c:v>
                </c:pt>
                <c:pt idx="3">
                  <c:v>0.12396686586673143</c:v>
                </c:pt>
                <c:pt idx="4">
                  <c:v>9.8998683865566484E-2</c:v>
                </c:pt>
                <c:pt idx="5">
                  <c:v>8.4459013225432644E-2</c:v>
                </c:pt>
                <c:pt idx="6">
                  <c:v>6.8756967274119229E-2</c:v>
                </c:pt>
                <c:pt idx="7">
                  <c:v>5.2381546676262734E-2</c:v>
                </c:pt>
                <c:pt idx="8">
                  <c:v>5.5966359264111191E-2</c:v>
                </c:pt>
                <c:pt idx="9">
                  <c:v>5.769703082054959E-2</c:v>
                </c:pt>
                <c:pt idx="10">
                  <c:v>5.6227485823521502E-2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50EF-4B90-803B-A690CED9B804}"/>
            </c:ext>
          </c:extLst>
        </c:ser>
        <c:ser>
          <c:idx val="2"/>
          <c:order val="2"/>
          <c:tx>
            <c:strRef>
              <c:f>'2021G3'!$A$10</c:f>
              <c:strCache>
                <c:ptCount val="1"/>
                <c:pt idx="0">
                  <c:v>domácí nepřímá
- daňová podpora</c:v>
                </c:pt>
              </c:strCache>
            </c:strRef>
          </c:tx>
          <c:cat>
            <c:numRef>
              <c:f>'2021G3'!$B$3:$N$3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  <c:extLst/>
            </c:numRef>
          </c:cat>
          <c:val>
            <c:numRef>
              <c:f>'2021G3'!$B$10:$N$10</c:f>
              <c:numCache>
                <c:formatCode>0.0%</c:formatCode>
                <c:ptCount val="11"/>
                <c:pt idx="0">
                  <c:v>4.0468077738215306E-2</c:v>
                </c:pt>
                <c:pt idx="1">
                  <c:v>4.7295901008654745E-2</c:v>
                </c:pt>
                <c:pt idx="2">
                  <c:v>5.6400630977615884E-2</c:v>
                </c:pt>
                <c:pt idx="3">
                  <c:v>5.3875171537187225E-2</c:v>
                </c:pt>
                <c:pt idx="4">
                  <c:v>5.7518992019959636E-2</c:v>
                </c:pt>
                <c:pt idx="5">
                  <c:v>5.0596315659156239E-2</c:v>
                </c:pt>
                <c:pt idx="6">
                  <c:v>5.5009585333665102E-2</c:v>
                </c:pt>
                <c:pt idx="7">
                  <c:v>5.0794284241358872E-2</c:v>
                </c:pt>
                <c:pt idx="8">
                  <c:v>4.6318371766534167E-2</c:v>
                </c:pt>
                <c:pt idx="9">
                  <c:v>4.2035991274885734E-2</c:v>
                </c:pt>
                <c:pt idx="10">
                  <c:v>4.0967857292695198E-2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50EF-4B90-803B-A690CED9B804}"/>
            </c:ext>
          </c:extLst>
        </c:ser>
        <c:ser>
          <c:idx val="3"/>
          <c:order val="3"/>
          <c:tx>
            <c:strRef>
              <c:f>'2021G3'!$A$11</c:f>
              <c:strCache>
                <c:ptCount val="1"/>
                <c:pt idx="0">
                  <c:v>zahraniční přímá
- zdroje EU</c:v>
                </c:pt>
              </c:strCache>
            </c:strRef>
          </c:tx>
          <c:cat>
            <c:numRef>
              <c:f>'2021G3'!$B$3:$N$3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  <c:extLst/>
            </c:numRef>
          </c:cat>
          <c:val>
            <c:numRef>
              <c:f>'2021G3'!$B$11:$N$11</c:f>
              <c:numCache>
                <c:formatCode>0.0%</c:formatCode>
                <c:ptCount val="11"/>
                <c:pt idx="0">
                  <c:v>1.3570544368776472E-2</c:v>
                </c:pt>
                <c:pt idx="1">
                  <c:v>2.4573782651168417E-2</c:v>
                </c:pt>
                <c:pt idx="2">
                  <c:v>3.7775586707536273E-2</c:v>
                </c:pt>
                <c:pt idx="3">
                  <c:v>4.79988640076284E-2</c:v>
                </c:pt>
                <c:pt idx="4">
                  <c:v>4.2700397392634447E-2</c:v>
                </c:pt>
                <c:pt idx="5">
                  <c:v>3.5395204327785174E-2</c:v>
                </c:pt>
                <c:pt idx="6">
                  <c:v>3.3374895141370355E-2</c:v>
                </c:pt>
                <c:pt idx="7">
                  <c:v>8.8471530856803395E-3</c:v>
                </c:pt>
                <c:pt idx="8">
                  <c:v>1.7272353743933752E-2</c:v>
                </c:pt>
                <c:pt idx="9">
                  <c:v>2.4375972786616507E-2</c:v>
                </c:pt>
                <c:pt idx="10">
                  <c:v>2.5412763672751616E-2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3-50EF-4B90-803B-A690CED9B8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586304"/>
        <c:axId val="277587840"/>
      </c:lineChart>
      <c:catAx>
        <c:axId val="277586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7587840"/>
        <c:crosses val="autoZero"/>
        <c:auto val="1"/>
        <c:lblAlgn val="ctr"/>
        <c:lblOffset val="100"/>
        <c:noMultiLvlLbl val="0"/>
      </c:catAx>
      <c:valAx>
        <c:axId val="277587840"/>
        <c:scaling>
          <c:orientation val="minMax"/>
          <c:max val="0.26"/>
          <c:min val="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solid"/>
            </a:ln>
          </c:spPr>
        </c:majorGridlines>
        <c:minorGridlines>
          <c:spPr>
            <a:ln>
              <a:prstDash val="dash"/>
            </a:ln>
          </c:spPr>
        </c:minorGridlines>
        <c:numFmt formatCode="0%" sourceLinked="0"/>
        <c:majorTickMark val="out"/>
        <c:minorTickMark val="none"/>
        <c:tickLblPos val="nextTo"/>
        <c:crossAx val="277586304"/>
        <c:crosses val="autoZero"/>
        <c:crossBetween val="between"/>
        <c:majorUnit val="2.0000000000000004E-2"/>
        <c:minorUnit val="1.0000000000000002E-2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cs-CZ" sz="800"/>
              <a:t>Přímá</a:t>
            </a:r>
            <a:r>
              <a:rPr lang="cs-CZ" sz="800" baseline="0"/>
              <a:t> veřejná podpora VaV</a:t>
            </a:r>
            <a:endParaRPr lang="en-US" sz="8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7557430259243754"/>
          <c:y val="6.6204860484871994E-2"/>
          <c:w val="0.68045025660328595"/>
          <c:h val="0.9139722242250526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'21G27_TEST'!$C$66</c:f>
              <c:strCache>
                <c:ptCount val="1"/>
                <c:pt idx="0">
                  <c:v>Volume of R&amp;D direct funding, million current USD PPPs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735A-4577-9214-CF5F91C1DC91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735A-4577-9214-CF5F91C1DC91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735A-4577-9214-CF5F91C1DC91}"/>
              </c:ext>
            </c:extLst>
          </c:dPt>
          <c:dLbls>
            <c:dLbl>
              <c:idx val="0"/>
              <c:spPr/>
              <c:txPr>
                <a:bodyPr rot="0" vert="horz"/>
                <a:lstStyle/>
                <a:p>
                  <a:pPr>
                    <a:defRPr b="1"/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735A-4577-9214-CF5F91C1DC91}"/>
                </c:ext>
              </c:extLst>
            </c:dLbl>
            <c:dLbl>
              <c:idx val="5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35A-4577-9214-CF5F91C1DC9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'21G27_TEST'!$B$67:$B$93</c:f>
              <c:strCache>
                <c:ptCount val="27"/>
                <c:pt idx="0">
                  <c:v>Norsko</c:v>
                </c:pt>
                <c:pt idx="1">
                  <c:v>Japonsko</c:v>
                </c:pt>
                <c:pt idx="2">
                  <c:v>Jižní Korea</c:v>
                </c:pt>
                <c:pt idx="3">
                  <c:v>Čína</c:v>
                </c:pt>
                <c:pt idx="4">
                  <c:v>Rusko</c:v>
                </c:pt>
                <c:pt idx="5">
                  <c:v>Spojené státy</c:v>
                </c:pt>
                <c:pt idx="7">
                  <c:v>Malta</c:v>
                </c:pt>
                <c:pt idx="8">
                  <c:v>Lotyšsko</c:v>
                </c:pt>
                <c:pt idx="9">
                  <c:v>Litva</c:v>
                </c:pt>
                <c:pt idx="10">
                  <c:v>Slovensko</c:v>
                </c:pt>
                <c:pt idx="11">
                  <c:v>Slovinsko</c:v>
                </c:pt>
                <c:pt idx="12">
                  <c:v>Řecko</c:v>
                </c:pt>
                <c:pt idx="13">
                  <c:v>Dánsko</c:v>
                </c:pt>
                <c:pt idx="14">
                  <c:v>Portugalsko</c:v>
                </c:pt>
                <c:pt idx="15">
                  <c:v>Irsko</c:v>
                </c:pt>
                <c:pt idx="16">
                  <c:v>Belgie</c:v>
                </c:pt>
                <c:pt idx="17">
                  <c:v>Česko</c:v>
                </c:pt>
                <c:pt idx="18">
                  <c:v>Rakousko</c:v>
                </c:pt>
                <c:pt idx="19">
                  <c:v>Švédsko</c:v>
                </c:pt>
                <c:pt idx="20">
                  <c:v>Maďarsko</c:v>
                </c:pt>
                <c:pt idx="21">
                  <c:v>Nizozemsko</c:v>
                </c:pt>
                <c:pt idx="22">
                  <c:v>Itálie</c:v>
                </c:pt>
                <c:pt idx="23">
                  <c:v>Španělsko</c:v>
                </c:pt>
                <c:pt idx="24">
                  <c:v>Polsko</c:v>
                </c:pt>
                <c:pt idx="25">
                  <c:v>Velká Británie</c:v>
                </c:pt>
                <c:pt idx="26">
                  <c:v>Francie</c:v>
                </c:pt>
              </c:strCache>
            </c:strRef>
          </c:cat>
          <c:val>
            <c:numRef>
              <c:f>'21G27_TEST'!$C$67:$C$93</c:f>
              <c:numCache>
                <c:formatCode>#,##0</c:formatCode>
                <c:ptCount val="27"/>
                <c:pt idx="0">
                  <c:v>388.37395163398901</c:v>
                </c:pt>
                <c:pt idx="1">
                  <c:v>1108.26</c:v>
                </c:pt>
                <c:pt idx="2">
                  <c:v>3439.4270000000001</c:v>
                </c:pt>
                <c:pt idx="3">
                  <c:v>11227.267</c:v>
                </c:pt>
                <c:pt idx="4">
                  <c:v>12969.324000000001</c:v>
                </c:pt>
                <c:pt idx="5">
                  <c:v>23943</c:v>
                </c:pt>
                <c:pt idx="7">
                  <c:v>0.76672891186327485</c:v>
                </c:pt>
                <c:pt idx="8">
                  <c:v>3.5717362209770172</c:v>
                </c:pt>
                <c:pt idx="9">
                  <c:v>6.4790976367225834</c:v>
                </c:pt>
                <c:pt idx="10">
                  <c:v>20.509356291873516</c:v>
                </c:pt>
                <c:pt idx="11">
                  <c:v>74.230861391674352</c:v>
                </c:pt>
                <c:pt idx="12">
                  <c:v>115.84811755951019</c:v>
                </c:pt>
                <c:pt idx="13">
                  <c:v>127.01144803225084</c:v>
                </c:pt>
                <c:pt idx="14">
                  <c:v>144.5006321112516</c:v>
                </c:pt>
                <c:pt idx="15">
                  <c:v>166.75793371404731</c:v>
                </c:pt>
                <c:pt idx="16">
                  <c:v>363.6287209069215</c:v>
                </c:pt>
                <c:pt idx="17">
                  <c:v>370.80352967514364</c:v>
                </c:pt>
                <c:pt idx="18">
                  <c:v>375.49932560300931</c:v>
                </c:pt>
                <c:pt idx="19">
                  <c:v>590.77085849273624</c:v>
                </c:pt>
                <c:pt idx="20">
                  <c:v>596.31777967806715</c:v>
                </c:pt>
                <c:pt idx="21">
                  <c:v>940.13957149847874</c:v>
                </c:pt>
                <c:pt idx="22">
                  <c:v>1188.2565171611243</c:v>
                </c:pt>
                <c:pt idx="23">
                  <c:v>1243.8562154450378</c:v>
                </c:pt>
                <c:pt idx="24">
                  <c:v>1352.5324654505091</c:v>
                </c:pt>
                <c:pt idx="25">
                  <c:v>2595.4095949076345</c:v>
                </c:pt>
                <c:pt idx="26">
                  <c:v>3443.7659006561521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35A-4577-9214-CF5F91C1DC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71622528"/>
        <c:axId val="271624064"/>
      </c:barChart>
      <c:catAx>
        <c:axId val="2716225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cs-CZ"/>
          </a:p>
        </c:txPr>
        <c:crossAx val="271624064"/>
        <c:crosses val="autoZero"/>
        <c:auto val="1"/>
        <c:lblAlgn val="ctr"/>
        <c:lblOffset val="100"/>
        <c:noMultiLvlLbl val="0"/>
      </c:catAx>
      <c:valAx>
        <c:axId val="271624064"/>
        <c:scaling>
          <c:orientation val="minMax"/>
          <c:max val="25000"/>
          <c:min val="0"/>
        </c:scaling>
        <c:delete val="1"/>
        <c:axPos val="b"/>
        <c:numFmt formatCode="#,##0" sourceLinked="1"/>
        <c:majorTickMark val="out"/>
        <c:minorTickMark val="none"/>
        <c:tickLblPos val="nextTo"/>
        <c:crossAx val="271622528"/>
        <c:crosses val="autoZero"/>
        <c:crossBetween val="between"/>
      </c:val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cs-CZ" sz="800"/>
              <a:t>Nepřímá</a:t>
            </a:r>
            <a:r>
              <a:rPr lang="cs-CZ" sz="800" baseline="0"/>
              <a:t> veřejná podpora VaV</a:t>
            </a:r>
            <a:endParaRPr lang="en-US" sz="8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7557430259243754"/>
          <c:y val="6.6204860484871994E-2"/>
          <c:w val="0.68045025660328595"/>
          <c:h val="0.9139722242250526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5"/>
            </a:solidFill>
          </c:spPr>
          <c:invertIfNegative val="0"/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3BD-4988-A5C4-CF58F4A58A51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3BD-4988-A5C4-CF58F4A58A51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63BD-4988-A5C4-CF58F4A58A51}"/>
              </c:ext>
            </c:extLst>
          </c:dPt>
          <c:dLbls>
            <c:dLbl>
              <c:idx val="0"/>
              <c:spPr/>
              <c:txPr>
                <a:bodyPr rot="0" vert="horz"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63BD-4988-A5C4-CF58F4A58A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'21G28_TEST'!$B$37:$B$62</c:f>
              <c:strCache>
                <c:ptCount val="26"/>
                <c:pt idx="0">
                  <c:v>Jižní Korea</c:v>
                </c:pt>
                <c:pt idx="1">
                  <c:v>Spojené státy</c:v>
                </c:pt>
                <c:pt idx="2">
                  <c:v>Čína</c:v>
                </c:pt>
                <c:pt idx="3">
                  <c:v>Japonsko</c:v>
                </c:pt>
                <c:pt idx="4">
                  <c:v>Norsko</c:v>
                </c:pt>
                <c:pt idx="5">
                  <c:v>Rusko</c:v>
                </c:pt>
                <c:pt idx="7">
                  <c:v>Švédsko</c:v>
                </c:pt>
                <c:pt idx="8">
                  <c:v>Dánsko</c:v>
                </c:pt>
                <c:pt idx="9">
                  <c:v>Řecko</c:v>
                </c:pt>
                <c:pt idx="10">
                  <c:v>Lotyšsko</c:v>
                </c:pt>
                <c:pt idx="11">
                  <c:v>Polsko</c:v>
                </c:pt>
                <c:pt idx="12">
                  <c:v>Španělsko</c:v>
                </c:pt>
                <c:pt idx="13">
                  <c:v>Česko</c:v>
                </c:pt>
                <c:pt idx="14">
                  <c:v>Maďarsko</c:v>
                </c:pt>
                <c:pt idx="15">
                  <c:v>Litva</c:v>
                </c:pt>
                <c:pt idx="16">
                  <c:v>Slovensko</c:v>
                </c:pt>
                <c:pt idx="17">
                  <c:v>Slovinsko</c:v>
                </c:pt>
                <c:pt idx="18">
                  <c:v>Rakousko</c:v>
                </c:pt>
                <c:pt idx="19">
                  <c:v>Nizozemsko</c:v>
                </c:pt>
                <c:pt idx="20">
                  <c:v>Irsko</c:v>
                </c:pt>
                <c:pt idx="21">
                  <c:v>Belgie</c:v>
                </c:pt>
                <c:pt idx="22">
                  <c:v>Francie</c:v>
                </c:pt>
                <c:pt idx="23">
                  <c:v>Itálie</c:v>
                </c:pt>
                <c:pt idx="24">
                  <c:v>Velká Británie</c:v>
                </c:pt>
                <c:pt idx="25">
                  <c:v>Portugalsko</c:v>
                </c:pt>
              </c:strCache>
            </c:strRef>
          </c:cat>
          <c:val>
            <c:numRef>
              <c:f>'21G28_TEST'!$C$37:$C$62</c:f>
              <c:numCache>
                <c:formatCode>0.0</c:formatCode>
                <c:ptCount val="26"/>
                <c:pt idx="0">
                  <c:v>3.65</c:v>
                </c:pt>
                <c:pt idx="1">
                  <c:v>4.0199999999999996</c:v>
                </c:pt>
                <c:pt idx="2">
                  <c:v>4.17</c:v>
                </c:pt>
                <c:pt idx="3">
                  <c:v>4.37</c:v>
                </c:pt>
                <c:pt idx="4">
                  <c:v>11.08</c:v>
                </c:pt>
                <c:pt idx="5">
                  <c:v>16.87</c:v>
                </c:pt>
                <c:pt idx="7">
                  <c:v>0.55000000000000004</c:v>
                </c:pt>
                <c:pt idx="8">
                  <c:v>1.26</c:v>
                </c:pt>
                <c:pt idx="9">
                  <c:v>1.35</c:v>
                </c:pt>
                <c:pt idx="10">
                  <c:v>1.46</c:v>
                </c:pt>
                <c:pt idx="11">
                  <c:v>1.88</c:v>
                </c:pt>
                <c:pt idx="12">
                  <c:v>2.66</c:v>
                </c:pt>
                <c:pt idx="13">
                  <c:v>4.07</c:v>
                </c:pt>
                <c:pt idx="14">
                  <c:v>5.04</c:v>
                </c:pt>
                <c:pt idx="15">
                  <c:v>5.27</c:v>
                </c:pt>
                <c:pt idx="16">
                  <c:v>6.14</c:v>
                </c:pt>
                <c:pt idx="17">
                  <c:v>6.85</c:v>
                </c:pt>
                <c:pt idx="18">
                  <c:v>8.43</c:v>
                </c:pt>
                <c:pt idx="19">
                  <c:v>9.5399999999999991</c:v>
                </c:pt>
                <c:pt idx="20">
                  <c:v>15.48</c:v>
                </c:pt>
                <c:pt idx="21">
                  <c:v>15.91</c:v>
                </c:pt>
                <c:pt idx="22">
                  <c:v>19.850000000000001</c:v>
                </c:pt>
                <c:pt idx="23">
                  <c:v>20.52</c:v>
                </c:pt>
                <c:pt idx="24">
                  <c:v>21.34</c:v>
                </c:pt>
                <c:pt idx="25">
                  <c:v>24.11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3BD-4988-A5C4-CF58F4A58A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71622528"/>
        <c:axId val="271624064"/>
      </c:barChart>
      <c:catAx>
        <c:axId val="2716225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cs-CZ"/>
          </a:p>
        </c:txPr>
        <c:crossAx val="271624064"/>
        <c:crosses val="autoZero"/>
        <c:auto val="1"/>
        <c:lblAlgn val="ctr"/>
        <c:lblOffset val="100"/>
        <c:noMultiLvlLbl val="0"/>
      </c:catAx>
      <c:valAx>
        <c:axId val="271624064"/>
        <c:scaling>
          <c:orientation val="minMax"/>
        </c:scaling>
        <c:delete val="1"/>
        <c:axPos val="b"/>
        <c:numFmt formatCode="0.0" sourceLinked="1"/>
        <c:majorTickMark val="out"/>
        <c:minorTickMark val="none"/>
        <c:tickLblPos val="nextTo"/>
        <c:crossAx val="271622528"/>
        <c:crosses val="autoZero"/>
        <c:crossBetween val="between"/>
      </c:val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cs-CZ" sz="800"/>
              <a:t>Přímá</a:t>
            </a:r>
            <a:r>
              <a:rPr lang="cs-CZ" sz="800" baseline="0"/>
              <a:t> veřejná podpora VaV</a:t>
            </a:r>
            <a:endParaRPr lang="en-US" sz="8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7557430259243754"/>
          <c:y val="6.6204860484871994E-2"/>
          <c:w val="0.68045025660328595"/>
          <c:h val="0.9139722242250526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'21G28_TEST'!$L$35</c:f>
              <c:strCache>
                <c:ptCount val="1"/>
                <c:pt idx="0">
                  <c:v> přímá veřejná podpora VaV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BBA0-4FFB-81EA-B2ED0D9619FF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BBA0-4FFB-81EA-B2ED0D9619FF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BBA0-4FFB-81EA-B2ED0D9619FF}"/>
              </c:ext>
            </c:extLst>
          </c:dPt>
          <c:dLbls>
            <c:dLbl>
              <c:idx val="0"/>
              <c:spPr/>
              <c:txPr>
                <a:bodyPr rot="0" vert="horz"/>
                <a:lstStyle/>
                <a:p>
                  <a:pPr>
                    <a:defRPr b="1"/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BBA0-4FFB-81EA-B2ED0D9619FF}"/>
                </c:ext>
              </c:extLst>
            </c:dLbl>
            <c:dLbl>
              <c:idx val="5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BA0-4FFB-81EA-B2ED0D9619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'21G28_TEST'!$K$36:$K$61</c:f>
              <c:strCache>
                <c:ptCount val="26"/>
                <c:pt idx="0">
                  <c:v>Japonsko</c:v>
                </c:pt>
                <c:pt idx="1">
                  <c:v>Čína</c:v>
                </c:pt>
                <c:pt idx="2">
                  <c:v>Jižní Korea</c:v>
                </c:pt>
                <c:pt idx="3">
                  <c:v>Spojené státy</c:v>
                </c:pt>
                <c:pt idx="4">
                  <c:v>Norsko</c:v>
                </c:pt>
                <c:pt idx="5">
                  <c:v>Rusko</c:v>
                </c:pt>
                <c:pt idx="7">
                  <c:v>Litva</c:v>
                </c:pt>
                <c:pt idx="8">
                  <c:v>Dánsko</c:v>
                </c:pt>
                <c:pt idx="9">
                  <c:v>Slovensko</c:v>
                </c:pt>
                <c:pt idx="10">
                  <c:v>Belgie</c:v>
                </c:pt>
                <c:pt idx="11">
                  <c:v>Lotyšsko</c:v>
                </c:pt>
                <c:pt idx="12">
                  <c:v>Rakousko</c:v>
                </c:pt>
                <c:pt idx="13">
                  <c:v>Irsko</c:v>
                </c:pt>
                <c:pt idx="14">
                  <c:v>Švédsko</c:v>
                </c:pt>
                <c:pt idx="15">
                  <c:v>Itálie</c:v>
                </c:pt>
                <c:pt idx="16">
                  <c:v>Portugalsko</c:v>
                </c:pt>
                <c:pt idx="17">
                  <c:v>Řecko</c:v>
                </c:pt>
                <c:pt idx="18">
                  <c:v>Slovinsko</c:v>
                </c:pt>
                <c:pt idx="19">
                  <c:v>Nizozemsko</c:v>
                </c:pt>
                <c:pt idx="20">
                  <c:v>Velká Británie</c:v>
                </c:pt>
                <c:pt idx="21">
                  <c:v>Česko</c:v>
                </c:pt>
                <c:pt idx="22">
                  <c:v>Francie</c:v>
                </c:pt>
                <c:pt idx="23">
                  <c:v>Španělsko</c:v>
                </c:pt>
                <c:pt idx="24">
                  <c:v>Polsko</c:v>
                </c:pt>
                <c:pt idx="25">
                  <c:v>Maďarsko</c:v>
                </c:pt>
              </c:strCache>
            </c:strRef>
          </c:cat>
          <c:val>
            <c:numRef>
              <c:f>'21G28_TEST'!$L$36:$L$61</c:f>
              <c:numCache>
                <c:formatCode>0.0</c:formatCode>
                <c:ptCount val="26"/>
                <c:pt idx="0">
                  <c:v>0.81</c:v>
                </c:pt>
                <c:pt idx="1">
                  <c:v>3.22</c:v>
                </c:pt>
                <c:pt idx="2">
                  <c:v>4.3499999999999996</c:v>
                </c:pt>
                <c:pt idx="3">
                  <c:v>6.42</c:v>
                </c:pt>
                <c:pt idx="4">
                  <c:v>9.94</c:v>
                </c:pt>
                <c:pt idx="5">
                  <c:v>56.21</c:v>
                </c:pt>
                <c:pt idx="7">
                  <c:v>1.57</c:v>
                </c:pt>
                <c:pt idx="8">
                  <c:v>2.0299999999999998</c:v>
                </c:pt>
                <c:pt idx="9">
                  <c:v>2.5499999999999998</c:v>
                </c:pt>
                <c:pt idx="10">
                  <c:v>3.37</c:v>
                </c:pt>
                <c:pt idx="11">
                  <c:v>3.67</c:v>
                </c:pt>
                <c:pt idx="12">
                  <c:v>3.68</c:v>
                </c:pt>
                <c:pt idx="13">
                  <c:v>4.6100000000000003</c:v>
                </c:pt>
                <c:pt idx="14">
                  <c:v>4.7</c:v>
                </c:pt>
                <c:pt idx="15">
                  <c:v>4.92</c:v>
                </c:pt>
                <c:pt idx="16">
                  <c:v>5.62</c:v>
                </c:pt>
                <c:pt idx="17">
                  <c:v>6.04</c:v>
                </c:pt>
                <c:pt idx="18">
                  <c:v>6.17</c:v>
                </c:pt>
                <c:pt idx="19">
                  <c:v>6.43</c:v>
                </c:pt>
                <c:pt idx="20">
                  <c:v>6.87</c:v>
                </c:pt>
                <c:pt idx="21">
                  <c:v>6.99</c:v>
                </c:pt>
                <c:pt idx="22">
                  <c:v>8</c:v>
                </c:pt>
                <c:pt idx="23">
                  <c:v>9.02</c:v>
                </c:pt>
                <c:pt idx="24">
                  <c:v>13.51</c:v>
                </c:pt>
                <c:pt idx="25">
                  <c:v>16.28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BA0-4FFB-81EA-B2ED0D9619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71622528"/>
        <c:axId val="271624064"/>
      </c:barChart>
      <c:catAx>
        <c:axId val="2716225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cs-CZ"/>
          </a:p>
        </c:txPr>
        <c:crossAx val="271624064"/>
        <c:crosses val="autoZero"/>
        <c:auto val="1"/>
        <c:lblAlgn val="ctr"/>
        <c:lblOffset val="100"/>
        <c:noMultiLvlLbl val="0"/>
      </c:catAx>
      <c:valAx>
        <c:axId val="271624064"/>
        <c:scaling>
          <c:orientation val="minMax"/>
          <c:max val="31"/>
          <c:min val="0"/>
        </c:scaling>
        <c:delete val="1"/>
        <c:axPos val="b"/>
        <c:numFmt formatCode="0.0" sourceLinked="1"/>
        <c:majorTickMark val="out"/>
        <c:minorTickMark val="none"/>
        <c:tickLblPos val="nextTo"/>
        <c:crossAx val="271622528"/>
        <c:crosses val="autoZero"/>
        <c:crossBetween val="between"/>
      </c:val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'21G28'!$B$56</c:f>
              <c:strCache>
                <c:ptCount val="1"/>
                <c:pt idx="0">
                  <c:v> Nepřímá veřejná podpora VaV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7A93-408C-B048-778EA8F4E0E8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7A93-408C-B048-778EA8F4E0E8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7A93-408C-B048-778EA8F4E0E8}"/>
              </c:ext>
            </c:extLst>
          </c:dPt>
          <c:cat>
            <c:strRef>
              <c:f>'21G28'!$A$57:$A$82</c:f>
              <c:strCache>
                <c:ptCount val="26"/>
                <c:pt idx="0">
                  <c:v>Francie</c:v>
                </c:pt>
                <c:pt idx="1">
                  <c:v>Velká Británie</c:v>
                </c:pt>
                <c:pt idx="2">
                  <c:v>Rakousko</c:v>
                </c:pt>
                <c:pt idx="3">
                  <c:v>Maďarsko</c:v>
                </c:pt>
                <c:pt idx="4">
                  <c:v>Belgie</c:v>
                </c:pt>
                <c:pt idx="5">
                  <c:v>Nizozemsko</c:v>
                </c:pt>
                <c:pt idx="6">
                  <c:v>Itálie</c:v>
                </c:pt>
                <c:pt idx="7">
                  <c:v>Portugalsko</c:v>
                </c:pt>
                <c:pt idx="8">
                  <c:v>Slovinsko</c:v>
                </c:pt>
                <c:pt idx="9">
                  <c:v>Irsko</c:v>
                </c:pt>
                <c:pt idx="10">
                  <c:v>Česko</c:v>
                </c:pt>
                <c:pt idx="11">
                  <c:v>Švédsko</c:v>
                </c:pt>
                <c:pt idx="12">
                  <c:v>Polsko</c:v>
                </c:pt>
                <c:pt idx="13">
                  <c:v>Španělsko</c:v>
                </c:pt>
                <c:pt idx="14">
                  <c:v>Dánsko</c:v>
                </c:pt>
                <c:pt idx="15">
                  <c:v>Řecko</c:v>
                </c:pt>
                <c:pt idx="16">
                  <c:v>Slovensko</c:v>
                </c:pt>
                <c:pt idx="17">
                  <c:v>Litva</c:v>
                </c:pt>
                <c:pt idx="18">
                  <c:v>Lotyšsko</c:v>
                </c:pt>
                <c:pt idx="20">
                  <c:v>Rusko</c:v>
                </c:pt>
                <c:pt idx="21">
                  <c:v>Jižní Korea</c:v>
                </c:pt>
                <c:pt idx="22">
                  <c:v>Norsko</c:v>
                </c:pt>
                <c:pt idx="23">
                  <c:v>Spojené státy</c:v>
                </c:pt>
                <c:pt idx="24">
                  <c:v>Japonsko</c:v>
                </c:pt>
                <c:pt idx="25">
                  <c:v>Čína</c:v>
                </c:pt>
              </c:strCache>
            </c:strRef>
          </c:cat>
          <c:val>
            <c:numRef>
              <c:f>'21G28'!$B$57:$B$82</c:f>
              <c:numCache>
                <c:formatCode>0.00%</c:formatCode>
                <c:ptCount val="26"/>
                <c:pt idx="0">
                  <c:v>2.8549999999999999E-3</c:v>
                </c:pt>
                <c:pt idx="1">
                  <c:v>2.493E-3</c:v>
                </c:pt>
                <c:pt idx="2">
                  <c:v>1.8490000000000002E-3</c:v>
                </c:pt>
                <c:pt idx="3">
                  <c:v>5.8399999999999999E-4</c:v>
                </c:pt>
                <c:pt idx="4">
                  <c:v>1.769E-3</c:v>
                </c:pt>
                <c:pt idx="5">
                  <c:v>1.384E-3</c:v>
                </c:pt>
                <c:pt idx="6">
                  <c:v>1.8520000000000001E-3</c:v>
                </c:pt>
                <c:pt idx="7">
                  <c:v>1.681E-3</c:v>
                </c:pt>
                <c:pt idx="8">
                  <c:v>9.9200000000000004E-4</c:v>
                </c:pt>
                <c:pt idx="9">
                  <c:v>1.096E-3</c:v>
                </c:pt>
                <c:pt idx="10">
                  <c:v>4.86E-4</c:v>
                </c:pt>
                <c:pt idx="11">
                  <c:v>1.2999999999999999E-4</c:v>
                </c:pt>
                <c:pt idx="12">
                  <c:v>1.4999999999999999E-4</c:v>
                </c:pt>
                <c:pt idx="13">
                  <c:v>1.8700000000000002E-4</c:v>
                </c:pt>
                <c:pt idx="14">
                  <c:v>2.4600000000000002E-4</c:v>
                </c:pt>
                <c:pt idx="15">
                  <c:v>7.7000000000000001E-5</c:v>
                </c:pt>
                <c:pt idx="16">
                  <c:v>2.7799999999999998E-4</c:v>
                </c:pt>
                <c:pt idx="17">
                  <c:v>2.0699999999999999E-4</c:v>
                </c:pt>
                <c:pt idx="18" formatCode="0.000%">
                  <c:v>2.3E-5</c:v>
                </c:pt>
                <c:pt idx="20">
                  <c:v>9.2200000000000008E-4</c:v>
                </c:pt>
                <c:pt idx="21">
                  <c:v>1.3270000000000001E-3</c:v>
                </c:pt>
                <c:pt idx="22">
                  <c:v>1.1770000000000001E-3</c:v>
                </c:pt>
                <c:pt idx="23">
                  <c:v>8.0500000000000005E-4</c:v>
                </c:pt>
                <c:pt idx="24">
                  <c:v>1.1360000000000001E-3</c:v>
                </c:pt>
                <c:pt idx="25">
                  <c:v>6.8500000000000006E-4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A93-408C-B048-778EA8F4E0E8}"/>
            </c:ext>
          </c:extLst>
        </c:ser>
        <c:ser>
          <c:idx val="1"/>
          <c:order val="1"/>
          <c:tx>
            <c:strRef>
              <c:f>'21G28'!$C$56</c:f>
              <c:strCache>
                <c:ptCount val="1"/>
                <c:pt idx="0">
                  <c:v> Přímá veřejná podpora VaV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dPt>
            <c:idx val="10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7A93-408C-B048-778EA8F4E0E8}"/>
              </c:ext>
            </c:extLst>
          </c:dPt>
          <c:cat>
            <c:strRef>
              <c:f>'21G28'!$A$57:$A$82</c:f>
              <c:strCache>
                <c:ptCount val="26"/>
                <c:pt idx="0">
                  <c:v>Francie</c:v>
                </c:pt>
                <c:pt idx="1">
                  <c:v>Velká Británie</c:v>
                </c:pt>
                <c:pt idx="2">
                  <c:v>Rakousko</c:v>
                </c:pt>
                <c:pt idx="3">
                  <c:v>Maďarsko</c:v>
                </c:pt>
                <c:pt idx="4">
                  <c:v>Belgie</c:v>
                </c:pt>
                <c:pt idx="5">
                  <c:v>Nizozemsko</c:v>
                </c:pt>
                <c:pt idx="6">
                  <c:v>Itálie</c:v>
                </c:pt>
                <c:pt idx="7">
                  <c:v>Portugalsko</c:v>
                </c:pt>
                <c:pt idx="8">
                  <c:v>Slovinsko</c:v>
                </c:pt>
                <c:pt idx="9">
                  <c:v>Irsko</c:v>
                </c:pt>
                <c:pt idx="10">
                  <c:v>Česko</c:v>
                </c:pt>
                <c:pt idx="11">
                  <c:v>Švédsko</c:v>
                </c:pt>
                <c:pt idx="12">
                  <c:v>Polsko</c:v>
                </c:pt>
                <c:pt idx="13">
                  <c:v>Španělsko</c:v>
                </c:pt>
                <c:pt idx="14">
                  <c:v>Dánsko</c:v>
                </c:pt>
                <c:pt idx="15">
                  <c:v>Řecko</c:v>
                </c:pt>
                <c:pt idx="16">
                  <c:v>Slovensko</c:v>
                </c:pt>
                <c:pt idx="17">
                  <c:v>Litva</c:v>
                </c:pt>
                <c:pt idx="18">
                  <c:v>Lotyšsko</c:v>
                </c:pt>
                <c:pt idx="20">
                  <c:v>Rusko</c:v>
                </c:pt>
                <c:pt idx="21">
                  <c:v>Jižní Korea</c:v>
                </c:pt>
                <c:pt idx="22">
                  <c:v>Norsko</c:v>
                </c:pt>
                <c:pt idx="23">
                  <c:v>Spojené státy</c:v>
                </c:pt>
                <c:pt idx="24">
                  <c:v>Japonsko</c:v>
                </c:pt>
                <c:pt idx="25">
                  <c:v>Čína</c:v>
                </c:pt>
              </c:strCache>
            </c:strRef>
          </c:cat>
          <c:val>
            <c:numRef>
              <c:f>'21G28'!$C$57:$C$82</c:f>
              <c:numCache>
                <c:formatCode>0.00%</c:formatCode>
                <c:ptCount val="26"/>
                <c:pt idx="0">
                  <c:v>1.1509999999999999E-3</c:v>
                </c:pt>
                <c:pt idx="1">
                  <c:v>8.03E-4</c:v>
                </c:pt>
                <c:pt idx="2">
                  <c:v>7.85E-4</c:v>
                </c:pt>
                <c:pt idx="3">
                  <c:v>1.8579999999999998E-3</c:v>
                </c:pt>
                <c:pt idx="4">
                  <c:v>6.3200000000000007E-4</c:v>
                </c:pt>
                <c:pt idx="5">
                  <c:v>9.1300000000000007E-4</c:v>
                </c:pt>
                <c:pt idx="6">
                  <c:v>4.4200000000000001E-4</c:v>
                </c:pt>
                <c:pt idx="7">
                  <c:v>3.8999999999999999E-4</c:v>
                </c:pt>
                <c:pt idx="8">
                  <c:v>8.92E-4</c:v>
                </c:pt>
                <c:pt idx="9">
                  <c:v>3.9100000000000002E-4</c:v>
                </c:pt>
                <c:pt idx="10">
                  <c:v>8.2199999999999992E-4</c:v>
                </c:pt>
                <c:pt idx="11">
                  <c:v>1.127E-3</c:v>
                </c:pt>
                <c:pt idx="12">
                  <c:v>1.08E-3</c:v>
                </c:pt>
                <c:pt idx="13">
                  <c:v>6.3299999999999999E-4</c:v>
                </c:pt>
                <c:pt idx="14">
                  <c:v>3.97E-4</c:v>
                </c:pt>
                <c:pt idx="15">
                  <c:v>3.5299999999999996E-4</c:v>
                </c:pt>
                <c:pt idx="16">
                  <c:v>1.1599999999999999E-4</c:v>
                </c:pt>
                <c:pt idx="17">
                  <c:v>6.2000000000000003E-5</c:v>
                </c:pt>
                <c:pt idx="18">
                  <c:v>5.7999999999999994E-5</c:v>
                </c:pt>
                <c:pt idx="20">
                  <c:v>3.0709999999999999E-3</c:v>
                </c:pt>
                <c:pt idx="21">
                  <c:v>1.578E-3</c:v>
                </c:pt>
                <c:pt idx="22">
                  <c:v>1.049E-3</c:v>
                </c:pt>
                <c:pt idx="23">
                  <c:v>1.2989999999999998E-3</c:v>
                </c:pt>
                <c:pt idx="24">
                  <c:v>2.12E-4</c:v>
                </c:pt>
                <c:pt idx="25">
                  <c:v>5.6499999999999996E-4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A93-408C-B048-778EA8F4E0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100"/>
        <c:axId val="271110528"/>
        <c:axId val="271112064"/>
      </c:barChart>
      <c:catAx>
        <c:axId val="271110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271112064"/>
        <c:crosses val="autoZero"/>
        <c:auto val="1"/>
        <c:lblAlgn val="ctr"/>
        <c:lblOffset val="100"/>
        <c:noMultiLvlLbl val="0"/>
      </c:catAx>
      <c:valAx>
        <c:axId val="271112064"/>
        <c:scaling>
          <c:orientation val="minMax"/>
          <c:max val="4.5000000000001011E-3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prstDash val="dash"/>
              <a:round/>
            </a:ln>
            <a:effectLst/>
          </c:spPr>
        </c:majorGridlines>
        <c:numFmt formatCode="0.00%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271110528"/>
        <c:crosses val="autoZero"/>
        <c:crossBetween val="between"/>
        <c:majorUnit val="5.0000000000000012E-4"/>
      </c:valAx>
      <c:spPr>
        <a:solidFill>
          <a:schemeClr val="bg1"/>
        </a:solidFill>
        <a:ln>
          <a:solidFill>
            <a:schemeClr val="bg1">
              <a:lumMod val="65000"/>
            </a:schemeClr>
          </a:solidFill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322537692395797E-2"/>
          <c:y val="5.5436507936507937E-2"/>
          <c:w val="0.37525908900995275"/>
          <c:h val="0.75630781653746759"/>
        </c:manualLayout>
      </c:layout>
      <c:lineChart>
        <c:grouping val="standard"/>
        <c:varyColors val="0"/>
        <c:ser>
          <c:idx val="0"/>
          <c:order val="0"/>
          <c:tx>
            <c:strRef>
              <c:f>'2021G4'!$A$41</c:f>
              <c:strCache>
                <c:ptCount val="1"/>
                <c:pt idx="0">
                  <c:v> Podniky domácí</c:v>
                </c:pt>
              </c:strCache>
            </c:strRef>
          </c:tx>
          <c:spPr>
            <a:ln>
              <a:solidFill>
                <a:schemeClr val="accent5">
                  <a:lumMod val="50000"/>
                </a:schemeClr>
              </a:solidFill>
            </a:ln>
          </c:spPr>
          <c:marker>
            <c:symbol val="none"/>
          </c:marker>
          <c:cat>
            <c:numRef>
              <c:f>'2021G4'!$B$40:$N$40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  <c:extLst/>
            </c:numRef>
          </c:cat>
          <c:val>
            <c:numRef>
              <c:f>'2021G4'!$B$41:$N$41</c:f>
              <c:numCache>
                <c:formatCode>#,##0</c:formatCode>
                <c:ptCount val="11"/>
                <c:pt idx="0">
                  <c:v>3.2850953049999947</c:v>
                </c:pt>
                <c:pt idx="1">
                  <c:v>3.9097693352899996</c:v>
                </c:pt>
                <c:pt idx="2">
                  <c:v>5.3595222674600054</c:v>
                </c:pt>
                <c:pt idx="3">
                  <c:v>6.0688183333100083</c:v>
                </c:pt>
                <c:pt idx="4">
                  <c:v>5.4835730072499951</c:v>
                </c:pt>
                <c:pt idx="5">
                  <c:v>5.2807295808099957</c:v>
                </c:pt>
                <c:pt idx="6">
                  <c:v>4.57017620413</c:v>
                </c:pt>
                <c:pt idx="7">
                  <c:v>3.3407741178027117</c:v>
                </c:pt>
                <c:pt idx="8">
                  <c:v>3.9820613074271671</c:v>
                </c:pt>
                <c:pt idx="9">
                  <c:v>4.88501692253526</c:v>
                </c:pt>
                <c:pt idx="10">
                  <c:v>5.4261704620226912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4FEA-4EF7-804E-5137F793DF57}"/>
            </c:ext>
          </c:extLst>
        </c:ser>
        <c:ser>
          <c:idx val="1"/>
          <c:order val="1"/>
          <c:tx>
            <c:strRef>
              <c:f>'2021G4'!$A$42</c:f>
              <c:strCache>
                <c:ptCount val="1"/>
                <c:pt idx="0">
                  <c:v> Podniky pod zahraniční kontrolou</c:v>
                </c:pt>
              </c:strCache>
            </c:strRef>
          </c:tx>
          <c:marker>
            <c:symbol val="none"/>
          </c:marker>
          <c:cat>
            <c:numRef>
              <c:f>'2021G4'!$B$40:$N$40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  <c:extLst/>
            </c:numRef>
          </c:cat>
          <c:val>
            <c:numRef>
              <c:f>'2021G4'!$B$42:$N$42</c:f>
              <c:numCache>
                <c:formatCode>#,##0</c:formatCode>
                <c:ptCount val="11"/>
                <c:pt idx="0">
                  <c:v>1.8059718914000007</c:v>
                </c:pt>
                <c:pt idx="1">
                  <c:v>1.6887751493200014</c:v>
                </c:pt>
                <c:pt idx="2">
                  <c:v>2.2926191987600024</c:v>
                </c:pt>
                <c:pt idx="3">
                  <c:v>2.2443553095000008</c:v>
                </c:pt>
                <c:pt idx="4">
                  <c:v>2.4724866755299977</c:v>
                </c:pt>
                <c:pt idx="5">
                  <c:v>2.347697526660002</c:v>
                </c:pt>
                <c:pt idx="6">
                  <c:v>2.6574117866099991</c:v>
                </c:pt>
                <c:pt idx="7">
                  <c:v>1.9304169917303875</c:v>
                </c:pt>
                <c:pt idx="8">
                  <c:v>2.5182771654819134</c:v>
                </c:pt>
                <c:pt idx="9">
                  <c:v>2.7432332075330161</c:v>
                </c:pt>
                <c:pt idx="10">
                  <c:v>2.7436338659633388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4FEA-4EF7-804E-5137F793DF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77586304"/>
        <c:axId val="277587840"/>
      </c:lineChart>
      <c:catAx>
        <c:axId val="277586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7587840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277587840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solid"/>
            </a:ln>
          </c:spPr>
        </c:majorGridlines>
        <c:minorGridlines>
          <c:spPr>
            <a:ln>
              <a:prstDash val="dash"/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a) </a:t>
                </a:r>
                <a:r>
                  <a:rPr lang="en-US"/>
                  <a:t>mld. Kč</a:t>
                </a:r>
              </a:p>
            </c:rich>
          </c:tx>
          <c:overlay val="0"/>
        </c:title>
        <c:numFmt formatCode="#,##0" sourceLinked="1"/>
        <c:majorTickMark val="out"/>
        <c:minorTickMark val="none"/>
        <c:tickLblPos val="nextTo"/>
        <c:crossAx val="277586304"/>
        <c:crosses val="autoZero"/>
        <c:crossBetween val="between"/>
        <c:minorUnit val="0.5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b"/>
      <c:overlay val="0"/>
      <c:spPr>
        <a:ln>
          <a:solidFill>
            <a:schemeClr val="bg1">
              <a:lumMod val="50000"/>
            </a:schemeClr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415650340189674"/>
          <c:y val="5.9501613372507083E-2"/>
          <c:w val="0.7305116961803525"/>
          <c:h val="0.86934860415175375"/>
        </c:manualLayout>
      </c:layout>
      <c:lineChart>
        <c:grouping val="standard"/>
        <c:varyColors val="0"/>
        <c:ser>
          <c:idx val="0"/>
          <c:order val="0"/>
          <c:tx>
            <c:strRef>
              <c:f>'2021G4'!$A$45</c:f>
              <c:strCache>
                <c:ptCount val="1"/>
                <c:pt idx="0">
                  <c:v>Podniky domácí</c:v>
                </c:pt>
              </c:strCache>
            </c:strRef>
          </c:tx>
          <c:spPr>
            <a:ln>
              <a:solidFill>
                <a:schemeClr val="accent5">
                  <a:lumMod val="50000"/>
                </a:schemeClr>
              </a:solidFill>
            </a:ln>
          </c:spPr>
          <c:marker>
            <c:symbol val="none"/>
          </c:marker>
          <c:cat>
            <c:numRef>
              <c:f>'2021G4'!$B$44:$N$44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  <c:extLst/>
            </c:numRef>
          </c:cat>
          <c:val>
            <c:numRef>
              <c:f>'2021G4'!$B$45:$N$45</c:f>
              <c:numCache>
                <c:formatCode>0%</c:formatCode>
                <c:ptCount val="11"/>
                <c:pt idx="0">
                  <c:v>0.3265350988001034</c:v>
                </c:pt>
                <c:pt idx="1">
                  <c:v>0.30441864570451094</c:v>
                </c:pt>
                <c:pt idx="2">
                  <c:v>0.36312367908534571</c:v>
                </c:pt>
                <c:pt idx="3">
                  <c:v>0.36888247441266758</c:v>
                </c:pt>
                <c:pt idx="4">
                  <c:v>0.32507709220500547</c:v>
                </c:pt>
                <c:pt idx="5">
                  <c:v>0.29497749732690998</c:v>
                </c:pt>
                <c:pt idx="6">
                  <c:v>0.26592047062298624</c:v>
                </c:pt>
                <c:pt idx="7">
                  <c:v>0.21501620541095526</c:v>
                </c:pt>
                <c:pt idx="8">
                  <c:v>0.22822241571674814</c:v>
                </c:pt>
                <c:pt idx="9">
                  <c:v>0.25144940584587605</c:v>
                </c:pt>
                <c:pt idx="10">
                  <c:v>0.2471113958075046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3C2F-4858-8408-1B40A1BCFDB3}"/>
            </c:ext>
          </c:extLst>
        </c:ser>
        <c:ser>
          <c:idx val="1"/>
          <c:order val="1"/>
          <c:tx>
            <c:strRef>
              <c:f>'2021G4'!$A$46</c:f>
              <c:strCache>
                <c:ptCount val="1"/>
                <c:pt idx="0">
                  <c:v>Podniky pod zahraniční kontrolou</c:v>
                </c:pt>
              </c:strCache>
            </c:strRef>
          </c:tx>
          <c:marker>
            <c:symbol val="none"/>
          </c:marker>
          <c:cat>
            <c:numRef>
              <c:f>'2021G4'!$B$44:$N$44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  <c:extLst/>
            </c:numRef>
          </c:cat>
          <c:val>
            <c:numRef>
              <c:f>'2021G4'!$B$46:$N$46</c:f>
              <c:numCache>
                <c:formatCode>0%</c:formatCode>
                <c:ptCount val="11"/>
                <c:pt idx="0">
                  <c:v>0.11382231085604221</c:v>
                </c:pt>
                <c:pt idx="1">
                  <c:v>0.11258864814424285</c:v>
                </c:pt>
                <c:pt idx="2">
                  <c:v>0.12879232694436918</c:v>
                </c:pt>
                <c:pt idx="3">
                  <c:v>0.11029135599101515</c:v>
                </c:pt>
                <c:pt idx="4">
                  <c:v>0.1071865000341949</c:v>
                </c:pt>
                <c:pt idx="5">
                  <c:v>8.7500416343386414E-2</c:v>
                </c:pt>
                <c:pt idx="6">
                  <c:v>9.256912179619875E-2</c:v>
                </c:pt>
                <c:pt idx="7">
                  <c:v>6.1466588728169749E-2</c:v>
                </c:pt>
                <c:pt idx="8">
                  <c:v>6.8306225208207116E-2</c:v>
                </c:pt>
                <c:pt idx="9">
                  <c:v>6.5281650831415752E-2</c:v>
                </c:pt>
                <c:pt idx="10">
                  <c:v>6.1475059903434333E-2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3C2F-4858-8408-1B40A1BCFD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77586304"/>
        <c:axId val="277587840"/>
      </c:lineChart>
      <c:catAx>
        <c:axId val="277586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7587840"/>
        <c:crosses val="autoZero"/>
        <c:auto val="1"/>
        <c:lblAlgn val="ctr"/>
        <c:lblOffset val="100"/>
        <c:tickLblSkip val="2"/>
        <c:noMultiLvlLbl val="0"/>
      </c:catAx>
      <c:valAx>
        <c:axId val="277587840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solid"/>
            </a:ln>
          </c:spPr>
        </c:majorGridlines>
        <c:minorGridlines>
          <c:spPr>
            <a:ln>
              <a:prstDash val="dash"/>
            </a:ln>
          </c:spPr>
        </c:minorGridlines>
        <c:title>
          <c:tx>
            <c:rich>
              <a:bodyPr/>
              <a:lstStyle/>
              <a:p>
                <a:pPr>
                  <a:defRPr sz="800"/>
                </a:pPr>
                <a:r>
                  <a:rPr lang="cs-CZ" sz="800"/>
                  <a:t>b) % z celkových výdajů na VaV </a:t>
                </a:r>
              </a:p>
              <a:p>
                <a:pPr>
                  <a:defRPr sz="800"/>
                </a:pPr>
                <a:r>
                  <a:rPr lang="cs-CZ" sz="800"/>
                  <a:t>v dané skupině podniků</a:t>
                </a: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crossAx val="277586304"/>
        <c:crosses val="autoZero"/>
        <c:crossBetween val="between"/>
        <c:minorUnit val="2.5000000000000005E-2"/>
      </c:valAx>
      <c:spPr>
        <a:ln>
          <a:solidFill>
            <a:schemeClr val="bg1">
              <a:lumMod val="75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900" b="1"/>
              <a:t>a) Domácí podniky</a:t>
            </a:r>
          </a:p>
        </c:rich>
      </c:tx>
      <c:layout>
        <c:manualLayout>
          <c:xMode val="edge"/>
          <c:yMode val="edge"/>
          <c:x val="0.169468954248366"/>
          <c:y val="3.52046783625731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7.0957226237131313E-2"/>
          <c:y val="0.11229766081871345"/>
          <c:w val="0.41783888888888898"/>
          <c:h val="0.66928888888888893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'2021G5'!$A$45</c:f>
              <c:strCache>
                <c:ptCount val="1"/>
                <c:pt idx="0">
                  <c:v>domácí přímá - dotace ze SR ČR</c:v>
                </c:pt>
              </c:strCache>
            </c:strRef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'2021G5'!$B$43:$I$44</c:f>
              <c:multiLvlStrCache>
                <c:ptCount val="8"/>
                <c:lvl>
                  <c:pt idx="0">
                    <c:v>2015</c:v>
                  </c:pt>
                  <c:pt idx="1">
                    <c:v>2019</c:v>
                  </c:pt>
                  <c:pt idx="2">
                    <c:v>2015</c:v>
                  </c:pt>
                  <c:pt idx="3">
                    <c:v>2019</c:v>
                  </c:pt>
                  <c:pt idx="4">
                    <c:v>2015</c:v>
                  </c:pt>
                  <c:pt idx="5">
                    <c:v>2019</c:v>
                  </c:pt>
                  <c:pt idx="6">
                    <c:v>2015</c:v>
                  </c:pt>
                  <c:pt idx="7">
                    <c:v>2019</c:v>
                  </c:pt>
                </c:lvl>
                <c:lvl>
                  <c:pt idx="0">
                    <c:v>Celkem</c:v>
                  </c:pt>
                  <c:pt idx="2">
                    <c:v>malé</c:v>
                  </c:pt>
                  <c:pt idx="4">
                    <c:v>střední</c:v>
                  </c:pt>
                  <c:pt idx="6">
                    <c:v>velké</c:v>
                  </c:pt>
                </c:lvl>
              </c:multiLvlStrCache>
            </c:multiLvlStrRef>
          </c:cat>
          <c:val>
            <c:numRef>
              <c:f>'2021G5'!$B$45:$I$45</c:f>
              <c:numCache>
                <c:formatCode>#,##0</c:formatCode>
                <c:ptCount val="8"/>
                <c:pt idx="0">
                  <c:v>2524.5441700000006</c:v>
                </c:pt>
                <c:pt idx="1">
                  <c:v>3228.016000000001</c:v>
                </c:pt>
                <c:pt idx="2">
                  <c:v>688.22982000000013</c:v>
                </c:pt>
                <c:pt idx="3">
                  <c:v>1060.5800000000004</c:v>
                </c:pt>
                <c:pt idx="4">
                  <c:v>1379.1453500000005</c:v>
                </c:pt>
                <c:pt idx="5">
                  <c:v>1408.6030000000005</c:v>
                </c:pt>
                <c:pt idx="6">
                  <c:v>457.16899999999981</c:v>
                </c:pt>
                <c:pt idx="7">
                  <c:v>758.83300000000008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3A-48F0-9368-B76B7DE5026C}"/>
            </c:ext>
          </c:extLst>
        </c:ser>
        <c:ser>
          <c:idx val="1"/>
          <c:order val="1"/>
          <c:tx>
            <c:strRef>
              <c:f>'2021G5'!$A$46</c:f>
              <c:strCache>
                <c:ptCount val="1"/>
                <c:pt idx="0">
                  <c:v>domácí nepřímá - daňová podpora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'2021G5'!$B$43:$I$44</c:f>
              <c:multiLvlStrCache>
                <c:ptCount val="8"/>
                <c:lvl>
                  <c:pt idx="0">
                    <c:v>2015</c:v>
                  </c:pt>
                  <c:pt idx="1">
                    <c:v>2019</c:v>
                  </c:pt>
                  <c:pt idx="2">
                    <c:v>2015</c:v>
                  </c:pt>
                  <c:pt idx="3">
                    <c:v>2019</c:v>
                  </c:pt>
                  <c:pt idx="4">
                    <c:v>2015</c:v>
                  </c:pt>
                  <c:pt idx="5">
                    <c:v>2019</c:v>
                  </c:pt>
                  <c:pt idx="6">
                    <c:v>2015</c:v>
                  </c:pt>
                  <c:pt idx="7">
                    <c:v>2019</c:v>
                  </c:pt>
                </c:lvl>
                <c:lvl>
                  <c:pt idx="0">
                    <c:v>Celkem</c:v>
                  </c:pt>
                  <c:pt idx="2">
                    <c:v>malé</c:v>
                  </c:pt>
                  <c:pt idx="4">
                    <c:v>střední</c:v>
                  </c:pt>
                  <c:pt idx="6">
                    <c:v>velké</c:v>
                  </c:pt>
                </c:lvl>
              </c:multiLvlStrCache>
            </c:multiLvlStrRef>
          </c:cat>
          <c:val>
            <c:numRef>
              <c:f>'2021G5'!$B$46:$I$46</c:f>
              <c:numCache>
                <c:formatCode>#,##0</c:formatCode>
                <c:ptCount val="8"/>
                <c:pt idx="0">
                  <c:v>1048.7551841300001</c:v>
                </c:pt>
                <c:pt idx="1">
                  <c:v>908.76743804000012</c:v>
                </c:pt>
                <c:pt idx="2">
                  <c:v>176.28987341000007</c:v>
                </c:pt>
                <c:pt idx="3">
                  <c:v>179.00531237000004</c:v>
                </c:pt>
                <c:pt idx="4">
                  <c:v>389.82936709000023</c:v>
                </c:pt>
                <c:pt idx="5">
                  <c:v>317.22863809000029</c:v>
                </c:pt>
                <c:pt idx="6">
                  <c:v>482.63594362999987</c:v>
                </c:pt>
                <c:pt idx="7">
                  <c:v>412.53348757999981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3A-48F0-9368-B76B7DE5026C}"/>
            </c:ext>
          </c:extLst>
        </c:ser>
        <c:ser>
          <c:idx val="2"/>
          <c:order val="2"/>
          <c:tx>
            <c:strRef>
              <c:f>'2021G5'!$A$47</c:f>
              <c:strCache>
                <c:ptCount val="1"/>
                <c:pt idx="0">
                  <c:v>zahraniční přímá - zdroje EU</c:v>
                </c:pt>
              </c:strCache>
            </c:strRef>
          </c:tx>
          <c:spPr>
            <a:solidFill>
              <a:schemeClr val="accent5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'2021G5'!$B$43:$I$44</c:f>
              <c:multiLvlStrCache>
                <c:ptCount val="8"/>
                <c:lvl>
                  <c:pt idx="0">
                    <c:v>2015</c:v>
                  </c:pt>
                  <c:pt idx="1">
                    <c:v>2019</c:v>
                  </c:pt>
                  <c:pt idx="2">
                    <c:v>2015</c:v>
                  </c:pt>
                  <c:pt idx="3">
                    <c:v>2019</c:v>
                  </c:pt>
                  <c:pt idx="4">
                    <c:v>2015</c:v>
                  </c:pt>
                  <c:pt idx="5">
                    <c:v>2019</c:v>
                  </c:pt>
                  <c:pt idx="6">
                    <c:v>2015</c:v>
                  </c:pt>
                  <c:pt idx="7">
                    <c:v>2019</c:v>
                  </c:pt>
                </c:lvl>
                <c:lvl>
                  <c:pt idx="0">
                    <c:v>Celkem</c:v>
                  </c:pt>
                  <c:pt idx="2">
                    <c:v>malé</c:v>
                  </c:pt>
                  <c:pt idx="4">
                    <c:v>střední</c:v>
                  </c:pt>
                  <c:pt idx="6">
                    <c:v>velké</c:v>
                  </c:pt>
                </c:lvl>
              </c:multiLvlStrCache>
            </c:multiLvlStrRef>
          </c:cat>
          <c:val>
            <c:numRef>
              <c:f>'2021G5'!$B$47:$I$47</c:f>
              <c:numCache>
                <c:formatCode>#,##0</c:formatCode>
                <c:ptCount val="8"/>
                <c:pt idx="0">
                  <c:v>996.87684999999931</c:v>
                </c:pt>
                <c:pt idx="1">
                  <c:v>1289.3870239826958</c:v>
                </c:pt>
                <c:pt idx="2">
                  <c:v>348.56770999999986</c:v>
                </c:pt>
                <c:pt idx="3">
                  <c:v>501.60296928070636</c:v>
                </c:pt>
                <c:pt idx="4">
                  <c:v>554.06313999999952</c:v>
                </c:pt>
                <c:pt idx="5">
                  <c:v>547.25806420997901</c:v>
                </c:pt>
                <c:pt idx="6">
                  <c:v>94.245999999999995</c:v>
                </c:pt>
                <c:pt idx="7">
                  <c:v>240.52599049201052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03A-48F0-9368-B76B7DE502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855746704"/>
        <c:axId val="855744208"/>
      </c:barChart>
      <c:catAx>
        <c:axId val="855746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855744208"/>
        <c:crosses val="autoZero"/>
        <c:auto val="1"/>
        <c:lblAlgn val="ctr"/>
        <c:lblOffset val="100"/>
        <c:noMultiLvlLbl val="0"/>
      </c:catAx>
      <c:valAx>
        <c:axId val="855744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855746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6498439978107766E-2"/>
          <c:y val="0.91081578947368425"/>
          <c:w val="0.90120910685251099"/>
          <c:h val="6.1406432748538013E-2"/>
        </c:manualLayout>
      </c:layout>
      <c:overlay val="0"/>
      <c:spPr>
        <a:noFill/>
        <a:ln>
          <a:solidFill>
            <a:schemeClr val="bg1">
              <a:lumMod val="50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900" b="1"/>
              <a:t>a) Podniky</a:t>
            </a:r>
            <a:r>
              <a:rPr lang="cs-CZ" sz="900" b="1" baseline="0"/>
              <a:t> pod zahraniční kontrolou</a:t>
            </a:r>
            <a:endParaRPr lang="cs-CZ" sz="900" b="1"/>
          </a:p>
        </c:rich>
      </c:tx>
      <c:layout>
        <c:manualLayout>
          <c:xMode val="edge"/>
          <c:yMode val="edge"/>
          <c:x val="0.169468954248366"/>
          <c:y val="3.52046783625731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7.0957226237131313E-2"/>
          <c:y val="0.11229766081871345"/>
          <c:w val="0.86228346456692917"/>
          <c:h val="0.7546546315856858"/>
        </c:manualLayout>
      </c:layout>
      <c:barChart>
        <c:barDir val="col"/>
        <c:grouping val="percentStacked"/>
        <c:varyColors val="0"/>
        <c:ser>
          <c:idx val="1"/>
          <c:order val="1"/>
          <c:tx>
            <c:strRef>
              <c:f>'2021G5'!$A$51</c:f>
              <c:strCache>
                <c:ptCount val="1"/>
                <c:pt idx="0">
                  <c:v>domácí přímá  - dotace ze SR ČR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'2021G5'!$B$49:$I$50</c:f>
              <c:multiLvlStrCache>
                <c:ptCount val="8"/>
                <c:lvl>
                  <c:pt idx="0">
                    <c:v>2015</c:v>
                  </c:pt>
                  <c:pt idx="1">
                    <c:v>2019</c:v>
                  </c:pt>
                  <c:pt idx="2">
                    <c:v>2015</c:v>
                  </c:pt>
                  <c:pt idx="3">
                    <c:v>2019</c:v>
                  </c:pt>
                  <c:pt idx="4">
                    <c:v>2015</c:v>
                  </c:pt>
                  <c:pt idx="5">
                    <c:v>2019</c:v>
                  </c:pt>
                  <c:pt idx="6">
                    <c:v>2015</c:v>
                  </c:pt>
                  <c:pt idx="7">
                    <c:v>2019</c:v>
                  </c:pt>
                </c:lvl>
                <c:lvl>
                  <c:pt idx="0">
                    <c:v>Celkem</c:v>
                  </c:pt>
                  <c:pt idx="2">
                    <c:v>malé</c:v>
                  </c:pt>
                  <c:pt idx="4">
                    <c:v>střední</c:v>
                  </c:pt>
                  <c:pt idx="6">
                    <c:v>velké</c:v>
                  </c:pt>
                </c:lvl>
              </c:multiLvlStrCache>
            </c:multiLvlStrRef>
          </c:cat>
          <c:val>
            <c:numRef>
              <c:f>'2021G5'!$B$51:$I$51</c:f>
              <c:numCache>
                <c:formatCode>#,##0</c:formatCode>
                <c:ptCount val="8"/>
                <c:pt idx="0">
                  <c:v>630.95893999999998</c:v>
                </c:pt>
                <c:pt idx="1">
                  <c:v>516.08400000000006</c:v>
                </c:pt>
                <c:pt idx="2">
                  <c:v>56.08813</c:v>
                </c:pt>
                <c:pt idx="3">
                  <c:v>76.720000000000027</c:v>
                </c:pt>
                <c:pt idx="4">
                  <c:v>189.58286999999999</c:v>
                </c:pt>
                <c:pt idx="5">
                  <c:v>180.24099999999999</c:v>
                </c:pt>
                <c:pt idx="6">
                  <c:v>385.28794000000005</c:v>
                </c:pt>
                <c:pt idx="7">
                  <c:v>259.12299999999999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7C-440B-A5E7-07D7EA4302F3}"/>
            </c:ext>
          </c:extLst>
        </c:ser>
        <c:ser>
          <c:idx val="2"/>
          <c:order val="2"/>
          <c:tx>
            <c:strRef>
              <c:f>'2021G5'!$A$52</c:f>
              <c:strCache>
                <c:ptCount val="1"/>
                <c:pt idx="0">
                  <c:v>domácí nepřímá - daňová podpora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'2021G5'!$B$49:$I$50</c:f>
              <c:multiLvlStrCache>
                <c:ptCount val="8"/>
                <c:lvl>
                  <c:pt idx="0">
                    <c:v>2015</c:v>
                  </c:pt>
                  <c:pt idx="1">
                    <c:v>2019</c:v>
                  </c:pt>
                  <c:pt idx="2">
                    <c:v>2015</c:v>
                  </c:pt>
                  <c:pt idx="3">
                    <c:v>2019</c:v>
                  </c:pt>
                  <c:pt idx="4">
                    <c:v>2015</c:v>
                  </c:pt>
                  <c:pt idx="5">
                    <c:v>2019</c:v>
                  </c:pt>
                  <c:pt idx="6">
                    <c:v>2015</c:v>
                  </c:pt>
                  <c:pt idx="7">
                    <c:v>2019</c:v>
                  </c:pt>
                </c:lvl>
                <c:lvl>
                  <c:pt idx="0">
                    <c:v>Celkem</c:v>
                  </c:pt>
                  <c:pt idx="2">
                    <c:v>malé</c:v>
                  </c:pt>
                  <c:pt idx="4">
                    <c:v>střední</c:v>
                  </c:pt>
                  <c:pt idx="6">
                    <c:v>velké</c:v>
                  </c:pt>
                </c:lvl>
              </c:multiLvlStrCache>
            </c:multiLvlStrRef>
          </c:cat>
          <c:val>
            <c:numRef>
              <c:f>'2021G5'!$B$52:$I$52</c:f>
              <c:numCache>
                <c:formatCode>#,##0</c:formatCode>
                <c:ptCount val="8"/>
                <c:pt idx="0">
                  <c:v>1475.8314066099999</c:v>
                </c:pt>
                <c:pt idx="1">
                  <c:v>1819.2178567500009</c:v>
                </c:pt>
                <c:pt idx="2">
                  <c:v>37.518652290000006</c:v>
                </c:pt>
                <c:pt idx="3">
                  <c:v>25.273869160000004</c:v>
                </c:pt>
                <c:pt idx="4">
                  <c:v>176.81866127000006</c:v>
                </c:pt>
                <c:pt idx="5">
                  <c:v>121.48604123</c:v>
                </c:pt>
                <c:pt idx="6">
                  <c:v>1261.4940930499999</c:v>
                </c:pt>
                <c:pt idx="7">
                  <c:v>1672.457946360001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7C-440B-A5E7-07D7EA4302F3}"/>
            </c:ext>
          </c:extLst>
        </c:ser>
        <c:ser>
          <c:idx val="3"/>
          <c:order val="3"/>
          <c:tx>
            <c:strRef>
              <c:f>'2021G5'!$A$53</c:f>
              <c:strCache>
                <c:ptCount val="1"/>
                <c:pt idx="0">
                  <c:v>zahraniční přímá - zdroje EU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'2021G5'!$B$49:$I$50</c:f>
              <c:multiLvlStrCache>
                <c:ptCount val="8"/>
                <c:lvl>
                  <c:pt idx="0">
                    <c:v>2015</c:v>
                  </c:pt>
                  <c:pt idx="1">
                    <c:v>2019</c:v>
                  </c:pt>
                  <c:pt idx="2">
                    <c:v>2015</c:v>
                  </c:pt>
                  <c:pt idx="3">
                    <c:v>2019</c:v>
                  </c:pt>
                  <c:pt idx="4">
                    <c:v>2015</c:v>
                  </c:pt>
                  <c:pt idx="5">
                    <c:v>2019</c:v>
                  </c:pt>
                  <c:pt idx="6">
                    <c:v>2015</c:v>
                  </c:pt>
                  <c:pt idx="7">
                    <c:v>2019</c:v>
                  </c:pt>
                </c:lvl>
                <c:lvl>
                  <c:pt idx="0">
                    <c:v>Celkem</c:v>
                  </c:pt>
                  <c:pt idx="2">
                    <c:v>malé</c:v>
                  </c:pt>
                  <c:pt idx="4">
                    <c:v>střední</c:v>
                  </c:pt>
                  <c:pt idx="6">
                    <c:v>velké</c:v>
                  </c:pt>
                </c:lvl>
              </c:multiLvlStrCache>
            </c:multiLvlStrRef>
          </c:cat>
          <c:val>
            <c:numRef>
              <c:f>'2021G5'!$B$53:$I$53</c:f>
              <c:numCache>
                <c:formatCode>#,##0</c:formatCode>
                <c:ptCount val="8"/>
                <c:pt idx="0">
                  <c:v>550.62144000000001</c:v>
                </c:pt>
                <c:pt idx="1">
                  <c:v>408.33200921333662</c:v>
                </c:pt>
                <c:pt idx="2">
                  <c:v>13.686999999999999</c:v>
                </c:pt>
                <c:pt idx="3">
                  <c:v>43.725604831224203</c:v>
                </c:pt>
                <c:pt idx="4">
                  <c:v>135.19944000000001</c:v>
                </c:pt>
                <c:pt idx="5">
                  <c:v>47.700404382112396</c:v>
                </c:pt>
                <c:pt idx="6">
                  <c:v>401.73500000000001</c:v>
                </c:pt>
                <c:pt idx="7">
                  <c:v>316.90600000000001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67C-440B-A5E7-07D7EA4302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855746704"/>
        <c:axId val="85574420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'2021G5'!$A$50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5">
                      <a:shade val="58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ellipsis" wrap="square" anchor="ctr" anchorCtr="1"/>
                    <a:lstStyle/>
                    <a:p>
                      <a:pPr>
                        <a:defRPr sz="800" b="1" i="0" u="none" strike="noStrike" kern="1200" baseline="0">
                          <a:solidFill>
                            <a:schemeClr val="bg1"/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cs-CZ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>
                      <c:ext uri="{02D57815-91ED-43cb-92C2-25804820EDAC}">
                        <c15:formulaRef>
                          <c15:sqref>'2021G5'!$B$49:$I$50</c15:sqref>
                        </c15:formulaRef>
                      </c:ext>
                    </c:extLst>
                    <c:multiLvlStrCache>
                      <c:ptCount val="8"/>
                      <c:lvl>
                        <c:pt idx="0">
                          <c:v>2015</c:v>
                        </c:pt>
                        <c:pt idx="1">
                          <c:v>2019</c:v>
                        </c:pt>
                        <c:pt idx="2">
                          <c:v>2015</c:v>
                        </c:pt>
                        <c:pt idx="3">
                          <c:v>2019</c:v>
                        </c:pt>
                        <c:pt idx="4">
                          <c:v>2015</c:v>
                        </c:pt>
                        <c:pt idx="5">
                          <c:v>2019</c:v>
                        </c:pt>
                        <c:pt idx="6">
                          <c:v>2015</c:v>
                        </c:pt>
                        <c:pt idx="7">
                          <c:v>2019</c:v>
                        </c:pt>
                      </c:lvl>
                      <c:lvl>
                        <c:pt idx="0">
                          <c:v>Celkem</c:v>
                        </c:pt>
                        <c:pt idx="2">
                          <c:v>malé</c:v>
                        </c:pt>
                        <c:pt idx="4">
                          <c:v>střední</c:v>
                        </c:pt>
                        <c:pt idx="6">
                          <c:v>velké</c:v>
                        </c:pt>
                      </c:lvl>
                    </c:multiLvlStrCache>
                  </c:multiLvlStrRef>
                </c:cat>
                <c:val>
                  <c:numRef>
                    <c:extLst>
                      <c:ext uri="{02D57815-91ED-43cb-92C2-25804820EDAC}">
                        <c15:formulaRef>
                          <c15:sqref>'2021G5'!$B$50:$I$50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2015</c:v>
                      </c:pt>
                      <c:pt idx="1">
                        <c:v>2019</c:v>
                      </c:pt>
                      <c:pt idx="2">
                        <c:v>2015</c:v>
                      </c:pt>
                      <c:pt idx="3">
                        <c:v>2019</c:v>
                      </c:pt>
                      <c:pt idx="4">
                        <c:v>2015</c:v>
                      </c:pt>
                      <c:pt idx="5">
                        <c:v>2019</c:v>
                      </c:pt>
                      <c:pt idx="6">
                        <c:v>2015</c:v>
                      </c:pt>
                      <c:pt idx="7">
                        <c:v>2019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967C-440B-A5E7-07D7EA4302F3}"/>
                  </c:ext>
                </c:extLst>
              </c15:ser>
            </c15:filteredBarSeries>
          </c:ext>
        </c:extLst>
      </c:barChart>
      <c:catAx>
        <c:axId val="855746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855744208"/>
        <c:crosses val="autoZero"/>
        <c:auto val="1"/>
        <c:lblAlgn val="ctr"/>
        <c:lblOffset val="100"/>
        <c:noMultiLvlLbl val="0"/>
      </c:catAx>
      <c:valAx>
        <c:axId val="855744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855746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322537692395797E-2"/>
          <c:y val="5.5436507936507937E-2"/>
          <c:w val="0.69712709057049294"/>
          <c:h val="0.84245119047619044"/>
        </c:manualLayout>
      </c:layout>
      <c:lineChart>
        <c:grouping val="standard"/>
        <c:varyColors val="0"/>
        <c:ser>
          <c:idx val="0"/>
          <c:order val="0"/>
          <c:tx>
            <c:strRef>
              <c:f>'2021G6'!$A$30</c:f>
              <c:strCache>
                <c:ptCount val="1"/>
                <c:pt idx="0">
                  <c:v> CELKEM</c:v>
                </c:pt>
              </c:strCache>
            </c:strRef>
          </c:tx>
          <c:spPr>
            <a:ln>
              <a:solidFill>
                <a:schemeClr val="accent5">
                  <a:lumMod val="50000"/>
                </a:schemeClr>
              </a:solidFill>
            </a:ln>
          </c:spPr>
          <c:marker>
            <c:symbol val="circle"/>
            <c:size val="5"/>
            <c:spPr>
              <a:solidFill>
                <a:schemeClr val="bg1"/>
              </a:solidFill>
              <a:ln>
                <a:solidFill>
                  <a:schemeClr val="accent5">
                    <a:lumMod val="50000"/>
                  </a:schemeClr>
                </a:solidFill>
              </a:ln>
            </c:spPr>
          </c:marker>
          <c:dLbls>
            <c:spPr>
              <a:solidFill>
                <a:schemeClr val="accent5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'2021G6'!$B$29:$N$29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  <c:extLst/>
            </c:numRef>
          </c:cat>
          <c:val>
            <c:numRef>
              <c:f>'2021G6'!$B$30:$N$30</c:f>
              <c:numCache>
                <c:formatCode>0.00%</c:formatCode>
                <c:ptCount val="11"/>
                <c:pt idx="0">
                  <c:v>4.3624918028909755E-3</c:v>
                </c:pt>
                <c:pt idx="1">
                  <c:v>4.8397095651774311E-3</c:v>
                </c:pt>
                <c:pt idx="2">
                  <c:v>6.6222137021918169E-3</c:v>
                </c:pt>
                <c:pt idx="3">
                  <c:v>7.2138751738835428E-3</c:v>
                </c:pt>
                <c:pt idx="4">
                  <c:v>6.7819205433507163E-3</c:v>
                </c:pt>
                <c:pt idx="5">
                  <c:v>6.2961173441877637E-3</c:v>
                </c:pt>
                <c:pt idx="6">
                  <c:v>5.5711682474177534E-3</c:v>
                </c:pt>
                <c:pt idx="7">
                  <c:v>4.3212027035797141E-3</c:v>
                </c:pt>
                <c:pt idx="8">
                  <c:v>5.0792002943856277E-3</c:v>
                </c:pt>
                <c:pt idx="9">
                  <c:v>5.4449604263673715E-3</c:v>
                </c:pt>
                <c:pt idx="10">
                  <c:v>5.2649372484430421E-3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E462-4A5E-BD74-A70226711AA2}"/>
            </c:ext>
          </c:extLst>
        </c:ser>
        <c:ser>
          <c:idx val="1"/>
          <c:order val="1"/>
          <c:tx>
            <c:strRef>
              <c:f>'2021G6'!$A$31</c:f>
              <c:strCache>
                <c:ptCount val="1"/>
                <c:pt idx="0">
                  <c:v> domácí přímá 
 - dotace ze SR ČR</c:v>
                </c:pt>
              </c:strCache>
            </c:strRef>
          </c:tx>
          <c:cat>
            <c:numRef>
              <c:f>'2021G6'!$B$29:$N$29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  <c:extLst/>
            </c:numRef>
          </c:cat>
          <c:val>
            <c:numRef>
              <c:f>'2021G6'!$B$31:$N$31</c:f>
              <c:numCache>
                <c:formatCode>0.00%</c:formatCode>
                <c:ptCount val="11"/>
                <c:pt idx="0">
                  <c:v>3.1615667317047187E-3</c:v>
                </c:pt>
                <c:pt idx="1">
                  <c:v>3.1098750839003465E-3</c:v>
                </c:pt>
                <c:pt idx="2">
                  <c:v>3.968412538997595E-3</c:v>
                </c:pt>
                <c:pt idx="3">
                  <c:v>3.9588565274748201E-3</c:v>
                </c:pt>
                <c:pt idx="4">
                  <c:v>3.3701182535161803E-3</c:v>
                </c:pt>
                <c:pt idx="5">
                  <c:v>3.1182457299799029E-3</c:v>
                </c:pt>
                <c:pt idx="6">
                  <c:v>2.4323244149477359E-3</c:v>
                </c:pt>
                <c:pt idx="7">
                  <c:v>2.0158004011656887E-3</c:v>
                </c:pt>
                <c:pt idx="8">
                  <c:v>2.3752601620716726E-3</c:v>
                </c:pt>
                <c:pt idx="9">
                  <c:v>2.5306824869441181E-3</c:v>
                </c:pt>
                <c:pt idx="10">
                  <c:v>2.4128425554048771E-3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E462-4A5E-BD74-A70226711AA2}"/>
            </c:ext>
          </c:extLst>
        </c:ser>
        <c:ser>
          <c:idx val="2"/>
          <c:order val="2"/>
          <c:tx>
            <c:strRef>
              <c:f>'2021G6'!$A$32</c:f>
              <c:strCache>
                <c:ptCount val="1"/>
                <c:pt idx="0">
                  <c:v> domácí nepřímá
 - daňová podpora</c:v>
                </c:pt>
              </c:strCache>
            </c:strRef>
          </c:tx>
          <c:cat>
            <c:numRef>
              <c:f>'2021G6'!$B$29:$N$29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  <c:extLst/>
            </c:numRef>
          </c:cat>
          <c:val>
            <c:numRef>
              <c:f>'2021G6'!$B$32:$N$32</c:f>
              <c:numCache>
                <c:formatCode>0.00%</c:formatCode>
                <c:ptCount val="11"/>
                <c:pt idx="0">
                  <c:v>8.9906599383552321E-4</c:v>
                </c:pt>
                <c:pt idx="1">
                  <c:v>1.1383670585651119E-3</c:v>
                </c:pt>
                <c:pt idx="2">
                  <c:v>1.5892558547778062E-3</c:v>
                </c:pt>
                <c:pt idx="3">
                  <c:v>1.7204925930619749E-3</c:v>
                </c:pt>
                <c:pt idx="4">
                  <c:v>1.9580644647109366E-3</c:v>
                </c:pt>
                <c:pt idx="5">
                  <c:v>1.8680273333973793E-3</c:v>
                </c:pt>
                <c:pt idx="6">
                  <c:v>1.9460014420035151E-3</c:v>
                </c:pt>
                <c:pt idx="7">
                  <c:v>1.9547177402658689E-3</c:v>
                </c:pt>
                <c:pt idx="8">
                  <c:v>1.9657913195654983E-3</c:v>
                </c:pt>
                <c:pt idx="9">
                  <c:v>1.8437646691309567E-3</c:v>
                </c:pt>
                <c:pt idx="10">
                  <c:v>1.7580190192003492E-3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E462-4A5E-BD74-A70226711AA2}"/>
            </c:ext>
          </c:extLst>
        </c:ser>
        <c:ser>
          <c:idx val="3"/>
          <c:order val="3"/>
          <c:tx>
            <c:strRef>
              <c:f>'2021G6'!$A$33</c:f>
              <c:strCache>
                <c:ptCount val="1"/>
                <c:pt idx="0">
                  <c:v> zahraniční přímá 
 - zdroje EU</c:v>
                </c:pt>
              </c:strCache>
            </c:strRef>
          </c:tx>
          <c:cat>
            <c:numRef>
              <c:f>'2021G6'!$B$29:$N$29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  <c:extLst/>
            </c:numRef>
          </c:cat>
          <c:val>
            <c:numRef>
              <c:f>'2021G6'!$B$33:$N$33</c:f>
              <c:numCache>
                <c:formatCode>0.00%</c:formatCode>
                <c:ptCount val="11"/>
                <c:pt idx="0">
                  <c:v>3.0185907735073186E-4</c:v>
                </c:pt>
                <c:pt idx="1">
                  <c:v>5.9146742271195814E-4</c:v>
                </c:pt>
                <c:pt idx="2">
                  <c:v>1.0645453084164086E-3</c:v>
                </c:pt>
                <c:pt idx="3">
                  <c:v>1.5345260533467526E-3</c:v>
                </c:pt>
                <c:pt idx="4">
                  <c:v>1.4537378251235963E-3</c:v>
                </c:pt>
                <c:pt idx="5">
                  <c:v>1.3098442808105039E-3</c:v>
                </c:pt>
                <c:pt idx="6">
                  <c:v>1.1928423904664994E-3</c:v>
                </c:pt>
                <c:pt idx="7">
                  <c:v>3.5068456214836766E-4</c:v>
                </c:pt>
                <c:pt idx="8">
                  <c:v>7.3814881274846618E-4</c:v>
                </c:pt>
                <c:pt idx="9">
                  <c:v>1.0705132702922974E-3</c:v>
                </c:pt>
                <c:pt idx="10">
                  <c:v>1.0940756738378277E-3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3-E462-4A5E-BD74-A70226711A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586304"/>
        <c:axId val="277587840"/>
      </c:lineChart>
      <c:catAx>
        <c:axId val="277586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7587840"/>
        <c:crosses val="autoZero"/>
        <c:auto val="1"/>
        <c:lblAlgn val="ctr"/>
        <c:lblOffset val="100"/>
        <c:noMultiLvlLbl val="0"/>
      </c:catAx>
      <c:valAx>
        <c:axId val="277587840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solid"/>
            </a:ln>
          </c:spPr>
        </c:majorGridlines>
        <c:minorGridlines>
          <c:spPr>
            <a:ln>
              <a:prstDash val="dash"/>
            </a:ln>
          </c:spPr>
        </c:minorGridlines>
        <c:numFmt formatCode="0.0%" sourceLinked="0"/>
        <c:majorTickMark val="out"/>
        <c:minorTickMark val="none"/>
        <c:tickLblPos val="nextTo"/>
        <c:crossAx val="277586304"/>
        <c:crosses val="autoZero"/>
        <c:crossBetween val="between"/>
        <c:majorUnit val="2.0000000000000005E-3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322537692395797E-2"/>
          <c:y val="5.5436507936507937E-2"/>
          <c:w val="0.70348319560938277"/>
          <c:h val="0.84245119047619044"/>
        </c:manualLayout>
      </c:layout>
      <c:lineChart>
        <c:grouping val="standard"/>
        <c:varyColors val="0"/>
        <c:ser>
          <c:idx val="0"/>
          <c:order val="0"/>
          <c:tx>
            <c:strRef>
              <c:f>'2021G7'!$A$30</c:f>
              <c:strCache>
                <c:ptCount val="1"/>
                <c:pt idx="0">
                  <c:v> CELKEM</c:v>
                </c:pt>
              </c:strCache>
            </c:strRef>
          </c:tx>
          <c:spPr>
            <a:ln>
              <a:solidFill>
                <a:schemeClr val="accent5">
                  <a:lumMod val="50000"/>
                </a:schemeClr>
              </a:solidFill>
            </a:ln>
          </c:spPr>
          <c:marker>
            <c:symbol val="circle"/>
            <c:size val="5"/>
            <c:spPr>
              <a:solidFill>
                <a:schemeClr val="bg1"/>
              </a:solidFill>
              <a:ln>
                <a:solidFill>
                  <a:schemeClr val="accent5">
                    <a:lumMod val="50000"/>
                  </a:schemeClr>
                </a:solidFill>
              </a:ln>
            </c:spPr>
          </c:marker>
          <c:dLbls>
            <c:spPr>
              <a:solidFill>
                <a:schemeClr val="accent5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'2021G7'!$B$29:$N$29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  <c:extLst/>
            </c:numRef>
          </c:cat>
          <c:val>
            <c:numRef>
              <c:f>'2021G7'!$B$30:$N$30</c:f>
              <c:numCache>
                <c:formatCode>0.00%</c:formatCode>
                <c:ptCount val="11"/>
                <c:pt idx="0">
                  <c:v>1.2874697031095093E-3</c:v>
                </c:pt>
                <c:pt idx="1">
                  <c:v>1.4021354275521158E-3</c:v>
                </c:pt>
                <c:pt idx="2">
                  <c:v>1.8836861239788197E-3</c:v>
                </c:pt>
                <c:pt idx="3">
                  <c:v>2.033101627721507E-3</c:v>
                </c:pt>
                <c:pt idx="4">
                  <c:v>1.9204495891268038E-3</c:v>
                </c:pt>
                <c:pt idx="5">
                  <c:v>1.7553699641144923E-3</c:v>
                </c:pt>
                <c:pt idx="6">
                  <c:v>1.562594017340853E-3</c:v>
                </c:pt>
                <c:pt idx="7">
                  <c:v>1.0988806894685567E-3</c:v>
                </c:pt>
                <c:pt idx="8">
                  <c:v>1.2718969576261364E-3</c:v>
                </c:pt>
                <c:pt idx="9">
                  <c:v>1.4103494457087409E-3</c:v>
                </c:pt>
                <c:pt idx="10">
                  <c:v>1.4211647512060218E-3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EA36-410D-8C61-1D3C95DA69AB}"/>
            </c:ext>
          </c:extLst>
        </c:ser>
        <c:ser>
          <c:idx val="1"/>
          <c:order val="1"/>
          <c:tx>
            <c:strRef>
              <c:f>'2021G7'!$A$31</c:f>
              <c:strCache>
                <c:ptCount val="1"/>
                <c:pt idx="0">
                  <c:v> domácí přímá 
 - dotace ze SR ČR</c:v>
                </c:pt>
              </c:strCache>
            </c:strRef>
          </c:tx>
          <c:cat>
            <c:numRef>
              <c:f>'2021G7'!$B$29:$N$29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  <c:extLst/>
            </c:numRef>
          </c:cat>
          <c:val>
            <c:numRef>
              <c:f>'2021G7'!$B$31:$N$31</c:f>
              <c:numCache>
                <c:formatCode>0.00%</c:formatCode>
                <c:ptCount val="11"/>
                <c:pt idx="0">
                  <c:v>9.3304963432397792E-4</c:v>
                </c:pt>
                <c:pt idx="1">
                  <c:v>9.0097679864358188E-4</c:v>
                </c:pt>
                <c:pt idx="2">
                  <c:v>1.1288134104550528E-3</c:v>
                </c:pt>
                <c:pt idx="3">
                  <c:v>1.1157328697707384E-3</c:v>
                </c:pt>
                <c:pt idx="4">
                  <c:v>9.5432291987252111E-4</c:v>
                </c:pt>
                <c:pt idx="5">
                  <c:v>8.6937307485032689E-4</c:v>
                </c:pt>
                <c:pt idx="6">
                  <c:v>6.8221518543997849E-4</c:v>
                </c:pt>
                <c:pt idx="7">
                  <c:v>5.126175017961831E-4</c:v>
                </c:pt>
                <c:pt idx="8">
                  <c:v>5.9479563683458763E-4</c:v>
                </c:pt>
                <c:pt idx="9">
                  <c:v>6.5549542388641867E-4</c:v>
                </c:pt>
                <c:pt idx="10">
                  <c:v>6.5129870084687503E-4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EA36-410D-8C61-1D3C95DA69AB}"/>
            </c:ext>
          </c:extLst>
        </c:ser>
        <c:ser>
          <c:idx val="2"/>
          <c:order val="2"/>
          <c:tx>
            <c:strRef>
              <c:f>'2021G7'!$A$32</c:f>
              <c:strCache>
                <c:ptCount val="1"/>
                <c:pt idx="0">
                  <c:v> domácí nepřímá
 - daňová podpora</c:v>
                </c:pt>
              </c:strCache>
            </c:strRef>
          </c:tx>
          <c:cat>
            <c:numRef>
              <c:f>'2021G7'!$B$29:$N$29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  <c:extLst/>
            </c:numRef>
          </c:cat>
          <c:val>
            <c:numRef>
              <c:f>'2021G7'!$B$32:$N$32</c:f>
              <c:numCache>
                <c:formatCode>0.00%</c:formatCode>
                <c:ptCount val="11"/>
                <c:pt idx="0">
                  <c:v>2.6533464828339641E-4</c:v>
                </c:pt>
                <c:pt idx="1">
                  <c:v>3.2980177030807433E-4</c:v>
                </c:pt>
                <c:pt idx="2">
                  <c:v>4.5206321265443486E-4</c:v>
                </c:pt>
                <c:pt idx="3">
                  <c:v>4.8489004967825167E-4</c:v>
                </c:pt>
                <c:pt idx="4">
                  <c:v>5.5446891079028262E-4</c:v>
                </c:pt>
                <c:pt idx="5">
                  <c:v>5.2080971397677615E-4</c:v>
                </c:pt>
                <c:pt idx="6">
                  <c:v>5.4581195109675365E-4</c:v>
                </c:pt>
                <c:pt idx="7">
                  <c:v>4.9708419749908009E-4</c:v>
                </c:pt>
                <c:pt idx="8">
                  <c:v>4.9225938214071858E-4</c:v>
                </c:pt>
                <c:pt idx="9">
                  <c:v>4.7757050106992998E-4</c:v>
                </c:pt>
                <c:pt idx="10">
                  <c:v>4.7454215390243458E-4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EA36-410D-8C61-1D3C95DA69AB}"/>
            </c:ext>
          </c:extLst>
        </c:ser>
        <c:ser>
          <c:idx val="3"/>
          <c:order val="3"/>
          <c:tx>
            <c:strRef>
              <c:f>'2021G7'!$A$33</c:f>
              <c:strCache>
                <c:ptCount val="1"/>
                <c:pt idx="0">
                  <c:v> zahraniční přímá 
 - zdroje EU</c:v>
                </c:pt>
              </c:strCache>
            </c:strRef>
          </c:tx>
          <c:cat>
            <c:numRef>
              <c:f>'2021G7'!$B$29:$N$29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  <c:extLst/>
            </c:numRef>
          </c:cat>
          <c:val>
            <c:numRef>
              <c:f>'2021G7'!$B$33:$N$33</c:f>
              <c:numCache>
                <c:formatCode>0.00%</c:formatCode>
                <c:ptCount val="11"/>
                <c:pt idx="0">
                  <c:v>8.9085420502134434E-5</c:v>
                </c:pt>
                <c:pt idx="1">
                  <c:v>1.7135685860045517E-4</c:v>
                </c:pt>
                <c:pt idx="2">
                  <c:v>3.0280950086932992E-4</c:v>
                </c:pt>
                <c:pt idx="3">
                  <c:v>4.3247870827251825E-4</c:v>
                </c:pt>
                <c:pt idx="4">
                  <c:v>4.1165775846399929E-4</c:v>
                </c:pt>
                <c:pt idx="5">
                  <c:v>3.6518717528739533E-4</c:v>
                </c:pt>
                <c:pt idx="6">
                  <c:v>3.3456688080411997E-4</c:v>
                </c:pt>
                <c:pt idx="7">
                  <c:v>8.9178990173347319E-5</c:v>
                </c:pt>
                <c:pt idx="8">
                  <c:v>1.8484193865083253E-4</c:v>
                </c:pt>
                <c:pt idx="9">
                  <c:v>2.7728352075239256E-4</c:v>
                </c:pt>
                <c:pt idx="10">
                  <c:v>2.9532389645671534E-4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3-EA36-410D-8C61-1D3C95DA69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586304"/>
        <c:axId val="277587840"/>
      </c:lineChart>
      <c:catAx>
        <c:axId val="277586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7587840"/>
        <c:crosses val="autoZero"/>
        <c:auto val="1"/>
        <c:lblAlgn val="ctr"/>
        <c:lblOffset val="100"/>
        <c:noMultiLvlLbl val="0"/>
      </c:catAx>
      <c:valAx>
        <c:axId val="277587840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solid"/>
            </a:ln>
          </c:spPr>
        </c:majorGridlines>
        <c:minorGridlines>
          <c:spPr>
            <a:ln>
              <a:prstDash val="dash"/>
            </a:ln>
          </c:spPr>
        </c:minorGridlines>
        <c:numFmt formatCode="0.00%" sourceLinked="0"/>
        <c:majorTickMark val="out"/>
        <c:minorTickMark val="none"/>
        <c:tickLblPos val="nextTo"/>
        <c:crossAx val="277586304"/>
        <c:crosses val="autoZero"/>
        <c:crossBetween val="between"/>
        <c:minorUnit val="2.5000000000000011E-4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18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19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3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4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5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6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7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107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107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81BDA-B46D-4B10-9B8A-09FF81CE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284</TotalTime>
  <Pages>18</Pages>
  <Words>5402</Words>
  <Characters>31876</Characters>
  <Application>Microsoft Office Word</Application>
  <DocSecurity>0</DocSecurity>
  <Lines>265</Lines>
  <Paragraphs>74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Václav Sojka</dc:creator>
  <cp:lastModifiedBy>sojka7725</cp:lastModifiedBy>
  <cp:revision>36</cp:revision>
  <cp:lastPrinted>2021-04-12T15:48:00Z</cp:lastPrinted>
  <dcterms:created xsi:type="dcterms:W3CDTF">2021-04-12T11:08:00Z</dcterms:created>
  <dcterms:modified xsi:type="dcterms:W3CDTF">2021-04-12T15:51:00Z</dcterms:modified>
</cp:coreProperties>
</file>