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3.xml" ContentType="application/vnd.openxmlformats-officedocument.themeOverride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4.xml" ContentType="application/vnd.openxmlformats-officedocument.themeOverrid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5.xml" ContentType="application/vnd.openxmlformats-officedocument.themeOverride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6.xml" ContentType="application/vnd.openxmlformats-officedocument.themeOverride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7.xml" ContentType="application/vnd.openxmlformats-officedocument.themeOverride+xml"/>
  <Override PartName="/word/charts/chart10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1.xml" ContentType="application/vnd.openxmlformats-officedocument.drawingml.chart+xml"/>
  <Override PartName="/word/theme/themeOverride8.xml" ContentType="application/vnd.openxmlformats-officedocument.themeOverride+xml"/>
  <Override PartName="/word/charts/chart12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9.xml" ContentType="application/vnd.openxmlformats-officedocument.themeOverride+xml"/>
  <Override PartName="/word/charts/chart13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0.xml" ContentType="application/vnd.openxmlformats-officedocument.themeOverride+xml"/>
  <Override PartName="/word/charts/chart14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1.xml" ContentType="application/vnd.openxmlformats-officedocument.themeOverride+xml"/>
  <Override PartName="/word/charts/chart15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2.xml" ContentType="application/vnd.openxmlformats-officedocument.themeOverride+xml"/>
  <Override PartName="/word/charts/chart16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3.xml" ContentType="application/vnd.openxmlformats-officedocument.themeOverride+xml"/>
  <Override PartName="/word/charts/chart17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8.xml" ContentType="application/vnd.openxmlformats-officedocument.drawingml.chart+xml"/>
  <Override PartName="/word/theme/themeOverride14.xml" ContentType="application/vnd.openxmlformats-officedocument.themeOverride+xml"/>
  <Override PartName="/word/charts/chart19.xml" ContentType="application/vnd.openxmlformats-officedocument.drawingml.chart+xml"/>
  <Override PartName="/word/theme/themeOverride15.xml" ContentType="application/vnd.openxmlformats-officedocument.themeOverride+xml"/>
  <Override PartName="/word/charts/chart20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22EED7" w14:textId="77777777" w:rsidR="00EE4B1B" w:rsidRDefault="009C472C" w:rsidP="00100F5C">
      <w:pPr>
        <w:pStyle w:val="Nadpis1"/>
      </w:pPr>
      <w:r>
        <w:t>2. Výdaje zdravotních pojišťoven</w:t>
      </w:r>
    </w:p>
    <w:p w14:paraId="3C317391" w14:textId="5E4CDE3B" w:rsidR="009C472C" w:rsidRDefault="009C472C" w:rsidP="00321E64">
      <w:pPr>
        <w:keepNext/>
        <w:spacing w:before="0"/>
      </w:pPr>
      <w:r w:rsidRPr="003268C5">
        <w:t>V České republice mají zdravotní pojišťovny klíčové postavení z hlediska financování zdravotní péče</w:t>
      </w:r>
      <w:r>
        <w:t xml:space="preserve">. Příjmy zdravotních pojišťoven </w:t>
      </w:r>
      <w:r w:rsidRPr="003268C5">
        <w:t>plynou z veřejného zdravotního pojištění, kterého j</w:t>
      </w:r>
      <w:r w:rsidR="00267CE9">
        <w:t>e povinně účastna každá osoba s </w:t>
      </w:r>
      <w:r w:rsidRPr="003268C5">
        <w:t xml:space="preserve">trvalým pobytem na našem území. V případě zaměstnaneckého poměru odvádí zaměstnavatel na zdravotní pojištění 13,5 % z vyměřovacího základu, z toho 1/3 hradí zaměstnanec a 2/3 zaměstnavatel. </w:t>
      </w:r>
      <w:r>
        <w:t>Z</w:t>
      </w:r>
      <w:r w:rsidRPr="003268C5">
        <w:t>a nevýdělečně činné skupiny obyvatelstva (děti</w:t>
      </w:r>
      <w:r>
        <w:t xml:space="preserve">, </w:t>
      </w:r>
      <w:r w:rsidRPr="003268C5">
        <w:t>studenty do 26 let, osoby na mateřské a rodičovské dovolené, osoby, které pobírají některý z důchodů, uchazeče o zaměstnání, pokud jsou v evidenci úřadu práce atd</w:t>
      </w:r>
      <w:r>
        <w:t xml:space="preserve">.) </w:t>
      </w:r>
      <w:r w:rsidRPr="003268C5">
        <w:t>je plátcem tohoto pojištění stát</w:t>
      </w:r>
      <w:r>
        <w:t xml:space="preserve">. V roce 2019 došlo k meziročnímu navýšení těchto plateb </w:t>
      </w:r>
      <w:r w:rsidRPr="003268C5">
        <w:t xml:space="preserve">o 49 Kč na </w:t>
      </w:r>
      <w:r w:rsidR="00267CE9">
        <w:t>jednu takovou osobu na </w:t>
      </w:r>
      <w:r w:rsidRPr="003268C5">
        <w:t>1</w:t>
      </w:r>
      <w:r>
        <w:t> </w:t>
      </w:r>
      <w:r w:rsidRPr="003268C5">
        <w:t xml:space="preserve">018 Kč za měsíc. </w:t>
      </w:r>
    </w:p>
    <w:p w14:paraId="502B43C3" w14:textId="77777777" w:rsidR="009C472C" w:rsidRPr="00425420" w:rsidRDefault="009C472C" w:rsidP="00321E64">
      <w:pPr>
        <w:spacing w:before="0"/>
        <w:rPr>
          <w:szCs w:val="17"/>
        </w:rPr>
      </w:pPr>
      <w:r w:rsidRPr="00425420">
        <w:rPr>
          <w:szCs w:val="17"/>
        </w:rPr>
        <w:t>Všechny zdroje dat potřebné k sestavení zdravotnických účtů nepřinášejí údaje</w:t>
      </w:r>
      <w:r>
        <w:rPr>
          <w:szCs w:val="17"/>
        </w:rPr>
        <w:t xml:space="preserve"> na stejné úrovni podrobnosti.</w:t>
      </w:r>
      <w:r w:rsidRPr="00425420">
        <w:rPr>
          <w:szCs w:val="17"/>
        </w:rPr>
        <w:t xml:space="preserve"> </w:t>
      </w:r>
      <w:r>
        <w:rPr>
          <w:szCs w:val="17"/>
        </w:rPr>
        <w:t>Ze všech datových zdrojů umožňují nejkomplexnější a nejdetailnější pohled na financování zdravotní péče údaje</w:t>
      </w:r>
      <w:r w:rsidRPr="00425420">
        <w:rPr>
          <w:szCs w:val="17"/>
        </w:rPr>
        <w:t xml:space="preserve"> </w:t>
      </w:r>
      <w:r w:rsidRPr="00425420">
        <w:rPr>
          <w:b/>
          <w:szCs w:val="17"/>
        </w:rPr>
        <w:t>zdravotní</w:t>
      </w:r>
      <w:r>
        <w:rPr>
          <w:b/>
          <w:szCs w:val="17"/>
        </w:rPr>
        <w:t>ch</w:t>
      </w:r>
      <w:r w:rsidRPr="00425420">
        <w:rPr>
          <w:b/>
          <w:szCs w:val="17"/>
        </w:rPr>
        <w:t xml:space="preserve"> pojišťov</w:t>
      </w:r>
      <w:r>
        <w:rPr>
          <w:b/>
          <w:szCs w:val="17"/>
        </w:rPr>
        <w:t>e</w:t>
      </w:r>
      <w:r w:rsidRPr="00425420">
        <w:rPr>
          <w:b/>
          <w:szCs w:val="17"/>
        </w:rPr>
        <w:t>n</w:t>
      </w:r>
      <w:r w:rsidRPr="00425420">
        <w:rPr>
          <w:szCs w:val="17"/>
        </w:rPr>
        <w:t xml:space="preserve">, které pokrývají zhruba dvě třetiny veškerých zdravotnických výdajů. </w:t>
      </w:r>
    </w:p>
    <w:p w14:paraId="26D371A0" w14:textId="77777777" w:rsidR="009C472C" w:rsidRPr="00425420" w:rsidRDefault="009C472C" w:rsidP="00321E64">
      <w:pPr>
        <w:keepNext/>
        <w:spacing w:before="0"/>
        <w:rPr>
          <w:rFonts w:cs="Arial"/>
        </w:rPr>
      </w:pPr>
      <w:bookmarkStart w:id="0" w:name="_3.1_Výdaje_zdravotních"/>
      <w:bookmarkEnd w:id="0"/>
      <w:r w:rsidRPr="00425420">
        <w:t xml:space="preserve">Následující kapitola podává jak ucelenou informaci </w:t>
      </w:r>
      <w:r w:rsidRPr="00425420">
        <w:rPr>
          <w:b/>
        </w:rPr>
        <w:t xml:space="preserve">o celkových výdajích </w:t>
      </w:r>
      <w:r w:rsidRPr="00425420">
        <w:t xml:space="preserve">zdravotních pojišťoven na zdravotní péči, tak i podrobné informace o </w:t>
      </w:r>
      <w:r w:rsidRPr="00425420">
        <w:rPr>
          <w:b/>
        </w:rPr>
        <w:t>výdajích na jednotlivé skupiny diagnóz</w:t>
      </w:r>
      <w:r w:rsidRPr="00425420">
        <w:t xml:space="preserve"> podle Mezinárodní statistické klasifikace nemocí a přidružených zdravotních problémů (dále také „MKN-10“) a nechybí ani průměrné vý</w:t>
      </w:r>
      <w:r w:rsidRPr="00425420">
        <w:rPr>
          <w:bCs/>
        </w:rPr>
        <w:t xml:space="preserve">daje zdravotních pojišťoven na zdravotní péči </w:t>
      </w:r>
      <w:r w:rsidRPr="00425420">
        <w:rPr>
          <w:b/>
          <w:bCs/>
        </w:rPr>
        <w:t>na 1 pojištěnce podle pohlaví, věku a diagnóz</w:t>
      </w:r>
      <w:r w:rsidRPr="00425420">
        <w:rPr>
          <w:rFonts w:cs="Arial"/>
          <w:bCs/>
        </w:rPr>
        <w:t xml:space="preserve">. </w:t>
      </w:r>
    </w:p>
    <w:p w14:paraId="18BABC2D" w14:textId="77777777" w:rsidR="009C472C" w:rsidRDefault="009C472C" w:rsidP="009C472C">
      <w:pPr>
        <w:pStyle w:val="Nadpis3"/>
      </w:pPr>
      <w:r>
        <w:t xml:space="preserve">2.1. </w:t>
      </w:r>
      <w:r w:rsidRPr="00425420">
        <w:t>Celkové výdaje zdravotních pojišťoven</w:t>
      </w:r>
      <w:r>
        <w:t xml:space="preserve"> – základní údaje</w:t>
      </w:r>
    </w:p>
    <w:p w14:paraId="4ED1D4E7" w14:textId="65B42CAE" w:rsidR="009C472C" w:rsidRDefault="009C472C" w:rsidP="00321E64">
      <w:pPr>
        <w:keepNext/>
        <w:spacing w:before="0"/>
      </w:pPr>
      <w:r>
        <w:rPr>
          <w:bCs/>
          <w:color w:val="000000" w:themeColor="text1"/>
        </w:rPr>
        <w:t>T</w:t>
      </w:r>
      <w:r w:rsidRPr="00C65786">
        <w:rPr>
          <w:bCs/>
          <w:color w:val="000000" w:themeColor="text1"/>
        </w:rPr>
        <w:t>řetí rok v řadě byl v Česku zaznamenán výrazný nárůst výdajů na zdravotní péči</w:t>
      </w:r>
      <w:r>
        <w:rPr>
          <w:bCs/>
          <w:color w:val="000000" w:themeColor="text1"/>
        </w:rPr>
        <w:t xml:space="preserve">, která byla </w:t>
      </w:r>
      <w:r w:rsidRPr="00C65786">
        <w:rPr>
          <w:bCs/>
          <w:color w:val="000000" w:themeColor="text1"/>
        </w:rPr>
        <w:t>financovan</w:t>
      </w:r>
      <w:r>
        <w:rPr>
          <w:bCs/>
          <w:color w:val="000000" w:themeColor="text1"/>
        </w:rPr>
        <w:t>á</w:t>
      </w:r>
      <w:r w:rsidRPr="00C65786">
        <w:rPr>
          <w:bCs/>
          <w:color w:val="000000" w:themeColor="text1"/>
        </w:rPr>
        <w:t xml:space="preserve"> prostřednictvím </w:t>
      </w:r>
      <w:r>
        <w:rPr>
          <w:bCs/>
          <w:color w:val="000000" w:themeColor="text1"/>
        </w:rPr>
        <w:t xml:space="preserve">všeobecného zdravotního pojištění. </w:t>
      </w:r>
      <w:r w:rsidRPr="00C65786">
        <w:rPr>
          <w:b/>
          <w:bCs/>
          <w:color w:val="000000" w:themeColor="text1"/>
        </w:rPr>
        <w:t>Zdravotní pojišťovny</w:t>
      </w:r>
      <w:r w:rsidRPr="00C65786">
        <w:rPr>
          <w:bCs/>
          <w:color w:val="000000" w:themeColor="text1"/>
        </w:rPr>
        <w:t xml:space="preserve"> vydaly v roce 2019 na zdravotní péči </w:t>
      </w:r>
      <w:r w:rsidRPr="00B04AEF">
        <w:rPr>
          <w:b/>
          <w:bCs/>
          <w:color w:val="000000" w:themeColor="text1"/>
        </w:rPr>
        <w:t>celkem 309,8 mld. Kč</w:t>
      </w:r>
      <w:r w:rsidRPr="00C65786">
        <w:rPr>
          <w:bCs/>
          <w:color w:val="000000" w:themeColor="text1"/>
        </w:rPr>
        <w:t xml:space="preserve">. </w:t>
      </w:r>
      <w:r w:rsidRPr="00812CB0">
        <w:rPr>
          <w:bCs/>
          <w:color w:val="000000" w:themeColor="text1"/>
        </w:rPr>
        <w:t xml:space="preserve">Meziročně tyto výdaje vzrostly </w:t>
      </w:r>
      <w:r w:rsidRPr="00812CB0">
        <w:t>o 9,1 % (absolutně o 25,9 mld.)</w:t>
      </w:r>
      <w:r w:rsidRPr="00055B01">
        <w:t xml:space="preserve"> a po</w:t>
      </w:r>
      <w:r>
        <w:t xml:space="preserve">prvé </w:t>
      </w:r>
      <w:r w:rsidR="00267CE9">
        <w:t>tak </w:t>
      </w:r>
      <w:r w:rsidRPr="00055B01">
        <w:t xml:space="preserve">překonaly hranici </w:t>
      </w:r>
      <w:r>
        <w:t xml:space="preserve">tří set </w:t>
      </w:r>
      <w:r w:rsidRPr="00055B01">
        <w:t>miliard korun.</w:t>
      </w:r>
      <w:r>
        <w:t xml:space="preserve"> </w:t>
      </w:r>
      <w:r w:rsidRPr="00812CB0">
        <w:t xml:space="preserve">Na tomto nárůstu se nejvíce podílely výdaje za ambulantní léčebnou péči, které se </w:t>
      </w:r>
      <w:r>
        <w:t xml:space="preserve">meziročně </w:t>
      </w:r>
      <w:r w:rsidRPr="00812CB0">
        <w:t xml:space="preserve">zvýšily o </w:t>
      </w:r>
      <w:r>
        <w:t xml:space="preserve">9,3 mld. Kč, jak bude podrobněji uvedeno níže. Procentuálně nejrychleji rostly výdaje preventivní péči, které se meziročně zvýšily o 16,4 %. </w:t>
      </w:r>
    </w:p>
    <w:p w14:paraId="62E1717D" w14:textId="77777777" w:rsidR="009C472C" w:rsidRDefault="009C472C" w:rsidP="00321E64">
      <w:pPr>
        <w:keepNext/>
        <w:spacing w:before="0"/>
        <w:rPr>
          <w:b/>
          <w:i/>
        </w:rPr>
      </w:pPr>
      <w:r w:rsidRPr="00D32615">
        <w:rPr>
          <w:b/>
          <w:i/>
        </w:rPr>
        <w:t xml:space="preserve">V letech 2017 až 2019 byla ze zdrojů zdravotních pojišťoven uhrazena péče za téměř 850 miliard. </w:t>
      </w:r>
    </w:p>
    <w:p w14:paraId="7DCBC4DD" w14:textId="77777777" w:rsidR="009C472C" w:rsidRPr="009C472C" w:rsidRDefault="009C472C" w:rsidP="00DC774A">
      <w:pPr>
        <w:keepNext/>
        <w:spacing w:before="240" w:after="120"/>
        <w:rPr>
          <w:b/>
          <w:i/>
        </w:rPr>
      </w:pPr>
      <w:r w:rsidRPr="009C472C">
        <w:rPr>
          <w:b/>
          <w:bCs/>
          <w:sz w:val="18"/>
          <w:szCs w:val="18"/>
        </w:rPr>
        <w:t>Graf č. 2.1. Výdaje na zdravotní péči v Česku financovanou prostřednictvím zdravotních pojišťoven</w:t>
      </w:r>
    </w:p>
    <w:p w14:paraId="0D4C472D" w14:textId="77777777" w:rsidR="009C472C" w:rsidRDefault="009C472C" w:rsidP="00DC774A">
      <w:pPr>
        <w:autoSpaceDE w:val="0"/>
        <w:autoSpaceDN w:val="0"/>
        <w:adjustRightInd w:val="0"/>
        <w:jc w:val="right"/>
        <w:rPr>
          <w:b/>
          <w:bCs/>
          <w:i/>
          <w:sz w:val="16"/>
          <w:szCs w:val="16"/>
        </w:rPr>
      </w:pPr>
      <w:r w:rsidRPr="009C472C">
        <w:rPr>
          <w:noProof/>
        </w:rPr>
        <w:drawing>
          <wp:inline distT="0" distB="0" distL="0" distR="0" wp14:anchorId="7DB89B8E" wp14:editId="2E349FC8">
            <wp:extent cx="5969875" cy="2617076"/>
            <wp:effectExtent l="0" t="0" r="0" b="0"/>
            <wp:docPr id="14" name="Graf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Pr="009C472C">
        <w:rPr>
          <w:b/>
          <w:bCs/>
          <w:i/>
          <w:sz w:val="16"/>
          <w:szCs w:val="16"/>
        </w:rPr>
        <w:t>Zdroj: ČSÚ 2021, Zdravotnické účty ČR 2010</w:t>
      </w:r>
      <w:r w:rsidRPr="009C472C">
        <w:rPr>
          <w:bCs/>
          <w:szCs w:val="20"/>
        </w:rPr>
        <w:t>–</w:t>
      </w:r>
      <w:r w:rsidRPr="009C472C">
        <w:rPr>
          <w:b/>
          <w:bCs/>
          <w:i/>
          <w:sz w:val="16"/>
          <w:szCs w:val="16"/>
        </w:rPr>
        <w:t>2019</w:t>
      </w:r>
    </w:p>
    <w:p w14:paraId="42534A9C" w14:textId="2801C1E0" w:rsidR="009C472C" w:rsidRDefault="009C472C" w:rsidP="00321E64">
      <w:pPr>
        <w:autoSpaceDE w:val="0"/>
        <w:autoSpaceDN w:val="0"/>
        <w:adjustRightInd w:val="0"/>
        <w:spacing w:before="0"/>
      </w:pPr>
      <w:r>
        <w:t xml:space="preserve">V sledovaném období let 2010 až 2019, kdy jsou k dispozici srovnatelné údaje, </w:t>
      </w:r>
      <w:r w:rsidRPr="002733BD">
        <w:t xml:space="preserve">rostly výdaje na zdravotní péči ze zdrojů zdravotních pojišťoven v běžných cenách </w:t>
      </w:r>
      <w:r>
        <w:t>v</w:t>
      </w:r>
      <w:r w:rsidRPr="002733BD">
        <w:t xml:space="preserve"> průměru o 3,</w:t>
      </w:r>
      <w:r>
        <w:t>3</w:t>
      </w:r>
      <w:r w:rsidRPr="002733BD">
        <w:t xml:space="preserve"> % ročně. V posledních třech letech to bylo téměř třikrát rychleji - v průměru o </w:t>
      </w:r>
      <w:r>
        <w:t>9,2</w:t>
      </w:r>
      <w:r w:rsidRPr="002733BD">
        <w:t xml:space="preserve"> %. </w:t>
      </w:r>
      <w:r>
        <w:t>Nejvíce vzrostly tyto výdaje v roce 2018, kdy o</w:t>
      </w:r>
      <w:r w:rsidRPr="00B04AEF">
        <w:t xml:space="preserve">proti předchozímu </w:t>
      </w:r>
      <w:r w:rsidRPr="00B04AEF">
        <w:lastRenderedPageBreak/>
        <w:t xml:space="preserve">roku došlo </w:t>
      </w:r>
      <w:r>
        <w:t xml:space="preserve">k jejich navýšení </w:t>
      </w:r>
      <w:r w:rsidRPr="00B04AEF">
        <w:t xml:space="preserve">o </w:t>
      </w:r>
      <w:r>
        <w:t>12,6 % - absolutně o 31,7 mld. Kč. Naopak v období 2011 až 2015 se výše finančních prostředků vynaložená na zdravotní péči ze zdrojů zdravotních pojišťov</w:t>
      </w:r>
      <w:r w:rsidR="00267CE9">
        <w:t>en příliš neměnila. Při </w:t>
      </w:r>
      <w:r>
        <w:t>započtení inflace, se výdaje zdravotních pojišťoven na zdravotní péči v Česku v letech 2013 až 2016 meziročně snižovaly.</w:t>
      </w:r>
      <w:r w:rsidRPr="00B04AEF">
        <w:t xml:space="preserve"> </w:t>
      </w:r>
      <w:r>
        <w:t xml:space="preserve">Celkem vynaložily zdravotní pojišťovny v letech 2010 až 2019, tj. za deset let, </w:t>
      </w:r>
      <w:r w:rsidR="00267CE9">
        <w:t>na </w:t>
      </w:r>
      <w:r w:rsidR="00DC774A">
        <w:t>zdravotní péči v Č</w:t>
      </w:r>
      <w:r w:rsidRPr="00B04AEF">
        <w:t xml:space="preserve">esku </w:t>
      </w:r>
      <w:r>
        <w:t>2,5 </w:t>
      </w:r>
      <w:r w:rsidRPr="00B04AEF">
        <w:t>bilion</w:t>
      </w:r>
      <w:r>
        <w:t>u</w:t>
      </w:r>
      <w:r w:rsidRPr="00B04AEF">
        <w:t xml:space="preserve"> korun</w:t>
      </w:r>
      <w:r>
        <w:t>.</w:t>
      </w:r>
    </w:p>
    <w:p w14:paraId="10622488" w14:textId="770FF76C" w:rsidR="009C472C" w:rsidRPr="00B440E3" w:rsidRDefault="009C472C" w:rsidP="00321E64">
      <w:pPr>
        <w:autoSpaceDE w:val="0"/>
        <w:autoSpaceDN w:val="0"/>
        <w:adjustRightInd w:val="0"/>
        <w:spacing w:before="0"/>
        <w:rPr>
          <w:bCs/>
          <w:color w:val="000000" w:themeColor="text1"/>
        </w:rPr>
      </w:pPr>
      <w:r w:rsidRPr="004767E7">
        <w:rPr>
          <w:bCs/>
          <w:color w:val="000000" w:themeColor="text1"/>
        </w:rPr>
        <w:t xml:space="preserve">Zatímco v absolutních hodnotách výdaje na zdravotní péči v Česku </w:t>
      </w:r>
      <w:r>
        <w:rPr>
          <w:bCs/>
          <w:color w:val="000000" w:themeColor="text1"/>
        </w:rPr>
        <w:t>financovanou z veřejného zdravotního pojištění v roce 2019 výrazně vz</w:t>
      </w:r>
      <w:r w:rsidRPr="004767E7">
        <w:rPr>
          <w:bCs/>
          <w:color w:val="000000" w:themeColor="text1"/>
        </w:rPr>
        <w:t>rost</w:t>
      </w:r>
      <w:r>
        <w:rPr>
          <w:bCs/>
          <w:color w:val="000000" w:themeColor="text1"/>
        </w:rPr>
        <w:t>ly</w:t>
      </w:r>
      <w:r w:rsidRPr="004767E7">
        <w:rPr>
          <w:bCs/>
          <w:color w:val="000000" w:themeColor="text1"/>
        </w:rPr>
        <w:t xml:space="preserve">, v případě jejich podílu na hrubém domácím produktu (HDP) – základní poměrový ukazatel používaný pro mezinárodní srovnání – </w:t>
      </w:r>
      <w:r>
        <w:rPr>
          <w:bCs/>
          <w:color w:val="000000" w:themeColor="text1"/>
        </w:rPr>
        <w:t>se tento poměrový ukazatele meziročně zvýšil pouze mírně. V roce 2019 byly výdaje zdravotních pojišťoven rovny 5,4 % H</w:t>
      </w:r>
      <w:r w:rsidR="00267CE9">
        <w:rPr>
          <w:bCs/>
          <w:color w:val="000000" w:themeColor="text1"/>
        </w:rPr>
        <w:t>DP Česká republiky oproti 5,2 % </w:t>
      </w:r>
      <w:r>
        <w:rPr>
          <w:bCs/>
          <w:color w:val="000000" w:themeColor="text1"/>
        </w:rPr>
        <w:t xml:space="preserve">v roce předchozím. Nejnižší byl tento poměrový ukazatel v sledovaném období deseti let v roce 2017, kdy se rovnal 4,9 % HDP, nejvyšší pak v roce 2012, kdy dosáhl 5,8 %. Zatímco v letech 2013 až 2017 rostla ekonomika České republiky výrazně rychleji, než rostly výdaje zdravotních pojišťoven na zdravotní péči, v letech 2018 a 2019 tomu bylo naopak. </w:t>
      </w:r>
    </w:p>
    <w:p w14:paraId="2020316D" w14:textId="5A19BCC9" w:rsidR="009C472C" w:rsidRPr="00D32615" w:rsidRDefault="009C472C" w:rsidP="00321E64">
      <w:pPr>
        <w:autoSpaceDE w:val="0"/>
        <w:autoSpaceDN w:val="0"/>
        <w:adjustRightInd w:val="0"/>
        <w:spacing w:before="0"/>
        <w:rPr>
          <w:b/>
          <w:bCs/>
          <w:i/>
          <w:color w:val="000000" w:themeColor="text1"/>
        </w:rPr>
      </w:pPr>
      <w:r w:rsidRPr="00D32615">
        <w:rPr>
          <w:b/>
          <w:bCs/>
          <w:i/>
          <w:color w:val="000000" w:themeColor="text1"/>
        </w:rPr>
        <w:t>Zdravotní pojišťovny vynaložily</w:t>
      </w:r>
      <w:r w:rsidR="007458C6">
        <w:rPr>
          <w:b/>
          <w:bCs/>
          <w:i/>
          <w:color w:val="000000" w:themeColor="text1"/>
        </w:rPr>
        <w:t xml:space="preserve"> na zdravotní péči v průměru </w:t>
      </w:r>
      <w:r w:rsidRPr="00D32615">
        <w:rPr>
          <w:b/>
          <w:bCs/>
          <w:i/>
          <w:color w:val="000000" w:themeColor="text1"/>
        </w:rPr>
        <w:t xml:space="preserve">29 tisíc korun na 1 obyvatele </w:t>
      </w:r>
    </w:p>
    <w:p w14:paraId="0E14E909" w14:textId="790AA46E" w:rsidR="009C472C" w:rsidRDefault="009C472C" w:rsidP="00321E64">
      <w:pPr>
        <w:autoSpaceDE w:val="0"/>
        <w:autoSpaceDN w:val="0"/>
        <w:adjustRightInd w:val="0"/>
        <w:spacing w:before="0"/>
        <w:rPr>
          <w:bCs/>
          <w:color w:val="000000" w:themeColor="text1"/>
        </w:rPr>
      </w:pPr>
      <w:r w:rsidRPr="00610330">
        <w:rPr>
          <w:bCs/>
          <w:color w:val="000000" w:themeColor="text1"/>
        </w:rPr>
        <w:t>Kromě podílu celkových výdajů na zdravotní péči na HDP, který je ovlivněn jak vyspělostí, tak i specifikem jednotlivých ekonomik, se pro mezinárodní srovnání vyjadřují celkové výdaje n</w:t>
      </w:r>
      <w:r w:rsidR="00267CE9">
        <w:rPr>
          <w:bCs/>
          <w:color w:val="000000" w:themeColor="text1"/>
        </w:rPr>
        <w:t>a zdravotní péči připadající na </w:t>
      </w:r>
      <w:r w:rsidRPr="00610330">
        <w:rPr>
          <w:bCs/>
          <w:color w:val="000000" w:themeColor="text1"/>
        </w:rPr>
        <w:t xml:space="preserve">jednoho obyvatele. </w:t>
      </w:r>
      <w:r>
        <w:rPr>
          <w:bCs/>
          <w:color w:val="000000" w:themeColor="text1"/>
        </w:rPr>
        <w:t>V</w:t>
      </w:r>
      <w:r w:rsidRPr="00060AF6">
        <w:rPr>
          <w:bCs/>
          <w:color w:val="000000" w:themeColor="text1"/>
        </w:rPr>
        <w:t xml:space="preserve">ýdaje </w:t>
      </w:r>
      <w:r>
        <w:rPr>
          <w:bCs/>
          <w:color w:val="000000" w:themeColor="text1"/>
        </w:rPr>
        <w:t xml:space="preserve">zdravotních pojišťoven </w:t>
      </w:r>
      <w:r w:rsidRPr="00060AF6">
        <w:rPr>
          <w:bCs/>
          <w:color w:val="000000" w:themeColor="text1"/>
        </w:rPr>
        <w:t>na jednoho obyvatele</w:t>
      </w:r>
      <w:r>
        <w:rPr>
          <w:bCs/>
          <w:color w:val="000000" w:themeColor="text1"/>
        </w:rPr>
        <w:t xml:space="preserve"> meziročně vzrostly o 8,7 % (2,3 tis. Kč) na 29,0 tisíc v roce 2019. </w:t>
      </w:r>
    </w:p>
    <w:p w14:paraId="533CA7DB" w14:textId="77777777" w:rsidR="009C472C" w:rsidRDefault="009C472C" w:rsidP="009C472C">
      <w:pPr>
        <w:pStyle w:val="Nadpis3"/>
      </w:pPr>
      <w:r>
        <w:t>2.2. Podíl zdravotních pojišťoven na financování zdravotní péče</w:t>
      </w:r>
    </w:p>
    <w:p w14:paraId="59004F21" w14:textId="204FCFF7" w:rsidR="009C472C" w:rsidRPr="009C472C" w:rsidRDefault="009C472C" w:rsidP="00321E64">
      <w:pPr>
        <w:spacing w:before="0"/>
      </w:pPr>
      <w:r>
        <w:t xml:space="preserve">Česko patří spolu s našimi dvěma sousedy </w:t>
      </w:r>
      <w:r w:rsidRPr="009578D5">
        <w:t>Německ</w:t>
      </w:r>
      <w:r>
        <w:t>em a Slovensko a dále taky například s </w:t>
      </w:r>
      <w:r w:rsidRPr="009578D5">
        <w:t>Franci</w:t>
      </w:r>
      <w:r>
        <w:t xml:space="preserve">í, Estonskem, Maďarskem či Slovinskem, </w:t>
      </w:r>
      <w:r w:rsidRPr="009578D5">
        <w:t xml:space="preserve">k zemím </w:t>
      </w:r>
      <w:r>
        <w:t xml:space="preserve">EU </w:t>
      </w:r>
      <w:r w:rsidRPr="009578D5">
        <w:t xml:space="preserve">se systémem </w:t>
      </w:r>
      <w:r>
        <w:t xml:space="preserve">zdravotní péče </w:t>
      </w:r>
      <w:r w:rsidRPr="009578D5">
        <w:t>založen</w:t>
      </w:r>
      <w:r>
        <w:t xml:space="preserve">ém </w:t>
      </w:r>
      <w:r w:rsidRPr="009578D5">
        <w:t>především na</w:t>
      </w:r>
      <w:r w:rsidR="00267CE9">
        <w:t> </w:t>
      </w:r>
      <w:r>
        <w:t xml:space="preserve">financování prostřednictvím </w:t>
      </w:r>
      <w:r w:rsidRPr="009578D5">
        <w:t>všeobecné</w:t>
      </w:r>
      <w:r>
        <w:t xml:space="preserve">ho (povinného) veřejného </w:t>
      </w:r>
      <w:r w:rsidRPr="009578D5">
        <w:t>zdravotní</w:t>
      </w:r>
      <w:r>
        <w:t>ho</w:t>
      </w:r>
      <w:r w:rsidRPr="009578D5">
        <w:t xml:space="preserve"> pojištění</w:t>
      </w:r>
      <w:r>
        <w:t>.</w:t>
      </w:r>
      <w:r w:rsidRPr="004245F6">
        <w:t xml:space="preserve"> </w:t>
      </w:r>
      <w:r>
        <w:t>N</w:t>
      </w:r>
      <w:r w:rsidRPr="009578D5">
        <w:t xml:space="preserve">a rozdíl od Česka nebo </w:t>
      </w:r>
      <w:r>
        <w:t xml:space="preserve">i </w:t>
      </w:r>
      <w:r w:rsidRPr="009578D5">
        <w:t>Slovenska</w:t>
      </w:r>
      <w:r>
        <w:t>, hraje v případě našeho západního souseda významnou roli ve financování zdravotní péče z povinného z</w:t>
      </w:r>
      <w:r w:rsidRPr="009578D5">
        <w:t>dravotního pojištění</w:t>
      </w:r>
      <w:r>
        <w:t xml:space="preserve"> i ta část, která je </w:t>
      </w:r>
      <w:r w:rsidRPr="009578D5">
        <w:t>hrazen</w:t>
      </w:r>
      <w:r>
        <w:t>a</w:t>
      </w:r>
      <w:r w:rsidRPr="009578D5">
        <w:t xml:space="preserve"> zam</w:t>
      </w:r>
      <w:r w:rsidR="00267CE9">
        <w:t>ěstnavateli pojištěných osob či </w:t>
      </w:r>
      <w:r w:rsidRPr="009578D5">
        <w:t>prostřednictvím soukromého povinného pojištění. Ve Švédsku</w:t>
      </w:r>
      <w:r>
        <w:t xml:space="preserve">, </w:t>
      </w:r>
      <w:r w:rsidRPr="009578D5">
        <w:t>Dánsku</w:t>
      </w:r>
      <w:r>
        <w:t xml:space="preserve"> nebo v Itálii </w:t>
      </w:r>
      <w:r w:rsidRPr="009578D5">
        <w:t>je zdravotní péče převážně financovaná prostřednictvím daní přímo z rozpočtů centrálních a místních vlád.</w:t>
      </w:r>
      <w:r>
        <w:t xml:space="preserve"> Podrobnější informace naleznete v kapitole 6.</w:t>
      </w:r>
    </w:p>
    <w:p w14:paraId="7BE88545" w14:textId="77777777" w:rsidR="009C472C" w:rsidRDefault="009C472C" w:rsidP="009C472C">
      <w:pPr>
        <w:jc w:val="left"/>
        <w:rPr>
          <w:b/>
          <w:bCs/>
          <w:sz w:val="18"/>
          <w:szCs w:val="18"/>
        </w:rPr>
        <w:sectPr w:rsidR="009C472C" w:rsidSect="00724053">
          <w:headerReference w:type="even" r:id="rId9"/>
          <w:headerReference w:type="default" r:id="rId10"/>
          <w:footerReference w:type="even" r:id="rId11"/>
          <w:footerReference w:type="default" r:id="rId12"/>
          <w:pgSz w:w="11906" w:h="16838" w:code="9"/>
          <w:pgMar w:top="1134" w:right="1134" w:bottom="1418" w:left="1134" w:header="680" w:footer="680" w:gutter="0"/>
          <w:pgNumType w:start="23"/>
          <w:cols w:space="708"/>
          <w:docGrid w:linePitch="360"/>
        </w:sectPr>
      </w:pPr>
    </w:p>
    <w:p w14:paraId="224D9191" w14:textId="4B5D5E1B" w:rsidR="009C472C" w:rsidRPr="009C472C" w:rsidRDefault="009C472C" w:rsidP="009C472C">
      <w:pPr>
        <w:rPr>
          <w:b/>
          <w:sz w:val="18"/>
          <w:szCs w:val="18"/>
        </w:rPr>
      </w:pPr>
      <w:r w:rsidRPr="009C472C">
        <w:rPr>
          <w:b/>
          <w:sz w:val="18"/>
          <w:szCs w:val="18"/>
        </w:rPr>
        <w:t>Graf č. 2.2</w:t>
      </w:r>
      <w:r w:rsidR="006C0FEB">
        <w:rPr>
          <w:b/>
          <w:sz w:val="18"/>
          <w:szCs w:val="18"/>
        </w:rPr>
        <w:t>.</w:t>
      </w:r>
      <w:r w:rsidRPr="009C472C">
        <w:rPr>
          <w:b/>
          <w:sz w:val="18"/>
          <w:szCs w:val="18"/>
        </w:rPr>
        <w:t xml:space="preserve"> Podíl zdravotních pojišťoven na financování zdravotní péče v Česku (%)  </w:t>
      </w:r>
    </w:p>
    <w:p w14:paraId="14D637ED" w14:textId="2E8D7940" w:rsidR="009C472C" w:rsidRPr="009C472C" w:rsidRDefault="009C472C" w:rsidP="009C472C">
      <w:pPr>
        <w:rPr>
          <w:b/>
          <w:sz w:val="18"/>
          <w:szCs w:val="18"/>
        </w:rPr>
      </w:pPr>
      <w:r w:rsidRPr="009C472C">
        <w:rPr>
          <w:b/>
          <w:sz w:val="18"/>
          <w:szCs w:val="18"/>
        </w:rPr>
        <w:t>Graf č. 2.3</w:t>
      </w:r>
      <w:r w:rsidR="006C0FEB">
        <w:rPr>
          <w:b/>
          <w:sz w:val="18"/>
          <w:szCs w:val="18"/>
        </w:rPr>
        <w:t>.</w:t>
      </w:r>
      <w:r w:rsidRPr="009C472C">
        <w:rPr>
          <w:b/>
          <w:sz w:val="18"/>
          <w:szCs w:val="18"/>
        </w:rPr>
        <w:t xml:space="preserve"> Výdaje zdravotních pojišťoven v porovnání s výdaji domácností na zdravotní péči </w:t>
      </w:r>
    </w:p>
    <w:p w14:paraId="792C472D" w14:textId="77777777" w:rsidR="009C472C" w:rsidRDefault="009C472C" w:rsidP="009C472C">
      <w:pPr>
        <w:spacing w:before="240" w:line="240" w:lineRule="auto"/>
        <w:ind w:left="142"/>
        <w:jc w:val="left"/>
        <w:rPr>
          <w:b/>
          <w:bCs/>
          <w:sz w:val="18"/>
          <w:szCs w:val="18"/>
        </w:rPr>
        <w:sectPr w:rsidR="009C472C" w:rsidSect="009C472C">
          <w:type w:val="continuous"/>
          <w:pgSz w:w="11906" w:h="16838" w:code="9"/>
          <w:pgMar w:top="1134" w:right="1134" w:bottom="1418" w:left="1134" w:header="680" w:footer="680" w:gutter="0"/>
          <w:cols w:num="2" w:space="708"/>
          <w:docGrid w:linePitch="360"/>
        </w:sectPr>
      </w:pPr>
    </w:p>
    <w:p w14:paraId="32B37F83" w14:textId="7418EF10" w:rsidR="009C472C" w:rsidRDefault="00DC774A" w:rsidP="004211DC">
      <w:pPr>
        <w:keepNext/>
        <w:spacing w:after="0"/>
      </w:pPr>
      <w:r>
        <w:rPr>
          <w:noProof/>
        </w:rPr>
        <w:drawing>
          <wp:inline distT="0" distB="0" distL="0" distR="0" wp14:anchorId="33E2859D" wp14:editId="42F4BBCD">
            <wp:extent cx="2942590" cy="2154095"/>
            <wp:effectExtent l="0" t="0" r="10160" b="17780"/>
            <wp:docPr id="2" name="Graf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>
        <w:rPr>
          <w:noProof/>
        </w:rPr>
        <w:t xml:space="preserve"> </w:t>
      </w:r>
      <w:r w:rsidR="007458C6">
        <w:rPr>
          <w:noProof/>
        </w:rPr>
        <w:drawing>
          <wp:inline distT="0" distB="0" distL="0" distR="0" wp14:anchorId="7B9821EF" wp14:editId="2092AA69">
            <wp:extent cx="3089910" cy="2154621"/>
            <wp:effectExtent l="0" t="0" r="15240" b="17145"/>
            <wp:docPr id="5" name="Graf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B2F894D" w14:textId="77777777" w:rsidR="009C472C" w:rsidRDefault="009C472C" w:rsidP="00DC774A">
      <w:pPr>
        <w:keepNext/>
        <w:jc w:val="right"/>
      </w:pPr>
      <w:r w:rsidRPr="00D5521C">
        <w:rPr>
          <w:b/>
          <w:bCs/>
          <w:i/>
          <w:sz w:val="16"/>
          <w:szCs w:val="16"/>
        </w:rPr>
        <w:t>Zdroj: ČSÚ 20</w:t>
      </w:r>
      <w:r>
        <w:rPr>
          <w:b/>
          <w:bCs/>
          <w:i/>
          <w:sz w:val="16"/>
          <w:szCs w:val="16"/>
        </w:rPr>
        <w:t>21</w:t>
      </w:r>
      <w:r w:rsidRPr="00D5521C">
        <w:rPr>
          <w:b/>
          <w:bCs/>
          <w:i/>
          <w:sz w:val="16"/>
          <w:szCs w:val="16"/>
        </w:rPr>
        <w:t>, Zdravotnické účty ČR 2010</w:t>
      </w:r>
      <w:r w:rsidRPr="008F71DE">
        <w:rPr>
          <w:bCs/>
          <w:szCs w:val="20"/>
        </w:rPr>
        <w:t>–</w:t>
      </w:r>
      <w:r w:rsidRPr="00D5521C">
        <w:rPr>
          <w:b/>
          <w:bCs/>
          <w:i/>
          <w:sz w:val="16"/>
          <w:szCs w:val="16"/>
        </w:rPr>
        <w:t>201</w:t>
      </w:r>
      <w:r>
        <w:rPr>
          <w:b/>
          <w:bCs/>
          <w:i/>
          <w:sz w:val="16"/>
          <w:szCs w:val="16"/>
        </w:rPr>
        <w:t>9</w:t>
      </w:r>
    </w:p>
    <w:p w14:paraId="59B3181A" w14:textId="77777777" w:rsidR="009C472C" w:rsidRDefault="009C472C" w:rsidP="000670FD">
      <w:pPr>
        <w:spacing w:before="240" w:line="240" w:lineRule="auto"/>
        <w:jc w:val="left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ab/>
      </w:r>
      <w:r w:rsidRPr="00703E31">
        <w:rPr>
          <w:b/>
          <w:bCs/>
          <w:sz w:val="18"/>
          <w:szCs w:val="18"/>
        </w:rPr>
        <w:t xml:space="preserve"> </w:t>
      </w:r>
    </w:p>
    <w:p w14:paraId="46B08213" w14:textId="44665C68" w:rsidR="00D209AA" w:rsidRPr="00D32615" w:rsidRDefault="00D209AA" w:rsidP="00321E64">
      <w:pPr>
        <w:autoSpaceDE w:val="0"/>
        <w:autoSpaceDN w:val="0"/>
        <w:adjustRightInd w:val="0"/>
        <w:spacing w:before="0"/>
        <w:rPr>
          <w:b/>
          <w:bCs/>
          <w:i/>
          <w:color w:val="000000" w:themeColor="text1"/>
        </w:rPr>
      </w:pPr>
      <w:r>
        <w:rPr>
          <w:b/>
          <w:bCs/>
          <w:i/>
          <w:color w:val="000000" w:themeColor="text1"/>
        </w:rPr>
        <w:lastRenderedPageBreak/>
        <w:t>Výdaje pojiš</w:t>
      </w:r>
      <w:r w:rsidR="007458C6">
        <w:rPr>
          <w:b/>
          <w:bCs/>
          <w:i/>
          <w:color w:val="000000" w:themeColor="text1"/>
        </w:rPr>
        <w:t xml:space="preserve">ťoven na zdravotní péči byly 5 </w:t>
      </w:r>
      <w:r>
        <w:rPr>
          <w:b/>
          <w:bCs/>
          <w:i/>
          <w:color w:val="000000" w:themeColor="text1"/>
        </w:rPr>
        <w:t>krát vyšší než přímé platby domácností.</w:t>
      </w:r>
      <w:r w:rsidRPr="00D32615">
        <w:rPr>
          <w:b/>
          <w:bCs/>
          <w:i/>
          <w:color w:val="000000" w:themeColor="text1"/>
        </w:rPr>
        <w:t xml:space="preserve"> </w:t>
      </w:r>
    </w:p>
    <w:p w14:paraId="7C7AEA91" w14:textId="5CD375A1" w:rsidR="00D209AA" w:rsidRDefault="00D209AA" w:rsidP="00321E64">
      <w:pPr>
        <w:keepNext/>
        <w:spacing w:before="0"/>
      </w:pPr>
      <w:r>
        <w:t>Ve srovnání s výdaji domácností (podrobněji viz kapitola 3), vynaložily v roce 2019 zdravotní po</w:t>
      </w:r>
      <w:r w:rsidR="00267CE9">
        <w:t>jišťovny na </w:t>
      </w:r>
      <w:r w:rsidR="007458C6">
        <w:t>zdravotní péči o 246</w:t>
      </w:r>
      <w:r>
        <w:t xml:space="preserve"> mld. Kč více finančních prostředků. V roce 2017 </w:t>
      </w:r>
      <w:r w:rsidR="00267CE9">
        <w:t>byl tento rozdíl 200 mld. Kč ve </w:t>
      </w:r>
      <w:r>
        <w:t>prospěch zdravotních pojišťoven. V roce 2019 bylo z veřejného zdravotního pojištění na zdr</w:t>
      </w:r>
      <w:r w:rsidR="007458C6">
        <w:t>avotní péči vynaloženo téměř 5</w:t>
      </w:r>
      <w:r>
        <w:t xml:space="preserve"> krát tolik finančních prostředků, než na ni šlo přímo z peněženek našic</w:t>
      </w:r>
      <w:r w:rsidR="007D229A">
        <w:t>h občanů – v roce 2016 to bylo 4,5</w:t>
      </w:r>
      <w:r>
        <w:t xml:space="preserve"> krát. </w:t>
      </w:r>
    </w:p>
    <w:p w14:paraId="1285AA73" w14:textId="77777777" w:rsidR="00D209AA" w:rsidRDefault="00D209AA" w:rsidP="00D209AA">
      <w:pPr>
        <w:pStyle w:val="Nadpis3"/>
      </w:pPr>
      <w:r>
        <w:t>2.3. V</w:t>
      </w:r>
      <w:r w:rsidRPr="00425420">
        <w:t>ýdaje zdravotních pojišťoven</w:t>
      </w:r>
      <w:r>
        <w:t xml:space="preserve"> podle druhu poskytnuté péče</w:t>
      </w:r>
    </w:p>
    <w:p w14:paraId="46A85FC4" w14:textId="77777777" w:rsidR="008B3758" w:rsidRDefault="007D229A" w:rsidP="00321E64">
      <w:pPr>
        <w:spacing w:before="0"/>
      </w:pPr>
      <w:r>
        <w:t xml:space="preserve">Výdaje zdravotních pojišťoven lze rozdělit podle různých kritérií. Následující část se věnuje výdajům zdravotních pojišťoven podle druhu zdravotní péče. </w:t>
      </w:r>
    </w:p>
    <w:p w14:paraId="57DF64E5" w14:textId="3DC641E6" w:rsidR="00D209AA" w:rsidRDefault="00D209AA" w:rsidP="00321E64">
      <w:pPr>
        <w:spacing w:before="0"/>
      </w:pPr>
      <w:r>
        <w:t>V grafu č. </w:t>
      </w:r>
      <w:proofErr w:type="gramStart"/>
      <w:r>
        <w:t>2.4</w:t>
      </w:r>
      <w:r w:rsidR="006C0FEB">
        <w:t>.</w:t>
      </w:r>
      <w:r>
        <w:t xml:space="preserve"> je</w:t>
      </w:r>
      <w:proofErr w:type="gramEnd"/>
      <w:r>
        <w:t xml:space="preserve"> uvedena struktura celkových výdajů vydaných zdravotními pojišťovnami podle jednotlivých druhů zdravotní péče, souvisejících služeb a výdajů na léky. </w:t>
      </w:r>
    </w:p>
    <w:p w14:paraId="3A2C8DEF" w14:textId="36D7D0DF" w:rsidR="007D229A" w:rsidRPr="007D229A" w:rsidRDefault="007D229A" w:rsidP="007D229A">
      <w:pPr>
        <w:autoSpaceDE w:val="0"/>
        <w:autoSpaceDN w:val="0"/>
        <w:adjustRightInd w:val="0"/>
        <w:spacing w:before="0"/>
        <w:rPr>
          <w:b/>
          <w:bCs/>
          <w:i/>
          <w:color w:val="000000" w:themeColor="text1"/>
        </w:rPr>
      </w:pPr>
      <w:r w:rsidRPr="000823AC">
        <w:rPr>
          <w:b/>
          <w:bCs/>
          <w:i/>
          <w:color w:val="000000" w:themeColor="text1"/>
        </w:rPr>
        <w:t>Léčebná péče se podílí více jak z poloviny na výdajích zdravotních pojišťoven</w:t>
      </w:r>
    </w:p>
    <w:p w14:paraId="257869F2" w14:textId="752A4069" w:rsidR="007D229A" w:rsidRDefault="007D229A" w:rsidP="00321E64">
      <w:pPr>
        <w:spacing w:before="0"/>
      </w:pPr>
      <w:r>
        <w:t xml:space="preserve">V celém sledovaném období více jak polovina finančních prostředků ze zdravotního pojištění směřovala na úhradu </w:t>
      </w:r>
      <w:r w:rsidRPr="00812CB0">
        <w:rPr>
          <w:b/>
        </w:rPr>
        <w:t>léčebné péče</w:t>
      </w:r>
      <w:r>
        <w:t xml:space="preserve">. Léčebná péče se ve zdravotnických zařízeních poskytuje jako lůžková, ambulantní a v menší míře i jako denní. Menší část pak připadá na domácí léčebnou péči. V roce 2019 vynaložily zdravotní pojišťovny </w:t>
      </w:r>
      <w:r w:rsidRPr="00812CB0">
        <w:t>za léčebnou péči celkem 162,1 mld. Kč</w:t>
      </w:r>
      <w:r w:rsidRPr="005421BA">
        <w:rPr>
          <w:b/>
        </w:rPr>
        <w:t>.</w:t>
      </w:r>
      <w:r>
        <w:t xml:space="preserve"> Meziročně došlo ke zvýšení těchto výdajů o 8,9 % - v absolutním vyjádření to představuje meziroční nárůstu o 13,2 mld. Kč. Hlavní část z výdajů za léčebnou péči připadá na její ambulantní formu (včetně denní), která se v roce 2019 podílela z cca jedné třetiny na celkových výdajích zdravotních pojišťoven na zdravotní péči. Na lůžkovou léčebnou péči připadla ve stejném roce necelá pětina z celkových</w:t>
      </w:r>
      <w:r w:rsidR="008B3758">
        <w:t xml:space="preserve"> výdajů zdravotních pojišťoven.</w:t>
      </w:r>
    </w:p>
    <w:p w14:paraId="302E7990" w14:textId="77C83B6B" w:rsidR="00D209AA" w:rsidRPr="00D051DC" w:rsidRDefault="00D209AA" w:rsidP="00D051DC">
      <w:pPr>
        <w:spacing w:before="240" w:after="120" w:line="240" w:lineRule="auto"/>
        <w:rPr>
          <w:b/>
          <w:bCs/>
          <w:sz w:val="18"/>
          <w:szCs w:val="18"/>
        </w:rPr>
      </w:pPr>
      <w:r w:rsidRPr="00D209AA"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0A41A29" wp14:editId="328C376A">
                <wp:simplePos x="0" y="0"/>
                <wp:positionH relativeFrom="margin">
                  <wp:align>left</wp:align>
                </wp:positionH>
                <wp:positionV relativeFrom="paragraph">
                  <wp:posOffset>198755</wp:posOffset>
                </wp:positionV>
                <wp:extent cx="6064250" cy="2721610"/>
                <wp:effectExtent l="0" t="0" r="12700" b="0"/>
                <wp:wrapTopAndBottom/>
                <wp:docPr id="30" name="Skupin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4250" cy="2721610"/>
                          <a:chOff x="0" y="-195065"/>
                          <a:chExt cx="6142979" cy="3014838"/>
                        </a:xfrm>
                      </wpg:grpSpPr>
                      <wpg:graphicFrame>
                        <wpg:cNvPr id="31" name="Graf 31"/>
                        <wpg:cNvFrPr>
                          <a:graphicFrameLocks/>
                        </wpg:cNvFrPr>
                        <wpg:xfrm>
                          <a:off x="58979" y="-195065"/>
                          <a:ext cx="6084000" cy="288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5"/>
                          </a:graphicData>
                        </a:graphic>
                      </wpg:graphicFrame>
                      <wpg:graphicFrame>
                        <wpg:cNvPr id="32" name="Graf 32"/>
                        <wpg:cNvFrPr>
                          <a:graphicFrameLocks/>
                        </wpg:cNvFrPr>
                        <wpg:xfrm>
                          <a:off x="0" y="47773"/>
                          <a:ext cx="2772000" cy="2772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6"/>
                          </a:graphicData>
                        </a:graphic>
                      </wpg:graphicFrame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8DF7A9" id="Skupina 4" o:spid="_x0000_s1026" style="position:absolute;margin-left:0;margin-top:15.65pt;width:477.5pt;height:214.3pt;z-index:251661312;mso-position-horizontal:left;mso-position-horizontal-relative:margin;mso-width-relative:margin;mso-height-relative:margin" coordorigin=",-1950" coordsize="61429,30148" o:gfxdata="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">
                <v:shape id="Graf 31" o:spid="_x0000_s1027" type="#_x0000_t75" style="position:absolute;left:555;top:-2018;width:60949;height:289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">
                  <v:imagedata r:id="rId19" o:title=""/>
                  <o:lock v:ext="edit" aspectratio="f"/>
                </v:shape>
                <v:shape id="Graf 32" o:spid="_x0000_s1028" type="#_x0000_t75" style="position:absolute;left:2593;top:817;width:23589;height:247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">
                  <v:imagedata r:id="rId20" o:title=""/>
                  <o:lock v:ext="edit" aspectratio="f"/>
                </v:shape>
                <w10:wrap type="topAndBottom" anchorx="margin"/>
              </v:group>
            </w:pict>
          </mc:Fallback>
        </mc:AlternateContent>
      </w:r>
      <w:r w:rsidRPr="00D209AA">
        <w:rPr>
          <w:b/>
          <w:bCs/>
          <w:sz w:val="18"/>
          <w:szCs w:val="18"/>
        </w:rPr>
        <w:t>Graf č. 2.4</w:t>
      </w:r>
      <w:r w:rsidR="006C0FEB">
        <w:rPr>
          <w:b/>
          <w:bCs/>
          <w:sz w:val="18"/>
          <w:szCs w:val="18"/>
        </w:rPr>
        <w:t>.</w:t>
      </w:r>
      <w:r w:rsidRPr="00D209AA">
        <w:rPr>
          <w:b/>
          <w:bCs/>
          <w:sz w:val="18"/>
          <w:szCs w:val="18"/>
        </w:rPr>
        <w:t xml:space="preserve"> Výdaje zdravotních pojišťoven podle druhu poskytnuté péče v roce 2015 a 2019 (mld. Kč; %)</w:t>
      </w:r>
      <w:r w:rsidRPr="00D209AA">
        <w:rPr>
          <w:b/>
          <w:bCs/>
          <w:i/>
          <w:sz w:val="16"/>
          <w:szCs w:val="16"/>
        </w:rPr>
        <w:t xml:space="preserve"> </w:t>
      </w:r>
    </w:p>
    <w:p w14:paraId="01FA5106" w14:textId="77777777" w:rsidR="00D051DC" w:rsidRPr="00D051DC" w:rsidRDefault="00D051DC" w:rsidP="00DC774A">
      <w:pPr>
        <w:keepNext/>
        <w:spacing w:line="240" w:lineRule="auto"/>
        <w:rPr>
          <w:b/>
          <w:bCs/>
          <w:i/>
          <w:sz w:val="16"/>
          <w:szCs w:val="16"/>
        </w:rPr>
      </w:pPr>
      <w:r w:rsidRPr="00D209AA">
        <w:rPr>
          <w:b/>
          <w:bCs/>
          <w:i/>
          <w:sz w:val="16"/>
          <w:szCs w:val="16"/>
        </w:rPr>
        <w:t xml:space="preserve">                                                                                                                               Zdroj: ČSÚ 2021, Zdravotnické účty ČR 2010</w:t>
      </w:r>
      <w:r w:rsidRPr="00D209AA">
        <w:rPr>
          <w:bCs/>
          <w:szCs w:val="20"/>
        </w:rPr>
        <w:t>–</w:t>
      </w:r>
      <w:r w:rsidRPr="00D209AA">
        <w:rPr>
          <w:b/>
          <w:bCs/>
          <w:i/>
          <w:sz w:val="16"/>
          <w:szCs w:val="16"/>
        </w:rPr>
        <w:t xml:space="preserve">2019 </w:t>
      </w:r>
    </w:p>
    <w:p w14:paraId="3D2917F5" w14:textId="0787DA4F" w:rsidR="00D209AA" w:rsidRDefault="00D209AA" w:rsidP="00321E64">
      <w:pPr>
        <w:spacing w:before="0"/>
      </w:pPr>
      <w:r>
        <w:t xml:space="preserve">Po léčebné péči jsou to </w:t>
      </w:r>
      <w:r w:rsidRPr="00EA32AC">
        <w:rPr>
          <w:b/>
        </w:rPr>
        <w:t>laboratorní služby a zobrazovací metody</w:t>
      </w:r>
      <w:r>
        <w:t>, které představují druhou nejvýznamnější položkou z hlediska úhrad zdravotních pojišťoven.  V roce 2019 vynaložily zdravotní pojišťovny za tyto služby celkem 45,8 mld. Kč. Tato částka se podílela 15 % na celkových výdajích zdravotních pojišťoven v Česku. Meziročně došlo ke zvýšení v</w:t>
      </w:r>
      <w:r w:rsidR="008B3758">
        <w:t>ýdajů na tyto doplňkové služby o 4,1</w:t>
      </w:r>
      <w:r>
        <w:t xml:space="preserve"> mld. Kč, </w:t>
      </w:r>
      <w:r w:rsidR="00DC774A">
        <w:t>v porovnání s rokem 2015 o 13,3 </w:t>
      </w:r>
      <w:r>
        <w:t xml:space="preserve">mld. Kč. </w:t>
      </w:r>
    </w:p>
    <w:p w14:paraId="6C88E94B" w14:textId="77D05773" w:rsidR="00D209AA" w:rsidRDefault="00D209AA" w:rsidP="00321E64">
      <w:pPr>
        <w:spacing w:before="0"/>
      </w:pPr>
      <w:r>
        <w:lastRenderedPageBreak/>
        <w:t xml:space="preserve">Celkem 43,5 mld. Kč vydaly zdravotní pojišťovny v roce 2019 za </w:t>
      </w:r>
      <w:r w:rsidRPr="00EA32AC">
        <w:rPr>
          <w:b/>
        </w:rPr>
        <w:t>léčiva a ostatní zdravotnické výrobky</w:t>
      </w:r>
      <w:r w:rsidR="00DC774A">
        <w:t>. Do </w:t>
      </w:r>
      <w:r>
        <w:t xml:space="preserve">této kategorie patří kromě léků i výdaje za ostatní </w:t>
      </w:r>
      <w:r w:rsidRPr="00923F39">
        <w:t xml:space="preserve">zdravotnický materiál (dezinfekce, obvazy, náplasti, teploměry atd.) </w:t>
      </w:r>
      <w:r>
        <w:t>a za terapeutic</w:t>
      </w:r>
      <w:r w:rsidR="008B3758">
        <w:t xml:space="preserve">ké pomůcky jako jsou například </w:t>
      </w:r>
      <w:r>
        <w:t>brýle, pomůcky</w:t>
      </w:r>
      <w:r w:rsidR="008B3758">
        <w:t xml:space="preserve"> pro sluchově postižené, berle </w:t>
      </w:r>
      <w:r>
        <w:t xml:space="preserve">nebo invalidní vozíky. Meziročně došlo ke zvýšení výdajů za léčiva a ostatní zdravotnické výrobky o 4,3 %. Mezi výdaji za léky zde nejsou podle metodiky SHA zahrnuty výdaje </w:t>
      </w:r>
      <w:r w:rsidR="00267CE9">
        <w:t>na léky spotřebované přímo ve </w:t>
      </w:r>
      <w:r w:rsidRPr="00D005B6">
        <w:t xml:space="preserve">zdravotnických zařízeních. </w:t>
      </w:r>
      <w:r>
        <w:t xml:space="preserve"> Podrobněji viz kapitola 5, kde jsou uvedeny veškeré výdaje za léky bez ohledu na zdroj jejich financování nebo místa spotřeby.</w:t>
      </w:r>
    </w:p>
    <w:p w14:paraId="5B6AD389" w14:textId="77777777" w:rsidR="00D209AA" w:rsidRPr="00D209AA" w:rsidRDefault="00D209AA" w:rsidP="00321E64">
      <w:pPr>
        <w:spacing w:before="0"/>
        <w:rPr>
          <w:b/>
          <w:i/>
        </w:rPr>
      </w:pPr>
      <w:r w:rsidRPr="00D209AA">
        <w:rPr>
          <w:b/>
          <w:i/>
        </w:rPr>
        <w:t>V roce 2019 nejrychleji rostly výdaje za preventivní, rehabilitační a dlouhodobou péči</w:t>
      </w:r>
    </w:p>
    <w:p w14:paraId="2C422130" w14:textId="5DED00D8" w:rsidR="00D209AA" w:rsidRDefault="00D209AA" w:rsidP="00321E64">
      <w:pPr>
        <w:spacing w:before="0"/>
      </w:pPr>
      <w:r>
        <w:t xml:space="preserve">K nejvyššímu procentuálnímu zvýšení oproti předchozímu roku, konkrétně o 16,4 % na 8,7 mld. Kč v roce 2019, došlo u výdajů zdravotních pojišťoven na preventivní péči. Preventivní </w:t>
      </w:r>
      <w:r w:rsidR="00267CE9">
        <w:t>péče se však podílí jen z 2,8 % na </w:t>
      </w:r>
      <w:r>
        <w:t xml:space="preserve">celkových výdajích zdravotních pojišťoven. Mnohem významnější je </w:t>
      </w:r>
      <w:r w:rsidR="008B3758">
        <w:rPr>
          <w:b/>
        </w:rPr>
        <w:t>rehabilitační a dlouhodobá</w:t>
      </w:r>
      <w:r w:rsidRPr="00EA32AC">
        <w:rPr>
          <w:b/>
        </w:rPr>
        <w:t xml:space="preserve"> zdravotní péče</w:t>
      </w:r>
      <w:r>
        <w:t>. Druhá jmenovaná se v roce 2019 podílela 6,5 % (20,2 mld. Kč) na celkových výdajích zdravotních pojišťoven. Podíl rehabilitační péče byl o něco nižší. V roce zdravotní pojišťovny na ni vynaložily 15,9 mld. Kč. Výdaje jak na rehabilitační, tak i dlouhodobou zdravotní péči, meziročně vzrostly procentuálně více než celkové úhrady zdravotních pojišťoven. Je však třeba zdůraz</w:t>
      </w:r>
      <w:r w:rsidR="00267CE9">
        <w:t>nit, že převážná část výdajů na </w:t>
      </w:r>
      <w:r>
        <w:t>dlouhodobou zdravotní péči je financována přímo z rozpočtu MPSV ČR – podrobněji viz kapitola č. 4.</w:t>
      </w:r>
    </w:p>
    <w:p w14:paraId="7FFFEFEC" w14:textId="77777777" w:rsidR="00321E64" w:rsidRPr="00321E64" w:rsidRDefault="00D209AA" w:rsidP="00321E64">
      <w:pPr>
        <w:autoSpaceDE w:val="0"/>
        <w:autoSpaceDN w:val="0"/>
        <w:adjustRightInd w:val="0"/>
        <w:spacing w:before="0"/>
        <w:rPr>
          <w:b/>
          <w:bCs/>
          <w:i/>
          <w:color w:val="000000" w:themeColor="text1"/>
        </w:rPr>
      </w:pPr>
      <w:r w:rsidRPr="000823AC">
        <w:rPr>
          <w:b/>
          <w:bCs/>
          <w:i/>
          <w:color w:val="000000" w:themeColor="text1"/>
        </w:rPr>
        <w:t xml:space="preserve">V letech 2018 a 2019 výdaje za ambulantní léčebnou péči </w:t>
      </w:r>
      <w:r>
        <w:rPr>
          <w:b/>
          <w:bCs/>
          <w:i/>
          <w:color w:val="000000" w:themeColor="text1"/>
        </w:rPr>
        <w:t xml:space="preserve">rostly </w:t>
      </w:r>
      <w:r w:rsidRPr="000823AC">
        <w:rPr>
          <w:b/>
          <w:bCs/>
          <w:i/>
          <w:color w:val="000000" w:themeColor="text1"/>
        </w:rPr>
        <w:t xml:space="preserve">výrazně rychleji než za péči lůžkovou </w:t>
      </w:r>
    </w:p>
    <w:p w14:paraId="18A42780" w14:textId="7EB72626" w:rsidR="00D209AA" w:rsidRPr="00D209AA" w:rsidRDefault="00D209AA" w:rsidP="00D209AA">
      <w:pPr>
        <w:spacing w:before="240" w:after="120" w:line="240" w:lineRule="auto"/>
        <w:rPr>
          <w:b/>
          <w:bCs/>
          <w:sz w:val="18"/>
          <w:szCs w:val="18"/>
        </w:rPr>
      </w:pPr>
      <w:r w:rsidRPr="00D209AA">
        <w:rPr>
          <w:b/>
          <w:bCs/>
          <w:sz w:val="18"/>
          <w:szCs w:val="18"/>
        </w:rPr>
        <w:t>Graf č. 2.5</w:t>
      </w:r>
      <w:r w:rsidR="006C0FEB">
        <w:rPr>
          <w:b/>
          <w:bCs/>
          <w:sz w:val="18"/>
          <w:szCs w:val="18"/>
        </w:rPr>
        <w:t>.</w:t>
      </w:r>
      <w:r w:rsidRPr="00D209AA">
        <w:rPr>
          <w:b/>
          <w:bCs/>
          <w:sz w:val="18"/>
          <w:szCs w:val="18"/>
        </w:rPr>
        <w:t xml:space="preserve"> Léčebná péče financovaná ze zdravotního pojištění podle jejího typu (mld. Kč; %)</w:t>
      </w:r>
    </w:p>
    <w:p w14:paraId="6C8C093A" w14:textId="77777777" w:rsidR="00D209AA" w:rsidRPr="00D209AA" w:rsidRDefault="00D209AA" w:rsidP="00D209AA">
      <w:pPr>
        <w:spacing w:after="0"/>
      </w:pPr>
      <w:r w:rsidRPr="00D209AA">
        <w:rPr>
          <w:noProof/>
        </w:rPr>
        <w:drawing>
          <wp:inline distT="0" distB="0" distL="0" distR="0" wp14:anchorId="4836B0E7" wp14:editId="1296AB33">
            <wp:extent cx="3673366" cy="2222938"/>
            <wp:effectExtent l="0" t="0" r="3810" b="6350"/>
            <wp:docPr id="3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Pr="00D209AA">
        <w:rPr>
          <w:noProof/>
        </w:rPr>
        <w:t xml:space="preserve"> </w:t>
      </w:r>
      <w:r w:rsidRPr="00D209AA">
        <w:rPr>
          <w:noProof/>
        </w:rPr>
        <w:drawing>
          <wp:inline distT="0" distB="0" distL="0" distR="0" wp14:anchorId="6C9FE044" wp14:editId="56CEEBC0">
            <wp:extent cx="2343720" cy="2227712"/>
            <wp:effectExtent l="0" t="0" r="0" b="1270"/>
            <wp:docPr id="4" name="Graf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534AEAF5" w14:textId="77777777" w:rsidR="00D209AA" w:rsidRPr="00D209AA" w:rsidRDefault="00D209AA" w:rsidP="00DC774A">
      <w:pPr>
        <w:jc w:val="right"/>
        <w:rPr>
          <w:b/>
          <w:bCs/>
          <w:i/>
          <w:sz w:val="16"/>
          <w:szCs w:val="16"/>
        </w:rPr>
      </w:pPr>
      <w:r w:rsidRPr="00D209AA">
        <w:rPr>
          <w:b/>
          <w:bCs/>
          <w:i/>
          <w:sz w:val="16"/>
          <w:szCs w:val="16"/>
        </w:rPr>
        <w:t>Zdroj: ČSÚ 2021, Zdravotnické účty ČR 2010 – 2019</w:t>
      </w:r>
    </w:p>
    <w:p w14:paraId="45A4DD81" w14:textId="055AAAFA" w:rsidR="008B3758" w:rsidRDefault="008B3758" w:rsidP="008B3758">
      <w:pPr>
        <w:pStyle w:val="Textkomente"/>
      </w:pPr>
      <w:r w:rsidRPr="008A349C">
        <w:t xml:space="preserve">Jak už bylo výše zmíněno, nejvíce peněz vydaly zdravotní pojišťovny za </w:t>
      </w:r>
      <w:r w:rsidRPr="00202411">
        <w:rPr>
          <w:b/>
        </w:rPr>
        <w:t>léčebnou zdravotní péči</w:t>
      </w:r>
      <w:r>
        <w:t>. V grafu </w:t>
      </w:r>
      <w:r w:rsidRPr="008A349C">
        <w:t>č.</w:t>
      </w:r>
      <w:r>
        <w:t> </w:t>
      </w:r>
      <w:proofErr w:type="gramStart"/>
      <w:r w:rsidRPr="008A349C">
        <w:t>2.</w:t>
      </w:r>
      <w:r>
        <w:t>5</w:t>
      </w:r>
      <w:r w:rsidR="006C0FEB">
        <w:t xml:space="preserve">. </w:t>
      </w:r>
      <w:r w:rsidRPr="008A349C">
        <w:t>jsou</w:t>
      </w:r>
      <w:proofErr w:type="gramEnd"/>
      <w:r w:rsidRPr="008A349C">
        <w:t xml:space="preserve"> uvedeny výdaje za tuto péči </w:t>
      </w:r>
      <w:r>
        <w:t>v letech 2015 až 2019 v členění na jednotlivé formy jejího poskytování. Po roce 2016 však můžeme pozorovat poměrně výrazný každoroční nárůst výdajů na léčebnou péči. Za tři roky tyto výdaje vzrostly o 40,9 mld. Kč na 162,1 mld. Kč v roce 2019. Tento nárůst byl významně ovlivněn změnami úhrad v oblasti specializované ambulantní péče. Podrobněji viz níže.</w:t>
      </w:r>
    </w:p>
    <w:p w14:paraId="24332259" w14:textId="77777777" w:rsidR="00321E64" w:rsidRDefault="00321E64" w:rsidP="00321E64">
      <w:pPr>
        <w:spacing w:before="0"/>
      </w:pPr>
      <w:r w:rsidRPr="00D808A0">
        <w:t>Jak již bylo uvedeno výše, léčebnou péči lze rozdělit podle místa a formy jejího poskytnutí na lůžkovou, denní,</w:t>
      </w:r>
      <w:r>
        <w:t xml:space="preserve"> ambulantní a domácí</w:t>
      </w:r>
      <w:r w:rsidRPr="00321E64">
        <w:rPr>
          <w:b/>
        </w:rPr>
        <w:t>. Domácí léčebná péče</w:t>
      </w:r>
      <w:r>
        <w:t xml:space="preserve"> představuje v celkových výdajích zdravotních pojišťoven zanedbatelnou roli. V roce 2019 na ni zdravotní pojišťovny vynaložily 239 mil. Kč, tj. 0,1 % z jejich celkových výdajů na léčebnou péči. Z toho důvodu ji dále nebudeme více rozebírat a není ani uvedena v grafu 2.5.</w:t>
      </w:r>
    </w:p>
    <w:p w14:paraId="58B96C80" w14:textId="16725709" w:rsidR="00321E64" w:rsidRDefault="00321E64" w:rsidP="00321E64">
      <w:pPr>
        <w:spacing w:before="0"/>
      </w:pPr>
      <w:r>
        <w:t xml:space="preserve">Nejvýznamnější část z léčebné péče tvoří ta, která je poskytnuta </w:t>
      </w:r>
      <w:r w:rsidRPr="00F63A6F">
        <w:rPr>
          <w:b/>
        </w:rPr>
        <w:t>ambulantně</w:t>
      </w:r>
      <w:r>
        <w:t>, ať už v rámci nemocnic nebo v samostatných (ambulantních) ordinacích praktického, gynek</w:t>
      </w:r>
      <w:r w:rsidR="00267CE9">
        <w:t>ologického, stomatologického či </w:t>
      </w:r>
      <w:r>
        <w:t>specializovaného lékaře. V roce 2019 na ni zdravotní pojišťovny vynalo</w:t>
      </w:r>
      <w:r w:rsidR="00267CE9">
        <w:t>žily 60 % z celkových výdajů na </w:t>
      </w:r>
      <w:r>
        <w:t xml:space="preserve">léčebnou péči. V porovnání s rokem 2017, kdy se výdaje na ambulantní péči podílely z 55 % na celkových </w:t>
      </w:r>
      <w:r>
        <w:lastRenderedPageBreak/>
        <w:t>nákladech na léčebn</w:t>
      </w:r>
      <w:r w:rsidR="00667DB2">
        <w:t xml:space="preserve">ou péči, </w:t>
      </w:r>
      <w:r>
        <w:t>vzrostly výdaje pojišťoven na ni o 36,4 % (25,9 mld. Kč) na 97,2 mld. Kč v roce 2019. Podrobněji náklady na ambulantní péči včetně členění podle typu této péče rozebereme dále v textu.</w:t>
      </w:r>
    </w:p>
    <w:p w14:paraId="5C843EDE" w14:textId="075182A7" w:rsidR="00321E64" w:rsidRPr="00594A60" w:rsidRDefault="00321E64" w:rsidP="00321E64">
      <w:pPr>
        <w:spacing w:before="0"/>
      </w:pPr>
      <w:r w:rsidRPr="00321E64">
        <w:rPr>
          <w:b/>
        </w:rPr>
        <w:t>Lůžková péče</w:t>
      </w:r>
      <w:r>
        <w:t>, která je nejčastěji poskytovaná v nemocnicích, je druhou nejv</w:t>
      </w:r>
      <w:r w:rsidR="00267CE9">
        <w:t>ýznamnější z hlediska výdajů na </w:t>
      </w:r>
      <w:r>
        <w:t xml:space="preserve">ni. V roce 2019 na ni směřovalo 35 % (57,4 mld. Kč) z finančních prostředků, které zdravotní pojišťovny v roce 2019 uhradily za léčebnou péči v Česku celkem. Na denní léčebnou </w:t>
      </w:r>
      <w:r w:rsidR="00267CE9">
        <w:t>péči připadalo v letech 2017 až </w:t>
      </w:r>
      <w:r>
        <w:t>2019 cca 5 % z celkových výdajů zdravotních pojišťoven na léčebnou péči.</w:t>
      </w:r>
    </w:p>
    <w:p w14:paraId="586CB8B8" w14:textId="4666D4E0" w:rsidR="00321E64" w:rsidRPr="00321E64" w:rsidRDefault="00321E64" w:rsidP="00321E64">
      <w:pPr>
        <w:spacing w:before="240" w:after="120" w:line="240" w:lineRule="auto"/>
        <w:rPr>
          <w:b/>
          <w:bCs/>
          <w:sz w:val="18"/>
          <w:szCs w:val="18"/>
        </w:rPr>
      </w:pPr>
      <w:r w:rsidRPr="00321E64">
        <w:rPr>
          <w:b/>
          <w:bCs/>
          <w:sz w:val="18"/>
          <w:szCs w:val="18"/>
        </w:rPr>
        <w:t>Graf č. 2.6</w:t>
      </w:r>
      <w:r w:rsidR="006C0FEB">
        <w:rPr>
          <w:b/>
          <w:bCs/>
          <w:sz w:val="18"/>
          <w:szCs w:val="18"/>
        </w:rPr>
        <w:t>.</w:t>
      </w:r>
      <w:r w:rsidRPr="00321E64">
        <w:rPr>
          <w:b/>
          <w:bCs/>
          <w:sz w:val="18"/>
          <w:szCs w:val="18"/>
        </w:rPr>
        <w:t xml:space="preserve"> Ambulantní péče financovaná ze zdravotního pojištění podle jejího typu (mld. Kč; %)</w:t>
      </w:r>
    </w:p>
    <w:p w14:paraId="5DF73E2A" w14:textId="77777777" w:rsidR="00321E64" w:rsidRPr="00321E64" w:rsidRDefault="00321E64" w:rsidP="00321E64">
      <w:pPr>
        <w:spacing w:after="0"/>
      </w:pPr>
      <w:r w:rsidRPr="00321E64">
        <w:rPr>
          <w:noProof/>
        </w:rPr>
        <w:t xml:space="preserve"> </w:t>
      </w:r>
      <w:r w:rsidRPr="00321E64">
        <w:rPr>
          <w:noProof/>
        </w:rPr>
        <w:drawing>
          <wp:inline distT="0" distB="0" distL="0" distR="0" wp14:anchorId="5181159F" wp14:editId="00DBC6A2">
            <wp:extent cx="4014952" cy="3342290"/>
            <wp:effectExtent l="0" t="0" r="5080" b="10795"/>
            <wp:docPr id="33" name="Graf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Pr="00321E64">
        <w:rPr>
          <w:noProof/>
        </w:rPr>
        <w:t xml:space="preserve"> </w:t>
      </w:r>
      <w:r w:rsidRPr="00321E64">
        <w:rPr>
          <w:noProof/>
        </w:rPr>
        <w:drawing>
          <wp:inline distT="0" distB="0" distL="0" distR="0" wp14:anchorId="5D476F67" wp14:editId="3487BBA2">
            <wp:extent cx="1965259" cy="3352384"/>
            <wp:effectExtent l="0" t="0" r="16510" b="635"/>
            <wp:docPr id="34" name="Graf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7118AA7F" w14:textId="77777777" w:rsidR="00321E64" w:rsidRPr="00321E64" w:rsidRDefault="00321E64" w:rsidP="00B94FAF">
      <w:pPr>
        <w:jc w:val="right"/>
        <w:rPr>
          <w:b/>
          <w:bCs/>
          <w:i/>
          <w:sz w:val="16"/>
          <w:szCs w:val="16"/>
        </w:rPr>
      </w:pPr>
      <w:r w:rsidRPr="00321E64">
        <w:rPr>
          <w:b/>
          <w:bCs/>
          <w:i/>
          <w:sz w:val="16"/>
          <w:szCs w:val="16"/>
        </w:rPr>
        <w:t>Zdroj: ČSÚ 2021, Zdravotnické účty ČR 2010 – 2019</w:t>
      </w:r>
    </w:p>
    <w:p w14:paraId="5A51B0CA" w14:textId="77777777" w:rsidR="00321E64" w:rsidRPr="00667DB2" w:rsidRDefault="00321E64" w:rsidP="00321E64">
      <w:pPr>
        <w:spacing w:before="0"/>
        <w:rPr>
          <w:b/>
          <w:i/>
        </w:rPr>
      </w:pPr>
      <w:r w:rsidRPr="00667DB2">
        <w:rPr>
          <w:b/>
          <w:i/>
        </w:rPr>
        <w:t>Z celkových výdajů zdravotních pojišťoven na zdravotní péči bylo přibližně 35 % vydáno za ambulantní péči</w:t>
      </w:r>
    </w:p>
    <w:p w14:paraId="0AF80988" w14:textId="7A5645DC" w:rsidR="00321E64" w:rsidRDefault="00321E64" w:rsidP="00321E64">
      <w:pPr>
        <w:spacing w:before="0"/>
      </w:pPr>
      <w:r w:rsidRPr="007339C2">
        <w:rPr>
          <w:b/>
        </w:rPr>
        <w:t>V</w:t>
      </w:r>
      <w:r>
        <w:rPr>
          <w:b/>
        </w:rPr>
        <w:t>ýdaje za </w:t>
      </w:r>
      <w:r w:rsidRPr="007339C2">
        <w:rPr>
          <w:b/>
        </w:rPr>
        <w:t>ambulantní péči</w:t>
      </w:r>
      <w:r>
        <w:t xml:space="preserve"> z celkových výdajů zdravotních pojišťoven činily v roce 2019 celkem </w:t>
      </w:r>
      <w:r w:rsidRPr="007339C2">
        <w:rPr>
          <w:b/>
        </w:rPr>
        <w:t>107,2 mld. Kč</w:t>
      </w:r>
      <w:r>
        <w:t>. Meziročně došlo ke zvýšení o 10,6 mld. Kč. Do ambulantní péče spadá jak ambulantní léčebná péče, do této kategorie se řadí všeobecná ambulantní léčebná péče</w:t>
      </w:r>
      <w:r w:rsidR="00267CE9">
        <w:t>, stomatologická léčebná péče a </w:t>
      </w:r>
      <w:r>
        <w:t>specializovaná léčebná péče, tak i ambulantní rehabilitační p</w:t>
      </w:r>
      <w:r w:rsidR="00667DB2">
        <w:t xml:space="preserve">éče. Jak lze vidět na grafu výše (graf č. </w:t>
      </w:r>
      <w:proofErr w:type="gramStart"/>
      <w:r w:rsidR="00667DB2">
        <w:t>2.6</w:t>
      </w:r>
      <w:r w:rsidR="006C0FEB">
        <w:t>.</w:t>
      </w:r>
      <w:r w:rsidR="00267CE9">
        <w:t xml:space="preserve">), </w:t>
      </w:r>
      <w:r>
        <w:t>nejvíce</w:t>
      </w:r>
      <w:proofErr w:type="gramEnd"/>
      <w:r>
        <w:t xml:space="preserve"> bylo z celkových výdajů za ambulantní péči vydáno na </w:t>
      </w:r>
      <w:r w:rsidRPr="007339C2">
        <w:rPr>
          <w:b/>
        </w:rPr>
        <w:t>specializovanou léčebnou péči</w:t>
      </w:r>
      <w:r>
        <w:t> (61,5 mld. Kč). Tuto kategorii lze rozdělit na čtyři základní lékařské oblasti, konkrétně na interní medicínu (vnitřní lékařství), gynekologii a porodnictví, chirurgii a pediatrii. Me</w:t>
      </w:r>
      <w:r w:rsidR="00267CE9">
        <w:t>zi roky 2014–2017 nedocházelo u </w:t>
      </w:r>
      <w:r>
        <w:t>specializované léčebné péče k výrazným meziročním nárůstům (max. o 3 </w:t>
      </w:r>
      <w:r w:rsidR="00267CE9">
        <w:t>%). K většímu nárůstů výdajů za </w:t>
      </w:r>
      <w:r>
        <w:t>tuto péči došlo v roce 2018, kdy se výdaje zvedly o 32 % a v roce 2019 o</w:t>
      </w:r>
      <w:r w:rsidR="00267CE9">
        <w:t xml:space="preserve"> 11 %. Druhé nejvyšší výdaje za </w:t>
      </w:r>
      <w:r>
        <w:t xml:space="preserve">ambulantní péči z výdajů zdravotních pojišťoven jsou za </w:t>
      </w:r>
      <w:r w:rsidRPr="007339C2">
        <w:rPr>
          <w:b/>
        </w:rPr>
        <w:t>všeobecnou ambulantní péči</w:t>
      </w:r>
      <w:r>
        <w:t xml:space="preserve">. Všeobecná ambulantní léčebná péče zahrnuje například rutinní vyšetření, lékařská hodnocení, předpisy léčiv, rutinní poradenství pro pacienty nebo injekce a očkování. V roce 2019 vydaly zdravotní pojišťovny za tuto péči celkem 24,9 mld. Kč. Meziročně došlo k nárůstu o 8 %. Nejnižší výdaje z celkových výdajů za ambulantní péči hrazenou zdravotními pojišťovnami jsou dlouhodobě za </w:t>
      </w:r>
      <w:r w:rsidRPr="007339C2">
        <w:rPr>
          <w:b/>
        </w:rPr>
        <w:t>rehabilitační ambulantní péči</w:t>
      </w:r>
      <w:r w:rsidR="00267CE9">
        <w:t xml:space="preserve"> (10 mld. Kč) a </w:t>
      </w:r>
      <w:r w:rsidRPr="007339C2">
        <w:rPr>
          <w:b/>
        </w:rPr>
        <w:t>stomatologickou ambulantní léčebnou péči</w:t>
      </w:r>
      <w:r>
        <w:t xml:space="preserve"> (10,8 mld. Kč). Meziročně došlo u obou péčí ke zvýšení výdajů o přibližně 1,2 mld. Kč.</w:t>
      </w:r>
    </w:p>
    <w:p w14:paraId="68925935" w14:textId="77777777" w:rsidR="00D209AA" w:rsidRDefault="00321E64" w:rsidP="00321E64">
      <w:pPr>
        <w:pStyle w:val="Nadpis3"/>
      </w:pPr>
      <w:r>
        <w:lastRenderedPageBreak/>
        <w:t>2.4. V</w:t>
      </w:r>
      <w:r w:rsidRPr="00425420">
        <w:t>ýdaje zdravotních pojišťoven</w:t>
      </w:r>
      <w:r>
        <w:t xml:space="preserve"> podle typu poskytovatele</w:t>
      </w:r>
    </w:p>
    <w:p w14:paraId="517525F0" w14:textId="77777777" w:rsidR="00321E64" w:rsidRPr="00667DB2" w:rsidRDefault="00321E64" w:rsidP="00321E64">
      <w:pPr>
        <w:spacing w:before="0"/>
        <w:rPr>
          <w:b/>
          <w:i/>
        </w:rPr>
      </w:pPr>
      <w:r w:rsidRPr="00667DB2">
        <w:rPr>
          <w:b/>
          <w:i/>
        </w:rPr>
        <w:t>Největší částka byla z celkových výdajů zdravotních pojišťoven vydána za zdravotní péči poskytovanou v nemocnicích</w:t>
      </w:r>
    </w:p>
    <w:p w14:paraId="163D404E" w14:textId="11CDD39F" w:rsidR="00321E64" w:rsidRDefault="00321E64" w:rsidP="00321E64">
      <w:pPr>
        <w:spacing w:before="0"/>
      </w:pPr>
      <w:r>
        <w:t xml:space="preserve">Za </w:t>
      </w:r>
      <w:r w:rsidRPr="009B3722">
        <w:rPr>
          <w:b/>
        </w:rPr>
        <w:t>zdravotní péči v nemocnicích</w:t>
      </w:r>
      <w:r>
        <w:t xml:space="preserve"> v roce 2019 vydaly zdravotní pojišťovny celkem </w:t>
      </w:r>
      <w:r w:rsidRPr="009B3722">
        <w:rPr>
          <w:b/>
        </w:rPr>
        <w:t>176,8</w:t>
      </w:r>
      <w:r>
        <w:rPr>
          <w:b/>
        </w:rPr>
        <w:t> mld. </w:t>
      </w:r>
      <w:r w:rsidRPr="009B3722">
        <w:rPr>
          <w:b/>
        </w:rPr>
        <w:t>Kč</w:t>
      </w:r>
      <w:r w:rsidR="00267CE9">
        <w:t>, což je 57 % </w:t>
      </w:r>
      <w:r>
        <w:t>z celkových výdajů zdravotních pojišťoven za zdravotní p</w:t>
      </w:r>
      <w:r w:rsidR="00667DB2">
        <w:t>éči v roce 2019 (viz graf č. 2.7</w:t>
      </w:r>
      <w:r w:rsidR="00267CE9">
        <w:t>.). Celkem </w:t>
      </w:r>
      <w:r>
        <w:t xml:space="preserve">52 % </w:t>
      </w:r>
      <w:r w:rsidRPr="00784747">
        <w:t xml:space="preserve"> </w:t>
      </w:r>
      <w:r>
        <w:t xml:space="preserve">z výdajů na zdravotní péči podle typu poskytovatele bylo vydáno za péči ve </w:t>
      </w:r>
      <w:r w:rsidRPr="009B3722">
        <w:rPr>
          <w:b/>
        </w:rPr>
        <w:t>všeobecných nemocnicích</w:t>
      </w:r>
      <w:r>
        <w:rPr>
          <w:b/>
        </w:rPr>
        <w:t xml:space="preserve">, </w:t>
      </w:r>
      <w:r>
        <w:t xml:space="preserve">dále ve </w:t>
      </w:r>
      <w:r w:rsidRPr="009B3722">
        <w:rPr>
          <w:b/>
        </w:rPr>
        <w:t>specializovaných nemocnicích</w:t>
      </w:r>
      <w:r>
        <w:t xml:space="preserve"> (3 %) a nejméně (2 %) v </w:t>
      </w:r>
      <w:r w:rsidRPr="009B3722">
        <w:rPr>
          <w:b/>
        </w:rPr>
        <w:t>psychiatrických nemocnicích</w:t>
      </w:r>
      <w:r>
        <w:t>.</w:t>
      </w:r>
    </w:p>
    <w:p w14:paraId="46D8BB30" w14:textId="2DAF6F3A" w:rsidR="00321E64" w:rsidRPr="00003EC4" w:rsidRDefault="00321E64" w:rsidP="00321E64">
      <w:pPr>
        <w:spacing w:before="240" w:after="120" w:line="240" w:lineRule="auto"/>
        <w:rPr>
          <w:b/>
          <w:bCs/>
          <w:sz w:val="18"/>
          <w:szCs w:val="18"/>
        </w:rPr>
      </w:pPr>
      <w:r w:rsidRPr="009C4ED6">
        <w:rPr>
          <w:b/>
          <w:sz w:val="18"/>
          <w:szCs w:val="18"/>
        </w:rPr>
        <w:t xml:space="preserve">Graf </w:t>
      </w:r>
      <w:proofErr w:type="gramStart"/>
      <w:r w:rsidR="00667DB2">
        <w:rPr>
          <w:b/>
          <w:sz w:val="18"/>
          <w:szCs w:val="18"/>
        </w:rPr>
        <w:t>č.2.7</w:t>
      </w:r>
      <w:proofErr w:type="gramEnd"/>
      <w:r w:rsidRPr="009C4ED6">
        <w:rPr>
          <w:b/>
          <w:sz w:val="18"/>
          <w:szCs w:val="18"/>
        </w:rPr>
        <w:t xml:space="preserve">. </w:t>
      </w:r>
      <w:r>
        <w:rPr>
          <w:b/>
          <w:bCs/>
          <w:sz w:val="18"/>
          <w:szCs w:val="18"/>
        </w:rPr>
        <w:t>Struktura výdajů</w:t>
      </w:r>
      <w:r w:rsidRPr="00425420">
        <w:rPr>
          <w:b/>
          <w:bCs/>
          <w:sz w:val="18"/>
          <w:szCs w:val="18"/>
        </w:rPr>
        <w:t xml:space="preserve"> na zdravotní péči v Česku financovan</w:t>
      </w:r>
      <w:r>
        <w:rPr>
          <w:b/>
          <w:bCs/>
          <w:sz w:val="18"/>
          <w:szCs w:val="18"/>
        </w:rPr>
        <w:t>ou</w:t>
      </w:r>
      <w:r w:rsidRPr="00425420">
        <w:rPr>
          <w:b/>
          <w:bCs/>
          <w:sz w:val="18"/>
          <w:szCs w:val="18"/>
        </w:rPr>
        <w:t xml:space="preserve"> ze zdr</w:t>
      </w:r>
      <w:r>
        <w:rPr>
          <w:b/>
          <w:bCs/>
          <w:sz w:val="18"/>
          <w:szCs w:val="18"/>
        </w:rPr>
        <w:t>ojů zdravotních pojišťoven podle druhu péče, 2019 (%)</w:t>
      </w:r>
    </w:p>
    <w:p w14:paraId="03920BE4" w14:textId="77777777" w:rsidR="00321E64" w:rsidRDefault="00321E64" w:rsidP="00321E64">
      <w:pPr>
        <w:spacing w:after="0"/>
        <w:rPr>
          <w:b/>
        </w:rPr>
      </w:pPr>
      <w:r>
        <w:rPr>
          <w:noProof/>
        </w:rPr>
        <w:drawing>
          <wp:inline distT="0" distB="0" distL="0" distR="0" wp14:anchorId="74AC2595" wp14:editId="01E42B01">
            <wp:extent cx="6127531" cy="4256690"/>
            <wp:effectExtent l="0" t="0" r="6985" b="10795"/>
            <wp:docPr id="6" name="Graf 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14DEC914" w14:textId="77777777" w:rsidR="00321E64" w:rsidRPr="0056707F" w:rsidRDefault="00321E64" w:rsidP="00321E64">
      <w:pPr>
        <w:spacing w:before="0" w:after="0"/>
        <w:rPr>
          <w:rFonts w:cs="Arial"/>
          <w:bCs/>
          <w:i/>
          <w:sz w:val="16"/>
          <w:szCs w:val="16"/>
        </w:rPr>
      </w:pPr>
      <w:r w:rsidRPr="0056707F">
        <w:rPr>
          <w:rFonts w:cs="Arial"/>
          <w:bCs/>
          <w:i/>
          <w:sz w:val="16"/>
          <w:szCs w:val="16"/>
        </w:rPr>
        <w:t>*</w:t>
      </w:r>
      <w:r>
        <w:rPr>
          <w:rFonts w:cs="Arial"/>
          <w:bCs/>
          <w:i/>
          <w:sz w:val="16"/>
          <w:szCs w:val="16"/>
        </w:rPr>
        <w:t xml:space="preserve"> PZT</w:t>
      </w:r>
      <w:r w:rsidRPr="0056707F">
        <w:rPr>
          <w:rFonts w:cs="Arial"/>
          <w:bCs/>
          <w:i/>
          <w:sz w:val="16"/>
          <w:szCs w:val="16"/>
        </w:rPr>
        <w:t xml:space="preserve"> – prostředky zdravotnické techniky</w:t>
      </w:r>
    </w:p>
    <w:p w14:paraId="41D4ADED" w14:textId="77777777" w:rsidR="00321E64" w:rsidRPr="00325AD9" w:rsidRDefault="00321E64" w:rsidP="00321E64">
      <w:pPr>
        <w:keepNext/>
        <w:spacing w:before="0"/>
        <w:jc w:val="right"/>
        <w:rPr>
          <w:b/>
          <w:bCs/>
          <w:i/>
          <w:sz w:val="16"/>
          <w:szCs w:val="16"/>
        </w:rPr>
      </w:pPr>
      <w:r>
        <w:rPr>
          <w:b/>
          <w:bCs/>
          <w:i/>
          <w:sz w:val="16"/>
          <w:szCs w:val="16"/>
        </w:rPr>
        <w:t xml:space="preserve">                                                                                                                               </w:t>
      </w:r>
      <w:r w:rsidRPr="00D5521C">
        <w:rPr>
          <w:b/>
          <w:bCs/>
          <w:i/>
          <w:sz w:val="16"/>
          <w:szCs w:val="16"/>
        </w:rPr>
        <w:t>Zdroj: ČSÚ 20</w:t>
      </w:r>
      <w:r>
        <w:rPr>
          <w:b/>
          <w:bCs/>
          <w:i/>
          <w:sz w:val="16"/>
          <w:szCs w:val="16"/>
        </w:rPr>
        <w:t>21</w:t>
      </w:r>
      <w:r w:rsidRPr="00D5521C">
        <w:rPr>
          <w:b/>
          <w:bCs/>
          <w:i/>
          <w:sz w:val="16"/>
          <w:szCs w:val="16"/>
        </w:rPr>
        <w:t>, Zdravotnické účty ČR 2010</w:t>
      </w:r>
      <w:r w:rsidRPr="008F71DE">
        <w:rPr>
          <w:bCs/>
          <w:szCs w:val="20"/>
        </w:rPr>
        <w:t>–</w:t>
      </w:r>
      <w:r w:rsidRPr="00D5521C">
        <w:rPr>
          <w:b/>
          <w:bCs/>
          <w:i/>
          <w:sz w:val="16"/>
          <w:szCs w:val="16"/>
        </w:rPr>
        <w:t>201</w:t>
      </w:r>
      <w:r>
        <w:rPr>
          <w:b/>
          <w:bCs/>
          <w:i/>
          <w:sz w:val="16"/>
          <w:szCs w:val="16"/>
        </w:rPr>
        <w:t>9</w:t>
      </w:r>
      <w:r w:rsidRPr="00D5521C">
        <w:rPr>
          <w:b/>
          <w:bCs/>
          <w:i/>
          <w:sz w:val="16"/>
          <w:szCs w:val="16"/>
        </w:rPr>
        <w:t xml:space="preserve"> </w:t>
      </w:r>
    </w:p>
    <w:p w14:paraId="172136A4" w14:textId="77777777" w:rsidR="00321E64" w:rsidRDefault="00321E64" w:rsidP="00321E64">
      <w:pPr>
        <w:spacing w:before="0"/>
      </w:pPr>
      <w:r>
        <w:t xml:space="preserve">Druhé nejvyšší výdaje za zdravotní péči z výdajů zdravotních pojišťoven byly spotřebovány u </w:t>
      </w:r>
      <w:r w:rsidRPr="009B3722">
        <w:rPr>
          <w:b/>
        </w:rPr>
        <w:t>poskytovatel</w:t>
      </w:r>
      <w:r>
        <w:rPr>
          <w:b/>
        </w:rPr>
        <w:t>ů</w:t>
      </w:r>
      <w:r w:rsidRPr="009B3722">
        <w:rPr>
          <w:b/>
        </w:rPr>
        <w:t xml:space="preserve"> ambulantní péče</w:t>
      </w:r>
      <w:r>
        <w:t xml:space="preserve"> a to 74,9 mld. Kč (24 % z celkových výdajů zdravotních pojišťoven na zdravotní péči). V této kategorii byly nejvyšší výdaje zaznamenány za </w:t>
      </w:r>
      <w:r w:rsidRPr="009B3722">
        <w:rPr>
          <w:b/>
        </w:rPr>
        <w:t>samostatné ordinace lékařů</w:t>
      </w:r>
      <w:r>
        <w:t xml:space="preserve"> (15 % z celkových výdajů zdravotních pojišťoven), zatímco nejmenší výdaje byly za </w:t>
      </w:r>
      <w:r w:rsidRPr="009B3722">
        <w:rPr>
          <w:b/>
        </w:rPr>
        <w:t>poskytovatele služeb domácí péče</w:t>
      </w:r>
      <w:r>
        <w:t xml:space="preserve"> (1 %). </w:t>
      </w:r>
    </w:p>
    <w:p w14:paraId="7039E760" w14:textId="3C36B6A6" w:rsidR="003B245D" w:rsidRDefault="00667DB2" w:rsidP="003B245D">
      <w:pPr>
        <w:spacing w:before="0"/>
      </w:pPr>
      <w:r>
        <w:t>V grafu č. </w:t>
      </w:r>
      <w:proofErr w:type="gramStart"/>
      <w:r>
        <w:t>2.8</w:t>
      </w:r>
      <w:r w:rsidR="006C0FEB">
        <w:t>.</w:t>
      </w:r>
      <w:r w:rsidR="00321E64">
        <w:t xml:space="preserve"> jsou</w:t>
      </w:r>
      <w:proofErr w:type="gramEnd"/>
      <w:r w:rsidR="00321E64">
        <w:t xml:space="preserve"> uvedeny absolutní </w:t>
      </w:r>
      <w:r w:rsidR="00321E64" w:rsidRPr="00AC5BCE">
        <w:rPr>
          <w:b/>
        </w:rPr>
        <w:t>výdaje zdravotních pojišťoven za vybrané poskytovat</w:t>
      </w:r>
      <w:r w:rsidR="00321E64">
        <w:rPr>
          <w:b/>
        </w:rPr>
        <w:t>ele zdravotní péče v letech 2010</w:t>
      </w:r>
      <w:r w:rsidR="00321E64" w:rsidRPr="00AC5BCE">
        <w:rPr>
          <w:b/>
        </w:rPr>
        <w:t>-2019</w:t>
      </w:r>
      <w:r w:rsidR="00321E64">
        <w:t>. Od roku 2010 se výdaje na zdravotní péči poskytovanou nemocnicemi zvýšily o 53,6 mld. Kč, u poskytovatelů ambulantní péče o 21,8 mld. Kč. K nejvyššímu poklesu výdajů za zdravotní péči od roku 20</w:t>
      </w:r>
      <w:r w:rsidR="00B94FAF">
        <w:t>10 došlo u lékáren a výdejen prostředků zdravotnické techniky</w:t>
      </w:r>
      <w:r w:rsidR="00321E64">
        <w:t>, konkrétně to bylo o 2,5 mld. Kč.</w:t>
      </w:r>
    </w:p>
    <w:p w14:paraId="4378E0B1" w14:textId="22497BFF" w:rsidR="00667DB2" w:rsidRDefault="00667DB2" w:rsidP="003B245D">
      <w:pPr>
        <w:spacing w:before="0"/>
      </w:pPr>
    </w:p>
    <w:p w14:paraId="786E37BF" w14:textId="211A27AA" w:rsidR="00321E64" w:rsidRPr="003B245D" w:rsidRDefault="00667DB2" w:rsidP="003B245D">
      <w:pPr>
        <w:spacing w:before="0" w:after="120"/>
      </w:pPr>
      <w:r>
        <w:rPr>
          <w:rFonts w:cs="Arial"/>
          <w:b/>
          <w:bCs/>
          <w:sz w:val="18"/>
          <w:szCs w:val="18"/>
        </w:rPr>
        <w:lastRenderedPageBreak/>
        <w:t>Graf č. 2.8</w:t>
      </w:r>
      <w:r w:rsidR="00321E64" w:rsidRPr="00321E64">
        <w:rPr>
          <w:rFonts w:cs="Arial"/>
          <w:b/>
          <w:bCs/>
          <w:sz w:val="18"/>
          <w:szCs w:val="18"/>
        </w:rPr>
        <w:t>. Výdaje zdravotních pojišťoven za vybrané poskytovatele zdravotní péče v ČR, 2010</w:t>
      </w:r>
      <w:r w:rsidR="00321E64" w:rsidRPr="00321E64">
        <w:rPr>
          <w:rFonts w:eastAsia="Calibri" w:cs="Arial"/>
          <w:b/>
          <w:color w:val="000000"/>
          <w:szCs w:val="20"/>
        </w:rPr>
        <w:t>–</w:t>
      </w:r>
      <w:r w:rsidR="00321E64" w:rsidRPr="00321E64">
        <w:rPr>
          <w:rFonts w:cs="Arial"/>
          <w:b/>
          <w:bCs/>
          <w:sz w:val="18"/>
          <w:szCs w:val="18"/>
        </w:rPr>
        <w:t>2019 (mil. Kč)</w:t>
      </w:r>
    </w:p>
    <w:p w14:paraId="375D8D8D" w14:textId="77777777" w:rsidR="00321E64" w:rsidRPr="00321E64" w:rsidRDefault="00321E64" w:rsidP="003B245D">
      <w:pPr>
        <w:spacing w:after="0" w:line="240" w:lineRule="auto"/>
        <w:rPr>
          <w:rFonts w:cs="Arial"/>
          <w:b/>
          <w:bCs/>
          <w:sz w:val="16"/>
          <w:szCs w:val="16"/>
        </w:rPr>
      </w:pPr>
      <w:r w:rsidRPr="00321E64">
        <w:rPr>
          <w:noProof/>
        </w:rPr>
        <w:drawing>
          <wp:inline distT="0" distB="0" distL="0" distR="0" wp14:anchorId="0106D50B" wp14:editId="057D50FD">
            <wp:extent cx="6085489" cy="3794234"/>
            <wp:effectExtent l="0" t="0" r="10795" b="15875"/>
            <wp:docPr id="18" name="Graf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1B0C3B1C" w14:textId="77777777" w:rsidR="00321E64" w:rsidRPr="00321E64" w:rsidRDefault="00321E64" w:rsidP="00B94FAF">
      <w:pPr>
        <w:spacing w:after="60"/>
        <w:rPr>
          <w:rFonts w:cs="Arial"/>
          <w:bCs/>
          <w:i/>
          <w:sz w:val="16"/>
          <w:szCs w:val="16"/>
        </w:rPr>
      </w:pPr>
      <w:r w:rsidRPr="00321E64">
        <w:rPr>
          <w:rFonts w:cs="Arial"/>
          <w:bCs/>
          <w:i/>
          <w:sz w:val="16"/>
          <w:szCs w:val="16"/>
        </w:rPr>
        <w:t>* PZT – prostředky zdravotnické techniky</w:t>
      </w:r>
      <w:r w:rsidRPr="00321E64">
        <w:rPr>
          <w:b/>
          <w:bCs/>
          <w:i/>
          <w:sz w:val="16"/>
          <w:szCs w:val="16"/>
        </w:rPr>
        <w:t xml:space="preserve">                                                               </w:t>
      </w:r>
    </w:p>
    <w:p w14:paraId="3F444F54" w14:textId="77777777" w:rsidR="00321E64" w:rsidRDefault="00321E64" w:rsidP="00B94FAF">
      <w:pPr>
        <w:keepNext/>
        <w:spacing w:before="60" w:line="240" w:lineRule="auto"/>
        <w:jc w:val="right"/>
        <w:rPr>
          <w:b/>
          <w:bCs/>
          <w:i/>
          <w:sz w:val="16"/>
          <w:szCs w:val="16"/>
        </w:rPr>
      </w:pPr>
      <w:r w:rsidRPr="00321E64">
        <w:rPr>
          <w:b/>
          <w:bCs/>
          <w:i/>
          <w:sz w:val="16"/>
          <w:szCs w:val="16"/>
        </w:rPr>
        <w:t xml:space="preserve">                                                                Zdroj: ČSÚ 2021, Zdravotnické účty ČR 2010</w:t>
      </w:r>
      <w:r w:rsidRPr="00321E64">
        <w:rPr>
          <w:bCs/>
          <w:szCs w:val="20"/>
        </w:rPr>
        <w:t>–</w:t>
      </w:r>
      <w:r w:rsidRPr="00321E64">
        <w:rPr>
          <w:b/>
          <w:bCs/>
          <w:i/>
          <w:sz w:val="16"/>
          <w:szCs w:val="16"/>
        </w:rPr>
        <w:t>2019</w:t>
      </w:r>
      <w:r>
        <w:rPr>
          <w:b/>
          <w:bCs/>
          <w:i/>
          <w:sz w:val="16"/>
          <w:szCs w:val="16"/>
        </w:rPr>
        <w:br w:type="page"/>
      </w:r>
    </w:p>
    <w:p w14:paraId="3AA41F29" w14:textId="77777777" w:rsidR="00321E64" w:rsidRDefault="00EF48BB" w:rsidP="00321E64">
      <w:pPr>
        <w:pStyle w:val="Nadpis3"/>
      </w:pPr>
      <w:r>
        <w:lastRenderedPageBreak/>
        <w:t>2.5</w:t>
      </w:r>
      <w:r w:rsidR="00321E64">
        <w:t xml:space="preserve">. </w:t>
      </w:r>
      <w:r w:rsidR="00321E64" w:rsidRPr="00425420">
        <w:t>Výdaje zdravotních pojišťoven podle diagnóz</w:t>
      </w:r>
    </w:p>
    <w:p w14:paraId="454C32F9" w14:textId="77777777" w:rsidR="00321E64" w:rsidRPr="00321E64" w:rsidRDefault="00321E64" w:rsidP="00321E64">
      <w:pPr>
        <w:spacing w:before="0"/>
      </w:pPr>
      <w:r>
        <w:t>Tato</w:t>
      </w:r>
      <w:r w:rsidRPr="00425420">
        <w:t xml:space="preserve"> </w:t>
      </w:r>
      <w:r>
        <w:t>část</w:t>
      </w:r>
      <w:r w:rsidRPr="00425420">
        <w:t xml:space="preserve"> </w:t>
      </w:r>
      <w:r>
        <w:t xml:space="preserve">je zaměřena na výdaje zdravotních pojišťoven na zdravotní péči podle </w:t>
      </w:r>
      <w:r w:rsidRPr="00425420">
        <w:rPr>
          <w:b/>
        </w:rPr>
        <w:t>diagnóz</w:t>
      </w:r>
      <w:r w:rsidRPr="00425420">
        <w:t>, n</w:t>
      </w:r>
      <w:r>
        <w:t>a jejichž léčbu byly vynaloženy.</w:t>
      </w:r>
      <w:r w:rsidRPr="00425420">
        <w:t xml:space="preserve"> </w:t>
      </w:r>
      <w:r>
        <w:t>Diagnózy jsou definovány</w:t>
      </w:r>
      <w:r w:rsidRPr="00425420">
        <w:t xml:space="preserve"> podle jednotlivých tříd 10. revize </w:t>
      </w:r>
      <w:r w:rsidRPr="00425420">
        <w:rPr>
          <w:b/>
        </w:rPr>
        <w:t xml:space="preserve">Mezinárodní statistické klasifikace nemocí a přidružených zdravotních problémů </w:t>
      </w:r>
      <w:r>
        <w:t>(dále jen MKN-10). Výdaje podle diagnóz budou dále členěny</w:t>
      </w:r>
      <w:r w:rsidRPr="00425420">
        <w:t xml:space="preserve"> </w:t>
      </w:r>
      <w:r>
        <w:t xml:space="preserve">i </w:t>
      </w:r>
      <w:r w:rsidRPr="00425420">
        <w:t xml:space="preserve"> podle pohlaví a věku pojištěnců.</w:t>
      </w:r>
    </w:p>
    <w:p w14:paraId="174C5473" w14:textId="5E89116D" w:rsidR="00321E64" w:rsidRPr="00321E64" w:rsidRDefault="00667DB2" w:rsidP="00321E64">
      <w:pPr>
        <w:spacing w:before="240" w:after="120" w:line="240" w:lineRule="auto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Graf č. 2.9</w:t>
      </w:r>
      <w:r w:rsidR="00321E64" w:rsidRPr="00321E64">
        <w:rPr>
          <w:b/>
          <w:bCs/>
          <w:sz w:val="18"/>
          <w:szCs w:val="18"/>
        </w:rPr>
        <w:t>. Struktura výdajů na zdravotní péči v Česku financovanou ze zdrojů zdravotních pojišťoven podle druhu péče, 2019 (%)</w:t>
      </w:r>
    </w:p>
    <w:p w14:paraId="66507905" w14:textId="77777777" w:rsidR="00321E64" w:rsidRPr="00321E64" w:rsidRDefault="00321E64" w:rsidP="00321E64">
      <w:pPr>
        <w:spacing w:after="0"/>
        <w:rPr>
          <w:noProof/>
          <w:lang w:val="en-US" w:eastAsia="en-US"/>
        </w:rPr>
      </w:pPr>
      <w:r w:rsidRPr="00321E64">
        <w:rPr>
          <w:noProof/>
        </w:rPr>
        <w:drawing>
          <wp:inline distT="0" distB="0" distL="0" distR="0" wp14:anchorId="5599A096" wp14:editId="01B2783B">
            <wp:extent cx="6085489" cy="3647089"/>
            <wp:effectExtent l="0" t="0" r="10795" b="10795"/>
            <wp:docPr id="1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473B7CBF-C199-45E1-B9CA-128A898460E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383FAC54" w14:textId="77777777" w:rsidR="00321E64" w:rsidRPr="00321E64" w:rsidRDefault="00321E64" w:rsidP="00B94FAF">
      <w:pPr>
        <w:spacing w:after="60"/>
        <w:rPr>
          <w:sz w:val="16"/>
        </w:rPr>
      </w:pPr>
      <w:r w:rsidRPr="00321E64">
        <w:rPr>
          <w:sz w:val="16"/>
        </w:rPr>
        <w:t>(1) Ostatní - zahrnuje výdaje na další kapitoly diagnóz v grafu neuvedené: např. nemoci krve a krvetvorných orgánů, nemoci oka, nemoci ucha, nemoci kůže, některé infekční a parazitární nemoci, těhotenství, porod a šestinedělí atd.</w:t>
      </w:r>
    </w:p>
    <w:p w14:paraId="7DC2E17D" w14:textId="77777777" w:rsidR="00321E64" w:rsidRPr="00321E64" w:rsidRDefault="00321E64" w:rsidP="00B94FAF">
      <w:pPr>
        <w:spacing w:before="60" w:after="60" w:line="240" w:lineRule="auto"/>
        <w:rPr>
          <w:sz w:val="16"/>
        </w:rPr>
      </w:pPr>
      <w:r w:rsidRPr="00321E64">
        <w:rPr>
          <w:sz w:val="16"/>
        </w:rPr>
        <w:t>Poznámka: výdaje zdravotních pojišťoven na zdravotní péči v ČR podle diagnóz MKN-10 uvedené v tomto grafu neobsahují výdaje, které není možné rozčlenit na konkrétní diagnózy (85,6 mld. Kč). Jedná se například o kapitační platby registrujícím lékařům, návštěvní službu v rámci domácí péče, léky na recept, různé bonusy a příspěvky a také náklady pojišťoven na správu a provoz vlastních organizací.</w:t>
      </w:r>
    </w:p>
    <w:p w14:paraId="3851637C" w14:textId="77777777" w:rsidR="00321E64" w:rsidRDefault="00321E64" w:rsidP="00B94FAF">
      <w:pPr>
        <w:keepNext/>
        <w:spacing w:before="60" w:line="240" w:lineRule="auto"/>
        <w:jc w:val="right"/>
        <w:rPr>
          <w:b/>
          <w:bCs/>
          <w:i/>
          <w:sz w:val="16"/>
          <w:szCs w:val="16"/>
        </w:rPr>
      </w:pPr>
      <w:r w:rsidRPr="00321E64">
        <w:rPr>
          <w:b/>
          <w:bCs/>
          <w:i/>
          <w:sz w:val="16"/>
          <w:szCs w:val="16"/>
        </w:rPr>
        <w:t xml:space="preserve">                                                                                                                               Zdroj: ČSÚ 2021, Zdravotnické účty ČR 2010</w:t>
      </w:r>
      <w:r w:rsidRPr="00321E64">
        <w:rPr>
          <w:bCs/>
          <w:szCs w:val="20"/>
        </w:rPr>
        <w:t>–</w:t>
      </w:r>
      <w:r w:rsidRPr="00321E64">
        <w:rPr>
          <w:b/>
          <w:bCs/>
          <w:i/>
          <w:sz w:val="16"/>
          <w:szCs w:val="16"/>
        </w:rPr>
        <w:t xml:space="preserve">2019 </w:t>
      </w:r>
    </w:p>
    <w:p w14:paraId="25625541" w14:textId="77777777" w:rsidR="00321E64" w:rsidRPr="007A4C80" w:rsidRDefault="00321E64" w:rsidP="00321E64">
      <w:pPr>
        <w:spacing w:before="0"/>
        <w:rPr>
          <w:b/>
          <w:i/>
        </w:rPr>
      </w:pPr>
      <w:r w:rsidRPr="007A4C80">
        <w:rPr>
          <w:b/>
          <w:i/>
        </w:rPr>
        <w:t xml:space="preserve">Dlouhodobě vydávají zdravotní pojišťovny nejvíce peněz za nemoci oběhové soustavy </w:t>
      </w:r>
    </w:p>
    <w:p w14:paraId="486D63D9" w14:textId="37971019" w:rsidR="00321E64" w:rsidRPr="00321E64" w:rsidRDefault="00667DB2" w:rsidP="00321E64">
      <w:pPr>
        <w:spacing w:before="0"/>
      </w:pPr>
      <w:r>
        <w:t>V grafu č. </w:t>
      </w:r>
      <w:proofErr w:type="gramStart"/>
      <w:r>
        <w:t>2.9.</w:t>
      </w:r>
      <w:r w:rsidR="00321E64" w:rsidRPr="00321E64">
        <w:t xml:space="preserve"> lze</w:t>
      </w:r>
      <w:proofErr w:type="gramEnd"/>
      <w:r w:rsidR="00321E64" w:rsidRPr="00321E64">
        <w:t xml:space="preserve"> vidět procentuální rozdělení celkových výdajů za zdravotní péči z plateb zdravotních pojišťoven na jednotlivé diagnózy podle MKN-10. U tří diagnóz podle MKN-10 přesáhly výdaje hrazené zdravotními pojišťovnami 20 mld. Kč, konkrétně to byly výdaje za léčbu </w:t>
      </w:r>
      <w:r w:rsidR="00321E64" w:rsidRPr="00321E64">
        <w:rPr>
          <w:b/>
        </w:rPr>
        <w:t>nemocí oběhové soustavy, novotvarů</w:t>
      </w:r>
      <w:r w:rsidR="00321E64" w:rsidRPr="00321E64">
        <w:t xml:space="preserve"> a za výdaje spadající do kapitoly „</w:t>
      </w:r>
      <w:r w:rsidR="00321E64" w:rsidRPr="00321E64">
        <w:rPr>
          <w:b/>
        </w:rPr>
        <w:t>faktory ovlivňující zdravotní stav“</w:t>
      </w:r>
      <w:r>
        <w:t>. Níže jsou v grafu č. </w:t>
      </w:r>
      <w:proofErr w:type="gramStart"/>
      <w:r>
        <w:t>2.10.</w:t>
      </w:r>
      <w:r w:rsidR="00267CE9">
        <w:t> </w:t>
      </w:r>
      <w:r w:rsidR="00321E64" w:rsidRPr="00321E64">
        <w:t>uvedeny</w:t>
      </w:r>
      <w:proofErr w:type="gramEnd"/>
      <w:r w:rsidR="00321E64" w:rsidRPr="00321E64">
        <w:t xml:space="preserve"> výdaje za jednotlivé diagnózy podle MKN-10. Pořadí v</w:t>
      </w:r>
      <w:r w:rsidR="00267CE9">
        <w:t>ýdajů za jednotlivé diagnózy se </w:t>
      </w:r>
      <w:r w:rsidR="00321E64" w:rsidRPr="00321E64">
        <w:t xml:space="preserve">dlouhodobě nemění. </w:t>
      </w:r>
    </w:p>
    <w:p w14:paraId="279C4F61" w14:textId="48FB764C" w:rsidR="00321E64" w:rsidRPr="00321E64" w:rsidRDefault="00321E64" w:rsidP="00321E64">
      <w:pPr>
        <w:spacing w:before="0"/>
      </w:pPr>
      <w:r w:rsidRPr="00321E64">
        <w:t xml:space="preserve">Jak už bylo výše zmíněno, nejvíce peněz vydaly zdravotní pojišťovny za </w:t>
      </w:r>
      <w:r w:rsidRPr="00321E64">
        <w:rPr>
          <w:b/>
        </w:rPr>
        <w:t>nemoci oběhové soustavy</w:t>
      </w:r>
      <w:r w:rsidRPr="00321E64">
        <w:t xml:space="preserve"> a to konkrétně </w:t>
      </w:r>
      <w:r w:rsidRPr="00321E64">
        <w:rPr>
          <w:b/>
        </w:rPr>
        <w:t xml:space="preserve">28,4 mld. Kč, </w:t>
      </w:r>
      <w:r w:rsidRPr="00321E64">
        <w:rPr>
          <w:bCs/>
        </w:rPr>
        <w:t>což je cekem 13 % z celkových výdajů zdravotních pojišťoven na zdravotní péči</w:t>
      </w:r>
      <w:r w:rsidRPr="00321E64">
        <w:t xml:space="preserve">. Do nemocí oběhové soustavy lze zařadit například ischemické nemoci srdeční, hypertenzní nemoci, chronické revmatické choroby srdeční, nemoci tepen, </w:t>
      </w:r>
      <w:proofErr w:type="spellStart"/>
      <w:r w:rsidRPr="00321E64">
        <w:t>tepének</w:t>
      </w:r>
      <w:proofErr w:type="spellEnd"/>
      <w:r w:rsidRPr="00321E64">
        <w:t xml:space="preserve"> a vlásečnic nebo </w:t>
      </w:r>
      <w:proofErr w:type="spellStart"/>
      <w:r w:rsidRPr="00321E64">
        <w:t>kardiopulmonární</w:t>
      </w:r>
      <w:proofErr w:type="spellEnd"/>
      <w:r w:rsidRPr="00321E64">
        <w:t xml:space="preserve"> nemoc a nemoci plicního oběhu. Za poslední tři roky nedošlo k výrazné změně výdajů za léčbu nemocí oběhové soustavy. Od roku 2010 došlo ke zvýšení těchto výdajů o 6 %. Nejvyšší částka v roce 2019 byla zdravotními </w:t>
      </w:r>
      <w:r w:rsidRPr="00321E64">
        <w:lastRenderedPageBreak/>
        <w:t>pojišťovnami vydána za léčbu nemocí oběhové soustavy u mužů ve věkové ka</w:t>
      </w:r>
      <w:r w:rsidR="00667DB2">
        <w:t>tegorii 70-</w:t>
      </w:r>
      <w:r w:rsidRPr="00321E64">
        <w:t>74 let (2,9 mld. Kč) a</w:t>
      </w:r>
      <w:r w:rsidR="00267CE9">
        <w:t> </w:t>
      </w:r>
      <w:r w:rsidR="00667DB2">
        <w:t>u žen ve věkové kategorii 75-</w:t>
      </w:r>
      <w:r w:rsidRPr="00321E64">
        <w:t>79 let (2,1 mld. Kč).</w:t>
      </w:r>
    </w:p>
    <w:p w14:paraId="329E0405" w14:textId="77777777" w:rsidR="00321E64" w:rsidRPr="00321E64" w:rsidRDefault="00321E64" w:rsidP="00321E64">
      <w:pPr>
        <w:spacing w:before="0"/>
      </w:pPr>
      <w:r w:rsidRPr="00321E64">
        <w:t xml:space="preserve">Podle údajů ÚZIS ČR byly nemoci oběhové soustavy v roce 2018 nejčastějším důvodem hospitalizace (13 % z celkového počtu hospitalizací). Častěji byli hospitalizováni muži než ženy. Průměrná doba hospitalizace z důvodu nemocí oběhové soustavy byla u mužů 6,9 dní a u žen 8,7 dní. </w:t>
      </w:r>
    </w:p>
    <w:p w14:paraId="730D0E1A" w14:textId="77777777" w:rsidR="00321E64" w:rsidRPr="00321E64" w:rsidRDefault="00321E64" w:rsidP="00321E64">
      <w:pPr>
        <w:spacing w:before="0"/>
        <w:rPr>
          <w:b/>
          <w:i/>
        </w:rPr>
      </w:pPr>
      <w:r w:rsidRPr="00321E64">
        <w:rPr>
          <w:b/>
          <w:i/>
        </w:rPr>
        <w:t>Za léčbu novotvarů zaplatily zdravotní pojišťovny v roce 2019 celkem 24,7 miliard korun</w:t>
      </w:r>
    </w:p>
    <w:p w14:paraId="56E2F6ED" w14:textId="77777777" w:rsidR="00321E64" w:rsidRDefault="00321E64" w:rsidP="00321E64">
      <w:pPr>
        <w:spacing w:before="0"/>
        <w:rPr>
          <w:bCs/>
          <w:iCs/>
        </w:rPr>
      </w:pPr>
      <w:r w:rsidRPr="00321E64">
        <w:rPr>
          <w:bCs/>
          <w:iCs/>
        </w:rPr>
        <w:t xml:space="preserve">Druhé nejvyšší výdaje byly zdravotními pojišťovnami vyplaceny za </w:t>
      </w:r>
      <w:r w:rsidRPr="00321E64">
        <w:rPr>
          <w:b/>
          <w:iCs/>
        </w:rPr>
        <w:t>léčbu novotvarů</w:t>
      </w:r>
      <w:r w:rsidRPr="00321E64">
        <w:rPr>
          <w:bCs/>
          <w:iCs/>
        </w:rPr>
        <w:t xml:space="preserve">. Od roku 2010 bylo zdravotními pojišťovnami vydáno za léčbu novotvarů celkem </w:t>
      </w:r>
      <w:r w:rsidRPr="00321E64">
        <w:rPr>
          <w:b/>
          <w:bCs/>
          <w:iCs/>
        </w:rPr>
        <w:t>222,2 mld. Kč</w:t>
      </w:r>
      <w:r w:rsidRPr="00321E64">
        <w:rPr>
          <w:bCs/>
          <w:iCs/>
        </w:rPr>
        <w:t>. Podíl výdajů v roce 2019 na léčbu novotvarů na celkových výdajích zdravotních pojišťoven na zdravotní péči byl 11 %. Oproti předchozímu roku se výdaje na léčbu onkologických onemocnění snížily o 10 %. Od roku 2010 došlo ke zvýšení výdajů za léčbu novotvarů o 29 %. Nejvíce peněz za léčbu novotvarů vydaly zdravotní pojišťovny u mužů ve věkové kategorii 70-74 let a u žen ve věku 65-69 let.</w:t>
      </w:r>
    </w:p>
    <w:p w14:paraId="5C27C91F" w14:textId="3B2BFF4D" w:rsidR="00321E64" w:rsidRPr="00321E64" w:rsidRDefault="00321E64" w:rsidP="00321E64">
      <w:pPr>
        <w:spacing w:after="0" w:line="240" w:lineRule="auto"/>
        <w:rPr>
          <w:b/>
          <w:bCs/>
          <w:sz w:val="18"/>
          <w:szCs w:val="18"/>
        </w:rPr>
      </w:pPr>
      <w:r w:rsidRPr="00321E64">
        <w:rPr>
          <w:b/>
          <w:bCs/>
          <w:sz w:val="18"/>
          <w:szCs w:val="18"/>
        </w:rPr>
        <w:t xml:space="preserve">Graf </w:t>
      </w:r>
      <w:r w:rsidR="00667DB2">
        <w:rPr>
          <w:b/>
          <w:bCs/>
          <w:sz w:val="18"/>
          <w:szCs w:val="18"/>
        </w:rPr>
        <w:t>č. 2.10</w:t>
      </w:r>
      <w:r w:rsidRPr="00321E64">
        <w:rPr>
          <w:b/>
          <w:bCs/>
          <w:sz w:val="18"/>
          <w:szCs w:val="18"/>
        </w:rPr>
        <w:t xml:space="preserve">. Výdaje zdravotních pojišťoven v Česku podle diagnóz MKN-10 v roce 2019 (mil. Kč) </w:t>
      </w:r>
    </w:p>
    <w:p w14:paraId="7D5BA118" w14:textId="77777777" w:rsidR="00321E64" w:rsidRPr="00321E64" w:rsidRDefault="00321E64" w:rsidP="00321E64">
      <w:pPr>
        <w:spacing w:after="120" w:line="240" w:lineRule="auto"/>
        <w:rPr>
          <w:b/>
          <w:bCs/>
          <w:sz w:val="18"/>
          <w:szCs w:val="18"/>
        </w:rPr>
      </w:pPr>
      <w:r w:rsidRPr="00321E64">
        <w:rPr>
          <w:noProof/>
        </w:rPr>
        <w:drawing>
          <wp:inline distT="0" distB="0" distL="0" distR="0" wp14:anchorId="36BB2BD4" wp14:editId="040E56CD">
            <wp:extent cx="6085489" cy="4323715"/>
            <wp:effectExtent l="0" t="0" r="10795" b="635"/>
            <wp:docPr id="7" name="Graf 7">
              <a:extLst xmlns:a="http://schemas.openxmlformats.org/drawingml/2006/main">
                <a:ext uri="{FF2B5EF4-FFF2-40B4-BE49-F238E27FC236}">
                  <a16:creationId xmlns:a16="http://schemas.microsoft.com/office/drawing/2014/main" id="{852CEF53-FA39-4A02-BE49-A9BD075A34B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3F401912" w14:textId="77777777" w:rsidR="00321E64" w:rsidRPr="00321E64" w:rsidRDefault="00321E64" w:rsidP="00B94FAF">
      <w:pPr>
        <w:spacing w:after="60" w:line="240" w:lineRule="auto"/>
        <w:rPr>
          <w:b/>
          <w:bCs/>
          <w:sz w:val="16"/>
          <w:szCs w:val="16"/>
        </w:rPr>
      </w:pPr>
      <w:r w:rsidRPr="00321E64">
        <w:rPr>
          <w:bCs/>
          <w:sz w:val="16"/>
          <w:szCs w:val="16"/>
        </w:rPr>
        <w:t>*nezařazené jinde</w:t>
      </w:r>
      <w:r w:rsidRPr="00321E64">
        <w:rPr>
          <w:b/>
          <w:bCs/>
          <w:i/>
          <w:sz w:val="16"/>
          <w:szCs w:val="16"/>
        </w:rPr>
        <w:t xml:space="preserve">                                                                                                  </w:t>
      </w:r>
    </w:p>
    <w:p w14:paraId="190E8B0D" w14:textId="77777777" w:rsidR="00321E64" w:rsidRPr="00321E64" w:rsidRDefault="00321E64" w:rsidP="00B94FAF">
      <w:pPr>
        <w:spacing w:before="60" w:line="240" w:lineRule="auto"/>
        <w:jc w:val="right"/>
        <w:rPr>
          <w:b/>
          <w:bCs/>
          <w:i/>
          <w:sz w:val="16"/>
          <w:szCs w:val="16"/>
        </w:rPr>
      </w:pPr>
      <w:r w:rsidRPr="00321E64">
        <w:rPr>
          <w:b/>
          <w:bCs/>
          <w:i/>
          <w:sz w:val="16"/>
          <w:szCs w:val="16"/>
        </w:rPr>
        <w:t>Zdroj: ČSÚ 2021, Zdravotnické účty ČR 2010</w:t>
      </w:r>
      <w:r w:rsidRPr="00321E64">
        <w:rPr>
          <w:b/>
          <w:sz w:val="16"/>
          <w:szCs w:val="16"/>
        </w:rPr>
        <w:t>–</w:t>
      </w:r>
      <w:r w:rsidRPr="00321E64">
        <w:rPr>
          <w:b/>
          <w:bCs/>
          <w:i/>
          <w:sz w:val="16"/>
          <w:szCs w:val="16"/>
        </w:rPr>
        <w:t xml:space="preserve">2019 </w:t>
      </w:r>
    </w:p>
    <w:p w14:paraId="5DF93E73" w14:textId="37E27108" w:rsidR="00321E64" w:rsidRDefault="00321E64" w:rsidP="00321E64">
      <w:r>
        <w:t xml:space="preserve">Mezi kapitoly s výdaji vyššími než 20 mld. Kč se řadí také </w:t>
      </w:r>
      <w:r w:rsidRPr="007B4BE2">
        <w:rPr>
          <w:b/>
          <w:bCs/>
        </w:rPr>
        <w:t>faktory ovlivňuj</w:t>
      </w:r>
      <w:r>
        <w:rPr>
          <w:b/>
          <w:bCs/>
        </w:rPr>
        <w:t>ící zdravotní stav a kontakt se </w:t>
      </w:r>
      <w:r w:rsidRPr="007B4BE2">
        <w:rPr>
          <w:b/>
          <w:bCs/>
        </w:rPr>
        <w:t>zdravotnickými služb</w:t>
      </w:r>
      <w:r>
        <w:rPr>
          <w:b/>
          <w:bCs/>
        </w:rPr>
        <w:t xml:space="preserve">ami (21,3 mld. Kč). </w:t>
      </w:r>
      <w:r>
        <w:t>Do této kategorie lze zařadit nejrůznější zdravotní prohlídky (např. preventivní, zubní, oční nebo gynekologické), hospitalizace novorozenců po porodu, doprovod dítěte při hospitalizaci. Dále sem patří i laboratorní vyšetření, očkování, lékařské pozo</w:t>
      </w:r>
      <w:r w:rsidR="00267CE9">
        <w:t>rování a </w:t>
      </w:r>
      <w:r w:rsidR="00667DB2">
        <w:t>hodnocení pro podezření</w:t>
      </w:r>
      <w:r>
        <w:t xml:space="preserve"> na nemoci a patologické stavy (které dále nevykazují potřebu další léčby), následné vyšetření po léčbě zhoubného novotvaru, dárcovství orgánů a tkání atd. V této kategorii je nejvíce </w:t>
      </w:r>
      <w:r>
        <w:lastRenderedPageBreak/>
        <w:t>peněz zdravotními pojišťovnami vydáno u dětí ve věku 0-4 let a to konkrétně 1,3 mld. Kč (chlapci) a 1,2 mld. Kč (děvčata).</w:t>
      </w:r>
    </w:p>
    <w:p w14:paraId="3DDD9B9E" w14:textId="041C793A" w:rsidR="00321E64" w:rsidRDefault="00321E64" w:rsidP="00321E64">
      <w:r>
        <w:t xml:space="preserve">V roce 2019 bylo za léčbu </w:t>
      </w:r>
      <w:r w:rsidRPr="000F4816">
        <w:rPr>
          <w:b/>
          <w:bCs/>
        </w:rPr>
        <w:t>nemocí svalové</w:t>
      </w:r>
      <w:r>
        <w:rPr>
          <w:b/>
          <w:bCs/>
        </w:rPr>
        <w:t xml:space="preserve">, </w:t>
      </w:r>
      <w:r w:rsidRPr="000F4816">
        <w:rPr>
          <w:b/>
          <w:bCs/>
        </w:rPr>
        <w:t>kosterní a pojivové tkáně</w:t>
      </w:r>
      <w:r>
        <w:t xml:space="preserve"> zdravotními pojišťovnami vydáno </w:t>
      </w:r>
      <w:r w:rsidRPr="002D7F66">
        <w:rPr>
          <w:b/>
        </w:rPr>
        <w:t>19,5 </w:t>
      </w:r>
      <w:r>
        <w:rPr>
          <w:b/>
        </w:rPr>
        <w:t>mld. </w:t>
      </w:r>
      <w:r w:rsidRPr="002D7F66">
        <w:rPr>
          <w:b/>
        </w:rPr>
        <w:t>Kč</w:t>
      </w:r>
      <w:r>
        <w:t>, což je 9 % z celkových výdajů zdravotních pojišťoven na zdravotní péči. Nejvíce peněz za tuto léčbu připadalo za muže ve věkové kategorii 65-69 let (893 mil. Kč) a ženy ve věkové kategorii 70-74 let (1 550 mil. Kč).</w:t>
      </w:r>
    </w:p>
    <w:p w14:paraId="536362B0" w14:textId="72104357" w:rsidR="0012076B" w:rsidRDefault="0012076B" w:rsidP="00321E64">
      <w:r>
        <w:t xml:space="preserve">Výši výdajů na nemoci oběhové soustavy a novotvary, resp. závažnost častého výskytu těchto onemocnění podtrhuje i následující graf ukazující nejčastější příčiny úmrtí. </w:t>
      </w:r>
    </w:p>
    <w:p w14:paraId="79A7CE11" w14:textId="752CE07D" w:rsidR="00321E64" w:rsidRPr="00321E64" w:rsidRDefault="0012076B" w:rsidP="00321E64">
      <w:pPr>
        <w:spacing w:before="240" w:after="120" w:line="240" w:lineRule="auto"/>
        <w:rPr>
          <w:b/>
          <w:bCs/>
          <w:spacing w:val="-6"/>
          <w:sz w:val="18"/>
          <w:szCs w:val="18"/>
        </w:rPr>
      </w:pPr>
      <w:r>
        <w:rPr>
          <w:b/>
          <w:bCs/>
          <w:spacing w:val="-6"/>
          <w:sz w:val="18"/>
          <w:szCs w:val="18"/>
        </w:rPr>
        <w:t>Graf č. 2.11</w:t>
      </w:r>
      <w:r w:rsidR="00321E64" w:rsidRPr="00321E64">
        <w:rPr>
          <w:b/>
          <w:bCs/>
          <w:spacing w:val="-6"/>
          <w:sz w:val="18"/>
          <w:szCs w:val="18"/>
        </w:rPr>
        <w:t xml:space="preserve">. Nejčastější příčiny úmrtí v Česku podle pohlaví a diagnóz MKN-10, 2019 (%) </w:t>
      </w:r>
    </w:p>
    <w:p w14:paraId="359961EE" w14:textId="77777777" w:rsidR="00321E64" w:rsidRPr="00321E64" w:rsidRDefault="00321E64" w:rsidP="00B94FAF">
      <w:pPr>
        <w:spacing w:after="120"/>
        <w:rPr>
          <w:b/>
          <w:bCs/>
          <w:i/>
          <w:color w:val="FFFFFF"/>
          <w:sz w:val="16"/>
          <w:szCs w:val="16"/>
        </w:rPr>
      </w:pPr>
      <w:r w:rsidRPr="00321E64">
        <w:rPr>
          <w:noProof/>
        </w:rPr>
        <w:drawing>
          <wp:inline distT="0" distB="0" distL="0" distR="0" wp14:anchorId="531B4ACE" wp14:editId="2C60287C">
            <wp:extent cx="6085489" cy="3352800"/>
            <wp:effectExtent l="0" t="0" r="10795" b="0"/>
            <wp:docPr id="8" name="Graf 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584EB5C3" w14:textId="77777777" w:rsidR="00321E64" w:rsidRPr="00321E64" w:rsidRDefault="00321E64" w:rsidP="00B94FAF">
      <w:pPr>
        <w:jc w:val="right"/>
      </w:pPr>
      <w:r w:rsidRPr="00321E64">
        <w:rPr>
          <w:b/>
          <w:bCs/>
          <w:i/>
          <w:sz w:val="16"/>
          <w:szCs w:val="16"/>
        </w:rPr>
        <w:t>Zdroj: ČSÚ 2021, Statistická ročenka ČR</w:t>
      </w:r>
    </w:p>
    <w:p w14:paraId="5E9FCC8F" w14:textId="11FA3486" w:rsidR="004211DC" w:rsidRPr="001D3DB8" w:rsidRDefault="004211DC" w:rsidP="004211DC">
      <w:pPr>
        <w:spacing w:before="0"/>
        <w:rPr>
          <w:iCs/>
        </w:rPr>
      </w:pPr>
      <w:r w:rsidRPr="001D3DB8">
        <w:rPr>
          <w:iCs/>
        </w:rPr>
        <w:t xml:space="preserve">Celkový počet zemřelých v České republice v roce 2019 činil 112 362 osob (57 339 mužů a 55 023 žen). K nejčastějším příčinám úmrtí v Česku patří u obou pohlaví </w:t>
      </w:r>
      <w:r w:rsidRPr="00A339B1">
        <w:rPr>
          <w:b/>
          <w:iCs/>
        </w:rPr>
        <w:t>nemoci oběhové soustavy</w:t>
      </w:r>
      <w:r w:rsidRPr="001D3DB8">
        <w:rPr>
          <w:iCs/>
        </w:rPr>
        <w:t xml:space="preserve">. V roce 2019 byly příčinou 39 % úmrtí mužů a 46 % úmrtí žen. Z více než 1/3 případů úmrtí na nemoci oběhové soustavy byla příčina úmrtí chronická ischemická choroba srdeční. Druhou nejčastější příčinou úmrtí byly </w:t>
      </w:r>
      <w:r w:rsidRPr="00A339B1">
        <w:rPr>
          <w:b/>
          <w:iCs/>
        </w:rPr>
        <w:t>novotvary</w:t>
      </w:r>
      <w:r w:rsidR="00267CE9">
        <w:rPr>
          <w:iCs/>
        </w:rPr>
        <w:t>. U </w:t>
      </w:r>
      <w:r w:rsidRPr="001D3DB8">
        <w:rPr>
          <w:iCs/>
        </w:rPr>
        <w:t>mužů a žen byl u této diagnózy zaznamenán nejvyšší počet úm</w:t>
      </w:r>
      <w:r>
        <w:rPr>
          <w:iCs/>
        </w:rPr>
        <w:t>rtí na zhoubný novotvar průdušek a plic</w:t>
      </w:r>
      <w:r w:rsidR="0012076B">
        <w:rPr>
          <w:iCs/>
        </w:rPr>
        <w:t xml:space="preserve">, </w:t>
      </w:r>
      <w:r w:rsidRPr="001D3DB8">
        <w:rPr>
          <w:iCs/>
        </w:rPr>
        <w:t xml:space="preserve">tlustého střeva nebo slinivky břišní, u žen ještě zhoubný novotvar prsu. Mezi další nejčastější příčiny úmrtí v roce 2019 lze zařadit i nemoci dýchací soustavy, na které zemřelo celkem </w:t>
      </w:r>
      <w:r w:rsidRPr="001D3DB8">
        <w:t xml:space="preserve">4 461 </w:t>
      </w:r>
      <w:r w:rsidRPr="001D3DB8">
        <w:rPr>
          <w:iCs/>
        </w:rPr>
        <w:t xml:space="preserve">mužů </w:t>
      </w:r>
      <w:r w:rsidRPr="001D3DB8">
        <w:t>a 3 731 žen.</w:t>
      </w:r>
    </w:p>
    <w:p w14:paraId="3377782B" w14:textId="77777777" w:rsidR="004211DC" w:rsidRDefault="004211DC" w:rsidP="004211DC">
      <w:pPr>
        <w:spacing w:before="0"/>
        <w:rPr>
          <w:rFonts w:eastAsia="MS Gothic"/>
          <w:b/>
          <w:i/>
        </w:rPr>
      </w:pPr>
      <w:r w:rsidRPr="00425420">
        <w:rPr>
          <w:rFonts w:eastAsia="MS Gothic"/>
          <w:b/>
          <w:i/>
        </w:rPr>
        <w:t>V uplynulých letech</w:t>
      </w:r>
      <w:r>
        <w:rPr>
          <w:rFonts w:eastAsia="MS Gothic"/>
          <w:b/>
          <w:i/>
        </w:rPr>
        <w:t xml:space="preserve"> vzrostly</w:t>
      </w:r>
      <w:r w:rsidRPr="00425420">
        <w:rPr>
          <w:rFonts w:eastAsia="MS Gothic"/>
          <w:b/>
          <w:i/>
        </w:rPr>
        <w:t xml:space="preserve"> proc</w:t>
      </w:r>
      <w:r>
        <w:rPr>
          <w:rFonts w:eastAsia="MS Gothic"/>
          <w:b/>
          <w:i/>
        </w:rPr>
        <w:t>e</w:t>
      </w:r>
      <w:r w:rsidRPr="00425420">
        <w:rPr>
          <w:rFonts w:eastAsia="MS Gothic"/>
          <w:b/>
          <w:i/>
        </w:rPr>
        <w:t xml:space="preserve">ntuálně nejvíce </w:t>
      </w:r>
      <w:r>
        <w:rPr>
          <w:rFonts w:eastAsia="MS Gothic"/>
          <w:b/>
          <w:i/>
        </w:rPr>
        <w:t>výdaje na léčbu</w:t>
      </w:r>
      <w:r w:rsidRPr="00425420">
        <w:rPr>
          <w:rFonts w:eastAsia="MS Gothic"/>
          <w:b/>
          <w:i/>
        </w:rPr>
        <w:t xml:space="preserve"> </w:t>
      </w:r>
      <w:r>
        <w:rPr>
          <w:rFonts w:eastAsia="MS Gothic"/>
          <w:b/>
          <w:i/>
        </w:rPr>
        <w:t xml:space="preserve">poranění a otrav </w:t>
      </w:r>
    </w:p>
    <w:p w14:paraId="0949EAE2" w14:textId="74964C32" w:rsidR="004211DC" w:rsidRDefault="0012076B" w:rsidP="004211DC">
      <w:pPr>
        <w:spacing w:before="0"/>
        <w:rPr>
          <w:rFonts w:eastAsia="MS Gothic"/>
          <w:bCs/>
          <w:iCs/>
        </w:rPr>
      </w:pPr>
      <w:r>
        <w:rPr>
          <w:rFonts w:eastAsia="MS Gothic"/>
          <w:bCs/>
          <w:iCs/>
        </w:rPr>
        <w:t>Jak lze vidět v grafu č. 2.12</w:t>
      </w:r>
      <w:r w:rsidR="004211DC">
        <w:rPr>
          <w:rFonts w:eastAsia="MS Gothic"/>
          <w:bCs/>
          <w:iCs/>
        </w:rPr>
        <w:t xml:space="preserve">, nejvíce se od roku 2010 do roku </w:t>
      </w:r>
      <w:r w:rsidR="004211DC" w:rsidRPr="00A339B1">
        <w:rPr>
          <w:rFonts w:eastAsia="MS Gothic"/>
          <w:bCs/>
          <w:iCs/>
        </w:rPr>
        <w:t>2019 zvýšily absolutní náklady na</w:t>
      </w:r>
      <w:r w:rsidR="004211DC" w:rsidRPr="00A77697">
        <w:rPr>
          <w:rFonts w:eastAsia="MS Gothic"/>
          <w:bCs/>
          <w:iCs/>
        </w:rPr>
        <w:t xml:space="preserve"> léčbu</w:t>
      </w:r>
      <w:r w:rsidR="004211DC" w:rsidRPr="0056422F">
        <w:rPr>
          <w:rFonts w:eastAsia="MS Gothic"/>
          <w:b/>
          <w:bCs/>
          <w:iCs/>
        </w:rPr>
        <w:t xml:space="preserve"> nemocí svalové, kosterní a poji</w:t>
      </w:r>
      <w:r w:rsidR="004211DC">
        <w:rPr>
          <w:rFonts w:eastAsia="MS Gothic"/>
          <w:b/>
          <w:bCs/>
          <w:iCs/>
        </w:rPr>
        <w:t xml:space="preserve">vové tkáně </w:t>
      </w:r>
      <w:r w:rsidR="004211DC" w:rsidRPr="00A77697">
        <w:rPr>
          <w:rFonts w:eastAsia="MS Gothic"/>
          <w:bCs/>
          <w:iCs/>
        </w:rPr>
        <w:t>a to konkrétně</w:t>
      </w:r>
      <w:r w:rsidR="004211DC">
        <w:rPr>
          <w:rFonts w:eastAsia="MS Gothic"/>
          <w:b/>
          <w:bCs/>
          <w:iCs/>
        </w:rPr>
        <w:t xml:space="preserve"> o 8,8 mld. </w:t>
      </w:r>
      <w:r w:rsidR="004211DC" w:rsidRPr="0056422F">
        <w:rPr>
          <w:rFonts w:eastAsia="MS Gothic"/>
          <w:b/>
          <w:bCs/>
          <w:iCs/>
        </w:rPr>
        <w:t xml:space="preserve">Kč </w:t>
      </w:r>
      <w:r w:rsidR="004211DC" w:rsidRPr="00A339B1">
        <w:rPr>
          <w:rFonts w:eastAsia="MS Gothic"/>
          <w:bCs/>
          <w:iCs/>
        </w:rPr>
        <w:t>a na</w:t>
      </w:r>
      <w:r w:rsidR="004211DC" w:rsidRPr="0056422F">
        <w:rPr>
          <w:rFonts w:eastAsia="MS Gothic"/>
          <w:b/>
          <w:bCs/>
          <w:iCs/>
        </w:rPr>
        <w:t xml:space="preserve"> faktory ovlivňuj</w:t>
      </w:r>
      <w:r w:rsidR="004211DC">
        <w:rPr>
          <w:rFonts w:eastAsia="MS Gothic"/>
          <w:b/>
          <w:bCs/>
          <w:iCs/>
        </w:rPr>
        <w:t xml:space="preserve">ící zdravotní stav </w:t>
      </w:r>
      <w:r w:rsidR="004211DC" w:rsidRPr="00A77697">
        <w:rPr>
          <w:rFonts w:eastAsia="MS Gothic"/>
          <w:bCs/>
          <w:iCs/>
        </w:rPr>
        <w:t>celkem</w:t>
      </w:r>
      <w:r w:rsidR="004211DC">
        <w:rPr>
          <w:rFonts w:eastAsia="MS Gothic"/>
          <w:b/>
          <w:bCs/>
          <w:iCs/>
        </w:rPr>
        <w:t xml:space="preserve"> o 8,7 mld. </w:t>
      </w:r>
      <w:r w:rsidR="004211DC" w:rsidRPr="0056422F">
        <w:rPr>
          <w:rFonts w:eastAsia="MS Gothic"/>
          <w:b/>
          <w:bCs/>
          <w:iCs/>
        </w:rPr>
        <w:t xml:space="preserve">Kč. </w:t>
      </w:r>
      <w:r w:rsidR="004211DC">
        <w:rPr>
          <w:rFonts w:eastAsia="MS Gothic"/>
          <w:bCs/>
          <w:iCs/>
        </w:rPr>
        <w:t>O více než 5 mld. Kč se zvýšily náklady za léčbu poranění a otrav (o 6,8 mld. Kč), nemocí močové a pohlavní soustavy (o 5,8 mld. Kč) a za léčbu novotvarů (5,5 mld. Kč).</w:t>
      </w:r>
    </w:p>
    <w:p w14:paraId="73C48ABC" w14:textId="17E7A500" w:rsidR="004211DC" w:rsidRDefault="004211DC" w:rsidP="004211DC">
      <w:pPr>
        <w:spacing w:before="0"/>
        <w:rPr>
          <w:rFonts w:eastAsia="MS Gothic"/>
          <w:bCs/>
          <w:iCs/>
        </w:rPr>
      </w:pPr>
      <w:r>
        <w:t>Meziročním absolutním změnám ve výdajích taktéž dominují nemoci svalo</w:t>
      </w:r>
      <w:r w:rsidR="00267CE9">
        <w:t>vé, kosterní a pojivové tkání a </w:t>
      </w:r>
      <w:r>
        <w:t>faktory ovlivňující zdravotní stav. Na třetí</w:t>
      </w:r>
      <w:r>
        <w:rPr>
          <w:rFonts w:eastAsia="MS Gothic"/>
          <w:bCs/>
          <w:iCs/>
        </w:rPr>
        <w:t xml:space="preserve"> pozici je meziroční nárůst výdajů u nemocí duševních a poruch chování (o 1 207 mil. Kč). U některých kategorií došlo meziročně ke snížení výdajů. Oproti předchozímu roku bylo v roce 2019 na léčbu novotvarů vydáno zdravotními pojišťovnami o 2 720 mil. Kč méně. Ke snížení výdajů </w:t>
      </w:r>
      <w:r>
        <w:rPr>
          <w:rFonts w:eastAsia="MS Gothic"/>
          <w:bCs/>
          <w:iCs/>
        </w:rPr>
        <w:lastRenderedPageBreak/>
        <w:t>došlo například i za léčbu nemocí krve a krvetvorných orgánů (o 531 mil. Kč méně) nebo nemocí nervové soustavy (o 435 mil. Kč méně).</w:t>
      </w:r>
    </w:p>
    <w:p w14:paraId="560B35B2" w14:textId="77777777" w:rsidR="004211DC" w:rsidRPr="0024385C" w:rsidRDefault="004211DC" w:rsidP="004211DC">
      <w:pPr>
        <w:rPr>
          <w:rFonts w:eastAsia="MS Gothic"/>
        </w:rPr>
      </w:pPr>
      <w:r>
        <w:rPr>
          <w:rFonts w:eastAsia="MS Gothic"/>
        </w:rPr>
        <w:t>Procentuálně vzrostly nejvíce mezi roky 2010 a 2019 výdaje na léčbu poranění a otrav (nárůst o 105 %), dále na nemoci oka (o 90 %) nebo na nemoci ucha a nemoci svalové, kosterní a pojivové tkáně (u obou kategorií nárůst o 83 %). K poklesu výdajů zdravotních pojišťoven na zdravotní péči došlo u výdajů za léčbu stavů vzniklých v perinatálním období a to konkrétně o 30 %, což je pravděpodobně způsobeno poklesem počtu narozených dětí v roce 2019 oproti roku 2010.</w:t>
      </w:r>
    </w:p>
    <w:p w14:paraId="0717E0FC" w14:textId="77777777" w:rsidR="004211DC" w:rsidRPr="00234D44" w:rsidRDefault="004211DC" w:rsidP="004211DC">
      <w:r>
        <w:t>Mezi roky 2018 a 2019 došlo k nejvyššímu procentuálnímu zvýšení výdajů vydaných zdravotními pojišťovnami za léčbu poruch duševních a poruch chování (o 11 %), zatímco k největšímu poklesu výdajů došlo u výdajů za léčbu nemocí krve a krvetvorných orgánů (o 14 %).</w:t>
      </w:r>
    </w:p>
    <w:p w14:paraId="3A1EC591" w14:textId="09490564" w:rsidR="004211DC" w:rsidRPr="004211DC" w:rsidRDefault="0012076B" w:rsidP="004211DC">
      <w:pPr>
        <w:spacing w:after="0" w:line="240" w:lineRule="auto"/>
        <w:rPr>
          <w:rFonts w:cs="Arial"/>
          <w:b/>
          <w:bCs/>
          <w:sz w:val="18"/>
          <w:szCs w:val="18"/>
        </w:rPr>
      </w:pPr>
      <w:r>
        <w:rPr>
          <w:rFonts w:cs="Arial"/>
          <w:b/>
          <w:bCs/>
          <w:sz w:val="18"/>
          <w:szCs w:val="18"/>
        </w:rPr>
        <w:t>Graf č. 2.12</w:t>
      </w:r>
      <w:r w:rsidR="004211DC" w:rsidRPr="004211DC">
        <w:rPr>
          <w:rFonts w:cs="Arial"/>
          <w:b/>
          <w:bCs/>
          <w:sz w:val="18"/>
          <w:szCs w:val="18"/>
        </w:rPr>
        <w:t>. Změna výdajů zdravotních pojišťoven v Česku dle diagnóz MKN-10 mezi roky 2010 a 2019 a mezi roky 2018 a 2019 (mil. Kč)</w:t>
      </w:r>
    </w:p>
    <w:p w14:paraId="498E10FC" w14:textId="77777777" w:rsidR="004211DC" w:rsidRPr="004211DC" w:rsidRDefault="004211DC" w:rsidP="00B94FAF">
      <w:pPr>
        <w:spacing w:after="120" w:line="240" w:lineRule="auto"/>
        <w:rPr>
          <w:rFonts w:cs="Arial"/>
          <w:b/>
          <w:bCs/>
          <w:spacing w:val="-7"/>
          <w:sz w:val="18"/>
          <w:szCs w:val="18"/>
        </w:rPr>
      </w:pPr>
      <w:r w:rsidRPr="004211DC">
        <w:rPr>
          <w:noProof/>
        </w:rPr>
        <w:drawing>
          <wp:inline distT="0" distB="0" distL="0" distR="0" wp14:anchorId="16FCA744" wp14:editId="75A9AAD3">
            <wp:extent cx="6064469" cy="5044966"/>
            <wp:effectExtent l="0" t="0" r="12700" b="3810"/>
            <wp:docPr id="17" name="Graf 17">
              <a:extLst xmlns:a="http://schemas.openxmlformats.org/drawingml/2006/main">
                <a:ext uri="{FF2B5EF4-FFF2-40B4-BE49-F238E27FC236}">
                  <a16:creationId xmlns:a16="http://schemas.microsoft.com/office/drawing/2014/main" id="{81663C13-3977-477B-8915-C5C96C73AC9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6A2E6E0F" w14:textId="77777777" w:rsidR="004211DC" w:rsidRPr="004211DC" w:rsidRDefault="004211DC" w:rsidP="00B94FAF">
      <w:pPr>
        <w:spacing w:before="0" w:after="60" w:line="240" w:lineRule="auto"/>
        <w:rPr>
          <w:rFonts w:cs="Arial"/>
          <w:bCs/>
          <w:spacing w:val="-7"/>
          <w:sz w:val="18"/>
          <w:szCs w:val="18"/>
        </w:rPr>
      </w:pPr>
      <w:r w:rsidRPr="004211DC">
        <w:rPr>
          <w:rFonts w:cs="Arial"/>
          <w:bCs/>
          <w:spacing w:val="-7"/>
          <w:sz w:val="18"/>
          <w:szCs w:val="18"/>
        </w:rPr>
        <w:t>*a laboratorní nálezy nezařazené jinde</w:t>
      </w:r>
    </w:p>
    <w:p w14:paraId="12411F7A" w14:textId="77777777" w:rsidR="004211DC" w:rsidRPr="004211DC" w:rsidRDefault="004211DC" w:rsidP="004211DC">
      <w:pPr>
        <w:spacing w:before="0" w:line="240" w:lineRule="auto"/>
        <w:jc w:val="right"/>
        <w:rPr>
          <w:b/>
          <w:bCs/>
          <w:i/>
          <w:sz w:val="16"/>
          <w:szCs w:val="16"/>
        </w:rPr>
      </w:pPr>
      <w:r w:rsidRPr="004211DC">
        <w:rPr>
          <w:b/>
          <w:bCs/>
          <w:i/>
          <w:sz w:val="16"/>
          <w:szCs w:val="16"/>
        </w:rPr>
        <w:t>Zdroj: ČSÚ 2021, Zdravotnické účty ČR 2010</w:t>
      </w:r>
      <w:r w:rsidRPr="004211DC">
        <w:rPr>
          <w:b/>
          <w:sz w:val="16"/>
          <w:szCs w:val="16"/>
        </w:rPr>
        <w:t>–</w:t>
      </w:r>
      <w:r w:rsidRPr="004211DC">
        <w:rPr>
          <w:b/>
          <w:bCs/>
          <w:i/>
          <w:sz w:val="16"/>
          <w:szCs w:val="16"/>
        </w:rPr>
        <w:t>2019</w:t>
      </w:r>
    </w:p>
    <w:p w14:paraId="67613F9E" w14:textId="77777777" w:rsidR="004211DC" w:rsidRDefault="004211DC" w:rsidP="004211DC">
      <w:pPr>
        <w:spacing w:before="0"/>
        <w:rPr>
          <w:rFonts w:eastAsia="MS Gothic"/>
          <w:b/>
          <w:i/>
        </w:rPr>
      </w:pPr>
      <w:r w:rsidRPr="00425420">
        <w:rPr>
          <w:rFonts w:eastAsia="MS Gothic"/>
          <w:b/>
          <w:i/>
        </w:rPr>
        <w:t>U dětí jde nejvíce peněz n</w:t>
      </w:r>
      <w:r>
        <w:rPr>
          <w:rFonts w:eastAsia="MS Gothic"/>
          <w:b/>
          <w:i/>
        </w:rPr>
        <w:t xml:space="preserve">a léčbu nemocí dýchacích cest, </w:t>
      </w:r>
      <w:r w:rsidRPr="00425420">
        <w:rPr>
          <w:rFonts w:eastAsia="MS Gothic"/>
          <w:b/>
          <w:i/>
        </w:rPr>
        <w:t>stavů vzniklých v perinatálním období</w:t>
      </w:r>
      <w:r>
        <w:rPr>
          <w:rFonts w:eastAsia="MS Gothic"/>
          <w:b/>
          <w:i/>
        </w:rPr>
        <w:t xml:space="preserve"> nebo nemocí trávicí soustavy</w:t>
      </w:r>
    </w:p>
    <w:p w14:paraId="18D2885D" w14:textId="2FBA4685" w:rsidR="004211DC" w:rsidRDefault="0012076B" w:rsidP="004211DC">
      <w:pPr>
        <w:spacing w:before="0"/>
        <w:rPr>
          <w:rFonts w:eastAsia="MS Gothic"/>
        </w:rPr>
      </w:pPr>
      <w:r>
        <w:rPr>
          <w:rFonts w:eastAsia="MS Gothic"/>
        </w:rPr>
        <w:t>V následujícím grafu č. 2.13</w:t>
      </w:r>
      <w:r w:rsidR="007A4C80">
        <w:rPr>
          <w:rFonts w:eastAsia="MS Gothic"/>
        </w:rPr>
        <w:t>.</w:t>
      </w:r>
      <w:r w:rsidR="004211DC">
        <w:rPr>
          <w:rFonts w:eastAsia="MS Gothic"/>
        </w:rPr>
        <w:t xml:space="preserve"> lze vidět přehled nejnákladnějších diagnóz podle MKN-10 z roku 2019 ve třech základních věkových skupinách (0-14 let, 15-64 let a 65 a více let).</w:t>
      </w:r>
    </w:p>
    <w:p w14:paraId="5FC603D7" w14:textId="261E868A" w:rsidR="004211DC" w:rsidRDefault="004211DC" w:rsidP="004211DC">
      <w:pPr>
        <w:spacing w:before="0"/>
        <w:rPr>
          <w:rFonts w:eastAsia="MS Gothic"/>
        </w:rPr>
      </w:pPr>
      <w:r w:rsidRPr="00D91DAD">
        <w:rPr>
          <w:rFonts w:eastAsia="MS Gothic"/>
          <w:b/>
        </w:rPr>
        <w:lastRenderedPageBreak/>
        <w:t>U</w:t>
      </w:r>
      <w:r>
        <w:rPr>
          <w:rFonts w:eastAsia="MS Gothic"/>
          <w:b/>
        </w:rPr>
        <w:t xml:space="preserve"> dětí mladších 15 </w:t>
      </w:r>
      <w:r w:rsidRPr="00D91DAD">
        <w:rPr>
          <w:rFonts w:eastAsia="MS Gothic"/>
          <w:b/>
        </w:rPr>
        <w:t>let</w:t>
      </w:r>
      <w:r>
        <w:rPr>
          <w:rFonts w:eastAsia="MS Gothic"/>
          <w:b/>
        </w:rPr>
        <w:t xml:space="preserve"> </w:t>
      </w:r>
      <w:r>
        <w:rPr>
          <w:rFonts w:eastAsia="MS Gothic"/>
        </w:rPr>
        <w:t>byla finančně ne</w:t>
      </w:r>
      <w:r w:rsidR="0012076B">
        <w:rPr>
          <w:rFonts w:eastAsia="MS Gothic"/>
        </w:rPr>
        <w:t>j</w:t>
      </w:r>
      <w:r>
        <w:rPr>
          <w:rFonts w:eastAsia="MS Gothic"/>
        </w:rPr>
        <w:t xml:space="preserve">náročnější léčba nemocí dýchací soustavy (11 % z celkových výdajů na zdravotní péči u této věkové skupiny), dále léčba stavů vzniklých v perinatálním období nebo nemocí trávicí soustavy (u obou diagnóz 8 %). Ve věkových skupinách </w:t>
      </w:r>
      <w:r>
        <w:rPr>
          <w:rFonts w:eastAsia="MS Gothic"/>
          <w:b/>
        </w:rPr>
        <w:t>15-64 let a 65 a více </w:t>
      </w:r>
      <w:r w:rsidRPr="00146058">
        <w:rPr>
          <w:rFonts w:eastAsia="MS Gothic"/>
          <w:b/>
        </w:rPr>
        <w:t>let</w:t>
      </w:r>
      <w:r>
        <w:rPr>
          <w:rFonts w:eastAsia="MS Gothic"/>
        </w:rPr>
        <w:t xml:space="preserve"> se rozdělení finančně nenáročnějších diagnóz na rozdíl od věkové s</w:t>
      </w:r>
      <w:r w:rsidR="0012076B">
        <w:rPr>
          <w:rFonts w:eastAsia="MS Gothic"/>
        </w:rPr>
        <w:t>kupiny 0-14 let liší. U těchto d</w:t>
      </w:r>
      <w:r>
        <w:rPr>
          <w:rFonts w:eastAsia="MS Gothic"/>
        </w:rPr>
        <w:t>vou skupin je pořadí nejnákladnějších diagnóz velmi podobné. Největší rozdíly jsou u výdajů na léčbu nemocí oběhové soustavy. Nejvyšší náklady na léčbu nemocí oběhové soustavy byly u věkové skupiny 65 a více let, kde tvořily přibližně 21 % z celkových výdajů na zdravotní péči v této věkové skupině, u skupiny 15-64 let to bylo 8 % a u dětí mladších 15 let jen 1 %.</w:t>
      </w:r>
    </w:p>
    <w:p w14:paraId="4A8E47D1" w14:textId="1E20D968" w:rsidR="004211DC" w:rsidRPr="004211DC" w:rsidRDefault="0012076B" w:rsidP="004211DC">
      <w:pPr>
        <w:spacing w:before="240" w:after="120" w:line="240" w:lineRule="auto"/>
        <w:rPr>
          <w:b/>
          <w:bCs/>
          <w:spacing w:val="-6"/>
          <w:sz w:val="18"/>
          <w:szCs w:val="18"/>
        </w:rPr>
      </w:pPr>
      <w:r>
        <w:rPr>
          <w:b/>
          <w:bCs/>
          <w:spacing w:val="-6"/>
          <w:sz w:val="18"/>
          <w:szCs w:val="18"/>
        </w:rPr>
        <w:t>Graf č. 2.13.</w:t>
      </w:r>
      <w:r w:rsidR="004211DC" w:rsidRPr="004211DC">
        <w:rPr>
          <w:b/>
          <w:bCs/>
          <w:spacing w:val="-6"/>
          <w:sz w:val="18"/>
          <w:szCs w:val="18"/>
        </w:rPr>
        <w:t xml:space="preserve"> Struktura výdajů zdravotních pojišťoven v Česku podle věkových skupin a diagnóz MKN-10, 2019 (%) </w:t>
      </w:r>
    </w:p>
    <w:p w14:paraId="4F65E84E" w14:textId="77777777" w:rsidR="004211DC" w:rsidRPr="004211DC" w:rsidRDefault="004211DC" w:rsidP="00B94FAF">
      <w:pPr>
        <w:spacing w:before="240" w:after="120"/>
        <w:rPr>
          <w:b/>
          <w:bCs/>
          <w:spacing w:val="-6"/>
          <w:sz w:val="18"/>
          <w:szCs w:val="18"/>
        </w:rPr>
      </w:pPr>
      <w:r w:rsidRPr="004211DC">
        <w:rPr>
          <w:noProof/>
        </w:rPr>
        <w:drawing>
          <wp:inline distT="0" distB="0" distL="0" distR="0" wp14:anchorId="090B59AA" wp14:editId="7FB5ED67">
            <wp:extent cx="6085489" cy="3562985"/>
            <wp:effectExtent l="0" t="0" r="10795" b="18415"/>
            <wp:docPr id="25" name="Graf 2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138DC7D7" w14:textId="77777777" w:rsidR="004211DC" w:rsidRPr="004211DC" w:rsidRDefault="004211DC" w:rsidP="00B94FAF">
      <w:pPr>
        <w:spacing w:after="60"/>
        <w:rPr>
          <w:sz w:val="16"/>
        </w:rPr>
      </w:pPr>
      <w:r w:rsidRPr="00B94FAF">
        <w:rPr>
          <w:b/>
          <w:sz w:val="16"/>
        </w:rPr>
        <w:t>Poznámka:</w:t>
      </w:r>
      <w:r w:rsidRPr="004211DC">
        <w:rPr>
          <w:sz w:val="16"/>
        </w:rPr>
        <w:t xml:space="preserve"> výdaje zdravotních pojišťoven na zdravotní péči v ČR podle diagnóz MKN-10 uvedené v tomto grafu neobsahují výdaje, které není možné rozčlenit na konkrétní diagnózy. Jedná se například o kapitační platby registrujícím lékařům, návštěvní službu v rámci domácí péče, léky na recept, různé bonusy a příspěvky a také náklady pojišťoven na správu a provoz vlastních organizací</w:t>
      </w:r>
    </w:p>
    <w:p w14:paraId="41382BDE" w14:textId="77777777" w:rsidR="004211DC" w:rsidRPr="004211DC" w:rsidRDefault="004211DC" w:rsidP="00B94FAF">
      <w:pPr>
        <w:spacing w:before="60" w:after="60"/>
        <w:rPr>
          <w:b/>
          <w:bCs/>
          <w:i/>
          <w:sz w:val="12"/>
          <w:szCs w:val="16"/>
        </w:rPr>
      </w:pPr>
      <w:r w:rsidRPr="004211DC">
        <w:rPr>
          <w:sz w:val="16"/>
        </w:rPr>
        <w:t xml:space="preserve">Kategorie </w:t>
      </w:r>
      <w:r w:rsidRPr="00B94FAF">
        <w:rPr>
          <w:b/>
          <w:sz w:val="16"/>
        </w:rPr>
        <w:t xml:space="preserve">ostatní </w:t>
      </w:r>
      <w:r w:rsidRPr="004211DC">
        <w:rPr>
          <w:sz w:val="16"/>
        </w:rPr>
        <w:t>zahrnuje například infekční a parazitární nemoci, nemoci endokrinní a metabolické, poruchy duševní a poruchy chování, nemoci ucha, nemoci oka, nemoci nervové soustavy nebo těhotenství porod a šestinedělí.</w:t>
      </w:r>
    </w:p>
    <w:p w14:paraId="22F7B64C" w14:textId="77777777" w:rsidR="004211DC" w:rsidRPr="004211DC" w:rsidRDefault="004211DC" w:rsidP="00B94FAF">
      <w:pPr>
        <w:keepNext/>
        <w:spacing w:before="60" w:line="240" w:lineRule="auto"/>
        <w:jc w:val="right"/>
        <w:rPr>
          <w:b/>
          <w:bCs/>
          <w:i/>
          <w:sz w:val="16"/>
          <w:szCs w:val="16"/>
        </w:rPr>
      </w:pPr>
      <w:r w:rsidRPr="004211DC">
        <w:rPr>
          <w:b/>
          <w:bCs/>
          <w:i/>
          <w:sz w:val="16"/>
          <w:szCs w:val="16"/>
        </w:rPr>
        <w:t>Zdroj: ČSÚ 2021, Zdravotnické účty ČR 2010</w:t>
      </w:r>
      <w:r w:rsidRPr="004211DC">
        <w:rPr>
          <w:b/>
          <w:sz w:val="16"/>
          <w:szCs w:val="16"/>
        </w:rPr>
        <w:t>–</w:t>
      </w:r>
      <w:r w:rsidRPr="004211DC">
        <w:rPr>
          <w:b/>
          <w:bCs/>
          <w:i/>
          <w:sz w:val="16"/>
          <w:szCs w:val="16"/>
        </w:rPr>
        <w:t>2019</w:t>
      </w:r>
    </w:p>
    <w:p w14:paraId="14194280" w14:textId="77777777" w:rsidR="004211DC" w:rsidRDefault="004211DC" w:rsidP="004211DC">
      <w:pPr>
        <w:spacing w:before="0" w:line="240" w:lineRule="auto"/>
        <w:rPr>
          <w:rFonts w:eastAsia="MS Gothic"/>
          <w:b/>
          <w:i/>
        </w:rPr>
      </w:pPr>
      <w:r>
        <w:rPr>
          <w:rFonts w:eastAsia="MS Gothic"/>
          <w:b/>
          <w:i/>
        </w:rPr>
        <w:t>Výdaje na léčbu</w:t>
      </w:r>
      <w:r w:rsidRPr="00E74EA1">
        <w:rPr>
          <w:rFonts w:eastAsia="MS Gothic"/>
          <w:b/>
          <w:i/>
        </w:rPr>
        <w:t xml:space="preserve"> nemocí oběhové soustavy </w:t>
      </w:r>
      <w:r>
        <w:rPr>
          <w:rFonts w:eastAsia="MS Gothic"/>
          <w:b/>
          <w:i/>
        </w:rPr>
        <w:t xml:space="preserve">jsou </w:t>
      </w:r>
      <w:r w:rsidRPr="00E74EA1">
        <w:rPr>
          <w:rFonts w:eastAsia="MS Gothic"/>
          <w:b/>
          <w:i/>
        </w:rPr>
        <w:t xml:space="preserve">u mužů </w:t>
      </w:r>
      <w:r>
        <w:rPr>
          <w:rFonts w:eastAsia="MS Gothic"/>
          <w:b/>
          <w:i/>
        </w:rPr>
        <w:t xml:space="preserve">téměř o třetinu vyšší </w:t>
      </w:r>
      <w:r w:rsidRPr="00E74EA1">
        <w:rPr>
          <w:rFonts w:eastAsia="MS Gothic"/>
          <w:b/>
          <w:i/>
        </w:rPr>
        <w:t>než u žen</w:t>
      </w:r>
      <w:r>
        <w:rPr>
          <w:rFonts w:eastAsia="MS Gothic"/>
          <w:b/>
          <w:i/>
        </w:rPr>
        <w:t xml:space="preserve"> </w:t>
      </w:r>
    </w:p>
    <w:p w14:paraId="2818E784" w14:textId="16C35FD0" w:rsidR="004211DC" w:rsidRPr="00425420" w:rsidRDefault="0012076B" w:rsidP="004211DC">
      <w:pPr>
        <w:spacing w:before="0"/>
        <w:rPr>
          <w:szCs w:val="20"/>
        </w:rPr>
      </w:pPr>
      <w:r>
        <w:rPr>
          <w:szCs w:val="20"/>
        </w:rPr>
        <w:t>V grafu č. 2.14.</w:t>
      </w:r>
      <w:r w:rsidR="004211DC">
        <w:rPr>
          <w:szCs w:val="20"/>
        </w:rPr>
        <w:t xml:space="preserve"> jsou znázorněny</w:t>
      </w:r>
      <w:r w:rsidR="004211DC" w:rsidRPr="00E74EA1">
        <w:rPr>
          <w:szCs w:val="20"/>
        </w:rPr>
        <w:t xml:space="preserve"> průměrn</w:t>
      </w:r>
      <w:r w:rsidR="004211DC">
        <w:rPr>
          <w:szCs w:val="20"/>
        </w:rPr>
        <w:t>é</w:t>
      </w:r>
      <w:r w:rsidR="004211DC" w:rsidRPr="00E74EA1">
        <w:rPr>
          <w:szCs w:val="20"/>
        </w:rPr>
        <w:t xml:space="preserve"> výdaj</w:t>
      </w:r>
      <w:r w:rsidR="004211DC">
        <w:rPr>
          <w:szCs w:val="20"/>
        </w:rPr>
        <w:t>e</w:t>
      </w:r>
      <w:r w:rsidR="004211DC" w:rsidRPr="00E74EA1">
        <w:rPr>
          <w:szCs w:val="20"/>
        </w:rPr>
        <w:t xml:space="preserve"> zdravotních pojišťove</w:t>
      </w:r>
      <w:r w:rsidR="004211DC">
        <w:rPr>
          <w:szCs w:val="20"/>
        </w:rPr>
        <w:t>n podle diagnóz přepočtené na </w:t>
      </w:r>
      <w:r w:rsidR="004211DC" w:rsidRPr="00E74EA1">
        <w:rPr>
          <w:szCs w:val="20"/>
        </w:rPr>
        <w:t>jednoho pojištěnce daného pohlaví. Je zde patrná převaha výdajů na zdravotní péči o</w:t>
      </w:r>
      <w:r w:rsidR="004211DC" w:rsidRPr="00E74EA1">
        <w:rPr>
          <w:b/>
          <w:szCs w:val="20"/>
        </w:rPr>
        <w:t xml:space="preserve"> ženy</w:t>
      </w:r>
      <w:r w:rsidR="004211DC" w:rsidRPr="00E74EA1">
        <w:rPr>
          <w:szCs w:val="20"/>
        </w:rPr>
        <w:t xml:space="preserve"> u nemocí svalové a kosterní soustavy, které se nejčastěji objevují ve vyšším věku</w:t>
      </w:r>
      <w:r w:rsidR="004211DC">
        <w:rPr>
          <w:szCs w:val="20"/>
        </w:rPr>
        <w:t>.</w:t>
      </w:r>
      <w:r w:rsidR="004211DC" w:rsidRPr="00E74EA1">
        <w:rPr>
          <w:szCs w:val="20"/>
        </w:rPr>
        <w:t xml:space="preserve"> </w:t>
      </w:r>
      <w:r w:rsidR="004211DC">
        <w:t>Další skupinou diagnóz, kde zdravotní výdaje za ženy značně převyšují nad výdaji za muže, představují faktory ovlivňující</w:t>
      </w:r>
      <w:r w:rsidR="004211DC">
        <w:rPr>
          <w:szCs w:val="20"/>
        </w:rPr>
        <w:t xml:space="preserve"> </w:t>
      </w:r>
      <w:r w:rsidR="004211DC" w:rsidRPr="00E74EA1">
        <w:rPr>
          <w:szCs w:val="20"/>
        </w:rPr>
        <w:t>zdravotní stav</w:t>
      </w:r>
      <w:r w:rsidR="004211DC">
        <w:rPr>
          <w:szCs w:val="20"/>
        </w:rPr>
        <w:t xml:space="preserve">, kam patří mimo jiné doprovod dítěte při jeho hospitalizaci. </w:t>
      </w:r>
      <w:r w:rsidR="004211DC" w:rsidRPr="00E74EA1">
        <w:rPr>
          <w:szCs w:val="20"/>
        </w:rPr>
        <w:t>Také u</w:t>
      </w:r>
      <w:r w:rsidR="004211DC">
        <w:rPr>
          <w:szCs w:val="20"/>
        </w:rPr>
        <w:t> </w:t>
      </w:r>
      <w:r w:rsidR="004211DC" w:rsidRPr="00E74EA1">
        <w:rPr>
          <w:szCs w:val="20"/>
        </w:rPr>
        <w:t>nemocí močové a pohlavní soustavy</w:t>
      </w:r>
      <w:r w:rsidR="004211DC">
        <w:rPr>
          <w:szCs w:val="20"/>
        </w:rPr>
        <w:t>,</w:t>
      </w:r>
      <w:r w:rsidR="004211DC" w:rsidRPr="00E74EA1">
        <w:rPr>
          <w:szCs w:val="20"/>
        </w:rPr>
        <w:t xml:space="preserve"> nemocí nervové soustavy </w:t>
      </w:r>
      <w:r w:rsidR="004211DC">
        <w:rPr>
          <w:szCs w:val="20"/>
        </w:rPr>
        <w:t xml:space="preserve">a nemocí endokrinních a metabolických </w:t>
      </w:r>
      <w:r w:rsidR="004211DC" w:rsidRPr="00E74EA1">
        <w:rPr>
          <w:szCs w:val="20"/>
        </w:rPr>
        <w:t xml:space="preserve">jsou průměrné výdaje pojišťoven </w:t>
      </w:r>
      <w:r w:rsidR="004211DC">
        <w:rPr>
          <w:szCs w:val="20"/>
        </w:rPr>
        <w:t xml:space="preserve">značně </w:t>
      </w:r>
      <w:r w:rsidR="004211DC" w:rsidRPr="00E74EA1">
        <w:rPr>
          <w:szCs w:val="20"/>
        </w:rPr>
        <w:t>vyšší u</w:t>
      </w:r>
      <w:r w:rsidR="004211DC">
        <w:rPr>
          <w:szCs w:val="20"/>
        </w:rPr>
        <w:t> </w:t>
      </w:r>
      <w:r w:rsidR="00267CE9">
        <w:rPr>
          <w:szCs w:val="20"/>
        </w:rPr>
        <w:t>žen než </w:t>
      </w:r>
      <w:r w:rsidR="004211DC" w:rsidRPr="00E74EA1">
        <w:rPr>
          <w:szCs w:val="20"/>
        </w:rPr>
        <w:t>u mužů.</w:t>
      </w:r>
      <w:r w:rsidR="004211DC" w:rsidRPr="00425420">
        <w:rPr>
          <w:szCs w:val="20"/>
        </w:rPr>
        <w:t xml:space="preserve"> </w:t>
      </w:r>
    </w:p>
    <w:p w14:paraId="5E768393" w14:textId="77777777" w:rsidR="004211DC" w:rsidRDefault="004211DC" w:rsidP="004211DC">
      <w:pPr>
        <w:spacing w:before="0"/>
        <w:rPr>
          <w:szCs w:val="20"/>
        </w:rPr>
      </w:pPr>
      <w:r>
        <w:t xml:space="preserve">Naopak výdaje pojišťoven na zdravotní péči o </w:t>
      </w:r>
      <w:r w:rsidRPr="00A339B1">
        <w:rPr>
          <w:b/>
        </w:rPr>
        <w:t>muže</w:t>
      </w:r>
      <w:r>
        <w:t xml:space="preserve"> značně převládají u onemocnění oběhové soustavy</w:t>
      </w:r>
      <w:r>
        <w:rPr>
          <w:szCs w:val="20"/>
        </w:rPr>
        <w:t xml:space="preserve">. </w:t>
      </w:r>
      <w:r w:rsidRPr="00425420">
        <w:rPr>
          <w:szCs w:val="20"/>
        </w:rPr>
        <w:t xml:space="preserve">Mírně převažují i novotvary a nemoci dýchací soustavy. </w:t>
      </w:r>
    </w:p>
    <w:p w14:paraId="03A28954" w14:textId="77777777" w:rsidR="004211DC" w:rsidRDefault="004211DC" w:rsidP="004211DC">
      <w:pPr>
        <w:spacing w:before="0"/>
        <w:rPr>
          <w:szCs w:val="20"/>
        </w:rPr>
      </w:pPr>
      <w:r w:rsidRPr="00425420">
        <w:rPr>
          <w:szCs w:val="20"/>
        </w:rPr>
        <w:lastRenderedPageBreak/>
        <w:t xml:space="preserve">S vyrovnanými výdaji se setkáváme u onemocnění trávicího systému, duševních </w:t>
      </w:r>
      <w:r>
        <w:rPr>
          <w:szCs w:val="20"/>
        </w:rPr>
        <w:t>poruch a v kategorii poranění a </w:t>
      </w:r>
      <w:r w:rsidRPr="00425420">
        <w:rPr>
          <w:szCs w:val="20"/>
        </w:rPr>
        <w:t>otrav. I</w:t>
      </w:r>
      <w:r>
        <w:rPr>
          <w:szCs w:val="20"/>
        </w:rPr>
        <w:t> </w:t>
      </w:r>
      <w:r w:rsidRPr="00425420">
        <w:rPr>
          <w:szCs w:val="20"/>
        </w:rPr>
        <w:t>v těchto případech odrážejí průměrné náklady jak četnost onemocnění, která může být pro muže a ženy růz</w:t>
      </w:r>
      <w:r>
        <w:rPr>
          <w:szCs w:val="20"/>
        </w:rPr>
        <w:t>ná, tak i nákladnost léčby. Při</w:t>
      </w:r>
      <w:r w:rsidRPr="00425420">
        <w:rPr>
          <w:szCs w:val="20"/>
        </w:rPr>
        <w:t>tom v jedné skupině diagnóz často najdeme diagnózy typické jak pro muže, tak pro ženy, které se svou frekvencí i nákladností léčby mohou velmi lišit.</w:t>
      </w:r>
    </w:p>
    <w:p w14:paraId="0D7B16B6" w14:textId="62FEBCB2" w:rsidR="004211DC" w:rsidRPr="00425420" w:rsidRDefault="004211DC" w:rsidP="004211DC">
      <w:pPr>
        <w:spacing w:before="240" w:after="120" w:line="240" w:lineRule="auto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G</w:t>
      </w:r>
      <w:r w:rsidRPr="00425420">
        <w:rPr>
          <w:b/>
          <w:bCs/>
          <w:sz w:val="18"/>
          <w:szCs w:val="18"/>
        </w:rPr>
        <w:t xml:space="preserve">raf č. </w:t>
      </w:r>
      <w:r w:rsidR="0012076B">
        <w:rPr>
          <w:b/>
          <w:bCs/>
          <w:sz w:val="18"/>
          <w:szCs w:val="18"/>
        </w:rPr>
        <w:t>2.14.</w:t>
      </w:r>
      <w:r w:rsidRPr="00425420">
        <w:rPr>
          <w:b/>
          <w:bCs/>
          <w:sz w:val="18"/>
          <w:szCs w:val="18"/>
        </w:rPr>
        <w:t xml:space="preserve"> Výdaje zdravotních pojišťoven v Česku na 1 pojištěnce podl</w:t>
      </w:r>
      <w:r>
        <w:rPr>
          <w:b/>
          <w:bCs/>
          <w:sz w:val="18"/>
          <w:szCs w:val="18"/>
        </w:rPr>
        <w:t>e pohlaví a diagnóz MKN-10, 2019</w:t>
      </w:r>
      <w:r w:rsidRPr="00425420">
        <w:rPr>
          <w:b/>
          <w:bCs/>
          <w:sz w:val="18"/>
          <w:szCs w:val="18"/>
        </w:rPr>
        <w:t xml:space="preserve"> (Kč) </w:t>
      </w:r>
    </w:p>
    <w:p w14:paraId="46230AA0" w14:textId="77777777" w:rsidR="004211DC" w:rsidRDefault="004211DC" w:rsidP="00B94FAF">
      <w:pPr>
        <w:spacing w:after="120" w:line="240" w:lineRule="auto"/>
        <w:ind w:right="140"/>
        <w:jc w:val="right"/>
        <w:rPr>
          <w:noProof/>
        </w:rPr>
      </w:pPr>
      <w:r>
        <w:rPr>
          <w:noProof/>
        </w:rPr>
        <w:drawing>
          <wp:inline distT="0" distB="0" distL="0" distR="0" wp14:anchorId="06457232" wp14:editId="272DEE97">
            <wp:extent cx="6074979" cy="4803228"/>
            <wp:effectExtent l="0" t="0" r="2540" b="16510"/>
            <wp:docPr id="27" name="Graf 27">
              <a:extLst xmlns:a="http://schemas.openxmlformats.org/drawingml/2006/main">
                <a:ext uri="{FF2B5EF4-FFF2-40B4-BE49-F238E27FC236}">
                  <a16:creationId xmlns:a16="http://schemas.microsoft.com/office/drawing/2014/main" id="{175F8231-468D-4940-A97A-0CE2DAF8711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495B730B" w14:textId="77777777" w:rsidR="004211DC" w:rsidRPr="008820D9" w:rsidRDefault="004211DC" w:rsidP="00B94FAF">
      <w:pPr>
        <w:spacing w:before="0" w:after="60" w:line="240" w:lineRule="auto"/>
        <w:jc w:val="left"/>
        <w:rPr>
          <w:noProof/>
          <w:sz w:val="18"/>
          <w:szCs w:val="18"/>
        </w:rPr>
      </w:pPr>
      <w:r w:rsidRPr="008820D9">
        <w:rPr>
          <w:noProof/>
          <w:sz w:val="18"/>
          <w:szCs w:val="18"/>
        </w:rPr>
        <w:t>*nezařazené jinde</w:t>
      </w:r>
    </w:p>
    <w:p w14:paraId="54593B72" w14:textId="77777777" w:rsidR="004211DC" w:rsidRDefault="004211DC" w:rsidP="00B94FAF">
      <w:pPr>
        <w:keepNext/>
        <w:spacing w:before="60" w:line="240" w:lineRule="auto"/>
        <w:jc w:val="right"/>
        <w:rPr>
          <w:noProof/>
        </w:rPr>
      </w:pPr>
      <w:r w:rsidRPr="00425420">
        <w:rPr>
          <w:b/>
          <w:bCs/>
          <w:i/>
          <w:sz w:val="16"/>
          <w:szCs w:val="16"/>
        </w:rPr>
        <w:t xml:space="preserve">   </w:t>
      </w:r>
      <w:r>
        <w:rPr>
          <w:b/>
          <w:bCs/>
          <w:i/>
          <w:sz w:val="16"/>
          <w:szCs w:val="16"/>
        </w:rPr>
        <w:t xml:space="preserve">    </w:t>
      </w:r>
      <w:r w:rsidRPr="00425420">
        <w:rPr>
          <w:b/>
          <w:bCs/>
          <w:i/>
          <w:sz w:val="16"/>
          <w:szCs w:val="16"/>
        </w:rPr>
        <w:t xml:space="preserve">  </w:t>
      </w:r>
      <w:r>
        <w:rPr>
          <w:b/>
          <w:bCs/>
          <w:i/>
          <w:sz w:val="16"/>
          <w:szCs w:val="16"/>
        </w:rPr>
        <w:t>Zdroj: ČSÚ 2021</w:t>
      </w:r>
      <w:r w:rsidRPr="00425420">
        <w:rPr>
          <w:b/>
          <w:bCs/>
          <w:i/>
          <w:sz w:val="16"/>
          <w:szCs w:val="16"/>
        </w:rPr>
        <w:t>, Zdravotnické účty ČR 2010</w:t>
      </w:r>
      <w:r w:rsidRPr="00425420">
        <w:rPr>
          <w:b/>
          <w:sz w:val="16"/>
          <w:szCs w:val="16"/>
        </w:rPr>
        <w:t>–</w:t>
      </w:r>
      <w:r>
        <w:rPr>
          <w:b/>
          <w:bCs/>
          <w:i/>
          <w:sz w:val="16"/>
          <w:szCs w:val="16"/>
        </w:rPr>
        <w:t>2019</w:t>
      </w:r>
      <w:r w:rsidRPr="00425420">
        <w:rPr>
          <w:noProof/>
        </w:rPr>
        <w:tab/>
      </w:r>
    </w:p>
    <w:p w14:paraId="7E4A6511" w14:textId="77777777" w:rsidR="004211DC" w:rsidRDefault="006E134E" w:rsidP="004211DC">
      <w:pPr>
        <w:pStyle w:val="Nadpis3"/>
      </w:pPr>
      <w:r>
        <w:rPr>
          <w:noProof/>
        </w:rPr>
        <w:t>2.6</w:t>
      </w:r>
      <w:r w:rsidR="004211DC">
        <w:rPr>
          <w:noProof/>
        </w:rPr>
        <w:t xml:space="preserve">. </w:t>
      </w:r>
      <w:r w:rsidR="004211DC">
        <w:t>Výdaje zdravotních pojišťoven podle věku a pohlaví</w:t>
      </w:r>
    </w:p>
    <w:p w14:paraId="07144985" w14:textId="77777777" w:rsidR="004211DC" w:rsidRPr="008820D9" w:rsidRDefault="004211DC" w:rsidP="004211DC">
      <w:pPr>
        <w:widowControl w:val="0"/>
        <w:spacing w:before="0"/>
      </w:pPr>
      <w:r w:rsidRPr="00425420">
        <w:t>Následující část je zaměřena na výdaje pojišťoven na zdravotní péči členěné</w:t>
      </w:r>
      <w:r w:rsidRPr="00425420">
        <w:rPr>
          <w:b/>
        </w:rPr>
        <w:t xml:space="preserve"> podle věku </w:t>
      </w:r>
      <w:r w:rsidRPr="00425420">
        <w:t>a</w:t>
      </w:r>
      <w:r>
        <w:rPr>
          <w:b/>
        </w:rPr>
        <w:t> </w:t>
      </w:r>
      <w:r w:rsidRPr="00425420">
        <w:rPr>
          <w:b/>
        </w:rPr>
        <w:t>pohlaví pojištěnců</w:t>
      </w:r>
      <w:r w:rsidRPr="00425420">
        <w:t xml:space="preserve">, na které byla tato péče vykázána. </w:t>
      </w:r>
      <w:r w:rsidRPr="008820D9">
        <w:t>Každá věková skupina má odlišný počet pojištěnců, který přímo úměrně ovlivňuje výši celkových vynaložených výdajů. Při vyčíslení výdajů na jednoho pojištěnce se ukazuje jako potřebné vzít v úvahu i věk pojištěnce, protože v různém věku se stejná nemoc může projevovat různě, mít odlišnou délku léčení, specifické komplikace, odlišný průběh a tudíž rozdílné náklady.</w:t>
      </w:r>
    </w:p>
    <w:p w14:paraId="30552F09" w14:textId="4D1A7AB0" w:rsidR="004211DC" w:rsidRDefault="004211DC" w:rsidP="0012076B">
      <w:pPr>
        <w:widowControl w:val="0"/>
        <w:spacing w:before="0"/>
        <w:rPr>
          <w:rFonts w:eastAsia="MS Gothic"/>
          <w:b/>
          <w:i/>
          <w:color w:val="000000" w:themeColor="text1"/>
        </w:rPr>
      </w:pPr>
      <w:r>
        <w:rPr>
          <w:rFonts w:eastAsia="MS Gothic"/>
          <w:b/>
          <w:i/>
          <w:color w:val="000000" w:themeColor="text1"/>
        </w:rPr>
        <w:t xml:space="preserve">V roce 2019 vydaly zdravotní pojišťovny nejvíce peněz na zdravotní </w:t>
      </w:r>
      <w:r w:rsidR="0012076B">
        <w:rPr>
          <w:rFonts w:eastAsia="MS Gothic"/>
          <w:b/>
          <w:i/>
          <w:color w:val="000000" w:themeColor="text1"/>
        </w:rPr>
        <w:t>péči o muže a ženy ve věku 70 až 74 </w:t>
      </w:r>
      <w:r>
        <w:rPr>
          <w:rFonts w:eastAsia="MS Gothic"/>
          <w:b/>
          <w:i/>
          <w:color w:val="000000" w:themeColor="text1"/>
        </w:rPr>
        <w:t>let</w:t>
      </w:r>
    </w:p>
    <w:p w14:paraId="4EFA3D31" w14:textId="77777777" w:rsidR="004211DC" w:rsidRDefault="004211DC" w:rsidP="004211DC">
      <w:pPr>
        <w:spacing w:before="0"/>
      </w:pPr>
      <w:r w:rsidRPr="00425420">
        <w:t>Z celkových výdajů zdravotní</w:t>
      </w:r>
      <w:r>
        <w:t xml:space="preserve">ch pojišťoven na zdravotní péči </w:t>
      </w:r>
      <w:r w:rsidRPr="00425420">
        <w:t xml:space="preserve">připadlo </w:t>
      </w:r>
      <w:r w:rsidRPr="00007472">
        <w:rPr>
          <w:b/>
        </w:rPr>
        <w:t>52 % výdajů</w:t>
      </w:r>
      <w:r>
        <w:rPr>
          <w:b/>
        </w:rPr>
        <w:t xml:space="preserve"> na péči o ženy a </w:t>
      </w:r>
      <w:r w:rsidRPr="00007472">
        <w:rPr>
          <w:b/>
        </w:rPr>
        <w:t>48 %</w:t>
      </w:r>
      <w:r>
        <w:rPr>
          <w:b/>
        </w:rPr>
        <w:t> </w:t>
      </w:r>
      <w:r w:rsidRPr="00007472">
        <w:rPr>
          <w:b/>
        </w:rPr>
        <w:t>výdajů na péči o muže.</w:t>
      </w:r>
      <w:r>
        <w:t xml:space="preserve"> Ve většině věkových skupin jsou vyšší výdaje na zdravotní péči u žen. Nicméně vyšší výdaje na zdravotní péči o muže byly v roce 2019 zaznamenány například u pojištěnců ve věku </w:t>
      </w:r>
      <w:r w:rsidRPr="009A2729">
        <w:rPr>
          <w:b/>
        </w:rPr>
        <w:t>od</w:t>
      </w:r>
      <w:r>
        <w:t xml:space="preserve"> </w:t>
      </w:r>
      <w:r w:rsidRPr="0010697A">
        <w:rPr>
          <w:b/>
        </w:rPr>
        <w:t>0</w:t>
      </w:r>
      <w:r>
        <w:rPr>
          <w:b/>
          <w:bCs/>
        </w:rPr>
        <w:t xml:space="preserve"> do 14 let a 55 až 74 let.</w:t>
      </w:r>
      <w:r>
        <w:rPr>
          <w:b/>
        </w:rPr>
        <w:t xml:space="preserve"> </w:t>
      </w:r>
      <w:r>
        <w:t>Absolutně nejvyšší</w:t>
      </w:r>
      <w:r w:rsidRPr="00425420">
        <w:t xml:space="preserve"> částka </w:t>
      </w:r>
      <w:r>
        <w:t xml:space="preserve">byla zaznamenána ve věkové skupině </w:t>
      </w:r>
      <w:r w:rsidRPr="00007472">
        <w:t>70-74</w:t>
      </w:r>
      <w:r>
        <w:t> </w:t>
      </w:r>
      <w:r w:rsidRPr="00007472">
        <w:t xml:space="preserve">let </w:t>
      </w:r>
      <w:r>
        <w:t>u </w:t>
      </w:r>
      <w:r w:rsidRPr="00007472">
        <w:t xml:space="preserve">mužů (18,3 mld. Kč), u žen činily výdaje ve stejné věkové skupině celkem </w:t>
      </w:r>
      <w:r>
        <w:t>17,9 mld. </w:t>
      </w:r>
      <w:r w:rsidRPr="00007472">
        <w:t>Kč.</w:t>
      </w:r>
    </w:p>
    <w:p w14:paraId="710A613B" w14:textId="5DC50E71" w:rsidR="004211DC" w:rsidRPr="004211DC" w:rsidRDefault="0012076B" w:rsidP="00B94FAF">
      <w:pPr>
        <w:widowControl w:val="0"/>
        <w:spacing w:after="120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Graf č. 2.15.</w:t>
      </w:r>
      <w:r w:rsidR="004211DC" w:rsidRPr="004211DC">
        <w:rPr>
          <w:b/>
          <w:sz w:val="18"/>
          <w:szCs w:val="18"/>
        </w:rPr>
        <w:t xml:space="preserve"> Výdaje zdravotních pojišťoven v Česku podle věku a pohlaví pojištěnců, 2019 (mil. Kč)</w:t>
      </w:r>
    </w:p>
    <w:p w14:paraId="36410BDF" w14:textId="77777777" w:rsidR="004211DC" w:rsidRPr="004211DC" w:rsidRDefault="004211DC" w:rsidP="004211DC">
      <w:pPr>
        <w:widowControl w:val="0"/>
        <w:spacing w:after="0"/>
      </w:pPr>
      <w:r w:rsidRPr="004211DC">
        <w:rPr>
          <w:noProof/>
        </w:rPr>
        <w:drawing>
          <wp:inline distT="0" distB="0" distL="0" distR="0" wp14:anchorId="2E720B45" wp14:editId="68273419">
            <wp:extent cx="6085205" cy="3720662"/>
            <wp:effectExtent l="0" t="0" r="10795" b="13335"/>
            <wp:docPr id="22" name="Graf 2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7871322A" w14:textId="77777777" w:rsidR="004211DC" w:rsidRDefault="004211DC" w:rsidP="00B94FAF">
      <w:pPr>
        <w:tabs>
          <w:tab w:val="left" w:pos="480"/>
          <w:tab w:val="right" w:pos="9638"/>
        </w:tabs>
        <w:jc w:val="right"/>
        <w:rPr>
          <w:b/>
          <w:bCs/>
          <w:i/>
          <w:sz w:val="16"/>
          <w:szCs w:val="16"/>
        </w:rPr>
      </w:pPr>
      <w:r w:rsidRPr="004211DC">
        <w:rPr>
          <w:b/>
          <w:i/>
          <w:sz w:val="16"/>
          <w:szCs w:val="16"/>
        </w:rPr>
        <w:t xml:space="preserve">Zdroj: ČSÚ 2021, Zdravotnické účty ČR </w:t>
      </w:r>
      <w:r w:rsidRPr="004211DC">
        <w:rPr>
          <w:b/>
          <w:bCs/>
          <w:i/>
          <w:sz w:val="16"/>
          <w:szCs w:val="16"/>
        </w:rPr>
        <w:t>2010</w:t>
      </w:r>
      <w:r w:rsidRPr="004211DC">
        <w:rPr>
          <w:b/>
          <w:sz w:val="16"/>
          <w:szCs w:val="16"/>
        </w:rPr>
        <w:t>–</w:t>
      </w:r>
      <w:r w:rsidRPr="004211DC">
        <w:rPr>
          <w:b/>
          <w:bCs/>
          <w:i/>
          <w:sz w:val="16"/>
          <w:szCs w:val="16"/>
        </w:rPr>
        <w:t>2019</w:t>
      </w:r>
    </w:p>
    <w:p w14:paraId="299E7264" w14:textId="77777777" w:rsidR="004211DC" w:rsidRDefault="004211DC" w:rsidP="004211DC">
      <w:pPr>
        <w:spacing w:before="0"/>
        <w:rPr>
          <w:rFonts w:eastAsia="MS Gothic"/>
          <w:b/>
          <w:i/>
        </w:rPr>
      </w:pPr>
      <w:r>
        <w:rPr>
          <w:rFonts w:eastAsia="MS Gothic"/>
          <w:b/>
          <w:i/>
        </w:rPr>
        <w:t>Průměrné v</w:t>
      </w:r>
      <w:r w:rsidRPr="00425420">
        <w:rPr>
          <w:rFonts w:eastAsia="MS Gothic"/>
          <w:b/>
          <w:i/>
        </w:rPr>
        <w:t xml:space="preserve">ýdaje na léčení </w:t>
      </w:r>
      <w:r>
        <w:rPr>
          <w:rFonts w:eastAsia="MS Gothic"/>
          <w:b/>
          <w:i/>
        </w:rPr>
        <w:t xml:space="preserve">jedné </w:t>
      </w:r>
      <w:r w:rsidRPr="00425420">
        <w:rPr>
          <w:rFonts w:eastAsia="MS Gothic"/>
          <w:b/>
          <w:i/>
        </w:rPr>
        <w:t>žen</w:t>
      </w:r>
      <w:r>
        <w:rPr>
          <w:rFonts w:eastAsia="MS Gothic"/>
          <w:b/>
          <w:i/>
        </w:rPr>
        <w:t>y byly ve většině věkových skupin</w:t>
      </w:r>
      <w:r w:rsidRPr="00425420">
        <w:rPr>
          <w:rFonts w:eastAsia="MS Gothic"/>
          <w:b/>
          <w:i/>
        </w:rPr>
        <w:t xml:space="preserve"> </w:t>
      </w:r>
      <w:r>
        <w:rPr>
          <w:rFonts w:eastAsia="MS Gothic"/>
          <w:b/>
          <w:i/>
        </w:rPr>
        <w:t>nižš</w:t>
      </w:r>
      <w:r w:rsidRPr="00425420">
        <w:rPr>
          <w:rFonts w:eastAsia="MS Gothic"/>
          <w:b/>
          <w:i/>
        </w:rPr>
        <w:t xml:space="preserve">í než </w:t>
      </w:r>
      <w:r>
        <w:rPr>
          <w:rFonts w:eastAsia="MS Gothic"/>
          <w:b/>
          <w:i/>
        </w:rPr>
        <w:t xml:space="preserve">výdaje </w:t>
      </w:r>
      <w:r w:rsidRPr="00425420">
        <w:rPr>
          <w:rFonts w:eastAsia="MS Gothic"/>
          <w:b/>
          <w:i/>
        </w:rPr>
        <w:t xml:space="preserve">na léčení </w:t>
      </w:r>
      <w:r>
        <w:rPr>
          <w:rFonts w:eastAsia="MS Gothic"/>
          <w:b/>
          <w:i/>
        </w:rPr>
        <w:t>jednoho muže</w:t>
      </w:r>
    </w:p>
    <w:p w14:paraId="3E9726FE" w14:textId="11AF31ED" w:rsidR="004211DC" w:rsidRDefault="0012076B" w:rsidP="004211DC">
      <w:pPr>
        <w:keepNext/>
        <w:spacing w:before="0"/>
      </w:pPr>
      <w:r>
        <w:t>Graf č. 2.16.</w:t>
      </w:r>
      <w:r w:rsidR="004211DC">
        <w:t xml:space="preserve"> zachycuje průměrné roční výdaje zdravotních pojišťoven na zdravotní péči o jednoho pojištěnce podle věku a pohlaví v roce 2019. Jak lze předpokládat, průměrné výdaje na jednoho pojištěnce rostou spolu s věkem. </w:t>
      </w:r>
    </w:p>
    <w:p w14:paraId="47BFAEBF" w14:textId="78CA6856" w:rsidR="004211DC" w:rsidRPr="000670FD" w:rsidRDefault="004211DC" w:rsidP="004211DC">
      <w:pPr>
        <w:keepNext/>
        <w:rPr>
          <w:b/>
          <w:i/>
        </w:rPr>
      </w:pPr>
      <w:r w:rsidRPr="000670FD">
        <w:rPr>
          <w:b/>
          <w:i/>
        </w:rPr>
        <w:t>Průměrné výdaje zdravotních pojišťoven v roce 2019 na jednu pojištěnou ženu (</w:t>
      </w:r>
      <w:r w:rsidR="00E5622C">
        <w:rPr>
          <w:b/>
          <w:i/>
        </w:rPr>
        <w:t>29 745</w:t>
      </w:r>
      <w:r w:rsidRPr="000670FD">
        <w:rPr>
          <w:b/>
          <w:i/>
        </w:rPr>
        <w:t> Kč) byly o </w:t>
      </w:r>
      <w:r w:rsidR="00E5622C">
        <w:rPr>
          <w:b/>
          <w:i/>
        </w:rPr>
        <w:t>6 </w:t>
      </w:r>
      <w:r w:rsidRPr="000670FD">
        <w:rPr>
          <w:b/>
          <w:i/>
        </w:rPr>
        <w:t> % vyšší než průměrné výdaje na jednoho pojištěného muže (27 996 Kč)</w:t>
      </w:r>
    </w:p>
    <w:p w14:paraId="1F9FB260" w14:textId="79143B6F" w:rsidR="004211DC" w:rsidRDefault="004211DC" w:rsidP="00B94FAF">
      <w:pPr>
        <w:keepNext/>
      </w:pPr>
      <w:r>
        <w:t xml:space="preserve">Průměrné výdaje zdravotních pojišťoven na jednoho pojištěnce v roce 2019 bez ohledu na pohlaví byly </w:t>
      </w:r>
      <w:r w:rsidR="00E5622C">
        <w:t>28 882</w:t>
      </w:r>
      <w:r>
        <w:t> Kč. Meziročně došlo ke zvý</w:t>
      </w:r>
      <w:r w:rsidR="00E5622C">
        <w:t>šení o 6</w:t>
      </w:r>
      <w:bookmarkStart w:id="1" w:name="_GoBack"/>
      <w:bookmarkEnd w:id="1"/>
      <w:r>
        <w:t xml:space="preserve"> %. </w:t>
      </w:r>
      <w:r w:rsidRPr="00425420">
        <w:t>Poměrně vysoké výdaje na jednoho pojištěnce jsou vykazovány v nejmladší věkové</w:t>
      </w:r>
      <w:r>
        <w:t xml:space="preserve"> skupině</w:t>
      </w:r>
      <w:r w:rsidRPr="00425420">
        <w:t>, což je dáno nákladnější péčí o</w:t>
      </w:r>
      <w:r>
        <w:t> </w:t>
      </w:r>
      <w:r w:rsidRPr="00425420">
        <w:t xml:space="preserve">novorozence (každý novorozenec je po porodu hospitalizován), zejména u předčasně narozených dětí. </w:t>
      </w:r>
      <w:r>
        <w:t xml:space="preserve">U </w:t>
      </w:r>
      <w:r w:rsidRPr="00425420">
        <w:t>obou pohlaví jsou průměrné výdaje na jednoho pojištěnce ovlivněny očkovacím kalendářem, nabídkou nepovinn</w:t>
      </w:r>
      <w:r>
        <w:t>ých</w:t>
      </w:r>
      <w:r w:rsidRPr="00425420">
        <w:t xml:space="preserve"> očkování nebo preventivními </w:t>
      </w:r>
      <w:r>
        <w:t>prohlídkami</w:t>
      </w:r>
      <w:r w:rsidRPr="00425420">
        <w:t xml:space="preserve">. </w:t>
      </w:r>
      <w:r>
        <w:t>S víceméně vyrovnanými výdaji na jednoho pojištěnce se setkáváme u obou pohlaví ve věku 10</w:t>
      </w:r>
      <w:r>
        <w:rPr>
          <w:bCs/>
        </w:rPr>
        <w:t xml:space="preserve">–19 let. </w:t>
      </w:r>
      <w:r w:rsidRPr="00425420">
        <w:t>V nás</w:t>
      </w:r>
      <w:r>
        <w:t>ledujících věkových skupinách byla u mužů do 44 </w:t>
      </w:r>
      <w:r w:rsidRPr="00425420">
        <w:t>let</w:t>
      </w:r>
      <w:r>
        <w:t xml:space="preserve"> průměrná</w:t>
      </w:r>
      <w:r w:rsidRPr="00425420">
        <w:t xml:space="preserve"> hodnota ročních výdajů na jednoho pojištěnce </w:t>
      </w:r>
      <w:r>
        <w:t xml:space="preserve">přibližně 13, 5 tis. Kč. Od 45. </w:t>
      </w:r>
      <w:r w:rsidRPr="00425420">
        <w:t>roku věku se průměrné výdaje na zdravotní péč</w:t>
      </w:r>
      <w:r>
        <w:t xml:space="preserve">i zvyšují s narůstajícím věkem. </w:t>
      </w:r>
      <w:r w:rsidRPr="00425420">
        <w:t xml:space="preserve">U </w:t>
      </w:r>
      <w:r>
        <w:t>žen byly průměrné výdaje na jednu pojištěnou ženu ve věku 20</w:t>
      </w:r>
      <w:r>
        <w:rPr>
          <w:bCs/>
        </w:rPr>
        <w:t>–</w:t>
      </w:r>
      <w:r>
        <w:t xml:space="preserve">29 let přibližně 16,6 tis. Kč. U žen </w:t>
      </w:r>
      <w:r w:rsidRPr="00425420">
        <w:t xml:space="preserve">od </w:t>
      </w:r>
      <w:r>
        <w:t>30</w:t>
      </w:r>
      <w:r w:rsidRPr="00425420">
        <w:t xml:space="preserve"> do </w:t>
      </w:r>
      <w:r>
        <w:t>49 </w:t>
      </w:r>
      <w:r w:rsidRPr="00425420">
        <w:t xml:space="preserve">let činily průměrné roční výdaje </w:t>
      </w:r>
      <w:r>
        <w:t xml:space="preserve">22,2 tis. </w:t>
      </w:r>
      <w:r w:rsidRPr="00425420">
        <w:t>Kč. Výdaje na zdravotní péči na jednu pojištěnou ženu v </w:t>
      </w:r>
      <w:r>
        <w:t>uvedené</w:t>
      </w:r>
      <w:r w:rsidRPr="00425420">
        <w:t xml:space="preserve"> věkové </w:t>
      </w:r>
      <w:r>
        <w:t xml:space="preserve">kategorii </w:t>
      </w:r>
      <w:r w:rsidRPr="00425420">
        <w:t>jsou výr</w:t>
      </w:r>
      <w:r>
        <w:t>azně vyšší než v případě mužů, což je u žen způsobeno</w:t>
      </w:r>
      <w:r w:rsidRPr="00425420">
        <w:t xml:space="preserve"> čerpá</w:t>
      </w:r>
      <w:r>
        <w:t>ním</w:t>
      </w:r>
      <w:r w:rsidRPr="00425420">
        <w:t xml:space="preserve"> </w:t>
      </w:r>
      <w:r>
        <w:t>zdravotní péče</w:t>
      </w:r>
      <w:r w:rsidRPr="00425420">
        <w:t xml:space="preserve"> v souvislosti s těhotenstvím a mateřstvím. </w:t>
      </w:r>
      <w:r>
        <w:t>U osob okolo 50 let se výdaje na jednu pojištěnou ženu i muže opět vyrovnávají a mezi 60 a 90 lety průměrné výdaje na jednoho muže značně převyšují výdaje na jednu ženu.</w:t>
      </w:r>
      <w:r w:rsidRPr="00425420">
        <w:t xml:space="preserve"> </w:t>
      </w:r>
      <w:r>
        <w:t xml:space="preserve">Od 50 let se výdaje na zdravotní péči jak u žen i u mužů velmi zvyšují. Ve věkových skupinách </w:t>
      </w:r>
      <w:r>
        <w:lastRenderedPageBreak/>
        <w:t>55 let a starší průměrné výdaje na jednoho pojištěnce muže značně převyšují průměrné výdaje na jednu pojištěnou ženu.</w:t>
      </w:r>
    </w:p>
    <w:p w14:paraId="4C8AD04F" w14:textId="2663F33F" w:rsidR="004211DC" w:rsidRPr="004211DC" w:rsidRDefault="0012076B" w:rsidP="00B94FAF">
      <w:pPr>
        <w:spacing w:after="120" w:line="240" w:lineRule="auto"/>
        <w:rPr>
          <w:rFonts w:cs="Arial"/>
          <w:b/>
          <w:bCs/>
          <w:color w:val="000000"/>
          <w:sz w:val="18"/>
          <w:szCs w:val="18"/>
        </w:rPr>
      </w:pPr>
      <w:r>
        <w:rPr>
          <w:rFonts w:cs="Arial"/>
          <w:b/>
          <w:bCs/>
          <w:color w:val="000000"/>
          <w:sz w:val="18"/>
          <w:szCs w:val="18"/>
        </w:rPr>
        <w:t>Graf č. 2.16.</w:t>
      </w:r>
      <w:r w:rsidR="004211DC" w:rsidRPr="004211DC">
        <w:rPr>
          <w:rFonts w:cs="Arial"/>
          <w:b/>
          <w:bCs/>
          <w:color w:val="000000"/>
          <w:sz w:val="18"/>
          <w:szCs w:val="18"/>
        </w:rPr>
        <w:t xml:space="preserve"> Výdaje zdravotních pojišťoven za 1 pojištěnce podle věku a pohlaví, 2019 (v Kč)</w:t>
      </w:r>
    </w:p>
    <w:p w14:paraId="046652D3" w14:textId="77777777" w:rsidR="004211DC" w:rsidRPr="004211DC" w:rsidRDefault="004211DC" w:rsidP="00B94FAF">
      <w:pPr>
        <w:keepNext/>
        <w:spacing w:after="120"/>
      </w:pPr>
      <w:r w:rsidRPr="004211DC">
        <w:rPr>
          <w:noProof/>
        </w:rPr>
        <w:drawing>
          <wp:inline distT="0" distB="0" distL="0" distR="0" wp14:anchorId="4306A1B6" wp14:editId="5A9F0228">
            <wp:extent cx="6085489" cy="3352800"/>
            <wp:effectExtent l="0" t="0" r="10795" b="0"/>
            <wp:docPr id="23" name="Graf 2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6484203F" w14:textId="77777777" w:rsidR="004211DC" w:rsidRDefault="004211DC" w:rsidP="00525972">
      <w:pPr>
        <w:keepNext/>
        <w:spacing w:before="0"/>
        <w:jc w:val="right"/>
      </w:pPr>
      <w:r w:rsidRPr="004211DC">
        <w:rPr>
          <w:b/>
          <w:i/>
          <w:sz w:val="16"/>
          <w:szCs w:val="16"/>
        </w:rPr>
        <w:t xml:space="preserve">Zdroj: ČSÚ 2021, Zdravotnické účty ČR </w:t>
      </w:r>
      <w:r w:rsidRPr="004211DC">
        <w:rPr>
          <w:b/>
          <w:bCs/>
          <w:i/>
          <w:sz w:val="16"/>
          <w:szCs w:val="16"/>
        </w:rPr>
        <w:t>2010</w:t>
      </w:r>
      <w:r w:rsidRPr="004211DC">
        <w:rPr>
          <w:b/>
          <w:sz w:val="16"/>
          <w:szCs w:val="16"/>
        </w:rPr>
        <w:t>–</w:t>
      </w:r>
      <w:r w:rsidRPr="004211DC">
        <w:rPr>
          <w:b/>
          <w:bCs/>
          <w:i/>
          <w:sz w:val="16"/>
          <w:szCs w:val="16"/>
        </w:rPr>
        <w:t>2019</w:t>
      </w:r>
    </w:p>
    <w:p w14:paraId="3BD6088C" w14:textId="77777777" w:rsidR="004211DC" w:rsidRDefault="004211DC" w:rsidP="004211DC">
      <w:r w:rsidRPr="005D15C0">
        <w:t xml:space="preserve">Vývoj průměrných </w:t>
      </w:r>
      <w:r>
        <w:t xml:space="preserve">ročních </w:t>
      </w:r>
      <w:r w:rsidRPr="005D15C0">
        <w:t xml:space="preserve">výdajů zdravotních pojišťoven </w:t>
      </w:r>
      <w:r>
        <w:t xml:space="preserve">na zdravotní péči </w:t>
      </w:r>
      <w:r w:rsidRPr="005D15C0">
        <w:t xml:space="preserve">na </w:t>
      </w:r>
      <w:r>
        <w:t>jednoho</w:t>
      </w:r>
      <w:r w:rsidRPr="005D15C0">
        <w:t xml:space="preserve"> pojištěnce </w:t>
      </w:r>
      <w:r>
        <w:t xml:space="preserve">za uplynulých deset </w:t>
      </w:r>
      <w:r w:rsidRPr="005D15C0">
        <w:t xml:space="preserve">let </w:t>
      </w:r>
      <w:r>
        <w:t>přehledně zachycuje</w:t>
      </w:r>
      <w:r w:rsidRPr="005D15C0">
        <w:t xml:space="preserve"> následující graf.</w:t>
      </w:r>
    </w:p>
    <w:p w14:paraId="1D12BFC6" w14:textId="28BAF530" w:rsidR="004211DC" w:rsidRPr="004211DC" w:rsidRDefault="0012076B" w:rsidP="00B94FAF">
      <w:pPr>
        <w:tabs>
          <w:tab w:val="left" w:pos="480"/>
          <w:tab w:val="right" w:pos="9638"/>
        </w:tabs>
        <w:spacing w:after="120" w:line="240" w:lineRule="auto"/>
        <w:rPr>
          <w:rFonts w:cs="Arial"/>
          <w:b/>
          <w:sz w:val="18"/>
          <w:szCs w:val="18"/>
        </w:rPr>
      </w:pPr>
      <w:r>
        <w:rPr>
          <w:rFonts w:cs="Arial"/>
          <w:b/>
          <w:sz w:val="18"/>
          <w:szCs w:val="18"/>
        </w:rPr>
        <w:t>Graf č. 2.17.</w:t>
      </w:r>
      <w:r w:rsidR="004211DC" w:rsidRPr="004211DC">
        <w:rPr>
          <w:rFonts w:cs="Arial"/>
          <w:b/>
          <w:sz w:val="18"/>
          <w:szCs w:val="18"/>
        </w:rPr>
        <w:t xml:space="preserve"> Průměrné výdaje zdravotních pojišťoven v Česku na 1 pojištěnce podle pohlaví v letech 2010</w:t>
      </w:r>
      <w:r w:rsidR="004211DC" w:rsidRPr="004211DC">
        <w:rPr>
          <w:b/>
          <w:sz w:val="16"/>
          <w:szCs w:val="16"/>
        </w:rPr>
        <w:t>–</w:t>
      </w:r>
      <w:r w:rsidR="004211DC" w:rsidRPr="004211DC">
        <w:rPr>
          <w:rFonts w:cs="Arial"/>
          <w:b/>
          <w:sz w:val="18"/>
          <w:szCs w:val="18"/>
        </w:rPr>
        <w:t>2019, (Kč)</w:t>
      </w:r>
    </w:p>
    <w:p w14:paraId="7353CB65" w14:textId="7B489669" w:rsidR="004211DC" w:rsidRPr="004211DC" w:rsidRDefault="00E5622C" w:rsidP="00B94FAF">
      <w:pPr>
        <w:tabs>
          <w:tab w:val="left" w:pos="2977"/>
        </w:tabs>
        <w:spacing w:after="120"/>
        <w:rPr>
          <w:b/>
          <w:bCs/>
          <w:sz w:val="18"/>
          <w:szCs w:val="18"/>
        </w:rPr>
      </w:pPr>
      <w:r>
        <w:rPr>
          <w:noProof/>
        </w:rPr>
        <w:drawing>
          <wp:inline distT="0" distB="0" distL="0" distR="0" wp14:anchorId="2ABF467D" wp14:editId="6A10CD31">
            <wp:extent cx="6038850" cy="3495675"/>
            <wp:effectExtent l="0" t="0" r="0" b="9525"/>
            <wp:docPr id="12" name="Graf 1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70AED1EE" w14:textId="77777777" w:rsidR="004211DC" w:rsidRPr="004211DC" w:rsidRDefault="004211DC" w:rsidP="00525972">
      <w:pPr>
        <w:tabs>
          <w:tab w:val="left" w:pos="480"/>
          <w:tab w:val="right" w:pos="9638"/>
        </w:tabs>
        <w:spacing w:before="0"/>
        <w:jc w:val="right"/>
        <w:rPr>
          <w:b/>
          <w:bCs/>
          <w:sz w:val="18"/>
          <w:szCs w:val="18"/>
        </w:rPr>
      </w:pPr>
      <w:r w:rsidRPr="004211DC">
        <w:rPr>
          <w:b/>
          <w:i/>
          <w:sz w:val="16"/>
          <w:szCs w:val="16"/>
        </w:rPr>
        <w:t xml:space="preserve">Zdroj: ČSÚ 2021, Zdravotnické účty ČR </w:t>
      </w:r>
      <w:r w:rsidRPr="004211DC">
        <w:rPr>
          <w:b/>
          <w:bCs/>
          <w:i/>
          <w:sz w:val="16"/>
          <w:szCs w:val="16"/>
        </w:rPr>
        <w:t>2010</w:t>
      </w:r>
      <w:r w:rsidRPr="004211DC">
        <w:rPr>
          <w:b/>
          <w:sz w:val="16"/>
          <w:szCs w:val="16"/>
        </w:rPr>
        <w:t>–</w:t>
      </w:r>
      <w:r w:rsidRPr="004211DC">
        <w:rPr>
          <w:b/>
          <w:bCs/>
          <w:i/>
          <w:sz w:val="16"/>
          <w:szCs w:val="16"/>
        </w:rPr>
        <w:t>2019</w:t>
      </w:r>
    </w:p>
    <w:sectPr w:rsidR="004211DC" w:rsidRPr="004211DC" w:rsidSect="009C472C">
      <w:type w:val="continuous"/>
      <w:pgSz w:w="11906" w:h="16838" w:code="9"/>
      <w:pgMar w:top="1134" w:right="1134" w:bottom="1418" w:left="1134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160CEB" w14:textId="77777777" w:rsidR="00654F84" w:rsidRDefault="00654F84" w:rsidP="00E71A58">
      <w:r>
        <w:separator/>
      </w:r>
    </w:p>
  </w:endnote>
  <w:endnote w:type="continuationSeparator" w:id="0">
    <w:p w14:paraId="624D6A7E" w14:textId="77777777" w:rsidR="00654F84" w:rsidRDefault="00654F84" w:rsidP="00E71A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78D66D" w14:textId="6C58F5D0" w:rsidR="007661E9" w:rsidRPr="00932443" w:rsidRDefault="00016992" w:rsidP="00A418BC">
    <w:pPr>
      <w:pStyle w:val="Zpat"/>
      <w:rPr>
        <w:szCs w:val="16"/>
      </w:rPr>
    </w:pPr>
    <w:r>
      <w:rPr>
        <w:szCs w:val="16"/>
        <w:lang w:eastAsia="cs-CZ"/>
      </w:rPr>
      <w:drawing>
        <wp:anchor distT="0" distB="0" distL="114300" distR="114300" simplePos="0" relativeHeight="251660288" behindDoc="0" locked="0" layoutInCell="1" allowOverlap="1" wp14:anchorId="7BB70A84" wp14:editId="381B594C">
          <wp:simplePos x="0" y="0"/>
          <wp:positionH relativeFrom="column">
            <wp:align>right</wp:align>
          </wp:positionH>
          <wp:positionV relativeFrom="paragraph">
            <wp:posOffset>-64770</wp:posOffset>
          </wp:positionV>
          <wp:extent cx="428625" cy="201295"/>
          <wp:effectExtent l="0" t="0" r="3175" b="1905"/>
          <wp:wrapNone/>
          <wp:docPr id="11" name="Picture 11" descr="CSU RGB CZ log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SU RGB CZ logo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201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47BF" w:rsidRPr="00932443">
      <w:rPr>
        <w:szCs w:val="16"/>
      </w:rPr>
      <w:fldChar w:fldCharType="begin"/>
    </w:r>
    <w:r w:rsidR="005647BF" w:rsidRPr="00932443">
      <w:rPr>
        <w:szCs w:val="16"/>
      </w:rPr>
      <w:instrText>PAGE   \* MERGEFORMAT</w:instrText>
    </w:r>
    <w:r w:rsidR="005647BF" w:rsidRPr="00932443">
      <w:rPr>
        <w:szCs w:val="16"/>
      </w:rPr>
      <w:fldChar w:fldCharType="separate"/>
    </w:r>
    <w:r w:rsidR="00E5622C">
      <w:rPr>
        <w:szCs w:val="16"/>
      </w:rPr>
      <w:t>36</w:t>
    </w:r>
    <w:r w:rsidR="005647BF" w:rsidRPr="00932443">
      <w:rPr>
        <w:szCs w:val="16"/>
      </w:rPr>
      <w:fldChar w:fldCharType="end"/>
    </w:r>
    <w:r w:rsidR="005647BF" w:rsidRPr="00932443">
      <w:rPr>
        <w:szCs w:val="16"/>
      </w:rPr>
      <w:tab/>
    </w:r>
    <w:r w:rsidR="00D209AA">
      <w:rPr>
        <w:szCs w:val="16"/>
      </w:rPr>
      <w:t>2021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A35000" w14:textId="1256ECB2" w:rsidR="00B80EC6" w:rsidRPr="00932443" w:rsidRDefault="00016992" w:rsidP="00A418BC">
    <w:pPr>
      <w:pStyle w:val="Zpat"/>
      <w:rPr>
        <w:szCs w:val="16"/>
      </w:rPr>
    </w:pPr>
    <w:r>
      <w:rPr>
        <w:szCs w:val="16"/>
        <w:lang w:eastAsia="cs-CZ"/>
      </w:rPr>
      <w:drawing>
        <wp:anchor distT="0" distB="0" distL="114300" distR="114300" simplePos="0" relativeHeight="251657216" behindDoc="0" locked="0" layoutInCell="1" allowOverlap="1" wp14:anchorId="0C3D8F74" wp14:editId="30B51CA0">
          <wp:simplePos x="0" y="0"/>
          <wp:positionH relativeFrom="column">
            <wp:align>left</wp:align>
          </wp:positionH>
          <wp:positionV relativeFrom="paragraph">
            <wp:posOffset>-122555</wp:posOffset>
          </wp:positionV>
          <wp:extent cx="510540" cy="272415"/>
          <wp:effectExtent l="0" t="0" r="0" b="6985"/>
          <wp:wrapNone/>
          <wp:docPr id="10" name="Picture 10" descr="CSU RGB CZ log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SU RGB CZ logo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272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47BF" w:rsidRPr="00932443">
      <w:rPr>
        <w:szCs w:val="16"/>
      </w:rPr>
      <w:tab/>
    </w:r>
    <w:r w:rsidR="009C472C">
      <w:rPr>
        <w:rStyle w:val="ZpatChar"/>
        <w:szCs w:val="16"/>
      </w:rPr>
      <w:t>2021</w:t>
    </w:r>
    <w:r w:rsidR="005647BF" w:rsidRPr="00932443">
      <w:rPr>
        <w:szCs w:val="16"/>
      </w:rPr>
      <w:tab/>
    </w:r>
    <w:r w:rsidR="005647BF" w:rsidRPr="00932443">
      <w:rPr>
        <w:rStyle w:val="ZpatChar"/>
        <w:szCs w:val="16"/>
      </w:rPr>
      <w:fldChar w:fldCharType="begin"/>
    </w:r>
    <w:r w:rsidR="005647BF" w:rsidRPr="00932443">
      <w:rPr>
        <w:rStyle w:val="ZpatChar"/>
        <w:szCs w:val="16"/>
      </w:rPr>
      <w:instrText>PAGE   \* MERGEFORMAT</w:instrText>
    </w:r>
    <w:r w:rsidR="005647BF" w:rsidRPr="00932443">
      <w:rPr>
        <w:rStyle w:val="ZpatChar"/>
        <w:szCs w:val="16"/>
      </w:rPr>
      <w:fldChar w:fldCharType="separate"/>
    </w:r>
    <w:r w:rsidR="00E5622C">
      <w:rPr>
        <w:rStyle w:val="ZpatChar"/>
        <w:szCs w:val="16"/>
      </w:rPr>
      <w:t>37</w:t>
    </w:r>
    <w:r w:rsidR="005647BF" w:rsidRPr="00932443">
      <w:rPr>
        <w:rStyle w:val="ZpatChar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2804BB" w14:textId="77777777" w:rsidR="00654F84" w:rsidRDefault="00654F84" w:rsidP="00E71A58">
      <w:r>
        <w:separator/>
      </w:r>
    </w:p>
  </w:footnote>
  <w:footnote w:type="continuationSeparator" w:id="0">
    <w:p w14:paraId="4AF1FCC5" w14:textId="77777777" w:rsidR="00654F84" w:rsidRDefault="00654F84" w:rsidP="00E71A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BF32F7" w14:textId="77777777" w:rsidR="00515C74" w:rsidRPr="009C472C" w:rsidRDefault="009C472C" w:rsidP="009C472C">
    <w:pPr>
      <w:pStyle w:val="Nadpis1"/>
      <w:rPr>
        <w:b w:val="0"/>
        <w:color w:val="auto"/>
        <w:sz w:val="16"/>
        <w:szCs w:val="16"/>
      </w:rPr>
    </w:pPr>
    <w:r w:rsidRPr="00425420">
      <w:rPr>
        <w:b w:val="0"/>
        <w:color w:val="auto"/>
        <w:sz w:val="16"/>
        <w:szCs w:val="16"/>
      </w:rPr>
      <w:t>Výsledky zdravotnických účtů ČR 2010–</w:t>
    </w:r>
    <w:r>
      <w:rPr>
        <w:b w:val="0"/>
        <w:color w:val="auto"/>
        <w:sz w:val="16"/>
        <w:szCs w:val="16"/>
      </w:rPr>
      <w:t>2019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9ACEC8" w14:textId="77777777" w:rsidR="00B5752E" w:rsidRPr="009C472C" w:rsidRDefault="009C472C" w:rsidP="009C472C">
    <w:pPr>
      <w:pStyle w:val="Nadpis1"/>
      <w:rPr>
        <w:b w:val="0"/>
        <w:color w:val="auto"/>
        <w:sz w:val="16"/>
        <w:szCs w:val="16"/>
      </w:rPr>
    </w:pPr>
    <w:r w:rsidRPr="00425420">
      <w:rPr>
        <w:b w:val="0"/>
        <w:color w:val="auto"/>
        <w:sz w:val="16"/>
        <w:szCs w:val="16"/>
      </w:rPr>
      <w:t>Výsledky zdravotnických účtů ČR 2010–</w:t>
    </w:r>
    <w:r>
      <w:rPr>
        <w:b w:val="0"/>
        <w:color w:val="auto"/>
        <w:sz w:val="16"/>
        <w:szCs w:val="16"/>
      </w:rPr>
      <w:t>2019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0.5pt" o:bullet="t">
        <v:imagedata r:id="rId1" o:title="msoFAAF"/>
      </v:shape>
    </w:pict>
  </w:numPicBullet>
  <w:abstractNum w:abstractNumId="0" w15:restartNumberingAfterBreak="0">
    <w:nsid w:val="FFFFFF7C"/>
    <w:multiLevelType w:val="singleLevel"/>
    <w:tmpl w:val="49CEEC4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EC69A9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37A1C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B7623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6965B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0DE276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7AE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8C5B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C8EE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18AD8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58473A1"/>
    <w:multiLevelType w:val="hybridMultilevel"/>
    <w:tmpl w:val="7984410C"/>
    <w:lvl w:ilvl="0" w:tplc="371200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384A27"/>
    <w:multiLevelType w:val="hybridMultilevel"/>
    <w:tmpl w:val="1050503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581760"/>
    <w:multiLevelType w:val="hybridMultilevel"/>
    <w:tmpl w:val="CFEE97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>
      <o:colormru v:ext="edit" colors="#ecf4dd,#eaecee,#fcec0a,#fcecdb,#f1daf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72C"/>
    <w:rsid w:val="0000209D"/>
    <w:rsid w:val="00004D5A"/>
    <w:rsid w:val="000056D5"/>
    <w:rsid w:val="0000767A"/>
    <w:rsid w:val="00010702"/>
    <w:rsid w:val="00016992"/>
    <w:rsid w:val="000234D6"/>
    <w:rsid w:val="00023D29"/>
    <w:rsid w:val="00026389"/>
    <w:rsid w:val="00031AE0"/>
    <w:rsid w:val="000322EF"/>
    <w:rsid w:val="00033FCD"/>
    <w:rsid w:val="00035ED6"/>
    <w:rsid w:val="00041CEC"/>
    <w:rsid w:val="0004694F"/>
    <w:rsid w:val="000522E4"/>
    <w:rsid w:val="000610E1"/>
    <w:rsid w:val="00062EC5"/>
    <w:rsid w:val="00062F22"/>
    <w:rsid w:val="000670FD"/>
    <w:rsid w:val="000712B3"/>
    <w:rsid w:val="0008263E"/>
    <w:rsid w:val="00082C19"/>
    <w:rsid w:val="00085395"/>
    <w:rsid w:val="00087634"/>
    <w:rsid w:val="00087F2B"/>
    <w:rsid w:val="000974D1"/>
    <w:rsid w:val="0009799E"/>
    <w:rsid w:val="000A1183"/>
    <w:rsid w:val="000A256D"/>
    <w:rsid w:val="000A3A2C"/>
    <w:rsid w:val="000B30FA"/>
    <w:rsid w:val="000C3408"/>
    <w:rsid w:val="000C6AFD"/>
    <w:rsid w:val="000D5637"/>
    <w:rsid w:val="000E6FBD"/>
    <w:rsid w:val="00100F5C"/>
    <w:rsid w:val="0010437D"/>
    <w:rsid w:val="00104C4C"/>
    <w:rsid w:val="0012076B"/>
    <w:rsid w:val="0012192F"/>
    <w:rsid w:val="00125D69"/>
    <w:rsid w:val="001405FA"/>
    <w:rsid w:val="001425C3"/>
    <w:rsid w:val="0016256B"/>
    <w:rsid w:val="00163793"/>
    <w:rsid w:val="001706D6"/>
    <w:rsid w:val="001714F2"/>
    <w:rsid w:val="00184B08"/>
    <w:rsid w:val="00185010"/>
    <w:rsid w:val="001A552F"/>
    <w:rsid w:val="001B2CA9"/>
    <w:rsid w:val="001B3110"/>
    <w:rsid w:val="001B4729"/>
    <w:rsid w:val="001B6C09"/>
    <w:rsid w:val="001C05CD"/>
    <w:rsid w:val="001D68B2"/>
    <w:rsid w:val="001F4597"/>
    <w:rsid w:val="002118B9"/>
    <w:rsid w:val="00217C5B"/>
    <w:rsid w:val="0022139E"/>
    <w:rsid w:val="002252E0"/>
    <w:rsid w:val="002255F6"/>
    <w:rsid w:val="00227850"/>
    <w:rsid w:val="00227A53"/>
    <w:rsid w:val="00230C6E"/>
    <w:rsid w:val="00236443"/>
    <w:rsid w:val="002436BA"/>
    <w:rsid w:val="00244A15"/>
    <w:rsid w:val="00247319"/>
    <w:rsid w:val="0024799E"/>
    <w:rsid w:val="00253C0F"/>
    <w:rsid w:val="00267CE9"/>
    <w:rsid w:val="00271465"/>
    <w:rsid w:val="00285412"/>
    <w:rsid w:val="002A00BE"/>
    <w:rsid w:val="002A16D4"/>
    <w:rsid w:val="002A230C"/>
    <w:rsid w:val="002C43BD"/>
    <w:rsid w:val="002D0E59"/>
    <w:rsid w:val="002E02A1"/>
    <w:rsid w:val="002E4E4C"/>
    <w:rsid w:val="00304771"/>
    <w:rsid w:val="003052D4"/>
    <w:rsid w:val="00306C5B"/>
    <w:rsid w:val="003209D6"/>
    <w:rsid w:val="00321924"/>
    <w:rsid w:val="00321E64"/>
    <w:rsid w:val="0032656E"/>
    <w:rsid w:val="00332190"/>
    <w:rsid w:val="00344668"/>
    <w:rsid w:val="003462D9"/>
    <w:rsid w:val="00360C86"/>
    <w:rsid w:val="003657F3"/>
    <w:rsid w:val="003818DC"/>
    <w:rsid w:val="00384327"/>
    <w:rsid w:val="00385D98"/>
    <w:rsid w:val="003A2B4D"/>
    <w:rsid w:val="003A478C"/>
    <w:rsid w:val="003A5525"/>
    <w:rsid w:val="003A6B38"/>
    <w:rsid w:val="003B245D"/>
    <w:rsid w:val="003B5A32"/>
    <w:rsid w:val="003C3490"/>
    <w:rsid w:val="003D6920"/>
    <w:rsid w:val="003E4C91"/>
    <w:rsid w:val="003F313C"/>
    <w:rsid w:val="003F4B2C"/>
    <w:rsid w:val="003F551C"/>
    <w:rsid w:val="003F7D23"/>
    <w:rsid w:val="00407C13"/>
    <w:rsid w:val="00410638"/>
    <w:rsid w:val="004211DC"/>
    <w:rsid w:val="00432A58"/>
    <w:rsid w:val="00434617"/>
    <w:rsid w:val="00440900"/>
    <w:rsid w:val="004441A0"/>
    <w:rsid w:val="00460FB3"/>
    <w:rsid w:val="00476240"/>
    <w:rsid w:val="00476439"/>
    <w:rsid w:val="0047735C"/>
    <w:rsid w:val="004776BC"/>
    <w:rsid w:val="0048139F"/>
    <w:rsid w:val="00481E40"/>
    <w:rsid w:val="00484ECE"/>
    <w:rsid w:val="004900FF"/>
    <w:rsid w:val="004915CB"/>
    <w:rsid w:val="004924DC"/>
    <w:rsid w:val="004A14E4"/>
    <w:rsid w:val="004A3212"/>
    <w:rsid w:val="004A61C5"/>
    <w:rsid w:val="004A77DF"/>
    <w:rsid w:val="004B1417"/>
    <w:rsid w:val="004B55B7"/>
    <w:rsid w:val="004B6468"/>
    <w:rsid w:val="004C384C"/>
    <w:rsid w:val="004C3867"/>
    <w:rsid w:val="004C4CD0"/>
    <w:rsid w:val="004C70DC"/>
    <w:rsid w:val="004D0211"/>
    <w:rsid w:val="004D0794"/>
    <w:rsid w:val="004F06F5"/>
    <w:rsid w:val="004F33A0"/>
    <w:rsid w:val="00500A8A"/>
    <w:rsid w:val="005108C0"/>
    <w:rsid w:val="00511873"/>
    <w:rsid w:val="00512A2F"/>
    <w:rsid w:val="00513B7E"/>
    <w:rsid w:val="00515C74"/>
    <w:rsid w:val="0052007E"/>
    <w:rsid w:val="0052337A"/>
    <w:rsid w:val="00525137"/>
    <w:rsid w:val="005251DD"/>
    <w:rsid w:val="00525972"/>
    <w:rsid w:val="005263FF"/>
    <w:rsid w:val="00532CE7"/>
    <w:rsid w:val="0053324C"/>
    <w:rsid w:val="00534A28"/>
    <w:rsid w:val="00541508"/>
    <w:rsid w:val="0055599F"/>
    <w:rsid w:val="00556D68"/>
    <w:rsid w:val="005647BF"/>
    <w:rsid w:val="0057364B"/>
    <w:rsid w:val="00574773"/>
    <w:rsid w:val="00583FFD"/>
    <w:rsid w:val="005911BE"/>
    <w:rsid w:val="00593152"/>
    <w:rsid w:val="005A10F2"/>
    <w:rsid w:val="005A21E0"/>
    <w:rsid w:val="005A28FF"/>
    <w:rsid w:val="005A3DF8"/>
    <w:rsid w:val="005A5549"/>
    <w:rsid w:val="005B121D"/>
    <w:rsid w:val="005C06ED"/>
    <w:rsid w:val="005D5802"/>
    <w:rsid w:val="005D7890"/>
    <w:rsid w:val="005E7C78"/>
    <w:rsid w:val="005F3EB1"/>
    <w:rsid w:val="005F5469"/>
    <w:rsid w:val="00604307"/>
    <w:rsid w:val="0060487F"/>
    <w:rsid w:val="00604EAD"/>
    <w:rsid w:val="006104FB"/>
    <w:rsid w:val="00612A2F"/>
    <w:rsid w:val="00616E05"/>
    <w:rsid w:val="00624093"/>
    <w:rsid w:val="006404A7"/>
    <w:rsid w:val="006451E4"/>
    <w:rsid w:val="00645B33"/>
    <w:rsid w:val="006516CB"/>
    <w:rsid w:val="00654F84"/>
    <w:rsid w:val="00657E87"/>
    <w:rsid w:val="00664803"/>
    <w:rsid w:val="00665BA4"/>
    <w:rsid w:val="00667AF2"/>
    <w:rsid w:val="00667DB2"/>
    <w:rsid w:val="006710C9"/>
    <w:rsid w:val="00674D89"/>
    <w:rsid w:val="00675E37"/>
    <w:rsid w:val="0068174E"/>
    <w:rsid w:val="00681DCE"/>
    <w:rsid w:val="0068260E"/>
    <w:rsid w:val="00695BEF"/>
    <w:rsid w:val="006977F6"/>
    <w:rsid w:val="00697A13"/>
    <w:rsid w:val="006A109C"/>
    <w:rsid w:val="006B344A"/>
    <w:rsid w:val="006B78D8"/>
    <w:rsid w:val="006C0FEB"/>
    <w:rsid w:val="006C113F"/>
    <w:rsid w:val="006C123E"/>
    <w:rsid w:val="006C56D4"/>
    <w:rsid w:val="006C6924"/>
    <w:rsid w:val="006C7CA6"/>
    <w:rsid w:val="006D3E8A"/>
    <w:rsid w:val="006D61F6"/>
    <w:rsid w:val="006E134E"/>
    <w:rsid w:val="006E279A"/>
    <w:rsid w:val="006E313B"/>
    <w:rsid w:val="006F5416"/>
    <w:rsid w:val="006F7137"/>
    <w:rsid w:val="00706AD4"/>
    <w:rsid w:val="007140BE"/>
    <w:rsid w:val="007211F5"/>
    <w:rsid w:val="00724053"/>
    <w:rsid w:val="00725BB5"/>
    <w:rsid w:val="00730AE8"/>
    <w:rsid w:val="00741493"/>
    <w:rsid w:val="007458C6"/>
    <w:rsid w:val="00752180"/>
    <w:rsid w:val="00755202"/>
    <w:rsid w:val="00755D3A"/>
    <w:rsid w:val="007578D3"/>
    <w:rsid w:val="007609C6"/>
    <w:rsid w:val="0076175D"/>
    <w:rsid w:val="0076521E"/>
    <w:rsid w:val="007661E9"/>
    <w:rsid w:val="00776169"/>
    <w:rsid w:val="00776527"/>
    <w:rsid w:val="00780EF1"/>
    <w:rsid w:val="00790764"/>
    <w:rsid w:val="0079453C"/>
    <w:rsid w:val="00794677"/>
    <w:rsid w:val="007A4C80"/>
    <w:rsid w:val="007B6689"/>
    <w:rsid w:val="007D229A"/>
    <w:rsid w:val="007D40DF"/>
    <w:rsid w:val="007E7E61"/>
    <w:rsid w:val="007F0845"/>
    <w:rsid w:val="00807C82"/>
    <w:rsid w:val="00816905"/>
    <w:rsid w:val="00821FF6"/>
    <w:rsid w:val="00825C4D"/>
    <w:rsid w:val="0083143E"/>
    <w:rsid w:val="00831CDE"/>
    <w:rsid w:val="00834304"/>
    <w:rsid w:val="00834FAA"/>
    <w:rsid w:val="00836086"/>
    <w:rsid w:val="0084708F"/>
    <w:rsid w:val="008477C8"/>
    <w:rsid w:val="0085114D"/>
    <w:rsid w:val="00852217"/>
    <w:rsid w:val="00855408"/>
    <w:rsid w:val="00856D65"/>
    <w:rsid w:val="00861B41"/>
    <w:rsid w:val="00863434"/>
    <w:rsid w:val="00865E4C"/>
    <w:rsid w:val="008701E4"/>
    <w:rsid w:val="00875A32"/>
    <w:rsid w:val="00876086"/>
    <w:rsid w:val="008873D4"/>
    <w:rsid w:val="00893E85"/>
    <w:rsid w:val="00894031"/>
    <w:rsid w:val="008B3758"/>
    <w:rsid w:val="008B7C02"/>
    <w:rsid w:val="008B7D2B"/>
    <w:rsid w:val="008C0049"/>
    <w:rsid w:val="008C0E88"/>
    <w:rsid w:val="008D1E6A"/>
    <w:rsid w:val="008D2A16"/>
    <w:rsid w:val="008E2C57"/>
    <w:rsid w:val="008E31FF"/>
    <w:rsid w:val="008E6F06"/>
    <w:rsid w:val="008F029B"/>
    <w:rsid w:val="008F3FC9"/>
    <w:rsid w:val="008F585B"/>
    <w:rsid w:val="009003A8"/>
    <w:rsid w:val="00902500"/>
    <w:rsid w:val="00902EFF"/>
    <w:rsid w:val="00906401"/>
    <w:rsid w:val="0091155E"/>
    <w:rsid w:val="00912A92"/>
    <w:rsid w:val="0091728D"/>
    <w:rsid w:val="0092180B"/>
    <w:rsid w:val="00921F14"/>
    <w:rsid w:val="00924AC8"/>
    <w:rsid w:val="0092597A"/>
    <w:rsid w:val="00932443"/>
    <w:rsid w:val="00937AE2"/>
    <w:rsid w:val="0094427A"/>
    <w:rsid w:val="00974923"/>
    <w:rsid w:val="00980D3D"/>
    <w:rsid w:val="00987A30"/>
    <w:rsid w:val="00992CF3"/>
    <w:rsid w:val="009968D6"/>
    <w:rsid w:val="009A1CAB"/>
    <w:rsid w:val="009A60D1"/>
    <w:rsid w:val="009B6FD3"/>
    <w:rsid w:val="009C1750"/>
    <w:rsid w:val="009C2E29"/>
    <w:rsid w:val="009C472C"/>
    <w:rsid w:val="009C554B"/>
    <w:rsid w:val="009C719E"/>
    <w:rsid w:val="009D3ACD"/>
    <w:rsid w:val="009E5273"/>
    <w:rsid w:val="009E5DDB"/>
    <w:rsid w:val="009F4CA7"/>
    <w:rsid w:val="00A10D66"/>
    <w:rsid w:val="00A14114"/>
    <w:rsid w:val="00A16413"/>
    <w:rsid w:val="00A23E43"/>
    <w:rsid w:val="00A30F65"/>
    <w:rsid w:val="00A418BC"/>
    <w:rsid w:val="00A46DE0"/>
    <w:rsid w:val="00A50D73"/>
    <w:rsid w:val="00A52CAD"/>
    <w:rsid w:val="00A53FC7"/>
    <w:rsid w:val="00A62CE1"/>
    <w:rsid w:val="00A6741E"/>
    <w:rsid w:val="00A75E40"/>
    <w:rsid w:val="00A77D1D"/>
    <w:rsid w:val="00A857C0"/>
    <w:rsid w:val="00AA2996"/>
    <w:rsid w:val="00AA52BF"/>
    <w:rsid w:val="00AA559A"/>
    <w:rsid w:val="00AB2AF1"/>
    <w:rsid w:val="00AD306C"/>
    <w:rsid w:val="00AE09B3"/>
    <w:rsid w:val="00AE1A83"/>
    <w:rsid w:val="00B00913"/>
    <w:rsid w:val="00B01593"/>
    <w:rsid w:val="00B10A4D"/>
    <w:rsid w:val="00B17E71"/>
    <w:rsid w:val="00B17FDE"/>
    <w:rsid w:val="00B2379C"/>
    <w:rsid w:val="00B2687D"/>
    <w:rsid w:val="00B32DDB"/>
    <w:rsid w:val="00B34528"/>
    <w:rsid w:val="00B402FC"/>
    <w:rsid w:val="00B46604"/>
    <w:rsid w:val="00B530CD"/>
    <w:rsid w:val="00B55F5E"/>
    <w:rsid w:val="00B5752E"/>
    <w:rsid w:val="00B63A11"/>
    <w:rsid w:val="00B64C24"/>
    <w:rsid w:val="00B6608F"/>
    <w:rsid w:val="00B679FB"/>
    <w:rsid w:val="00B76D1E"/>
    <w:rsid w:val="00B80EC6"/>
    <w:rsid w:val="00B92D1D"/>
    <w:rsid w:val="00B938C5"/>
    <w:rsid w:val="00B94FAF"/>
    <w:rsid w:val="00B95940"/>
    <w:rsid w:val="00BB46F3"/>
    <w:rsid w:val="00BB4CB1"/>
    <w:rsid w:val="00BB4F98"/>
    <w:rsid w:val="00BC7154"/>
    <w:rsid w:val="00BD366B"/>
    <w:rsid w:val="00BD6D50"/>
    <w:rsid w:val="00BE18B9"/>
    <w:rsid w:val="00BE2495"/>
    <w:rsid w:val="00BF1578"/>
    <w:rsid w:val="00C21F94"/>
    <w:rsid w:val="00C27913"/>
    <w:rsid w:val="00C27ECC"/>
    <w:rsid w:val="00C33B68"/>
    <w:rsid w:val="00C36A79"/>
    <w:rsid w:val="00C405D4"/>
    <w:rsid w:val="00C4513B"/>
    <w:rsid w:val="00C54697"/>
    <w:rsid w:val="00C73885"/>
    <w:rsid w:val="00C747B1"/>
    <w:rsid w:val="00C82191"/>
    <w:rsid w:val="00C90CF4"/>
    <w:rsid w:val="00C92EB6"/>
    <w:rsid w:val="00C93389"/>
    <w:rsid w:val="00CB4930"/>
    <w:rsid w:val="00CC2E7D"/>
    <w:rsid w:val="00CC44CE"/>
    <w:rsid w:val="00CD10A5"/>
    <w:rsid w:val="00CD2076"/>
    <w:rsid w:val="00CE274D"/>
    <w:rsid w:val="00CE670B"/>
    <w:rsid w:val="00CF51EC"/>
    <w:rsid w:val="00CF73AE"/>
    <w:rsid w:val="00D040DD"/>
    <w:rsid w:val="00D051DC"/>
    <w:rsid w:val="00D13986"/>
    <w:rsid w:val="00D209AA"/>
    <w:rsid w:val="00D235B7"/>
    <w:rsid w:val="00D25F28"/>
    <w:rsid w:val="00D27973"/>
    <w:rsid w:val="00D50F46"/>
    <w:rsid w:val="00D66223"/>
    <w:rsid w:val="00D8084C"/>
    <w:rsid w:val="00DA7C0C"/>
    <w:rsid w:val="00DB2EC8"/>
    <w:rsid w:val="00DB3F4C"/>
    <w:rsid w:val="00DC5B3B"/>
    <w:rsid w:val="00DC774A"/>
    <w:rsid w:val="00DD129F"/>
    <w:rsid w:val="00DF42FF"/>
    <w:rsid w:val="00E01C0E"/>
    <w:rsid w:val="00E03F9A"/>
    <w:rsid w:val="00E04694"/>
    <w:rsid w:val="00E12B1E"/>
    <w:rsid w:val="00E17262"/>
    <w:rsid w:val="00E253A2"/>
    <w:rsid w:val="00E3309D"/>
    <w:rsid w:val="00E50156"/>
    <w:rsid w:val="00E53470"/>
    <w:rsid w:val="00E539F6"/>
    <w:rsid w:val="00E5622C"/>
    <w:rsid w:val="00E6519D"/>
    <w:rsid w:val="00E67696"/>
    <w:rsid w:val="00E71A58"/>
    <w:rsid w:val="00E72A7A"/>
    <w:rsid w:val="00E75C94"/>
    <w:rsid w:val="00E93820"/>
    <w:rsid w:val="00EA0C68"/>
    <w:rsid w:val="00EA32BC"/>
    <w:rsid w:val="00EB4511"/>
    <w:rsid w:val="00EC03D7"/>
    <w:rsid w:val="00ED62C6"/>
    <w:rsid w:val="00ED64C1"/>
    <w:rsid w:val="00EE3446"/>
    <w:rsid w:val="00EE3E78"/>
    <w:rsid w:val="00EE4B1B"/>
    <w:rsid w:val="00EF150D"/>
    <w:rsid w:val="00EF1F5A"/>
    <w:rsid w:val="00EF47BF"/>
    <w:rsid w:val="00EF48BB"/>
    <w:rsid w:val="00F04811"/>
    <w:rsid w:val="00F0488C"/>
    <w:rsid w:val="00F05F5E"/>
    <w:rsid w:val="00F10F11"/>
    <w:rsid w:val="00F15AAA"/>
    <w:rsid w:val="00F15BEF"/>
    <w:rsid w:val="00F24407"/>
    <w:rsid w:val="00F24FAA"/>
    <w:rsid w:val="00F3364D"/>
    <w:rsid w:val="00F437CC"/>
    <w:rsid w:val="00F47067"/>
    <w:rsid w:val="00F525EB"/>
    <w:rsid w:val="00F63DDE"/>
    <w:rsid w:val="00F63FB7"/>
    <w:rsid w:val="00F649D2"/>
    <w:rsid w:val="00F6602B"/>
    <w:rsid w:val="00F7260E"/>
    <w:rsid w:val="00F73A0C"/>
    <w:rsid w:val="00F756DB"/>
    <w:rsid w:val="00F85066"/>
    <w:rsid w:val="00FA5D4D"/>
    <w:rsid w:val="00FB0EE2"/>
    <w:rsid w:val="00FB542E"/>
    <w:rsid w:val="00FC0E5F"/>
    <w:rsid w:val="00FC1A95"/>
    <w:rsid w:val="00FC56DE"/>
    <w:rsid w:val="00FC684B"/>
    <w:rsid w:val="00FD3265"/>
    <w:rsid w:val="00FE2F78"/>
    <w:rsid w:val="00FF7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ecf4dd,#eaecee,#fcec0a,#fcecdb,#f1daf5"/>
    </o:shapedefaults>
    <o:shapelayout v:ext="edit">
      <o:idmap v:ext="edit" data="1"/>
    </o:shapelayout>
  </w:shapeDefaults>
  <w:decimalSymbol w:val=","/>
  <w:listSeparator w:val=";"/>
  <w14:docId w14:val="3BA3C719"/>
  <w15:docId w15:val="{7CA593A3-64DF-46B6-954C-94AED0F03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C472C"/>
    <w:pPr>
      <w:spacing w:before="120" w:after="240" w:line="288" w:lineRule="auto"/>
      <w:jc w:val="both"/>
    </w:pPr>
    <w:rPr>
      <w:rFonts w:ascii="Arial" w:eastAsia="Times New Roman" w:hAnsi="Arial"/>
      <w:szCs w:val="24"/>
      <w:lang w:eastAsia="cs-CZ"/>
    </w:rPr>
  </w:style>
  <w:style w:type="paragraph" w:styleId="Nadpis1">
    <w:name w:val="heading 1"/>
    <w:next w:val="Normln"/>
    <w:link w:val="Nadpis1Char"/>
    <w:qFormat/>
    <w:rsid w:val="004900FF"/>
    <w:pPr>
      <w:keepNext/>
      <w:keepLines/>
      <w:spacing w:after="100" w:line="288" w:lineRule="auto"/>
      <w:contextualSpacing/>
      <w:outlineLvl w:val="0"/>
    </w:pPr>
    <w:rPr>
      <w:rFonts w:ascii="Arial" w:eastAsia="MS Gothic" w:hAnsi="Arial"/>
      <w:b/>
      <w:bCs/>
      <w:color w:val="C00000"/>
      <w:sz w:val="32"/>
      <w:szCs w:val="28"/>
      <w:lang w:eastAsia="cs-CZ"/>
    </w:rPr>
  </w:style>
  <w:style w:type="paragraph" w:styleId="Nadpis2">
    <w:name w:val="heading 2"/>
    <w:next w:val="Normln"/>
    <w:link w:val="Nadpis2Char"/>
    <w:uiPriority w:val="9"/>
    <w:qFormat/>
    <w:rsid w:val="004900FF"/>
    <w:pPr>
      <w:keepNext/>
      <w:keepLines/>
      <w:spacing w:line="288" w:lineRule="auto"/>
      <w:outlineLvl w:val="1"/>
    </w:pPr>
    <w:rPr>
      <w:rFonts w:ascii="Arial" w:eastAsia="MS Gothic" w:hAnsi="Arial"/>
      <w:b/>
      <w:bCs/>
      <w:color w:val="BC091B"/>
      <w:sz w:val="28"/>
      <w:szCs w:val="26"/>
      <w:lang w:eastAsia="cs-CZ"/>
    </w:rPr>
  </w:style>
  <w:style w:type="paragraph" w:styleId="Nadpis3">
    <w:name w:val="heading 3"/>
    <w:next w:val="Normln"/>
    <w:link w:val="Nadpis3Char"/>
    <w:uiPriority w:val="9"/>
    <w:qFormat/>
    <w:rsid w:val="00CC44CE"/>
    <w:pPr>
      <w:keepNext/>
      <w:keepLines/>
      <w:spacing w:after="100" w:line="288" w:lineRule="auto"/>
      <w:outlineLvl w:val="2"/>
    </w:pPr>
    <w:rPr>
      <w:rFonts w:ascii="Arial" w:eastAsia="MS Gothic" w:hAnsi="Arial"/>
      <w:b/>
      <w:bCs/>
      <w:color w:val="BC091B"/>
      <w:sz w:val="24"/>
      <w:szCs w:val="24"/>
      <w:lang w:eastAsia="cs-CZ"/>
    </w:rPr>
  </w:style>
  <w:style w:type="paragraph" w:styleId="Nadpis4">
    <w:name w:val="heading 4"/>
    <w:next w:val="Normln"/>
    <w:link w:val="Nadpis4Char"/>
    <w:uiPriority w:val="9"/>
    <w:qFormat/>
    <w:rsid w:val="004900FF"/>
    <w:pPr>
      <w:keepNext/>
      <w:keepLines/>
      <w:spacing w:line="288" w:lineRule="auto"/>
      <w:outlineLvl w:val="3"/>
    </w:pPr>
    <w:rPr>
      <w:rFonts w:ascii="Arial" w:eastAsia="MS Gothic" w:hAnsi="Arial"/>
      <w:b/>
      <w:bCs/>
      <w:iCs/>
      <w:color w:val="BC091B"/>
      <w:szCs w:val="24"/>
      <w:lang w:eastAsia="cs-CZ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30F65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4900FF"/>
    <w:rPr>
      <w:rFonts w:ascii="Arial" w:eastAsia="MS Gothic" w:hAnsi="Arial"/>
      <w:b/>
      <w:bCs/>
      <w:color w:val="C00000"/>
      <w:sz w:val="32"/>
      <w:szCs w:val="28"/>
    </w:rPr>
  </w:style>
  <w:style w:type="character" w:customStyle="1" w:styleId="Nadpis2Char">
    <w:name w:val="Nadpis 2 Char"/>
    <w:link w:val="Nadpis2"/>
    <w:uiPriority w:val="9"/>
    <w:rsid w:val="004900FF"/>
    <w:rPr>
      <w:rFonts w:ascii="Arial" w:eastAsia="MS Gothic" w:hAnsi="Arial"/>
      <w:b/>
      <w:bCs/>
      <w:color w:val="BC091B"/>
      <w:sz w:val="28"/>
      <w:szCs w:val="26"/>
    </w:rPr>
  </w:style>
  <w:style w:type="character" w:customStyle="1" w:styleId="Nadpis3Char">
    <w:name w:val="Nadpis 3 Char"/>
    <w:link w:val="Nadpis3"/>
    <w:uiPriority w:val="9"/>
    <w:rsid w:val="00CC44CE"/>
    <w:rPr>
      <w:rFonts w:ascii="Arial" w:eastAsia="MS Gothic" w:hAnsi="Arial"/>
      <w:b/>
      <w:bCs/>
      <w:color w:val="BC091B"/>
      <w:sz w:val="24"/>
      <w:szCs w:val="24"/>
      <w:lang w:eastAsia="cs-CZ"/>
    </w:rPr>
  </w:style>
  <w:style w:type="character" w:customStyle="1" w:styleId="Nadpis4Char">
    <w:name w:val="Nadpis 4 Char"/>
    <w:link w:val="Nadpis4"/>
    <w:uiPriority w:val="9"/>
    <w:rsid w:val="004900FF"/>
    <w:rPr>
      <w:rFonts w:ascii="Arial" w:eastAsia="MS Gothic" w:hAnsi="Arial"/>
      <w:b/>
      <w:bCs/>
      <w:iCs/>
      <w:color w:val="BC091B"/>
      <w:szCs w:val="24"/>
    </w:rPr>
  </w:style>
  <w:style w:type="character" w:customStyle="1" w:styleId="Nadpis9Char">
    <w:name w:val="Nadpis 9 Char"/>
    <w:link w:val="Nadpis9"/>
    <w:uiPriority w:val="9"/>
    <w:semiHidden/>
    <w:rsid w:val="00A30F65"/>
    <w:rPr>
      <w:rFonts w:ascii="Cambria" w:eastAsia="Times New Roman" w:hAnsi="Cambria" w:cs="Times New Roman"/>
      <w:sz w:val="22"/>
      <w:szCs w:val="22"/>
    </w:rPr>
  </w:style>
  <w:style w:type="character" w:styleId="Hypertextovodkaz">
    <w:name w:val="Hyperlink"/>
    <w:uiPriority w:val="99"/>
    <w:rsid w:val="00E71A58"/>
    <w:rPr>
      <w:color w:val="0000FF"/>
      <w:u w:val="single"/>
    </w:rPr>
  </w:style>
  <w:style w:type="paragraph" w:styleId="Zhlav">
    <w:name w:val="header"/>
    <w:link w:val="ZhlavChar"/>
    <w:uiPriority w:val="99"/>
    <w:unhideWhenUsed/>
    <w:qFormat/>
    <w:rsid w:val="00A418BC"/>
    <w:pPr>
      <w:spacing w:line="288" w:lineRule="auto"/>
    </w:pPr>
    <w:rPr>
      <w:rFonts w:ascii="Arial" w:hAnsi="Arial"/>
      <w:sz w:val="16"/>
      <w:szCs w:val="22"/>
    </w:rPr>
  </w:style>
  <w:style w:type="character" w:customStyle="1" w:styleId="ZhlavChar">
    <w:name w:val="Záhlaví Char"/>
    <w:link w:val="Zhlav"/>
    <w:uiPriority w:val="99"/>
    <w:rsid w:val="00A418BC"/>
    <w:rPr>
      <w:rFonts w:ascii="Arial" w:hAnsi="Arial"/>
      <w:sz w:val="16"/>
      <w:szCs w:val="22"/>
      <w:lang w:eastAsia="en-US"/>
    </w:rPr>
  </w:style>
  <w:style w:type="paragraph" w:styleId="Zpat">
    <w:name w:val="footer"/>
    <w:link w:val="ZpatChar"/>
    <w:uiPriority w:val="99"/>
    <w:unhideWhenUsed/>
    <w:qFormat/>
    <w:rsid w:val="00031AE0"/>
    <w:pPr>
      <w:tabs>
        <w:tab w:val="center" w:pos="4820"/>
        <w:tab w:val="right" w:pos="9639"/>
      </w:tabs>
    </w:pPr>
    <w:rPr>
      <w:rFonts w:ascii="Arial" w:hAnsi="Arial" w:cs="Arial"/>
      <w:noProof/>
      <w:sz w:val="16"/>
    </w:rPr>
  </w:style>
  <w:style w:type="character" w:customStyle="1" w:styleId="ZpatChar">
    <w:name w:val="Zápatí Char"/>
    <w:link w:val="Zpat"/>
    <w:uiPriority w:val="99"/>
    <w:rsid w:val="00031AE0"/>
    <w:rPr>
      <w:rFonts w:ascii="Arial" w:hAnsi="Arial" w:cs="Arial"/>
      <w:noProof/>
      <w:sz w:val="16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71A58"/>
    <w:rPr>
      <w:rFonts w:ascii="Tahoma" w:eastAsia="Calibri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E71A58"/>
    <w:rPr>
      <w:rFonts w:ascii="Tahoma" w:hAnsi="Tahoma" w:cs="Tahoma"/>
      <w:sz w:val="16"/>
      <w:szCs w:val="16"/>
    </w:rPr>
  </w:style>
  <w:style w:type="paragraph" w:customStyle="1" w:styleId="Zkladnodstavec">
    <w:name w:val="[Základní odstavec]"/>
    <w:link w:val="ZkladnodstavecChar"/>
    <w:uiPriority w:val="99"/>
    <w:rsid w:val="0008263E"/>
    <w:pPr>
      <w:autoSpaceDE w:val="0"/>
      <w:autoSpaceDN w:val="0"/>
      <w:adjustRightInd w:val="0"/>
      <w:spacing w:line="276" w:lineRule="auto"/>
      <w:textAlignment w:val="center"/>
    </w:pPr>
    <w:rPr>
      <w:rFonts w:ascii="Arial" w:hAnsi="Arial" w:cs="Minion Pro"/>
      <w:color w:val="000000"/>
      <w:szCs w:val="24"/>
      <w:lang w:eastAsia="cs-CZ"/>
    </w:rPr>
  </w:style>
  <w:style w:type="character" w:customStyle="1" w:styleId="ZkladnodstavecChar">
    <w:name w:val="[Základní odstavec] Char"/>
    <w:link w:val="Zkladnodstavec"/>
    <w:uiPriority w:val="99"/>
    <w:rsid w:val="0008263E"/>
    <w:rPr>
      <w:rFonts w:ascii="Arial" w:hAnsi="Arial" w:cs="Minion Pro"/>
      <w:color w:val="000000"/>
      <w:szCs w:val="24"/>
    </w:rPr>
  </w:style>
  <w:style w:type="paragraph" w:styleId="Obsah1">
    <w:name w:val="toc 1"/>
    <w:basedOn w:val="Obsahpoloky"/>
    <w:next w:val="Obsahpoloky"/>
    <w:autoRedefine/>
    <w:uiPriority w:val="39"/>
    <w:unhideWhenUsed/>
    <w:rsid w:val="00FC1A95"/>
  </w:style>
  <w:style w:type="paragraph" w:customStyle="1" w:styleId="TLIdentifikace-sted">
    <w:name w:val="TL Identifikace - střed"/>
    <w:qFormat/>
    <w:rsid w:val="009A60D1"/>
    <w:pPr>
      <w:spacing w:after="200" w:line="288" w:lineRule="auto"/>
    </w:pPr>
    <w:rPr>
      <w:rFonts w:ascii="Arial" w:eastAsia="Times New Roman" w:hAnsi="Arial"/>
      <w:sz w:val="24"/>
      <w:szCs w:val="24"/>
      <w:lang w:eastAsia="cs-CZ"/>
    </w:rPr>
  </w:style>
  <w:style w:type="paragraph" w:customStyle="1" w:styleId="Obsah">
    <w:name w:val="Obsah"/>
    <w:next w:val="Normln"/>
    <w:qFormat/>
    <w:rsid w:val="004900FF"/>
    <w:pPr>
      <w:spacing w:after="80" w:line="288" w:lineRule="auto"/>
    </w:pPr>
    <w:rPr>
      <w:rFonts w:ascii="Arial" w:eastAsia="Times New Roman" w:hAnsi="Arial"/>
      <w:b/>
      <w:color w:val="BC091B"/>
      <w:sz w:val="32"/>
      <w:szCs w:val="24"/>
      <w:lang w:eastAsia="cs-CZ"/>
    </w:rPr>
  </w:style>
  <w:style w:type="paragraph" w:customStyle="1" w:styleId="Obsahpoloky">
    <w:name w:val="Obsah položky"/>
    <w:qFormat/>
    <w:rsid w:val="00616E05"/>
    <w:pPr>
      <w:tabs>
        <w:tab w:val="right" w:leader="dot" w:pos="9639"/>
      </w:tabs>
      <w:spacing w:line="288" w:lineRule="auto"/>
    </w:pPr>
    <w:rPr>
      <w:rFonts w:ascii="Arial" w:eastAsia="Times New Roman" w:hAnsi="Arial"/>
      <w:szCs w:val="24"/>
      <w:lang w:eastAsia="cs-CZ"/>
    </w:rPr>
  </w:style>
  <w:style w:type="paragraph" w:customStyle="1" w:styleId="Box1">
    <w:name w:val="Box 1"/>
    <w:next w:val="Normln"/>
    <w:qFormat/>
    <w:rsid w:val="004900FF"/>
    <w:pPr>
      <w:shd w:val="clear" w:color="auto" w:fill="F5DADD"/>
      <w:spacing w:before="240" w:after="240" w:line="288" w:lineRule="auto"/>
      <w:ind w:left="709"/>
      <w:contextualSpacing/>
    </w:pPr>
    <w:rPr>
      <w:rFonts w:ascii="Arial" w:hAnsi="Arial" w:cs="Arial"/>
      <w:lang w:eastAsia="cs-CZ"/>
    </w:rPr>
  </w:style>
  <w:style w:type="paragraph" w:customStyle="1" w:styleId="Box2">
    <w:name w:val="Box 2"/>
    <w:qFormat/>
    <w:rsid w:val="004900FF"/>
    <w:pPr>
      <w:spacing w:before="240" w:after="240" w:line="288" w:lineRule="auto"/>
      <w:ind w:left="709"/>
      <w:contextualSpacing/>
    </w:pPr>
    <w:rPr>
      <w:rFonts w:ascii="Arial" w:hAnsi="Arial" w:cs="Arial"/>
      <w:color w:val="BC091B"/>
      <w:lang w:eastAsia="cs-CZ"/>
    </w:rPr>
  </w:style>
  <w:style w:type="paragraph" w:styleId="Seznam">
    <w:name w:val="List"/>
    <w:basedOn w:val="Normln"/>
    <w:uiPriority w:val="99"/>
    <w:unhideWhenUsed/>
    <w:qFormat/>
    <w:rsid w:val="00481E40"/>
    <w:pPr>
      <w:contextualSpacing/>
    </w:pPr>
  </w:style>
  <w:style w:type="character" w:styleId="Siln">
    <w:name w:val="Strong"/>
    <w:aliases w:val="Tučné"/>
    <w:uiPriority w:val="22"/>
    <w:qFormat/>
    <w:rsid w:val="00EC03D7"/>
    <w:rPr>
      <w:rFonts w:ascii="Arial" w:hAnsi="Arial"/>
      <w:b/>
      <w:bCs/>
      <w:sz w:val="20"/>
    </w:rPr>
  </w:style>
  <w:style w:type="paragraph" w:customStyle="1" w:styleId="TLKontaktyerven">
    <w:name w:val="TL Kontakty červené"/>
    <w:basedOn w:val="Normln"/>
    <w:qFormat/>
    <w:rsid w:val="00104C4C"/>
    <w:pPr>
      <w:spacing w:after="40"/>
      <w:contextualSpacing/>
    </w:pPr>
    <w:rPr>
      <w:b/>
      <w:caps/>
      <w:color w:val="BD1B21"/>
      <w:sz w:val="24"/>
    </w:rPr>
  </w:style>
  <w:style w:type="paragraph" w:customStyle="1" w:styleId="TLKontakty">
    <w:name w:val="TL Kontakty"/>
    <w:qFormat/>
    <w:rsid w:val="008E6F06"/>
    <w:pPr>
      <w:spacing w:after="160" w:line="259" w:lineRule="auto"/>
      <w:contextualSpacing/>
    </w:pPr>
    <w:rPr>
      <w:rFonts w:ascii="Arial" w:eastAsia="Times New Roman" w:hAnsi="Arial"/>
      <w:b/>
      <w:color w:val="0071BC"/>
      <w:lang w:eastAsia="cs-CZ"/>
    </w:rPr>
  </w:style>
  <w:style w:type="paragraph" w:styleId="Nzev">
    <w:name w:val="Title"/>
    <w:link w:val="NzevChar"/>
    <w:uiPriority w:val="10"/>
    <w:qFormat/>
    <w:rsid w:val="004900FF"/>
    <w:pPr>
      <w:spacing w:line="288" w:lineRule="auto"/>
    </w:pPr>
    <w:rPr>
      <w:rFonts w:ascii="Arial" w:eastAsia="Times New Roman" w:hAnsi="Arial"/>
      <w:b/>
      <w:bCs/>
      <w:caps/>
      <w:color w:val="BC091B"/>
      <w:kern w:val="28"/>
      <w:sz w:val="56"/>
      <w:szCs w:val="32"/>
      <w:lang w:eastAsia="cs-CZ"/>
    </w:rPr>
  </w:style>
  <w:style w:type="character" w:customStyle="1" w:styleId="NzevChar">
    <w:name w:val="Název Char"/>
    <w:link w:val="Nzev"/>
    <w:uiPriority w:val="10"/>
    <w:rsid w:val="004900FF"/>
    <w:rPr>
      <w:rFonts w:ascii="Arial" w:eastAsia="Times New Roman" w:hAnsi="Arial"/>
      <w:b/>
      <w:bCs/>
      <w:caps/>
      <w:color w:val="BC091B"/>
      <w:kern w:val="28"/>
      <w:sz w:val="56"/>
      <w:szCs w:val="32"/>
    </w:rPr>
  </w:style>
  <w:style w:type="paragraph" w:styleId="Podnadpis">
    <w:name w:val="Subtitle"/>
    <w:link w:val="PodnadpisChar"/>
    <w:uiPriority w:val="11"/>
    <w:qFormat/>
    <w:rsid w:val="004900FF"/>
    <w:pPr>
      <w:spacing w:line="288" w:lineRule="auto"/>
    </w:pPr>
    <w:rPr>
      <w:rFonts w:ascii="Arial" w:eastAsia="Times New Roman" w:hAnsi="Arial" w:cs="Arial"/>
      <w:b/>
      <w:color w:val="BC091B"/>
      <w:sz w:val="28"/>
      <w:szCs w:val="24"/>
      <w:lang w:eastAsia="cs-CZ"/>
    </w:rPr>
  </w:style>
  <w:style w:type="character" w:customStyle="1" w:styleId="PodnadpisChar">
    <w:name w:val="Podnadpis Char"/>
    <w:link w:val="Podnadpis"/>
    <w:uiPriority w:val="11"/>
    <w:rsid w:val="004900FF"/>
    <w:rPr>
      <w:rFonts w:ascii="Arial" w:eastAsia="Times New Roman" w:hAnsi="Arial" w:cs="Arial"/>
      <w:b/>
      <w:color w:val="BC091B"/>
      <w:sz w:val="28"/>
      <w:szCs w:val="24"/>
    </w:rPr>
  </w:style>
  <w:style w:type="paragraph" w:styleId="Obsah2">
    <w:name w:val="toc 2"/>
    <w:basedOn w:val="Obsahpoloky"/>
    <w:next w:val="Obsahpoloky"/>
    <w:autoRedefine/>
    <w:uiPriority w:val="39"/>
    <w:unhideWhenUsed/>
    <w:rsid w:val="00FC1A95"/>
    <w:pPr>
      <w:ind w:left="200"/>
    </w:pPr>
  </w:style>
  <w:style w:type="paragraph" w:styleId="Obsah3">
    <w:name w:val="toc 3"/>
    <w:basedOn w:val="Obsahpoloky"/>
    <w:next w:val="Obsahpoloky"/>
    <w:autoRedefine/>
    <w:uiPriority w:val="39"/>
    <w:unhideWhenUsed/>
    <w:rsid w:val="00FC1A95"/>
    <w:pPr>
      <w:ind w:left="400"/>
    </w:pPr>
  </w:style>
  <w:style w:type="paragraph" w:styleId="Obsah4">
    <w:name w:val="toc 4"/>
    <w:basedOn w:val="Obsahpoloky"/>
    <w:next w:val="Obsahpoloky"/>
    <w:autoRedefine/>
    <w:uiPriority w:val="39"/>
    <w:unhideWhenUsed/>
    <w:rsid w:val="00FC1A95"/>
    <w:pPr>
      <w:ind w:left="600"/>
    </w:pPr>
  </w:style>
  <w:style w:type="paragraph" w:styleId="Obsah5">
    <w:name w:val="toc 5"/>
    <w:basedOn w:val="Obsahpoloky"/>
    <w:next w:val="Obsahpoloky"/>
    <w:autoRedefine/>
    <w:uiPriority w:val="39"/>
    <w:semiHidden/>
    <w:unhideWhenUsed/>
    <w:rsid w:val="00FC1A95"/>
    <w:pPr>
      <w:ind w:left="800"/>
    </w:pPr>
  </w:style>
  <w:style w:type="paragraph" w:styleId="Obsah6">
    <w:name w:val="toc 6"/>
    <w:basedOn w:val="Obsahpoloky"/>
    <w:next w:val="Obsahpoloky"/>
    <w:autoRedefine/>
    <w:uiPriority w:val="39"/>
    <w:semiHidden/>
    <w:unhideWhenUsed/>
    <w:rsid w:val="00FC1A95"/>
    <w:pPr>
      <w:ind w:left="1000"/>
    </w:pPr>
  </w:style>
  <w:style w:type="paragraph" w:styleId="Obsah7">
    <w:name w:val="toc 7"/>
    <w:basedOn w:val="Obsahpoloky"/>
    <w:next w:val="Obsahpoloky"/>
    <w:autoRedefine/>
    <w:uiPriority w:val="39"/>
    <w:semiHidden/>
    <w:unhideWhenUsed/>
    <w:rsid w:val="00FC1A95"/>
    <w:pPr>
      <w:ind w:left="1200"/>
    </w:pPr>
  </w:style>
  <w:style w:type="paragraph" w:styleId="Obsah8">
    <w:name w:val="toc 8"/>
    <w:basedOn w:val="Obsahpoloky"/>
    <w:next w:val="Obsahpoloky"/>
    <w:autoRedefine/>
    <w:uiPriority w:val="39"/>
    <w:semiHidden/>
    <w:unhideWhenUsed/>
    <w:rsid w:val="00FC1A95"/>
    <w:pPr>
      <w:ind w:left="1400"/>
    </w:pPr>
  </w:style>
  <w:style w:type="paragraph" w:styleId="Obsah9">
    <w:name w:val="toc 9"/>
    <w:basedOn w:val="Obsahpoloky"/>
    <w:next w:val="Obsahpoloky"/>
    <w:autoRedefine/>
    <w:uiPriority w:val="39"/>
    <w:semiHidden/>
    <w:unhideWhenUsed/>
    <w:rsid w:val="00924AC8"/>
    <w:pPr>
      <w:ind w:left="1600"/>
    </w:pPr>
  </w:style>
  <w:style w:type="character" w:styleId="Odkaznakoment">
    <w:name w:val="annotation reference"/>
    <w:basedOn w:val="Standardnpsmoodstavce"/>
    <w:uiPriority w:val="99"/>
    <w:semiHidden/>
    <w:unhideWhenUsed/>
    <w:rsid w:val="00DC774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DC774A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DC774A"/>
    <w:rPr>
      <w:rFonts w:ascii="Arial" w:eastAsia="Times New Roman" w:hAnsi="Arial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C774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C774A"/>
    <w:rPr>
      <w:rFonts w:ascii="Arial" w:eastAsia="Times New Roman" w:hAnsi="Arial"/>
      <w:b/>
      <w:bCs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26" Type="http://schemas.openxmlformats.org/officeDocument/2006/relationships/chart" Target="charts/chart11.xml"/><Relationship Id="rId3" Type="http://schemas.openxmlformats.org/officeDocument/2006/relationships/styles" Target="styles.xml"/><Relationship Id="rId21" Type="http://schemas.openxmlformats.org/officeDocument/2006/relationships/chart" Target="charts/chart6.xml"/><Relationship Id="rId34" Type="http://schemas.openxmlformats.org/officeDocument/2006/relationships/chart" Target="charts/chart19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5" Type="http://schemas.openxmlformats.org/officeDocument/2006/relationships/chart" Target="charts/chart10.xml"/><Relationship Id="rId33" Type="http://schemas.openxmlformats.org/officeDocument/2006/relationships/chart" Target="charts/chart18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image" Target="media/image5.png"/><Relationship Id="rId29" Type="http://schemas.openxmlformats.org/officeDocument/2006/relationships/chart" Target="charts/chart1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chart" Target="charts/chart9.xml"/><Relationship Id="rId32" Type="http://schemas.openxmlformats.org/officeDocument/2006/relationships/chart" Target="charts/chart17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chart" Target="charts/chart8.xml"/><Relationship Id="rId28" Type="http://schemas.openxmlformats.org/officeDocument/2006/relationships/chart" Target="charts/chart13.xml"/><Relationship Id="rId36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4.png"/><Relationship Id="rId31" Type="http://schemas.openxmlformats.org/officeDocument/2006/relationships/chart" Target="charts/chart16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hart" Target="charts/chart3.xml"/><Relationship Id="rId22" Type="http://schemas.openxmlformats.org/officeDocument/2006/relationships/chart" Target="charts/chart7.xml"/><Relationship Id="rId27" Type="http://schemas.openxmlformats.org/officeDocument/2006/relationships/chart" Target="charts/chart12.xml"/><Relationship Id="rId30" Type="http://schemas.openxmlformats.org/officeDocument/2006/relationships/chart" Target="charts/chart15.xml"/><Relationship Id="rId35" Type="http://schemas.openxmlformats.org/officeDocument/2006/relationships/chart" Target="charts/chart20.xml"/><Relationship Id="rId8" Type="http://schemas.openxmlformats.org/officeDocument/2006/relationships/chart" Target="charts/chart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TECHNOL\oddeleni_6301\1_Zdravotnictv&#237;\SHA%20zdravotnick&#233;%20&#250;&#269;ty\ANAL&#221;ZA%20SHA%202010-2019\fin&#225;ln&#237;_web\Publikace%20bar%20CZ_lide%20a%20spolecnost_2017-08-14.dotx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List_aplikace_Microsoft_Excel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D:\cermakova38818\Nikola\kontroly\zdravotn&#237;_poji&#353;&#357;ovny_podle_HC_HP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cermakova38818\Nikola\Poji&#353;&#357;ovny\tabulky_grafy_podleHCaHP.xlsx" TargetMode="External"/><Relationship Id="rId1" Type="http://schemas.openxmlformats.org/officeDocument/2006/relationships/themeOverride" Target="../theme/themeOverride8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oleObject" Target="file:///\\ABFS2\DATA\DATA\ZPRAC\TECHNOL\oddeleni_6301\1_Zdravotnictv&#237;\SHA%20zdravotnick&#233;%20&#250;&#269;ty\ANAL&#221;ZA%20SHA%202010-2019\zdravotn&#237;_poji&#353;&#357;ovny_podle_diagnoz.xlsx" TargetMode="Externa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oleObject" Target="file:///D:\cermakova38818\Nikola\kontroly\zdravotn&#237;_poji&#353;&#357;ovny_podle_diagnoz.xlsx" TargetMode="Externa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oleObject" Target="file:///D:\cermakova38818\Nikola\kontroly\zdravotn&#237;_poji&#353;&#357;ovny_podle_diagnoz.xlsx" TargetMode="Externa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oleObject" Target="file:///D:\cermakova38818\Nikola\kontroly\zdravotn&#237;_poji&#353;&#357;ovny_podle_diagnoz.xlsx" TargetMode="Externa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oleObject" Target="file:///D:\cermakova38818\Nikola\kontroly\zdravotn&#237;_poji&#353;&#357;ovny_podle_diagnoz.xlsx" TargetMode="Externa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D:\cermakova38818\Nikola\kontroly\zdravotn&#237;_poji&#353;&#357;ovny_podle_diagnoz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oleObject" Target="file:///F:\&#269;s&#250;\tabulky_grafy_ZP_podle_diagnoz.xlsx" TargetMode="External"/><Relationship Id="rId1" Type="http://schemas.openxmlformats.org/officeDocument/2006/relationships/themeOverride" Target="../theme/themeOverride14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oleObject" Target="file:///F:\&#269;s&#250;\tabulky_grafy_ZP_podle_diagnoz.xlsx" TargetMode="External"/><Relationship Id="rId1" Type="http://schemas.openxmlformats.org/officeDocument/2006/relationships/themeOverride" Target="../theme/themeOverride15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ABFS2\DATA\DATA\ZPRAC\TECHNOL\oddeleni_6301\1_Zdravotnictv&#237;\SHA%20zdravotnick&#233;%20&#250;&#269;ty\ANAL&#221;ZA%20SHA%202010-2019\kontroly\SHA_2010_2018_Kap_2_grafy_MM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\\ABFS2\DATA\DATA\ZPRAC\TECHNOL\oddeleni_6301\1_Zdravotnictv&#237;\SHA%20zdravotnick&#233;%20&#250;&#269;ty\ANAL&#221;ZA%20SHA%202010-2019\zdravotn&#237;_poji&#353;&#357;ovny_podle_diagnoz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ABFS2\DATA\DATA\ZPRAC\TECHNOL\oddeleni_6301\1_Zdravotnictv&#237;\SHA%20zdravotnick&#233;%20&#250;&#269;ty\ANAL&#221;ZA%20SHA%202010-2019\kontroly\SHA_2010_2018_Kap_2_grafy_MM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3.xml"/><Relationship Id="rId1" Type="http://schemas.microsoft.com/office/2011/relationships/chartStyle" Target="style3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D:\mana4961\7_Zdravotnictvi\SHA\2021\SHA_2010_2018_Kap_2_grafy_MM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4.xml"/><Relationship Id="rId1" Type="http://schemas.microsoft.com/office/2011/relationships/chartStyle" Target="style4.xml"/><Relationship Id="rId5" Type="http://schemas.openxmlformats.org/officeDocument/2006/relationships/chartUserShapes" Target="../drawings/drawing2.xml"/><Relationship Id="rId4" Type="http://schemas.openxmlformats.org/officeDocument/2006/relationships/oleObject" Target="file:///D:\mana4961\7_Zdravotnictvi\SHA\2021\SHA_2010_2018_Kap_2_grafy_MM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List_aplikace_Microsoft_Excel1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List_aplikace_Microsoft_Excel2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List_aplikace_Microsoft_Excel3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List_aplikace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2.6823202614379087E-2"/>
          <c:y val="4.2266993464052292E-2"/>
          <c:w val="0.93915277777777773"/>
          <c:h val="0.768912152777777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'2_1'!$A$57</c:f>
              <c:strCache>
                <c:ptCount val="1"/>
                <c:pt idx="0">
                  <c:v> Celkem v mld.Kč</c:v>
                </c:pt>
              </c:strCache>
            </c:strRef>
          </c:tx>
          <c:spPr>
            <a:solidFill>
              <a:srgbClr val="D96D75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'2_1'!$B$56:$K$56</c:f>
              <c:numCache>
                <c:formatCode>General</c:formatCode>
                <c:ptCount val="10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</c:numCache>
            </c:numRef>
          </c:cat>
          <c:val>
            <c:numRef>
              <c:f>'2_1'!$B$57:$K$57</c:f>
              <c:numCache>
                <c:formatCode>0.0</c:formatCode>
                <c:ptCount val="10"/>
                <c:pt idx="0">
                  <c:v>231.88900000000001</c:v>
                </c:pt>
                <c:pt idx="1">
                  <c:v>234.33699999999999</c:v>
                </c:pt>
                <c:pt idx="2">
                  <c:v>237.92727992449997</c:v>
                </c:pt>
                <c:pt idx="3">
                  <c:v>238.35400000000001</c:v>
                </c:pt>
                <c:pt idx="4">
                  <c:v>234.602</c:v>
                </c:pt>
                <c:pt idx="5">
                  <c:v>234.46</c:v>
                </c:pt>
                <c:pt idx="6">
                  <c:v>237.7</c:v>
                </c:pt>
                <c:pt idx="7">
                  <c:v>252.16900000000001</c:v>
                </c:pt>
                <c:pt idx="8">
                  <c:v>283.91331158770004</c:v>
                </c:pt>
                <c:pt idx="9">
                  <c:v>309.76375997900163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1BA-4E30-9842-BF1881EB50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188392576"/>
        <c:axId val="188394112"/>
      </c:barChart>
      <c:lineChart>
        <c:grouping val="standard"/>
        <c:varyColors val="0"/>
        <c:ser>
          <c:idx val="1"/>
          <c:order val="1"/>
          <c:tx>
            <c:strRef>
              <c:f>'2_1'!$A$58</c:f>
              <c:strCache>
                <c:ptCount val="1"/>
                <c:pt idx="0">
                  <c:v> na 1 obyvatele v Česku v tis. Kč</c:v>
                </c:pt>
              </c:strCache>
            </c:strRef>
          </c:tx>
          <c:spPr>
            <a:ln>
              <a:solidFill>
                <a:srgbClr val="187BB8"/>
              </a:solidFill>
            </a:ln>
          </c:spPr>
          <c:marker>
            <c:symbol val="diamond"/>
            <c:size val="7"/>
            <c:spPr>
              <a:solidFill>
                <a:srgbClr val="0070C0"/>
              </a:solidFill>
              <a:ln>
                <a:solidFill>
                  <a:schemeClr val="accent1">
                    <a:lumMod val="75000"/>
                  </a:schemeClr>
                </a:solidFill>
              </a:ln>
            </c:spPr>
          </c:marker>
          <c:dLbls>
            <c:spPr>
              <a:solidFill>
                <a:schemeClr val="accent1">
                  <a:lumMod val="20000"/>
                  <a:lumOff val="80000"/>
                </a:schemeClr>
              </a:solidFill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trendline>
            <c:spPr>
              <a:ln>
                <a:noFill/>
              </a:ln>
            </c:spPr>
            <c:trendlineType val="linear"/>
            <c:dispRSqr val="0"/>
            <c:dispEq val="0"/>
          </c:trendline>
          <c:cat>
            <c:numRef>
              <c:f>'2_1'!$B$56:$K$56</c:f>
              <c:numCache>
                <c:formatCode>General</c:formatCode>
                <c:ptCount val="10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</c:numCache>
            </c:numRef>
          </c:cat>
          <c:val>
            <c:numRef>
              <c:f>'2_1'!$B$58:$K$58</c:f>
              <c:numCache>
                <c:formatCode>0.0</c:formatCode>
                <c:ptCount val="10"/>
                <c:pt idx="0">
                  <c:v>22.048450511811694</c:v>
                </c:pt>
                <c:pt idx="1">
                  <c:v>22.324885449407201</c:v>
                </c:pt>
                <c:pt idx="2">
                  <c:v>22.639718809108437</c:v>
                </c:pt>
                <c:pt idx="3">
                  <c:v>22.677230739400418</c:v>
                </c:pt>
                <c:pt idx="4">
                  <c:v>22.290435821812196</c:v>
                </c:pt>
                <c:pt idx="5">
                  <c:v>22.238574394130218</c:v>
                </c:pt>
                <c:pt idx="6">
                  <c:v>22.498212068885227</c:v>
                </c:pt>
                <c:pt idx="7">
                  <c:v>23.813058299304426</c:v>
                </c:pt>
                <c:pt idx="8">
                  <c:v>26.717656973009753</c:v>
                </c:pt>
                <c:pt idx="9">
                  <c:v>29.033119622105545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1BA-4E30-9842-BF1881EB50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8414592"/>
        <c:axId val="188413056"/>
      </c:lineChart>
      <c:catAx>
        <c:axId val="1883925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chemeClr val="bg1">
                <a:lumMod val="75000"/>
              </a:schemeClr>
            </a:solidFill>
          </a:ln>
        </c:spPr>
        <c:crossAx val="188394112"/>
        <c:crosses val="autoZero"/>
        <c:auto val="1"/>
        <c:lblAlgn val="ctr"/>
        <c:lblOffset val="100"/>
        <c:noMultiLvlLbl val="0"/>
      </c:catAx>
      <c:valAx>
        <c:axId val="188394112"/>
        <c:scaling>
          <c:orientation val="minMax"/>
          <c:max val="400"/>
          <c:min val="0"/>
        </c:scaling>
        <c:delete val="0"/>
        <c:axPos val="l"/>
        <c:numFmt formatCode="0" sourceLinked="0"/>
        <c:majorTickMark val="none"/>
        <c:minorTickMark val="none"/>
        <c:tickLblPos val="none"/>
        <c:spPr>
          <a:ln w="3175">
            <a:solidFill>
              <a:schemeClr val="bg1">
                <a:lumMod val="75000"/>
              </a:schemeClr>
            </a:solidFill>
          </a:ln>
        </c:spPr>
        <c:crossAx val="188392576"/>
        <c:crosses val="autoZero"/>
        <c:crossBetween val="between"/>
        <c:majorUnit val="50"/>
        <c:minorUnit val="1"/>
      </c:valAx>
      <c:valAx>
        <c:axId val="188413056"/>
        <c:scaling>
          <c:orientation val="minMax"/>
          <c:max val="35"/>
          <c:min val="0"/>
        </c:scaling>
        <c:delete val="0"/>
        <c:axPos val="r"/>
        <c:numFmt formatCode="#,##0" sourceLinked="0"/>
        <c:majorTickMark val="none"/>
        <c:minorTickMark val="none"/>
        <c:tickLblPos val="none"/>
        <c:crossAx val="188414592"/>
        <c:crosses val="max"/>
        <c:crossBetween val="between"/>
        <c:majorUnit val="5"/>
      </c:valAx>
      <c:catAx>
        <c:axId val="18841459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88413056"/>
        <c:crosses val="autoZero"/>
        <c:auto val="1"/>
        <c:lblAlgn val="ctr"/>
        <c:lblOffset val="100"/>
        <c:noMultiLvlLbl val="0"/>
      </c:catAx>
      <c:spPr>
        <a:ln>
          <a:solidFill>
            <a:schemeClr val="bg1">
              <a:lumMod val="75000"/>
            </a:schemeClr>
          </a:solidFill>
        </a:ln>
      </c:spPr>
    </c:plotArea>
    <c:legend>
      <c:legendPos val="b"/>
      <c:legendEntry>
        <c:idx val="2"/>
        <c:delete val="1"/>
      </c:legendEntry>
      <c:layout>
        <c:manualLayout>
          <c:xMode val="edge"/>
          <c:yMode val="edge"/>
          <c:x val="0.20258809993425378"/>
          <c:y val="0.90103300653594776"/>
          <c:w val="0.59482380013149239"/>
          <c:h val="7.4065032679738574E-2"/>
        </c:manualLayout>
      </c:layout>
      <c:overlay val="0"/>
      <c:spPr>
        <a:ln>
          <a:solidFill>
            <a:schemeClr val="bg1">
              <a:lumMod val="75000"/>
            </a:schemeClr>
          </a:solidFill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 b="1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1466200009548251"/>
          <c:y val="0.14821576695216776"/>
          <c:w val="0.37494966589347772"/>
          <c:h val="0.62454614381629947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57CE-4735-86D2-9D21A34EE9A4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57CE-4735-86D2-9D21A34EE9A4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57CE-4735-86D2-9D21A34EE9A4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57CE-4735-86D2-9D21A34EE9A4}"/>
              </c:ext>
            </c:extLst>
          </c:dPt>
          <c:dPt>
            <c:idx val="4"/>
            <c:bubble3D val="0"/>
            <c:spPr>
              <a:solidFill>
                <a:schemeClr val="accent6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57CE-4735-86D2-9D21A34EE9A4}"/>
              </c:ext>
            </c:extLst>
          </c:dPt>
          <c:dPt>
            <c:idx val="5"/>
            <c:bubble3D val="0"/>
            <c:spPr>
              <a:solidFill>
                <a:schemeClr val="bg2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57CE-4735-86D2-9D21A34EE9A4}"/>
              </c:ext>
            </c:extLst>
          </c:dPt>
          <c:dPt>
            <c:idx val="6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57CE-4735-86D2-9D21A34EE9A4}"/>
              </c:ext>
            </c:extLst>
          </c:dPt>
          <c:dPt>
            <c:idx val="7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57CE-4735-86D2-9D21A34EE9A4}"/>
              </c:ext>
            </c:extLst>
          </c:dPt>
          <c:dLbls>
            <c:dLbl>
              <c:idx val="0"/>
              <c:numFmt formatCode="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57CE-4735-86D2-9D21A34EE9A4}"/>
                </c:ext>
              </c:extLst>
            </c:dLbl>
            <c:dLbl>
              <c:idx val="1"/>
              <c:numFmt formatCode="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57CE-4735-86D2-9D21A34EE9A4}"/>
                </c:ext>
              </c:extLst>
            </c:dLbl>
            <c:dLbl>
              <c:idx val="2"/>
              <c:numFmt formatCode="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57CE-4735-86D2-9D21A34EE9A4}"/>
                </c:ext>
              </c:extLst>
            </c:dLbl>
            <c:dLbl>
              <c:idx val="3"/>
              <c:numFmt formatCode="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57CE-4735-86D2-9D21A34EE9A4}"/>
                </c:ext>
              </c:extLst>
            </c:dLbl>
            <c:dLbl>
              <c:idx val="7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tx2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F-57CE-4735-86D2-9D21A34EE9A4}"/>
                </c:ext>
              </c:extLst>
            </c:dLbl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2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(HP_grafy!$A$2,HP_grafy!$A$6,HP_grafy!$A$12:$A$17)</c:f>
              <c:strCache>
                <c:ptCount val="8"/>
                <c:pt idx="0">
                  <c:v>Nemocnice</c:v>
                </c:pt>
                <c:pt idx="1">
                  <c:v>Poskytovatelé ambulantní péče</c:v>
                </c:pt>
                <c:pt idx="2">
                  <c:v>Lékárny a výdejny PZT*</c:v>
                </c:pt>
                <c:pt idx="3">
                  <c:v>Poskytovatelé doplňkových služeb</c:v>
                </c:pt>
                <c:pt idx="4">
                  <c:v>Správa zdravotních pojišťoven</c:v>
                </c:pt>
                <c:pt idx="5">
                  <c:v>Ostatní poskytovatelé nezařazení jinde</c:v>
                </c:pt>
                <c:pt idx="6">
                  <c:v>Lůžková zařízení dlouhodobé péče</c:v>
                </c:pt>
                <c:pt idx="7">
                  <c:v>Poskytovatelé preventivní péče</c:v>
                </c:pt>
              </c:strCache>
            </c:strRef>
          </c:cat>
          <c:val>
            <c:numRef>
              <c:f>(HP_grafy!$K$2,HP_grafy!$K$6,HP_grafy!$K$12:$K$17)</c:f>
              <c:numCache>
                <c:formatCode>#,##0</c:formatCode>
                <c:ptCount val="8"/>
                <c:pt idx="0">
                  <c:v>176833.41592800216</c:v>
                </c:pt>
                <c:pt idx="1">
                  <c:v>74865.50920399926</c:v>
                </c:pt>
                <c:pt idx="2">
                  <c:v>30876.184313000009</c:v>
                </c:pt>
                <c:pt idx="3">
                  <c:v>12683.57177000006</c:v>
                </c:pt>
                <c:pt idx="4">
                  <c:v>7374.4740000000002</c:v>
                </c:pt>
                <c:pt idx="5">
                  <c:v>2603.9775820000018</c:v>
                </c:pt>
                <c:pt idx="6">
                  <c:v>2696.1727299999893</c:v>
                </c:pt>
                <c:pt idx="7">
                  <c:v>1830.5103489999972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57CE-4735-86D2-9D21A34EE9A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7623481854143627E-2"/>
          <c:y val="0.81628071887267695"/>
          <c:w val="0.96475303629171272"/>
          <c:h val="0.162105448274297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rgbClr val="D9D9D9"/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HP_grafy!$A$2</c:f>
              <c:strCache>
                <c:ptCount val="1"/>
                <c:pt idx="0">
                  <c:v>Nemocnice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b="1">
                    <a:solidFill>
                      <a:schemeClr val="accent1"/>
                    </a:solidFill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HP_grafy!$B$1:$K$1</c:f>
              <c:numCache>
                <c:formatCode>General</c:formatCode>
                <c:ptCount val="10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</c:numCache>
            </c:numRef>
          </c:cat>
          <c:val>
            <c:numRef>
              <c:f>HP_grafy!$B$2:$K$2</c:f>
              <c:numCache>
                <c:formatCode>#,##0</c:formatCode>
                <c:ptCount val="10"/>
                <c:pt idx="0">
                  <c:v>123200</c:v>
                </c:pt>
                <c:pt idx="1">
                  <c:v>123492</c:v>
                </c:pt>
                <c:pt idx="2">
                  <c:v>123682.375872</c:v>
                </c:pt>
                <c:pt idx="3">
                  <c:v>126869</c:v>
                </c:pt>
                <c:pt idx="4">
                  <c:v>129304</c:v>
                </c:pt>
                <c:pt idx="5">
                  <c:v>130068</c:v>
                </c:pt>
                <c:pt idx="6">
                  <c:v>132216</c:v>
                </c:pt>
                <c:pt idx="7">
                  <c:v>140477</c:v>
                </c:pt>
                <c:pt idx="8">
                  <c:v>163841.10278400002</c:v>
                </c:pt>
                <c:pt idx="9">
                  <c:v>176833.41592800216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2F2-4457-ACF3-200BCE89C74F}"/>
            </c:ext>
          </c:extLst>
        </c:ser>
        <c:ser>
          <c:idx val="1"/>
          <c:order val="1"/>
          <c:tx>
            <c:strRef>
              <c:f>HP_grafy!$A$3</c:f>
              <c:strCache>
                <c:ptCount val="1"/>
                <c:pt idx="0">
                  <c:v>Lůžková zařízení dlouhodobé péče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b="1">
                    <a:solidFill>
                      <a:schemeClr val="accent6"/>
                    </a:solidFill>
                  </a:defRPr>
                </a:pPr>
                <a:endParaRPr lang="cs-CZ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HP_grafy!$B$1:$K$1</c:f>
              <c:numCache>
                <c:formatCode>General</c:formatCode>
                <c:ptCount val="10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</c:numCache>
            </c:numRef>
          </c:cat>
          <c:val>
            <c:numRef>
              <c:f>HP_grafy!$B$3:$K$3</c:f>
              <c:numCache>
                <c:formatCode>#,##0</c:formatCode>
                <c:ptCount val="10"/>
                <c:pt idx="0">
                  <c:v>2654</c:v>
                </c:pt>
                <c:pt idx="1">
                  <c:v>2509</c:v>
                </c:pt>
                <c:pt idx="2">
                  <c:v>2543.6353939999999</c:v>
                </c:pt>
                <c:pt idx="3">
                  <c:v>2466</c:v>
                </c:pt>
                <c:pt idx="4">
                  <c:v>1982</c:v>
                </c:pt>
                <c:pt idx="5">
                  <c:v>2500</c:v>
                </c:pt>
                <c:pt idx="6">
                  <c:v>2226</c:v>
                </c:pt>
                <c:pt idx="7">
                  <c:v>2042</c:v>
                </c:pt>
                <c:pt idx="8">
                  <c:v>2134.3459749999997</c:v>
                </c:pt>
                <c:pt idx="9">
                  <c:v>2696.1727299999893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2F2-4457-ACF3-200BCE89C74F}"/>
            </c:ext>
          </c:extLst>
        </c:ser>
        <c:ser>
          <c:idx val="2"/>
          <c:order val="2"/>
          <c:tx>
            <c:strRef>
              <c:f>HP_grafy!$A$4</c:f>
              <c:strCache>
                <c:ptCount val="1"/>
                <c:pt idx="0">
                  <c:v>Poskytovatelé ambulantní péče</c:v>
                </c:pt>
              </c:strCache>
            </c:strRef>
          </c:tx>
          <c:spPr>
            <a:ln w="28575" cap="rnd">
              <a:solidFill>
                <a:srgbClr val="C0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C00000"/>
              </a:solidFill>
              <a:ln w="9525">
                <a:solidFill>
                  <a:srgbClr val="C00000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b="1">
                    <a:solidFill>
                      <a:srgbClr val="C00000"/>
                    </a:solidFill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HP_grafy!$B$1:$K$1</c:f>
              <c:numCache>
                <c:formatCode>General</c:formatCode>
                <c:ptCount val="10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</c:numCache>
            </c:numRef>
          </c:cat>
          <c:val>
            <c:numRef>
              <c:f>HP_grafy!$B$4:$K$4</c:f>
              <c:numCache>
                <c:formatCode>#,##0</c:formatCode>
                <c:ptCount val="10"/>
                <c:pt idx="0">
                  <c:v>53070</c:v>
                </c:pt>
                <c:pt idx="1">
                  <c:v>56017</c:v>
                </c:pt>
                <c:pt idx="2">
                  <c:v>55492.748159000002</c:v>
                </c:pt>
                <c:pt idx="3">
                  <c:v>57602</c:v>
                </c:pt>
                <c:pt idx="4">
                  <c:v>56348</c:v>
                </c:pt>
                <c:pt idx="5">
                  <c:v>56097</c:v>
                </c:pt>
                <c:pt idx="6">
                  <c:v>56894</c:v>
                </c:pt>
                <c:pt idx="7">
                  <c:v>60227</c:v>
                </c:pt>
                <c:pt idx="8">
                  <c:v>67192.631018999993</c:v>
                </c:pt>
                <c:pt idx="9">
                  <c:v>74865.50920399926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2F2-4457-ACF3-200BCE89C74F}"/>
            </c:ext>
          </c:extLst>
        </c:ser>
        <c:ser>
          <c:idx val="3"/>
          <c:order val="3"/>
          <c:tx>
            <c:strRef>
              <c:f>HP_grafy!$A$5</c:f>
              <c:strCache>
                <c:ptCount val="1"/>
                <c:pt idx="0">
                  <c:v>Poskytovatelé doplňkových služeb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dLbl>
              <c:idx val="4"/>
              <c:layout>
                <c:manualLayout>
                  <c:x val="-3.8901187758543329E-2"/>
                  <c:y val="-4.24884376798517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B2F2-4457-ACF3-200BCE89C74F}"/>
                </c:ext>
              </c:extLst>
            </c:dLbl>
            <c:dLbl>
              <c:idx val="5"/>
              <c:layout>
                <c:manualLayout>
                  <c:x val="-3.8901187758543405E-2"/>
                  <c:y val="-4.24884376798516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B2F2-4457-ACF3-200BCE89C74F}"/>
                </c:ext>
              </c:extLst>
            </c:dLbl>
            <c:dLbl>
              <c:idx val="6"/>
              <c:layout>
                <c:manualLayout>
                  <c:x val="-3.8901187758543405E-2"/>
                  <c:y val="-3.84390349667519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B2F2-4457-ACF3-200BCE89C74F}"/>
                </c:ext>
              </c:extLst>
            </c:dLbl>
            <c:dLbl>
              <c:idx val="7"/>
              <c:layout>
                <c:manualLayout>
                  <c:x val="-4.3660110739131938E-2"/>
                  <c:y val="-3.4389632253652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B2F2-4457-ACF3-200BCE89C74F}"/>
                </c:ext>
              </c:extLst>
            </c:dLbl>
            <c:dLbl>
              <c:idx val="8"/>
              <c:layout>
                <c:manualLayout>
                  <c:x val="-4.3660110739132091E-2"/>
                  <c:y val="-3.4389632253652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B2F2-4457-ACF3-200BCE89C74F}"/>
                </c:ext>
              </c:extLst>
            </c:dLbl>
            <c:dLbl>
              <c:idx val="9"/>
              <c:layout>
                <c:manualLayout>
                  <c:x val="-3.2801167543474723E-2"/>
                  <c:y val="-3.03402295405522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B2F2-4457-ACF3-200BCE89C74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b="1">
                    <a:solidFill>
                      <a:schemeClr val="accent4"/>
                    </a:solidFill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HP_grafy!$B$1:$K$1</c:f>
              <c:numCache>
                <c:formatCode>General</c:formatCode>
                <c:ptCount val="10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</c:numCache>
            </c:numRef>
          </c:cat>
          <c:val>
            <c:numRef>
              <c:f>HP_grafy!$B$5:$K$5</c:f>
              <c:numCache>
                <c:formatCode>#,##0</c:formatCode>
                <c:ptCount val="10"/>
                <c:pt idx="0">
                  <c:v>7691</c:v>
                </c:pt>
                <c:pt idx="1">
                  <c:v>7443</c:v>
                </c:pt>
                <c:pt idx="2">
                  <c:v>7738.6840149999998</c:v>
                </c:pt>
                <c:pt idx="3">
                  <c:v>7357</c:v>
                </c:pt>
                <c:pt idx="4">
                  <c:v>7604</c:v>
                </c:pt>
                <c:pt idx="5">
                  <c:v>8246</c:v>
                </c:pt>
                <c:pt idx="6">
                  <c:v>8797</c:v>
                </c:pt>
                <c:pt idx="7">
                  <c:v>10822</c:v>
                </c:pt>
                <c:pt idx="8">
                  <c:v>11782.537135999999</c:v>
                </c:pt>
                <c:pt idx="9">
                  <c:v>12683.57177000006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B2F2-4457-ACF3-200BCE89C74F}"/>
            </c:ext>
          </c:extLst>
        </c:ser>
        <c:ser>
          <c:idx val="4"/>
          <c:order val="4"/>
          <c:tx>
            <c:strRef>
              <c:f>HP_grafy!$A$6</c:f>
              <c:strCache>
                <c:ptCount val="1"/>
                <c:pt idx="0">
                  <c:v>Lékárny a výdejny PZT*</c:v>
                </c:pt>
              </c:strCache>
            </c:strRef>
          </c:tx>
          <c:spPr>
            <a:ln w="28575" cap="rnd">
              <a:solidFill>
                <a:schemeClr val="accent3">
                  <a:lumMod val="75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75000"/>
                </a:schemeClr>
              </a:solidFill>
              <a:ln w="9525">
                <a:solidFill>
                  <a:schemeClr val="accent3">
                    <a:lumMod val="75000"/>
                  </a:schemeClr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3660110739131938E-2"/>
                  <c:y val="-4.24884376798516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B2F2-4457-ACF3-200BCE89C74F}"/>
                </c:ext>
              </c:extLst>
            </c:dLbl>
            <c:dLbl>
              <c:idx val="1"/>
              <c:layout>
                <c:manualLayout>
                  <c:x val="-4.3660110739131938E-2"/>
                  <c:y val="-4.24884376798516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B2F2-4457-ACF3-200BCE89C74F}"/>
                </c:ext>
              </c:extLst>
            </c:dLbl>
            <c:dLbl>
              <c:idx val="2"/>
              <c:layout>
                <c:manualLayout>
                  <c:x val="-4.5747357660442765E-2"/>
                  <c:y val="-4.24884376798516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B2F2-4457-ACF3-200BCE89C74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b="1">
                    <a:solidFill>
                      <a:schemeClr val="accent3"/>
                    </a:solidFill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HP_grafy!$B$1:$K$1</c:f>
              <c:numCache>
                <c:formatCode>General</c:formatCode>
                <c:ptCount val="10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</c:numCache>
            </c:numRef>
          </c:cat>
          <c:val>
            <c:numRef>
              <c:f>HP_grafy!$B$6:$K$6</c:f>
              <c:numCache>
                <c:formatCode>#,##0</c:formatCode>
                <c:ptCount val="10"/>
                <c:pt idx="0">
                  <c:v>33394</c:v>
                </c:pt>
                <c:pt idx="1">
                  <c:v>34299</c:v>
                </c:pt>
                <c:pt idx="2">
                  <c:v>35704.458321000006</c:v>
                </c:pt>
                <c:pt idx="3">
                  <c:v>32771</c:v>
                </c:pt>
                <c:pt idx="4">
                  <c:v>27433</c:v>
                </c:pt>
                <c:pt idx="5">
                  <c:v>26886</c:v>
                </c:pt>
                <c:pt idx="6">
                  <c:v>27604</c:v>
                </c:pt>
                <c:pt idx="7">
                  <c:v>28187</c:v>
                </c:pt>
                <c:pt idx="8">
                  <c:v>29447.041485000002</c:v>
                </c:pt>
                <c:pt idx="9">
                  <c:v>30876.184313000009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B2F2-4457-ACF3-200BCE89C74F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09524783"/>
        <c:axId val="509525199"/>
      </c:lineChart>
      <c:catAx>
        <c:axId val="5095247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cs-CZ"/>
          </a:p>
        </c:txPr>
        <c:crossAx val="509525199"/>
        <c:crosses val="autoZero"/>
        <c:auto val="1"/>
        <c:lblAlgn val="ctr"/>
        <c:lblOffset val="500"/>
        <c:noMultiLvlLbl val="0"/>
      </c:catAx>
      <c:valAx>
        <c:axId val="50952519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ysDash"/>
              <a:round/>
            </a:ln>
            <a:effectLst/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cs-CZ"/>
                  <a:t>mil. Kč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cs-CZ"/>
          </a:p>
        </c:txPr>
        <c:crossAx val="509524783"/>
        <c:crosses val="autoZero"/>
        <c:crossBetween val="between"/>
      </c:valAx>
      <c:spPr>
        <a:noFill/>
        <a:ln>
          <a:solidFill>
            <a:sysClr val="window" lastClr="FFFFFF">
              <a:lumMod val="75000"/>
            </a:sysClr>
          </a:solidFill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rgbClr val="D9D9D9"/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2783484551740677"/>
          <c:y val="7.635248859391866E-2"/>
          <c:w val="0.40778225215502895"/>
          <c:h val="0.60829609975989174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703D-401D-96DB-90ADE5CB3D1E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703D-401D-96DB-90ADE5CB3D1E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703D-401D-96DB-90ADE5CB3D1E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703D-401D-96DB-90ADE5CB3D1E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703D-401D-96DB-90ADE5CB3D1E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703D-401D-96DB-90ADE5CB3D1E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703D-401D-96DB-90ADE5CB3D1E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703D-401D-96DB-90ADE5CB3D1E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1-703D-401D-96DB-90ADE5CB3D1E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3-703D-401D-96DB-90ADE5CB3D1E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5-703D-401D-96DB-90ADE5CB3D1E}"/>
              </c:ext>
            </c:extLst>
          </c:dPt>
          <c:dPt>
            <c:idx val="11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7-703D-401D-96DB-90ADE5CB3D1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diagnozy_grafy!$H$4:$H$15</c:f>
              <c:strCache>
                <c:ptCount val="12"/>
                <c:pt idx="0">
                  <c:v>Nemoci oběhové soustavy</c:v>
                </c:pt>
                <c:pt idx="1">
                  <c:v>Novotvary</c:v>
                </c:pt>
                <c:pt idx="2">
                  <c:v>Faktory ovlivňující zdravotní stav</c:v>
                </c:pt>
                <c:pt idx="3">
                  <c:v>Nemoci svalové, kosterní a pojivové tkáně</c:v>
                </c:pt>
                <c:pt idx="4">
                  <c:v>Nemoci močové a pohlavní soustavy</c:v>
                </c:pt>
                <c:pt idx="5">
                  <c:v>Nemoci trávicí soustavy</c:v>
                </c:pt>
                <c:pt idx="6">
                  <c:v>Poranění, otravy aj.</c:v>
                </c:pt>
                <c:pt idx="7">
                  <c:v>Nemoci dýchací soustavy</c:v>
                </c:pt>
                <c:pt idx="8">
                  <c:v>Poruchy duševní a poruchy chování</c:v>
                </c:pt>
                <c:pt idx="9">
                  <c:v>Nemoci nervové soustavy</c:v>
                </c:pt>
                <c:pt idx="10">
                  <c:v>Nemoci endokrinní a metabolické</c:v>
                </c:pt>
                <c:pt idx="11">
                  <c:v>Ostatní (1)</c:v>
                </c:pt>
              </c:strCache>
            </c:strRef>
          </c:cat>
          <c:val>
            <c:numRef>
              <c:f>diagnozy_grafy!$I$4:$I$15</c:f>
              <c:numCache>
                <c:formatCode>0.00%</c:formatCode>
                <c:ptCount val="12"/>
                <c:pt idx="0">
                  <c:v>0.12985262831223729</c:v>
                </c:pt>
                <c:pt idx="1">
                  <c:v>0.11289164499162252</c:v>
                </c:pt>
                <c:pt idx="2">
                  <c:v>9.7243731157324056E-2</c:v>
                </c:pt>
                <c:pt idx="3">
                  <c:v>8.9019415157689019E-2</c:v>
                </c:pt>
                <c:pt idx="4">
                  <c:v>7.8527890837644304E-2</c:v>
                </c:pt>
                <c:pt idx="5">
                  <c:v>7.461305430870542E-2</c:v>
                </c:pt>
                <c:pt idx="6">
                  <c:v>6.100836795359129E-2</c:v>
                </c:pt>
                <c:pt idx="7">
                  <c:v>5.8751642698829244E-2</c:v>
                </c:pt>
                <c:pt idx="8">
                  <c:v>5.6107074683163484E-2</c:v>
                </c:pt>
                <c:pt idx="9">
                  <c:v>4.4591198445474794E-2</c:v>
                </c:pt>
                <c:pt idx="10">
                  <c:v>4.2404985060515765E-2</c:v>
                </c:pt>
                <c:pt idx="11">
                  <c:v>0.15498836639320285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703D-401D-96DB-90ADE5CB3D1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8988069067508686E-2"/>
          <c:y val="0.75469093339196291"/>
          <c:w val="0.96413892108664079"/>
          <c:h val="0.2263786359407392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rgbClr val="D9D9D9"/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1EEB-409C-9BAE-B219B6D4E3EE}"/>
                </c:ext>
              </c:extLst>
            </c:dLbl>
            <c:dLbl>
              <c:idx val="1"/>
              <c:layout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1EEB-409C-9BAE-B219B6D4E3EE}"/>
                </c:ext>
              </c:extLst>
            </c:dLbl>
            <c:dLbl>
              <c:idx val="2"/>
              <c:layout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1EEB-409C-9BAE-B219B6D4E3EE}"/>
                </c:ext>
              </c:extLst>
            </c:dLbl>
            <c:dLbl>
              <c:idx val="3"/>
              <c:layout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1EEB-409C-9BAE-B219B6D4E3EE}"/>
                </c:ext>
              </c:extLst>
            </c:dLbl>
            <c:dLbl>
              <c:idx val="4"/>
              <c:layout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1EEB-409C-9BAE-B219B6D4E3EE}"/>
                </c:ext>
              </c:extLst>
            </c:dLbl>
            <c:dLbl>
              <c:idx val="5"/>
              <c:layout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6955-42B6-9116-CCF22A50E0C4}"/>
                </c:ext>
              </c:extLst>
            </c:dLbl>
            <c:dLbl>
              <c:idx val="6"/>
              <c:layout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6955-42B6-9116-CCF22A50E0C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diagnozy_grafy!$K$23:$K$44</c:f>
              <c:strCache>
                <c:ptCount val="22"/>
                <c:pt idx="0">
                  <c:v>Kódy pro speciální účely</c:v>
                </c:pt>
                <c:pt idx="1">
                  <c:v>Vnější příčiny nemocnosti a úmrtnosti</c:v>
                </c:pt>
                <c:pt idx="2">
                  <c:v>Vrozené vady a deformace</c:v>
                </c:pt>
                <c:pt idx="3">
                  <c:v>Stavy vzniklé v perinatálním období</c:v>
                </c:pt>
                <c:pt idx="4">
                  <c:v>Nemoci ucha</c:v>
                </c:pt>
                <c:pt idx="5">
                  <c:v>Těhotenství, porod a šestinedělí</c:v>
                </c:pt>
                <c:pt idx="6">
                  <c:v>Nemoci kůže</c:v>
                </c:pt>
                <c:pt idx="7">
                  <c:v>Nemoci krve a krvetvorných orgánů</c:v>
                </c:pt>
                <c:pt idx="8">
                  <c:v>Infekční a parazitární nemoci</c:v>
                </c:pt>
                <c:pt idx="9">
                  <c:v>Nemoci oka</c:v>
                </c:pt>
                <c:pt idx="10">
                  <c:v>Nemoci endokrinní a metabolické</c:v>
                </c:pt>
                <c:pt idx="11">
                  <c:v>Nemoci nervové soustavy</c:v>
                </c:pt>
                <c:pt idx="12">
                  <c:v>Příznaky, znaky a abnormální klinické a laboratorní nálezy*</c:v>
                </c:pt>
                <c:pt idx="13">
                  <c:v>Poruchy duševní a poruchy chování</c:v>
                </c:pt>
                <c:pt idx="14">
                  <c:v>Nemoci dýchací soustavy</c:v>
                </c:pt>
                <c:pt idx="15">
                  <c:v>Poranění, otravy aj.</c:v>
                </c:pt>
                <c:pt idx="16">
                  <c:v>Nemoci trávicí soustavy</c:v>
                </c:pt>
                <c:pt idx="17">
                  <c:v>Nemoci močové a pohlavní soustavy</c:v>
                </c:pt>
                <c:pt idx="18">
                  <c:v>Nemoci svalové, kosterní a pojivové tkáně</c:v>
                </c:pt>
                <c:pt idx="19">
                  <c:v>Faktory ovlivňující zdravotní stav</c:v>
                </c:pt>
                <c:pt idx="20">
                  <c:v>Novotvary</c:v>
                </c:pt>
                <c:pt idx="21">
                  <c:v>Nemoci oběhové soustavy</c:v>
                </c:pt>
              </c:strCache>
            </c:strRef>
          </c:cat>
          <c:val>
            <c:numRef>
              <c:f>diagnozy_grafy!$L$23:$L$44</c:f>
              <c:numCache>
                <c:formatCode>#,##0</c:formatCode>
                <c:ptCount val="22"/>
                <c:pt idx="0" formatCode="0.0">
                  <c:v>0.37750172559198564</c:v>
                </c:pt>
                <c:pt idx="1">
                  <c:v>115.62675839710317</c:v>
                </c:pt>
                <c:pt idx="2">
                  <c:v>1327.5809347787892</c:v>
                </c:pt>
                <c:pt idx="3">
                  <c:v>1464.3465055854531</c:v>
                </c:pt>
                <c:pt idx="4">
                  <c:v>1724.8857252176899</c:v>
                </c:pt>
                <c:pt idx="5">
                  <c:v>3214.592037116161</c:v>
                </c:pt>
                <c:pt idx="6">
                  <c:v>3277.0437703833809</c:v>
                </c:pt>
                <c:pt idx="7">
                  <c:v>3290.7335168604091</c:v>
                </c:pt>
                <c:pt idx="8">
                  <c:v>4106.546160334161</c:v>
                </c:pt>
                <c:pt idx="9">
                  <c:v>5354.986948280567</c:v>
                </c:pt>
                <c:pt idx="10">
                  <c:v>9283.7396545773681</c:v>
                </c:pt>
                <c:pt idx="11">
                  <c:v>9762.368190027797</c:v>
                </c:pt>
                <c:pt idx="12">
                  <c:v>10055.320182942083</c:v>
                </c:pt>
                <c:pt idx="13">
                  <c:v>12283.543394604922</c:v>
                </c:pt>
                <c:pt idx="14">
                  <c:v>12862.519685275134</c:v>
                </c:pt>
                <c:pt idx="15">
                  <c:v>13356.585411444401</c:v>
                </c:pt>
                <c:pt idx="16">
                  <c:v>16335.064616726888</c:v>
                </c:pt>
                <c:pt idx="17">
                  <c:v>17192.141280544391</c:v>
                </c:pt>
                <c:pt idx="18">
                  <c:v>19489.054726639526</c:v>
                </c:pt>
                <c:pt idx="19">
                  <c:v>21289.607384979696</c:v>
                </c:pt>
                <c:pt idx="20">
                  <c:v>24715.41116648254</c:v>
                </c:pt>
                <c:pt idx="21">
                  <c:v>28428.685754588278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EEB-409C-9BAE-B219B6D4E3E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70"/>
        <c:axId val="1032940719"/>
        <c:axId val="1032956527"/>
      </c:barChart>
      <c:catAx>
        <c:axId val="103294071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032956527"/>
        <c:crosses val="autoZero"/>
        <c:auto val="1"/>
        <c:lblAlgn val="ctr"/>
        <c:lblOffset val="100"/>
        <c:noMultiLvlLbl val="0"/>
      </c:catAx>
      <c:valAx>
        <c:axId val="1032956527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crossAx val="103294071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příčiny_umrtí!$G$5</c:f>
              <c:strCache>
                <c:ptCount val="1"/>
                <c:pt idx="0">
                  <c:v>muži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příčiny_umrtí!$G$5:$G$6</c:f>
              <c:strCache>
                <c:ptCount val="2"/>
                <c:pt idx="0">
                  <c:v>muži</c:v>
                </c:pt>
                <c:pt idx="1">
                  <c:v>ženy</c:v>
                </c:pt>
              </c:strCache>
            </c:strRef>
          </c:cat>
          <c:val>
            <c:numRef>
              <c:f>příčiny_umrtí!$G$6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502-4855-AF5E-040F56746724}"/>
            </c:ext>
          </c:extLst>
        </c:ser>
        <c:ser>
          <c:idx val="1"/>
          <c:order val="1"/>
          <c:tx>
            <c:strRef>
              <c:f>příčiny_umrtí!$H$4</c:f>
              <c:strCache>
                <c:ptCount val="1"/>
                <c:pt idx="0">
                  <c:v>Nemoci oběhové soustavy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příčiny_umrtí!$G$5:$G$6</c:f>
              <c:strCache>
                <c:ptCount val="2"/>
                <c:pt idx="0">
                  <c:v>muži</c:v>
                </c:pt>
                <c:pt idx="1">
                  <c:v>ženy</c:v>
                </c:pt>
              </c:strCache>
            </c:strRef>
          </c:cat>
          <c:val>
            <c:numRef>
              <c:f>příčiny_umrtí!$H$5:$H$6</c:f>
              <c:numCache>
                <c:formatCode>0%</c:formatCode>
                <c:ptCount val="2"/>
                <c:pt idx="0">
                  <c:v>0.3894033729224437</c:v>
                </c:pt>
                <c:pt idx="1">
                  <c:v>0.45553677553023281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502-4855-AF5E-040F56746724}"/>
            </c:ext>
          </c:extLst>
        </c:ser>
        <c:ser>
          <c:idx val="2"/>
          <c:order val="2"/>
          <c:tx>
            <c:strRef>
              <c:f>příčiny_umrtí!$I$4</c:f>
              <c:strCache>
                <c:ptCount val="1"/>
                <c:pt idx="0">
                  <c:v>Novotvary </c:v>
                </c:pt>
              </c:strCache>
            </c:strRef>
          </c:tx>
          <c:spPr>
            <a:solidFill>
              <a:srgbClr val="9E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příčiny_umrtí!$G$5:$G$6</c:f>
              <c:strCache>
                <c:ptCount val="2"/>
                <c:pt idx="0">
                  <c:v>muži</c:v>
                </c:pt>
                <c:pt idx="1">
                  <c:v>ženy</c:v>
                </c:pt>
              </c:strCache>
            </c:strRef>
          </c:cat>
          <c:val>
            <c:numRef>
              <c:f>příčiny_umrtí!$I$5:$I$6</c:f>
              <c:numCache>
                <c:formatCode>0%</c:formatCode>
                <c:ptCount val="2"/>
                <c:pt idx="0">
                  <c:v>0.27792601893998847</c:v>
                </c:pt>
                <c:pt idx="1">
                  <c:v>0.23504716209585083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502-4855-AF5E-040F56746724}"/>
            </c:ext>
          </c:extLst>
        </c:ser>
        <c:ser>
          <c:idx val="4"/>
          <c:order val="3"/>
          <c:tx>
            <c:strRef>
              <c:f>příčiny_umrtí!$J$4</c:f>
              <c:strCache>
                <c:ptCount val="1"/>
                <c:pt idx="0">
                  <c:v>Nemoci dýchací soustavy 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příčiny_umrtí!$G$5:$G$6</c:f>
              <c:strCache>
                <c:ptCount val="2"/>
                <c:pt idx="0">
                  <c:v>muži</c:v>
                </c:pt>
                <c:pt idx="1">
                  <c:v>ženy</c:v>
                </c:pt>
              </c:strCache>
            </c:strRef>
          </c:cat>
          <c:val>
            <c:numRef>
              <c:f>příčiny_umrtí!$J$5:$J$6</c:f>
              <c:numCache>
                <c:formatCode>0%</c:formatCode>
                <c:ptCount val="2"/>
                <c:pt idx="0">
                  <c:v>7.7800449955527651E-2</c:v>
                </c:pt>
                <c:pt idx="1">
                  <c:v>6.7808007560474712E-2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502-4855-AF5E-040F56746724}"/>
            </c:ext>
          </c:extLst>
        </c:ser>
        <c:ser>
          <c:idx val="7"/>
          <c:order val="4"/>
          <c:tx>
            <c:strRef>
              <c:f>příčiny_umrtí!$M$4</c:f>
              <c:strCache>
                <c:ptCount val="1"/>
                <c:pt idx="0">
                  <c:v>Vnější příčiny poranění a otrav 
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příčiny_umrtí!$G$5:$G$6</c:f>
              <c:strCache>
                <c:ptCount val="2"/>
                <c:pt idx="0">
                  <c:v>muži</c:v>
                </c:pt>
                <c:pt idx="1">
                  <c:v>ženy</c:v>
                </c:pt>
              </c:strCache>
            </c:strRef>
          </c:cat>
          <c:val>
            <c:numRef>
              <c:f>příčiny_umrtí!$M$5:$M$6</c:f>
              <c:numCache>
                <c:formatCode>0%</c:formatCode>
                <c:ptCount val="2"/>
                <c:pt idx="0">
                  <c:v>6.6429480807129529E-2</c:v>
                </c:pt>
                <c:pt idx="1">
                  <c:v>3.4094833069807172E-2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502-4855-AF5E-040F56746724}"/>
            </c:ext>
          </c:extLst>
        </c:ser>
        <c:ser>
          <c:idx val="8"/>
          <c:order val="5"/>
          <c:tx>
            <c:strRef>
              <c:f>příčiny_umrtí!$N$4</c:f>
              <c:strCache>
                <c:ptCount val="1"/>
                <c:pt idx="0">
                  <c:v>Nemoci trávicí soustavy 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příčiny_umrtí!$G$5:$G$6</c:f>
              <c:strCache>
                <c:ptCount val="2"/>
                <c:pt idx="0">
                  <c:v>muži</c:v>
                </c:pt>
                <c:pt idx="1">
                  <c:v>ženy</c:v>
                </c:pt>
              </c:strCache>
            </c:strRef>
          </c:cat>
          <c:val>
            <c:numRef>
              <c:f>příčiny_umrtí!$N$5:$N$6</c:f>
              <c:numCache>
                <c:formatCode>0%</c:formatCode>
                <c:ptCount val="2"/>
                <c:pt idx="0">
                  <c:v>5.0332234604719299E-2</c:v>
                </c:pt>
                <c:pt idx="1">
                  <c:v>3.8838303981971176E-2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502-4855-AF5E-040F56746724}"/>
            </c:ext>
          </c:extLst>
        </c:ser>
        <c:ser>
          <c:idx val="6"/>
          <c:order val="6"/>
          <c:tx>
            <c:strRef>
              <c:f>příčiny_umrtí!$L$4</c:f>
              <c:strCache>
                <c:ptCount val="1"/>
                <c:pt idx="0">
                  <c:v>Nemoci endokrinní, výživy
a přeměny látek 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příčiny_umrtí!$G$5:$G$6</c:f>
              <c:strCache>
                <c:ptCount val="2"/>
                <c:pt idx="0">
                  <c:v>muži</c:v>
                </c:pt>
                <c:pt idx="1">
                  <c:v>ženy</c:v>
                </c:pt>
              </c:strCache>
            </c:strRef>
          </c:cat>
          <c:val>
            <c:numRef>
              <c:f>příčiny_umrtí!$L$5:$L$6</c:f>
              <c:numCache>
                <c:formatCode>0%</c:formatCode>
                <c:ptCount val="2"/>
                <c:pt idx="0">
                  <c:v>4.1612166239383318E-2</c:v>
                </c:pt>
                <c:pt idx="1">
                  <c:v>5.0415280882540027E-2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502-4855-AF5E-040F56746724}"/>
            </c:ext>
          </c:extLst>
        </c:ser>
        <c:ser>
          <c:idx val="9"/>
          <c:order val="7"/>
          <c:tx>
            <c:strRef>
              <c:f>příčiny_umrtí!$O$4</c:f>
              <c:strCache>
                <c:ptCount val="1"/>
                <c:pt idx="0">
                  <c:v>Nemoci nervové soustavy 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příčiny_umrtí!$G$5:$G$6</c:f>
              <c:strCache>
                <c:ptCount val="2"/>
                <c:pt idx="0">
                  <c:v>muži</c:v>
                </c:pt>
                <c:pt idx="1">
                  <c:v>ženy</c:v>
                </c:pt>
              </c:strCache>
            </c:strRef>
          </c:cat>
          <c:val>
            <c:numRef>
              <c:f>příčiny_umrtí!$O$5:$O$6</c:f>
              <c:numCache>
                <c:formatCode>0%</c:formatCode>
                <c:ptCount val="2"/>
                <c:pt idx="0">
                  <c:v>2.8357662324072622E-2</c:v>
                </c:pt>
                <c:pt idx="1">
                  <c:v>3.8038638387583375E-2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7502-4855-AF5E-040F56746724}"/>
            </c:ext>
          </c:extLst>
        </c:ser>
        <c:ser>
          <c:idx val="10"/>
          <c:order val="8"/>
          <c:tx>
            <c:strRef>
              <c:f>příčiny_umrtí!$P$4</c:f>
              <c:strCache>
                <c:ptCount val="1"/>
                <c:pt idx="0">
                  <c:v>Některé infekční a parazitární 
nemoci 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příčiny_umrtí!$G$5:$G$6</c:f>
              <c:strCache>
                <c:ptCount val="2"/>
                <c:pt idx="0">
                  <c:v>muži</c:v>
                </c:pt>
                <c:pt idx="1">
                  <c:v>ženy</c:v>
                </c:pt>
              </c:strCache>
            </c:strRef>
          </c:cat>
          <c:val>
            <c:numRef>
              <c:f>příčiny_umrtí!$P$5:$P$6</c:f>
              <c:numCache>
                <c:formatCode>0%</c:formatCode>
                <c:ptCount val="2"/>
                <c:pt idx="0">
                  <c:v>1.5103158408761926E-2</c:v>
                </c:pt>
                <c:pt idx="1">
                  <c:v>1.8065172745942607E-2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502-4855-AF5E-040F56746724}"/>
            </c:ext>
          </c:extLst>
        </c:ser>
        <c:ser>
          <c:idx val="5"/>
          <c:order val="9"/>
          <c:tx>
            <c:strRef>
              <c:f>příčiny_umrtí!$K$4</c:f>
              <c:strCache>
                <c:ptCount val="1"/>
                <c:pt idx="0">
                  <c:v>Ostatní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příčiny_umrtí!$K$5:$K$6</c:f>
              <c:numCache>
                <c:formatCode>0%</c:formatCode>
                <c:ptCount val="2"/>
                <c:pt idx="0">
                  <c:v>5.3035455797973453E-2</c:v>
                </c:pt>
                <c:pt idx="1">
                  <c:v>6.2155825745597297E-2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7502-4855-AF5E-040F56746724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544167072"/>
        <c:axId val="544168320"/>
      </c:barChart>
      <c:catAx>
        <c:axId val="544167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44168320"/>
        <c:crosses val="autoZero"/>
        <c:auto val="1"/>
        <c:lblAlgn val="ctr"/>
        <c:lblOffset val="100"/>
        <c:noMultiLvlLbl val="0"/>
      </c:catAx>
      <c:valAx>
        <c:axId val="5441683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44167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9"/>
        <c:delete val="1"/>
      </c:legendEntry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3864674019572691"/>
          <c:y val="6.4220327406917382E-2"/>
          <c:w val="0.56135325980427309"/>
          <c:h val="0.8858262108262108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'změny_diagnozy_10-19'!$B$1</c:f>
              <c:strCache>
                <c:ptCount val="1"/>
                <c:pt idx="0">
                  <c:v>od roku 2010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DB1-4053-B1DE-277AF5A8F560}"/>
                </c:ext>
              </c:extLst>
            </c:dLbl>
            <c:dLbl>
              <c:idx val="1"/>
              <c:layout>
                <c:manualLayout>
                  <c:x val="-4.1884816753926706E-3"/>
                  <c:y val="5.035246727089627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DCE6-4C8E-B9EC-ABCE3ECB86A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accen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'změny_diagnozy_10-19'!$A$1:$A$22</c:f>
              <c:strCache>
                <c:ptCount val="22"/>
                <c:pt idx="1">
                  <c:v>Stavy vzniklé v perinatálním období</c:v>
                </c:pt>
                <c:pt idx="2">
                  <c:v>Vnější příčiny nemocnosti a úmrtnosti</c:v>
                </c:pt>
                <c:pt idx="3">
                  <c:v>Těhotenství, porod a šestinedělí</c:v>
                </c:pt>
                <c:pt idx="4">
                  <c:v>Vrozené vady a deformace</c:v>
                </c:pt>
                <c:pt idx="5">
                  <c:v>Nemoci ucha</c:v>
                </c:pt>
                <c:pt idx="6">
                  <c:v>Nemoci krve a krvetvorných orgánů</c:v>
                </c:pt>
                <c:pt idx="7">
                  <c:v>Nemoci kůže</c:v>
                </c:pt>
                <c:pt idx="8">
                  <c:v>Nemoci oběhové soustavy</c:v>
                </c:pt>
                <c:pt idx="9">
                  <c:v>Infekční a parazitární nemoci</c:v>
                </c:pt>
                <c:pt idx="10">
                  <c:v>Nemoci oka</c:v>
                </c:pt>
                <c:pt idx="11">
                  <c:v>Nemoci trávicí soustavy</c:v>
                </c:pt>
                <c:pt idx="12">
                  <c:v>Nemoci endokrinní a metabolické</c:v>
                </c:pt>
                <c:pt idx="13">
                  <c:v>Nemoci nervové soustavy</c:v>
                </c:pt>
                <c:pt idx="14">
                  <c:v>Nemoci dýchací soustavy</c:v>
                </c:pt>
                <c:pt idx="15">
                  <c:v>Poruchy duševní a poruchy chování</c:v>
                </c:pt>
                <c:pt idx="16">
                  <c:v>Příznaky, znaky a abnormální klinické *</c:v>
                </c:pt>
                <c:pt idx="17">
                  <c:v>Novotvary</c:v>
                </c:pt>
                <c:pt idx="18">
                  <c:v>Nemoci močové a pohlavní soustavy</c:v>
                </c:pt>
                <c:pt idx="19">
                  <c:v>Poranění, otravy aj.</c:v>
                </c:pt>
                <c:pt idx="20">
                  <c:v>Faktory ovlivňující zdravotní stav</c:v>
                </c:pt>
                <c:pt idx="21">
                  <c:v>Nemoci svalové, kosterní a pojivové tkáně</c:v>
                </c:pt>
              </c:strCache>
            </c:strRef>
          </c:cat>
          <c:val>
            <c:numRef>
              <c:f>'změny_diagnozy_10-19'!$B$1:$B$22</c:f>
              <c:numCache>
                <c:formatCode>#,##0</c:formatCode>
                <c:ptCount val="22"/>
                <c:pt idx="0" formatCode="General">
                  <c:v>0</c:v>
                </c:pt>
                <c:pt idx="1">
                  <c:v>-626.65349441454691</c:v>
                </c:pt>
                <c:pt idx="2">
                  <c:v>18.626758397103174</c:v>
                </c:pt>
                <c:pt idx="3">
                  <c:v>330.59203711616101</c:v>
                </c:pt>
                <c:pt idx="4">
                  <c:v>395.58093477878924</c:v>
                </c:pt>
                <c:pt idx="5">
                  <c:v>784.88572521768992</c:v>
                </c:pt>
                <c:pt idx="6">
                  <c:v>931.73351686040905</c:v>
                </c:pt>
                <c:pt idx="7">
                  <c:v>1181.0437703833809</c:v>
                </c:pt>
                <c:pt idx="8">
                  <c:v>1670.6857545882776</c:v>
                </c:pt>
                <c:pt idx="9">
                  <c:v>1722.546160334161</c:v>
                </c:pt>
                <c:pt idx="10">
                  <c:v>2538.986948280567</c:v>
                </c:pt>
                <c:pt idx="11">
                  <c:v>3122.0646167268878</c:v>
                </c:pt>
                <c:pt idx="12">
                  <c:v>3593.7396545773681</c:v>
                </c:pt>
                <c:pt idx="13">
                  <c:v>3930.368190027797</c:v>
                </c:pt>
                <c:pt idx="14">
                  <c:v>4311.5196852751342</c:v>
                </c:pt>
                <c:pt idx="15">
                  <c:v>4500.5433946049216</c:v>
                </c:pt>
                <c:pt idx="16">
                  <c:v>4655.3201829420832</c:v>
                </c:pt>
                <c:pt idx="17">
                  <c:v>5498.4111664825396</c:v>
                </c:pt>
                <c:pt idx="18">
                  <c:v>5837.1412805443906</c:v>
                </c:pt>
                <c:pt idx="19">
                  <c:v>6826.585411444401</c:v>
                </c:pt>
                <c:pt idx="20">
                  <c:v>8675.6073849796958</c:v>
                </c:pt>
                <c:pt idx="21">
                  <c:v>8830.0547266395261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DB1-4053-B1DE-277AF5A8F560}"/>
            </c:ext>
          </c:extLst>
        </c:ser>
        <c:ser>
          <c:idx val="1"/>
          <c:order val="1"/>
          <c:tx>
            <c:strRef>
              <c:f>'změny_diagnozy_10-19'!$C$1</c:f>
              <c:strCache>
                <c:ptCount val="1"/>
                <c:pt idx="0">
                  <c:v>od roku 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DB1-4053-B1DE-277AF5A8F560}"/>
                </c:ext>
              </c:extLst>
            </c:dLbl>
            <c:dLbl>
              <c:idx val="1"/>
              <c:layout>
                <c:manualLayout>
                  <c:x val="-4.0011005818517287E-3"/>
                  <c:y val="-4.912797838368951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ADB1-4053-B1DE-277AF5A8F560}"/>
                </c:ext>
              </c:extLst>
            </c:dLbl>
            <c:dLbl>
              <c:idx val="2"/>
              <c:layout>
                <c:manualLayout>
                  <c:x val="-2.7012810449053581E-4"/>
                  <c:y val="-2.456398919184655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ADB1-4053-B1DE-277AF5A8F560}"/>
                </c:ext>
              </c:extLst>
            </c:dLbl>
            <c:dLbl>
              <c:idx val="3"/>
              <c:layout>
                <c:manualLayout>
                  <c:x val="-7.1005332966472719E-3"/>
                  <c:y val="-4.912797838368951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ADB1-4053-B1DE-277AF5A8F560}"/>
                </c:ext>
              </c:extLst>
            </c:dLbl>
            <c:dLbl>
              <c:idx val="5"/>
              <c:layout>
                <c:manualLayout>
                  <c:x val="-5.645175648008028E-3"/>
                  <c:y val="-4.912797838368951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ADB1-4053-B1DE-277AF5A8F560}"/>
                </c:ext>
              </c:extLst>
            </c:dLbl>
            <c:dLbl>
              <c:idx val="6"/>
              <c:layout>
                <c:manualLayout>
                  <c:x val="-4.1884816753926706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ADB1-4053-B1DE-277AF5A8F560}"/>
                </c:ext>
              </c:extLst>
            </c:dLbl>
            <c:dLbl>
              <c:idx val="8"/>
              <c:layout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ADB1-4053-B1DE-277AF5A8F560}"/>
                </c:ext>
              </c:extLst>
            </c:dLbl>
            <c:dLbl>
              <c:idx val="9"/>
              <c:layout>
                <c:manualLayout>
                  <c:x val="-5.5631251922289311E-3"/>
                  <c:y val="-5.6385678037778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ADB1-4053-B1DE-277AF5A8F560}"/>
                </c:ext>
              </c:extLst>
            </c:dLbl>
            <c:dLbl>
              <c:idx val="10"/>
              <c:layout>
                <c:manualLayout>
                  <c:x val="0"/>
                  <c:y val="-5.638567803777909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ADB1-4053-B1DE-277AF5A8F560}"/>
                </c:ext>
              </c:extLst>
            </c:dLbl>
            <c:dLbl>
              <c:idx val="11"/>
              <c:layout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ADB1-4053-B1DE-277AF5A8F560}"/>
                </c:ext>
              </c:extLst>
            </c:dLbl>
            <c:dLbl>
              <c:idx val="12"/>
              <c:layout>
                <c:manualLayout>
                  <c:x val="-3.6441027749491983E-3"/>
                  <c:y val="-3.759045202518560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ADB1-4053-B1DE-277AF5A8F560}"/>
                </c:ext>
              </c:extLst>
            </c:dLbl>
            <c:dLbl>
              <c:idx val="13"/>
              <c:layout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ADB1-4053-B1DE-277AF5A8F560}"/>
                </c:ext>
              </c:extLst>
            </c:dLbl>
            <c:dLbl>
              <c:idx val="14"/>
              <c:layout>
                <c:manualLayout>
                  <c:x val="0"/>
                  <c:y val="-5.6385678037778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E-ADB1-4053-B1DE-277AF5A8F560}"/>
                </c:ext>
              </c:extLst>
            </c:dLbl>
            <c:dLbl>
              <c:idx val="15"/>
              <c:layout>
                <c:manualLayout>
                  <c:x val="7.4208142268968997E-17"/>
                  <c:y val="-5.6385678037778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F-ADB1-4053-B1DE-277AF5A8F560}"/>
                </c:ext>
              </c:extLst>
            </c:dLbl>
            <c:dLbl>
              <c:idx val="16"/>
              <c:layout>
                <c:manualLayout>
                  <c:x val="0"/>
                  <c:y val="-5.6385678037778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0-ADB1-4053-B1DE-277AF5A8F560}"/>
                </c:ext>
              </c:extLst>
            </c:dLbl>
            <c:dLbl>
              <c:idx val="17"/>
              <c:layout>
                <c:manualLayout>
                  <c:x val="-0.1288249165189429"/>
                  <c:y val="-1.0276066322525418E-2"/>
                </c:manualLayout>
              </c:layout>
              <c:tx>
                <c:rich>
                  <a:bodyPr/>
                  <a:lstStyle/>
                  <a:p>
                    <a:fld id="{399B9CA6-F426-48C3-99E3-7F794CC5D31F}" type="VALUE">
                      <a:rPr lang="en-US"/>
                      <a:pPr/>
                      <a:t>[HODNOTA]</a:t>
                    </a:fld>
                    <a:r>
                      <a:rPr lang="en-US"/>
                      <a:t> </a:t>
                    </a:r>
                  </a:p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// 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6778059846344356E-2"/>
                      <c:h val="5.4478036594453043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1-ADB1-4053-B1DE-277AF5A8F560}"/>
                </c:ext>
              </c:extLst>
            </c:dLbl>
            <c:dLbl>
              <c:idx val="18"/>
              <c:layout>
                <c:manualLayout>
                  <c:x val="-7.4208142268968997E-17"/>
                  <c:y val="-3.759045202518594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2-ADB1-4053-B1DE-277AF5A8F560}"/>
                </c:ext>
              </c:extLst>
            </c:dLbl>
            <c:dLbl>
              <c:idx val="19"/>
              <c:layout>
                <c:manualLayout>
                  <c:x val="2.0238818053026444E-3"/>
                  <c:y val="-5.6385678037778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3-ADB1-4053-B1DE-277AF5A8F560}"/>
                </c:ext>
              </c:extLst>
            </c:dLbl>
            <c:dLbl>
              <c:idx val="20"/>
              <c:layout>
                <c:manualLayout>
                  <c:x val="0"/>
                  <c:y val="-5.6385678037778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4-ADB1-4053-B1DE-277AF5A8F560}"/>
                </c:ext>
              </c:extLst>
            </c:dLbl>
            <c:dLbl>
              <c:idx val="21"/>
              <c:layout>
                <c:manualLayout>
                  <c:x val="7.4208142268968997E-17"/>
                  <c:y val="-5.638567803777848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5-ADB1-4053-B1DE-277AF5A8F56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rgbClr val="C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'změny_diagnozy_10-19'!$A$1:$A$22</c:f>
              <c:strCache>
                <c:ptCount val="22"/>
                <c:pt idx="1">
                  <c:v>Stavy vzniklé v perinatálním období</c:v>
                </c:pt>
                <c:pt idx="2">
                  <c:v>Vnější příčiny nemocnosti a úmrtnosti</c:v>
                </c:pt>
                <c:pt idx="3">
                  <c:v>Těhotenství, porod a šestinedělí</c:v>
                </c:pt>
                <c:pt idx="4">
                  <c:v>Vrozené vady a deformace</c:v>
                </c:pt>
                <c:pt idx="5">
                  <c:v>Nemoci ucha</c:v>
                </c:pt>
                <c:pt idx="6">
                  <c:v>Nemoci krve a krvetvorných orgánů</c:v>
                </c:pt>
                <c:pt idx="7">
                  <c:v>Nemoci kůže</c:v>
                </c:pt>
                <c:pt idx="8">
                  <c:v>Nemoci oběhové soustavy</c:v>
                </c:pt>
                <c:pt idx="9">
                  <c:v>Infekční a parazitární nemoci</c:v>
                </c:pt>
                <c:pt idx="10">
                  <c:v>Nemoci oka</c:v>
                </c:pt>
                <c:pt idx="11">
                  <c:v>Nemoci trávicí soustavy</c:v>
                </c:pt>
                <c:pt idx="12">
                  <c:v>Nemoci endokrinní a metabolické</c:v>
                </c:pt>
                <c:pt idx="13">
                  <c:v>Nemoci nervové soustavy</c:v>
                </c:pt>
                <c:pt idx="14">
                  <c:v>Nemoci dýchací soustavy</c:v>
                </c:pt>
                <c:pt idx="15">
                  <c:v>Poruchy duševní a poruchy chování</c:v>
                </c:pt>
                <c:pt idx="16">
                  <c:v>Příznaky, znaky a abnormální klinické *</c:v>
                </c:pt>
                <c:pt idx="17">
                  <c:v>Novotvary</c:v>
                </c:pt>
                <c:pt idx="18">
                  <c:v>Nemoci močové a pohlavní soustavy</c:v>
                </c:pt>
                <c:pt idx="19">
                  <c:v>Poranění, otravy aj.</c:v>
                </c:pt>
                <c:pt idx="20">
                  <c:v>Faktory ovlivňující zdravotní stav</c:v>
                </c:pt>
                <c:pt idx="21">
                  <c:v>Nemoci svalové, kosterní a pojivové tkáně</c:v>
                </c:pt>
              </c:strCache>
            </c:strRef>
          </c:cat>
          <c:val>
            <c:numRef>
              <c:f>'změny_diagnozy_10-19'!$C$1:$C$22</c:f>
              <c:numCache>
                <c:formatCode>#,##0</c:formatCode>
                <c:ptCount val="22"/>
                <c:pt idx="0" formatCode="General">
                  <c:v>0</c:v>
                </c:pt>
                <c:pt idx="1">
                  <c:v>-85.528569414546837</c:v>
                </c:pt>
                <c:pt idx="2">
                  <c:v>5.7756860971031756</c:v>
                </c:pt>
                <c:pt idx="3">
                  <c:v>151.79012011616123</c:v>
                </c:pt>
                <c:pt idx="4">
                  <c:v>-20.825441221210667</c:v>
                </c:pt>
                <c:pt idx="5">
                  <c:v>120.67877421769003</c:v>
                </c:pt>
                <c:pt idx="6">
                  <c:v>-530.81847613959098</c:v>
                </c:pt>
                <c:pt idx="7">
                  <c:v>-5.2983906166191446</c:v>
                </c:pt>
                <c:pt idx="8">
                  <c:v>-77.913535411720659</c:v>
                </c:pt>
                <c:pt idx="9">
                  <c:v>162.18647333416084</c:v>
                </c:pt>
                <c:pt idx="10">
                  <c:v>450.47543928056712</c:v>
                </c:pt>
                <c:pt idx="11">
                  <c:v>-61.865473273113821</c:v>
                </c:pt>
                <c:pt idx="12">
                  <c:v>770.12926657736898</c:v>
                </c:pt>
                <c:pt idx="13">
                  <c:v>-434.84110997220341</c:v>
                </c:pt>
                <c:pt idx="14">
                  <c:v>1126.0408452751344</c:v>
                </c:pt>
                <c:pt idx="15">
                  <c:v>1206.542874604922</c:v>
                </c:pt>
                <c:pt idx="16">
                  <c:v>904.79617194208367</c:v>
                </c:pt>
                <c:pt idx="17">
                  <c:v>-2719.7068635174619</c:v>
                </c:pt>
                <c:pt idx="18">
                  <c:v>1039.9100505443912</c:v>
                </c:pt>
                <c:pt idx="19">
                  <c:v>940.28499144440138</c:v>
                </c:pt>
                <c:pt idx="20">
                  <c:v>1228.0673849796949</c:v>
                </c:pt>
                <c:pt idx="21">
                  <c:v>1245.0595666395275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ADB1-4053-B1DE-277AF5A8F56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80"/>
        <c:axId val="479504815"/>
        <c:axId val="479511471"/>
      </c:barChart>
      <c:catAx>
        <c:axId val="47950481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79511471"/>
        <c:crosses val="autoZero"/>
        <c:auto val="1"/>
        <c:lblAlgn val="ctr"/>
        <c:lblOffset val="1000"/>
        <c:noMultiLvlLbl val="0"/>
      </c:catAx>
      <c:valAx>
        <c:axId val="479511471"/>
        <c:scaling>
          <c:orientation val="minMax"/>
          <c:min val="-1500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crossAx val="47950481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percentStacked"/>
        <c:varyColors val="0"/>
        <c:ser>
          <c:idx val="1"/>
          <c:order val="0"/>
          <c:tx>
            <c:strRef>
              <c:f>'podle věk.skupin'!$A$38</c:f>
              <c:strCache>
                <c:ptCount val="1"/>
                <c:pt idx="0">
                  <c:v>Nemoci oběhové soustavy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699-4492-9DD7-B89837BA02B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'podle věk.skupin'!$B$1:$D$1</c:f>
              <c:strCache>
                <c:ptCount val="3"/>
                <c:pt idx="0">
                  <c:v>65+ let</c:v>
                </c:pt>
                <c:pt idx="1">
                  <c:v>15-64 let</c:v>
                </c:pt>
                <c:pt idx="2">
                  <c:v>0-14 let</c:v>
                </c:pt>
              </c:strCache>
            </c:strRef>
          </c:cat>
          <c:val>
            <c:numRef>
              <c:f>'podle věk.skupin'!$B$38:$D$38</c:f>
              <c:numCache>
                <c:formatCode>0%</c:formatCode>
                <c:ptCount val="3"/>
                <c:pt idx="0">
                  <c:v>0.20583699091124932</c:v>
                </c:pt>
                <c:pt idx="1">
                  <c:v>8.2686949337104548E-2</c:v>
                </c:pt>
                <c:pt idx="2">
                  <c:v>6.8770354124006051E-3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F05-4F19-94CA-573897A830A2}"/>
            </c:ext>
          </c:extLst>
        </c:ser>
        <c:ser>
          <c:idx val="0"/>
          <c:order val="1"/>
          <c:tx>
            <c:strRef>
              <c:f>'podle věk.skupin'!$A$37</c:f>
              <c:strCache>
                <c:ptCount val="1"/>
                <c:pt idx="0">
                  <c:v>Novotvary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4.1740582281122821E-3"/>
                  <c:y val="-1.633676844372553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15B6-4043-AC66-E525CF72F83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'podle věk.skupin'!$B$1:$D$1</c:f>
              <c:strCache>
                <c:ptCount val="3"/>
                <c:pt idx="0">
                  <c:v>65+ let</c:v>
                </c:pt>
                <c:pt idx="1">
                  <c:v>15-64 let</c:v>
                </c:pt>
                <c:pt idx="2">
                  <c:v>0-14 let</c:v>
                </c:pt>
              </c:strCache>
            </c:strRef>
          </c:cat>
          <c:val>
            <c:numRef>
              <c:f>'podle věk.skupin'!$B$37:$D$37</c:f>
              <c:numCache>
                <c:formatCode>0%</c:formatCode>
                <c:ptCount val="3"/>
                <c:pt idx="0">
                  <c:v>0.13591154657293361</c:v>
                </c:pt>
                <c:pt idx="1">
                  <c:v>0.10519423608876563</c:v>
                </c:pt>
                <c:pt idx="2">
                  <c:v>3.850847559395254E-2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F05-4F19-94CA-573897A830A2}"/>
            </c:ext>
          </c:extLst>
        </c:ser>
        <c:ser>
          <c:idx val="5"/>
          <c:order val="2"/>
          <c:tx>
            <c:strRef>
              <c:f>'podle věk.skupin'!$A$42</c:f>
              <c:strCache>
                <c:ptCount val="1"/>
                <c:pt idx="0">
                  <c:v>Nemoci pohlavní a močové soust.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-1.633676844372553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15B6-4043-AC66-E525CF72F83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'podle věk.skupin'!$B$1:$D$1</c:f>
              <c:strCache>
                <c:ptCount val="3"/>
                <c:pt idx="0">
                  <c:v>65+ let</c:v>
                </c:pt>
                <c:pt idx="1">
                  <c:v>15-64 let</c:v>
                </c:pt>
                <c:pt idx="2">
                  <c:v>0-14 let</c:v>
                </c:pt>
              </c:strCache>
            </c:strRef>
          </c:cat>
          <c:val>
            <c:numRef>
              <c:f>'podle věk.skupin'!$B$42:$D$42</c:f>
              <c:numCache>
                <c:formatCode>0%</c:formatCode>
                <c:ptCount val="3"/>
                <c:pt idx="0">
                  <c:v>9.041764548167662E-2</c:v>
                </c:pt>
                <c:pt idx="1">
                  <c:v>7.859233491678308E-2</c:v>
                </c:pt>
                <c:pt idx="2">
                  <c:v>1.6725391866052569E-2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F05-4F19-94CA-573897A830A2}"/>
            </c:ext>
          </c:extLst>
        </c:ser>
        <c:ser>
          <c:idx val="4"/>
          <c:order val="3"/>
          <c:tx>
            <c:strRef>
              <c:f>'podle věk.skupin'!$A$41</c:f>
              <c:strCache>
                <c:ptCount val="1"/>
                <c:pt idx="0">
                  <c:v>Nemoci svalové a kosterní soust.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E699-4492-9DD7-B89837BA02BE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E699-4492-9DD7-B89837BA02BE}"/>
                </c:ext>
              </c:extLst>
            </c:dLbl>
            <c:dLbl>
              <c:idx val="2"/>
              <c:layout>
                <c:manualLayout>
                  <c:x val="6.2610873421684232E-3"/>
                  <c:y val="-1.633676844372553E-1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E699-4492-9DD7-B89837BA02B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'podle věk.skupin'!$B$1:$D$1</c:f>
              <c:strCache>
                <c:ptCount val="3"/>
                <c:pt idx="0">
                  <c:v>65+ let</c:v>
                </c:pt>
                <c:pt idx="1">
                  <c:v>15-64 let</c:v>
                </c:pt>
                <c:pt idx="2">
                  <c:v>0-14 let</c:v>
                </c:pt>
              </c:strCache>
            </c:strRef>
          </c:cat>
          <c:val>
            <c:numRef>
              <c:f>'podle věk.skupin'!$B$41:$D$41</c:f>
              <c:numCache>
                <c:formatCode>0%</c:formatCode>
                <c:ptCount val="3"/>
                <c:pt idx="0">
                  <c:v>8.2074484268993095E-2</c:v>
                </c:pt>
                <c:pt idx="1">
                  <c:v>0.1057121970486765</c:v>
                </c:pt>
                <c:pt idx="2">
                  <c:v>2.9578419106348588E-2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F05-4F19-94CA-573897A830A2}"/>
            </c:ext>
          </c:extLst>
        </c:ser>
        <c:ser>
          <c:idx val="2"/>
          <c:order val="4"/>
          <c:tx>
            <c:strRef>
              <c:f>'podle věk.skupin'!$A$39</c:f>
              <c:strCache>
                <c:ptCount val="1"/>
                <c:pt idx="0">
                  <c:v>Nemoci dýchací soust.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'podle věk.skupin'!$B$1:$D$1</c:f>
              <c:strCache>
                <c:ptCount val="3"/>
                <c:pt idx="0">
                  <c:v>65+ let</c:v>
                </c:pt>
                <c:pt idx="1">
                  <c:v>15-64 let</c:v>
                </c:pt>
                <c:pt idx="2">
                  <c:v>0-14 let</c:v>
                </c:pt>
              </c:strCache>
            </c:strRef>
          </c:cat>
          <c:val>
            <c:numRef>
              <c:f>'podle věk.skupin'!$B$39:$D$39</c:f>
              <c:numCache>
                <c:formatCode>0%</c:formatCode>
                <c:ptCount val="3"/>
                <c:pt idx="0">
                  <c:v>5.7394119181597904E-2</c:v>
                </c:pt>
                <c:pt idx="1">
                  <c:v>5.0718457274583482E-2</c:v>
                </c:pt>
                <c:pt idx="2">
                  <c:v>0.11498530676586945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F05-4F19-94CA-573897A830A2}"/>
            </c:ext>
          </c:extLst>
        </c:ser>
        <c:ser>
          <c:idx val="3"/>
          <c:order val="5"/>
          <c:tx>
            <c:strRef>
              <c:f>'podle věk.skupin'!$A$40</c:f>
              <c:strCache>
                <c:ptCount val="1"/>
                <c:pt idx="0">
                  <c:v>Nemoci trávicí soustavy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'podle věk.skupin'!$B$1:$D$1</c:f>
              <c:strCache>
                <c:ptCount val="3"/>
                <c:pt idx="0">
                  <c:v>65+ let</c:v>
                </c:pt>
                <c:pt idx="1">
                  <c:v>15-64 let</c:v>
                </c:pt>
                <c:pt idx="2">
                  <c:v>0-14 let</c:v>
                </c:pt>
              </c:strCache>
            </c:strRef>
          </c:cat>
          <c:val>
            <c:numRef>
              <c:f>'podle věk.skupin'!$B$40:$D$40</c:f>
              <c:numCache>
                <c:formatCode>0%</c:formatCode>
                <c:ptCount val="3"/>
                <c:pt idx="0">
                  <c:v>5.6104810942886336E-2</c:v>
                </c:pt>
                <c:pt idx="1">
                  <c:v>9.1519337542344967E-2</c:v>
                </c:pt>
                <c:pt idx="2">
                  <c:v>7.5209635429084307E-2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F05-4F19-94CA-573897A830A2}"/>
            </c:ext>
          </c:extLst>
        </c:ser>
        <c:ser>
          <c:idx val="6"/>
          <c:order val="6"/>
          <c:tx>
            <c:strRef>
              <c:f>'podle věk.skupin'!$A$43</c:f>
              <c:strCache>
                <c:ptCount val="1"/>
                <c:pt idx="0">
                  <c:v>Stavy vzniklé v perinatálním období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F05-4F19-94CA-573897A830A2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F05-4F19-94CA-573897A830A2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E699-4492-9DD7-B89837BA02B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'podle věk.skupin'!$B$1:$D$1</c:f>
              <c:strCache>
                <c:ptCount val="3"/>
                <c:pt idx="0">
                  <c:v>65+ let</c:v>
                </c:pt>
                <c:pt idx="1">
                  <c:v>15-64 let</c:v>
                </c:pt>
                <c:pt idx="2">
                  <c:v>0-14 let</c:v>
                </c:pt>
              </c:strCache>
            </c:strRef>
          </c:cat>
          <c:val>
            <c:numRef>
              <c:f>'podle věk.skupin'!$B$43:$D$43</c:f>
              <c:numCache>
                <c:formatCode>0%</c:formatCode>
                <c:ptCount val="3"/>
                <c:pt idx="0">
                  <c:v>4.7780864402852934E-6</c:v>
                </c:pt>
                <c:pt idx="1">
                  <c:v>3.8647631271723227E-5</c:v>
                </c:pt>
                <c:pt idx="2">
                  <c:v>8.1830617392406838E-2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F05-4F19-94CA-573897A830A2}"/>
            </c:ext>
          </c:extLst>
        </c:ser>
        <c:ser>
          <c:idx val="7"/>
          <c:order val="7"/>
          <c:tx>
            <c:strRef>
              <c:f>'podle věk.skupin'!$A$44</c:f>
              <c:strCache>
                <c:ptCount val="1"/>
                <c:pt idx="0">
                  <c:v>Ostatní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'podle věk.skupin'!$B$1:$D$1</c:f>
              <c:strCache>
                <c:ptCount val="3"/>
                <c:pt idx="0">
                  <c:v>65+ let</c:v>
                </c:pt>
                <c:pt idx="1">
                  <c:v>15-64 let</c:v>
                </c:pt>
                <c:pt idx="2">
                  <c:v>0-14 let</c:v>
                </c:pt>
              </c:strCache>
            </c:strRef>
          </c:cat>
          <c:val>
            <c:numRef>
              <c:f>'podle věk.skupin'!$B$44:$D$44</c:f>
              <c:numCache>
                <c:formatCode>0%</c:formatCode>
                <c:ptCount val="3"/>
                <c:pt idx="0">
                  <c:v>0.37225562455422273</c:v>
                </c:pt>
                <c:pt idx="1">
                  <c:v>0.48553784016047019</c:v>
                </c:pt>
                <c:pt idx="2">
                  <c:v>0.63628511843388524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9F05-4F19-94CA-573897A830A2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364955679"/>
        <c:axId val="1364952767"/>
      </c:barChart>
      <c:catAx>
        <c:axId val="136495567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364952767"/>
        <c:crosses val="autoZero"/>
        <c:auto val="1"/>
        <c:lblAlgn val="ctr"/>
        <c:lblOffset val="100"/>
        <c:noMultiLvlLbl val="0"/>
      </c:catAx>
      <c:valAx>
        <c:axId val="1364952767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3649556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1"/>
          <c:order val="0"/>
          <c:tx>
            <c:strRef>
              <c:f>diagnozy_grafy!$D$54</c:f>
              <c:strCache>
                <c:ptCount val="1"/>
                <c:pt idx="0">
                  <c:v>ženy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accent2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diagnozy_grafy!$B$56:$B$75</c:f>
              <c:strCache>
                <c:ptCount val="20"/>
                <c:pt idx="0">
                  <c:v>Vnější příčiny nemocnosti a úmrtnosti</c:v>
                </c:pt>
                <c:pt idx="1">
                  <c:v>Vrozené vady a deformace</c:v>
                </c:pt>
                <c:pt idx="2">
                  <c:v>Nemoci ucha</c:v>
                </c:pt>
                <c:pt idx="3">
                  <c:v>Stavy vzniklé v perinatálním období</c:v>
                </c:pt>
                <c:pt idx="4">
                  <c:v>Nemoci krve a krvetvorných orgánů</c:v>
                </c:pt>
                <c:pt idx="5">
                  <c:v>Nemoci kůže</c:v>
                </c:pt>
                <c:pt idx="6">
                  <c:v>Nemoci oka</c:v>
                </c:pt>
                <c:pt idx="7">
                  <c:v>Infekční a parazitární nemoci</c:v>
                </c:pt>
                <c:pt idx="8">
                  <c:v>Nemoci endokrinní a metabolické</c:v>
                </c:pt>
                <c:pt idx="9">
                  <c:v>Nemoci nervové soustavy</c:v>
                </c:pt>
                <c:pt idx="10">
                  <c:v>Příznaky, znaky a abnormální klinické a laboratorní nálezy*</c:v>
                </c:pt>
                <c:pt idx="11">
                  <c:v>Poruchy duševní a poruchy chování</c:v>
                </c:pt>
                <c:pt idx="12">
                  <c:v>Nemoci dýchací soustavy</c:v>
                </c:pt>
                <c:pt idx="13">
                  <c:v>Poranění, otravy aj.</c:v>
                </c:pt>
                <c:pt idx="14">
                  <c:v>Nemoci svalové, kosterní a pojivové tkáně</c:v>
                </c:pt>
                <c:pt idx="15">
                  <c:v>Nemoci močové a pohlavní soustavy</c:v>
                </c:pt>
                <c:pt idx="16">
                  <c:v>Nemoci trávicí soustavy</c:v>
                </c:pt>
                <c:pt idx="17">
                  <c:v>Faktory ovlivňující zdravotní stav</c:v>
                </c:pt>
                <c:pt idx="18">
                  <c:v>Novotvary</c:v>
                </c:pt>
                <c:pt idx="19">
                  <c:v>Nemoci oběhové soustavy</c:v>
                </c:pt>
              </c:strCache>
            </c:strRef>
          </c:cat>
          <c:val>
            <c:numRef>
              <c:f>diagnozy_grafy!$D$56:$D$75</c:f>
              <c:numCache>
                <c:formatCode>#,##0</c:formatCode>
                <c:ptCount val="20"/>
                <c:pt idx="0">
                  <c:v>10.341066587197185</c:v>
                </c:pt>
                <c:pt idx="1">
                  <c:v>119.38049384247714</c:v>
                </c:pt>
                <c:pt idx="2">
                  <c:v>172.25392759930739</c:v>
                </c:pt>
                <c:pt idx="3">
                  <c:v>118.89889893493719</c:v>
                </c:pt>
                <c:pt idx="4">
                  <c:v>346.19704536403532</c:v>
                </c:pt>
                <c:pt idx="5">
                  <c:v>320.59524340136454</c:v>
                </c:pt>
                <c:pt idx="6">
                  <c:v>586.39126179491154</c:v>
                </c:pt>
                <c:pt idx="7">
                  <c:v>337.45860417135816</c:v>
                </c:pt>
                <c:pt idx="8">
                  <c:v>983.46364269576702</c:v>
                </c:pt>
                <c:pt idx="9">
                  <c:v>1028.5094198161623</c:v>
                </c:pt>
                <c:pt idx="10">
                  <c:v>1036.2605935269974</c:v>
                </c:pt>
                <c:pt idx="11">
                  <c:v>1128.4598869449312</c:v>
                </c:pt>
                <c:pt idx="12">
                  <c:v>1130.6518720198685</c:v>
                </c:pt>
                <c:pt idx="13">
                  <c:v>1206.3606895007345</c:v>
                </c:pt>
                <c:pt idx="14">
                  <c:v>2239.8610212352187</c:v>
                </c:pt>
                <c:pt idx="15">
                  <c:v>1734.5169754295991</c:v>
                </c:pt>
                <c:pt idx="16">
                  <c:v>1553.4484519834014</c:v>
                </c:pt>
                <c:pt idx="17">
                  <c:v>2259.0337335569452</c:v>
                </c:pt>
                <c:pt idx="18">
                  <c:v>2233.8209771918869</c:v>
                </c:pt>
                <c:pt idx="19">
                  <c:v>2393.4352115574243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692-4C0E-BE3E-E74FF1ABE6DD}"/>
            </c:ext>
          </c:extLst>
        </c:ser>
        <c:ser>
          <c:idx val="0"/>
          <c:order val="1"/>
          <c:tx>
            <c:strRef>
              <c:f>diagnozy_grafy!$E$54</c:f>
              <c:strCache>
                <c:ptCount val="1"/>
                <c:pt idx="0">
                  <c:v>muži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7.6086829415018839E-17"/>
                  <c:y val="-2.553626149131954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6692-4C0E-BE3E-E74FF1ABE6DD}"/>
                </c:ext>
              </c:extLst>
            </c:dLbl>
            <c:dLbl>
              <c:idx val="1"/>
              <c:layout>
                <c:manualLayout>
                  <c:x val="0"/>
                  <c:y val="-5.107252298263627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6692-4C0E-BE3E-E74FF1ABE6DD}"/>
                </c:ext>
              </c:extLst>
            </c:dLbl>
            <c:dLbl>
              <c:idx val="2"/>
              <c:layout>
                <c:manualLayout>
                  <c:x val="-7.6086829415018839E-17"/>
                  <c:y val="-5.107252298263627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6692-4C0E-BE3E-E74FF1ABE6DD}"/>
                </c:ext>
              </c:extLst>
            </c:dLbl>
            <c:dLbl>
              <c:idx val="3"/>
              <c:layout>
                <c:manualLayout>
                  <c:x val="0"/>
                  <c:y val="-2.553626149131860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6692-4C0E-BE3E-E74FF1ABE6DD}"/>
                </c:ext>
              </c:extLst>
            </c:dLbl>
            <c:numFmt formatCode="#,##0;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diagnozy_grafy!$B$56:$B$75</c:f>
              <c:strCache>
                <c:ptCount val="20"/>
                <c:pt idx="0">
                  <c:v>Vnější příčiny nemocnosti a úmrtnosti</c:v>
                </c:pt>
                <c:pt idx="1">
                  <c:v>Vrozené vady a deformace</c:v>
                </c:pt>
                <c:pt idx="2">
                  <c:v>Nemoci ucha</c:v>
                </c:pt>
                <c:pt idx="3">
                  <c:v>Stavy vzniklé v perinatálním období</c:v>
                </c:pt>
                <c:pt idx="4">
                  <c:v>Nemoci krve a krvetvorných orgánů</c:v>
                </c:pt>
                <c:pt idx="5">
                  <c:v>Nemoci kůže</c:v>
                </c:pt>
                <c:pt idx="6">
                  <c:v>Nemoci oka</c:v>
                </c:pt>
                <c:pt idx="7">
                  <c:v>Infekční a parazitární nemoci</c:v>
                </c:pt>
                <c:pt idx="8">
                  <c:v>Nemoci endokrinní a metabolické</c:v>
                </c:pt>
                <c:pt idx="9">
                  <c:v>Nemoci nervové soustavy</c:v>
                </c:pt>
                <c:pt idx="10">
                  <c:v>Příznaky, znaky a abnormální klinické a laboratorní nálezy*</c:v>
                </c:pt>
                <c:pt idx="11">
                  <c:v>Poruchy duševní a poruchy chování</c:v>
                </c:pt>
                <c:pt idx="12">
                  <c:v>Nemoci dýchací soustavy</c:v>
                </c:pt>
                <c:pt idx="13">
                  <c:v>Poranění, otravy aj.</c:v>
                </c:pt>
                <c:pt idx="14">
                  <c:v>Nemoci svalové, kosterní a pojivové tkáně</c:v>
                </c:pt>
                <c:pt idx="15">
                  <c:v>Nemoci močové a pohlavní soustavy</c:v>
                </c:pt>
                <c:pt idx="16">
                  <c:v>Nemoci trávicí soustavy</c:v>
                </c:pt>
                <c:pt idx="17">
                  <c:v>Faktory ovlivňující zdravotní stav</c:v>
                </c:pt>
                <c:pt idx="18">
                  <c:v>Novotvary</c:v>
                </c:pt>
                <c:pt idx="19">
                  <c:v>Nemoci oběhové soustavy</c:v>
                </c:pt>
              </c:strCache>
            </c:strRef>
          </c:cat>
          <c:val>
            <c:numRef>
              <c:f>diagnozy_grafy!$E$56:$E$75</c:f>
              <c:numCache>
                <c:formatCode>#,##0</c:formatCode>
                <c:ptCount val="20"/>
                <c:pt idx="0">
                  <c:v>11.605094727010099</c:v>
                </c:pt>
                <c:pt idx="1">
                  <c:v>132.57964139573301</c:v>
                </c:pt>
                <c:pt idx="2">
                  <c:v>154.659347362174</c:v>
                </c:pt>
                <c:pt idx="3">
                  <c:v>159.35390183641701</c:v>
                </c:pt>
                <c:pt idx="4">
                  <c:v>277.02536739686701</c:v>
                </c:pt>
                <c:pt idx="5">
                  <c:v>300.66988814698902</c:v>
                </c:pt>
                <c:pt idx="6">
                  <c:v>427.16852989338798</c:v>
                </c:pt>
                <c:pt idx="7">
                  <c:v>442.75496568628199</c:v>
                </c:pt>
                <c:pt idx="8">
                  <c:v>774.57839139762802</c:v>
                </c:pt>
                <c:pt idx="9">
                  <c:v>820.31825157316905</c:v>
                </c:pt>
                <c:pt idx="10">
                  <c:v>868.65503348363598</c:v>
                </c:pt>
                <c:pt idx="11">
                  <c:v>1202.1923456260499</c:v>
                </c:pt>
                <c:pt idx="12">
                  <c:v>1311.1951140138999</c:v>
                </c:pt>
                <c:pt idx="13">
                  <c:v>1328.4318968790899</c:v>
                </c:pt>
                <c:pt idx="14">
                  <c:v>1446.1297422319401</c:v>
                </c:pt>
                <c:pt idx="15">
                  <c:v>1523.4026154985299</c:v>
                </c:pt>
                <c:pt idx="16">
                  <c:v>1544.54232421337</c:v>
                </c:pt>
                <c:pt idx="17">
                  <c:v>1772.4355735939901</c:v>
                </c:pt>
                <c:pt idx="18">
                  <c:v>2456.59198704357</c:v>
                </c:pt>
                <c:pt idx="19">
                  <c:v>3006.2995541697401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692-4C0E-BE3E-E74FF1ABE6D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1411060767"/>
        <c:axId val="1411061183"/>
      </c:barChart>
      <c:catAx>
        <c:axId val="141106076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411061183"/>
        <c:crosses val="autoZero"/>
        <c:auto val="1"/>
        <c:lblAlgn val="ctr"/>
        <c:lblOffset val="100"/>
        <c:noMultiLvlLbl val="0"/>
      </c:catAx>
      <c:valAx>
        <c:axId val="1411061183"/>
        <c:scaling>
          <c:orientation val="minMax"/>
          <c:min val="0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_ ;0" sourceLinked="0"/>
        <c:majorTickMark val="out"/>
        <c:minorTickMark val="none"/>
        <c:tickLblPos val="nextTo"/>
        <c:crossAx val="141106076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642094951029656"/>
          <c:y val="7.5316672372475177E-2"/>
          <c:w val="0.8420378727973159"/>
          <c:h val="0.783953289645709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'výdaje_grafy_podle věku'!$C$2</c:f>
              <c:strCache>
                <c:ptCount val="1"/>
                <c:pt idx="0">
                  <c:v>muži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lIns="324000" tIns="180000" rIns="90000" bIns="216000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accent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1F-B387-4A9F-AC8D-9730C4C8499D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lIns="252000" tIns="180000" rIns="90000" bIns="216000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accent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1D-B387-4A9F-AC8D-9730C4C8499D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lIns="288000" tIns="180000" rIns="90000" bIns="216000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accent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1C-B387-4A9F-AC8D-9730C4C8499D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lIns="72000" tIns="180000" rIns="90000" bIns="216000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accent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1A-B387-4A9F-AC8D-9730C4C8499D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lIns="72000" tIns="180000" rIns="90000" bIns="216000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accent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18-B387-4A9F-AC8D-9730C4C8499D}"/>
                </c:ext>
              </c:extLst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lIns="108000" tIns="180000" rIns="90000" bIns="216000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accent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16-B387-4A9F-AC8D-9730C4C8499D}"/>
                </c:ext>
              </c:extLst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lIns="72000" tIns="180000" rIns="90000" bIns="216000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accent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14-B387-4A9F-AC8D-9730C4C8499D}"/>
                </c:ext>
              </c:extLst>
            </c:dLbl>
            <c:dLbl>
              <c:idx val="7"/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lIns="180000" tIns="180000" rIns="90000" bIns="216000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accent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12-B387-4A9F-AC8D-9730C4C8499D}"/>
                </c:ext>
              </c:extLst>
            </c:dLbl>
            <c:dLbl>
              <c:idx val="8"/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lIns="72000" tIns="180000" rIns="90000" bIns="216000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accent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10-B387-4A9F-AC8D-9730C4C8499D}"/>
                </c:ext>
              </c:extLst>
            </c:dLbl>
            <c:dLbl>
              <c:idx val="9"/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lIns="72000" tIns="180000" rIns="90000" bIns="216000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accent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E-B387-4A9F-AC8D-9730C4C8499D}"/>
                </c:ext>
              </c:extLst>
            </c:dLbl>
            <c:dLbl>
              <c:idx val="10"/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lIns="72000" tIns="180000" rIns="90000" bIns="216000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accent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C-B387-4A9F-AC8D-9730C4C8499D}"/>
                </c:ext>
              </c:extLst>
            </c:dLbl>
            <c:dLbl>
              <c:idx val="11"/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lIns="252000" tIns="180000" rIns="90000" bIns="216000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accent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B-B387-4A9F-AC8D-9730C4C8499D}"/>
                </c:ext>
              </c:extLst>
            </c:dLbl>
            <c:dLbl>
              <c:idx val="12"/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lIns="144000" tIns="180000" rIns="90000" bIns="216000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accent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A-B387-4A9F-AC8D-9730C4C8499D}"/>
                </c:ext>
              </c:extLst>
            </c:dLbl>
            <c:dLbl>
              <c:idx val="13"/>
              <c:layout>
                <c:manualLayout>
                  <c:x val="-7.6157945986286389E-17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B387-4A9F-AC8D-9730C4C8499D}"/>
                </c:ext>
              </c:extLst>
            </c:dLbl>
            <c:dLbl>
              <c:idx val="14"/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lIns="504000" tIns="180000" rIns="90000" bIns="216000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accent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8-B387-4A9F-AC8D-9730C4C8499D}"/>
                </c:ext>
              </c:extLst>
            </c:dLbl>
            <c:dLbl>
              <c:idx val="15"/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lIns="0" tIns="180000" rIns="90000" bIns="216000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accent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6-B387-4A9F-AC8D-9730C4C8499D}"/>
                </c:ext>
              </c:extLst>
            </c:dLbl>
            <c:dLbl>
              <c:idx val="16"/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lIns="180000" tIns="180000" rIns="90000" bIns="216000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accent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5-B387-4A9F-AC8D-9730C4C8499D}"/>
                </c:ext>
              </c:extLst>
            </c:dLbl>
            <c:dLbl>
              <c:idx val="17"/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lIns="144000" tIns="180000" rIns="90000" bIns="216000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accent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2-B387-4A9F-AC8D-9730C4C8499D}"/>
                </c:ext>
              </c:extLst>
            </c:dLbl>
            <c:dLbl>
              <c:idx val="18"/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lIns="648000" tIns="180000" rIns="90000" bIns="216000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accent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1-B387-4A9F-AC8D-9730C4C8499D}"/>
                </c:ext>
              </c:extLst>
            </c:dLbl>
            <c:dLbl>
              <c:idx val="19"/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lIns="144000" tIns="180000" rIns="90000" bIns="216000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accent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3-B387-4A9F-AC8D-9730C4C8499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468000" tIns="180000" rIns="90000" bIns="216000" anchor="ctr" anchorCtr="1"/>
              <a:lstStyle/>
              <a:p>
                <a:pPr>
                  <a:defRPr sz="800" b="0" i="0" u="none" strike="noStrike" kern="1200" baseline="0">
                    <a:solidFill>
                      <a:schemeClr val="accen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'výdaje_grafy_podle věku'!$A$3:$A$22</c:f>
              <c:strCache>
                <c:ptCount val="20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70-74</c:v>
                </c:pt>
                <c:pt idx="15">
                  <c:v>75-79</c:v>
                </c:pt>
                <c:pt idx="16">
                  <c:v>80-84</c:v>
                </c:pt>
                <c:pt idx="17">
                  <c:v>85-89</c:v>
                </c:pt>
                <c:pt idx="18">
                  <c:v>90-94</c:v>
                </c:pt>
                <c:pt idx="19">
                  <c:v>95+</c:v>
                </c:pt>
              </c:strCache>
            </c:strRef>
          </c:cat>
          <c:val>
            <c:numRef>
              <c:f>'výdaje_grafy_podle věku'!$C$3:$C$22</c:f>
              <c:numCache>
                <c:formatCode>#,##0</c:formatCode>
                <c:ptCount val="20"/>
                <c:pt idx="0">
                  <c:v>6492.0211345875787</c:v>
                </c:pt>
                <c:pt idx="1">
                  <c:v>3540.4967703243892</c:v>
                </c:pt>
                <c:pt idx="2">
                  <c:v>3581.9090404794351</c:v>
                </c:pt>
                <c:pt idx="3">
                  <c:v>3007.5490665410462</c:v>
                </c:pt>
                <c:pt idx="4">
                  <c:v>2679.9952112095516</c:v>
                </c:pt>
                <c:pt idx="5">
                  <c:v>4021.8212991654113</c:v>
                </c:pt>
                <c:pt idx="6">
                  <c:v>4835.1644116772077</c:v>
                </c:pt>
                <c:pt idx="7">
                  <c:v>5655.3546183141643</c:v>
                </c:pt>
                <c:pt idx="8">
                  <c:v>7860.7483592124499</c:v>
                </c:pt>
                <c:pt idx="9">
                  <c:v>8274.446934919737</c:v>
                </c:pt>
                <c:pt idx="10">
                  <c:v>9011.7125848330907</c:v>
                </c:pt>
                <c:pt idx="11">
                  <c:v>10775.852333440525</c:v>
                </c:pt>
                <c:pt idx="12">
                  <c:v>14449.466532405477</c:v>
                </c:pt>
                <c:pt idx="13">
                  <c:v>18027.15095034966</c:v>
                </c:pt>
                <c:pt idx="14">
                  <c:v>18314.910597241553</c:v>
                </c:pt>
                <c:pt idx="15">
                  <c:v>13016.540298300824</c:v>
                </c:pt>
                <c:pt idx="16">
                  <c:v>6896.025361443466</c:v>
                </c:pt>
                <c:pt idx="17">
                  <c:v>3895.6240453738965</c:v>
                </c:pt>
                <c:pt idx="18">
                  <c:v>1175.342384022144</c:v>
                </c:pt>
                <c:pt idx="19">
                  <c:v>183.60238241089502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9E5-406B-A288-698FFF506768}"/>
            </c:ext>
          </c:extLst>
        </c:ser>
        <c:ser>
          <c:idx val="1"/>
          <c:order val="1"/>
          <c:tx>
            <c:strRef>
              <c:f>'výdaje_grafy_podle věku'!$D$2</c:f>
              <c:strCache>
                <c:ptCount val="1"/>
                <c:pt idx="0">
                  <c:v>ženy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lIns="108000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accent2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1E-B387-4A9F-AC8D-9730C4C8499D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lIns="324000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accent2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1B-B387-4A9F-AC8D-9730C4C8499D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lIns="288000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accent2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19-B387-4A9F-AC8D-9730C4C8499D}"/>
                </c:ext>
              </c:extLst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lIns="180000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accent2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17-B387-4A9F-AC8D-9730C4C8499D}"/>
                </c:ext>
              </c:extLst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lIns="180000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accent2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15-B387-4A9F-AC8D-9730C4C8499D}"/>
                </c:ext>
              </c:extLst>
            </c:dLbl>
            <c:dLbl>
              <c:idx val="7"/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lIns="288000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accent2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13-B387-4A9F-AC8D-9730C4C8499D}"/>
                </c:ext>
              </c:extLst>
            </c:dLbl>
            <c:dLbl>
              <c:idx val="8"/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lIns="252000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accent2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11-B387-4A9F-AC8D-9730C4C8499D}"/>
                </c:ext>
              </c:extLst>
            </c:dLbl>
            <c:dLbl>
              <c:idx val="9"/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lIns="252000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accent2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F-B387-4A9F-AC8D-9730C4C8499D}"/>
                </c:ext>
              </c:extLst>
            </c:dLbl>
            <c:dLbl>
              <c:idx val="10"/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lIns="360000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accent2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D-B387-4A9F-AC8D-9730C4C8499D}"/>
                </c:ext>
              </c:extLst>
            </c:dLbl>
            <c:dLbl>
              <c:idx val="13"/>
              <c:layout>
                <c:manualLayout>
                  <c:x val="4.154117769238682E-3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tIns="36000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accent2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</c:ext>
                <c:ext xmlns:c16="http://schemas.microsoft.com/office/drawing/2014/chart" uri="{C3380CC4-5D6E-409C-BE32-E72D297353CC}">
                  <c16:uniqueId val="{00000009-B387-4A9F-AC8D-9730C4C8499D}"/>
                </c:ext>
              </c:extLst>
            </c:dLbl>
            <c:dLbl>
              <c:idx val="14"/>
              <c:layout>
                <c:manualLayout>
                  <c:x val="6.2311766538581366E-3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tIns="36000" bIns="0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accent2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</c:ext>
                <c:ext xmlns:c16="http://schemas.microsoft.com/office/drawing/2014/chart" uri="{C3380CC4-5D6E-409C-BE32-E72D297353CC}">
                  <c16:uniqueId val="{00000007-B387-4A9F-AC8D-9730C4C8499D}"/>
                </c:ext>
              </c:extLst>
            </c:dLbl>
            <c:dLbl>
              <c:idx val="19"/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lIns="288000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accent2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4-B387-4A9F-AC8D-9730C4C8499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accent2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'výdaje_grafy_podle věku'!$A$3:$A$22</c:f>
              <c:strCache>
                <c:ptCount val="20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70-74</c:v>
                </c:pt>
                <c:pt idx="15">
                  <c:v>75-79</c:v>
                </c:pt>
                <c:pt idx="16">
                  <c:v>80-84</c:v>
                </c:pt>
                <c:pt idx="17">
                  <c:v>85-89</c:v>
                </c:pt>
                <c:pt idx="18">
                  <c:v>90-94</c:v>
                </c:pt>
                <c:pt idx="19">
                  <c:v>95+</c:v>
                </c:pt>
              </c:strCache>
            </c:strRef>
          </c:cat>
          <c:val>
            <c:numRef>
              <c:f>'výdaje_grafy_podle věku'!$D$3:$D$22</c:f>
              <c:numCache>
                <c:formatCode>#,##0</c:formatCode>
                <c:ptCount val="20"/>
                <c:pt idx="0">
                  <c:v>5476.8438583890311</c:v>
                </c:pt>
                <c:pt idx="1">
                  <c:v>2813.0902219469917</c:v>
                </c:pt>
                <c:pt idx="2">
                  <c:v>3325.2351008184596</c:v>
                </c:pt>
                <c:pt idx="3">
                  <c:v>3395.8447864401096</c:v>
                </c:pt>
                <c:pt idx="4">
                  <c:v>3440.5042939610457</c:v>
                </c:pt>
                <c:pt idx="5">
                  <c:v>5809.1139878555996</c:v>
                </c:pt>
                <c:pt idx="6">
                  <c:v>6947.6020482918866</c:v>
                </c:pt>
                <c:pt idx="7">
                  <c:v>7296.8025814557313</c:v>
                </c:pt>
                <c:pt idx="8">
                  <c:v>8876.7789139725355</c:v>
                </c:pt>
                <c:pt idx="9">
                  <c:v>9247.4891341176935</c:v>
                </c:pt>
                <c:pt idx="10">
                  <c:v>9226.1160819254183</c:v>
                </c:pt>
                <c:pt idx="11">
                  <c:v>9976.8945655141033</c:v>
                </c:pt>
                <c:pt idx="12">
                  <c:v>12405.750055607376</c:v>
                </c:pt>
                <c:pt idx="13">
                  <c:v>16023.162107400105</c:v>
                </c:pt>
                <c:pt idx="14">
                  <c:v>17884.506620011416</c:v>
                </c:pt>
                <c:pt idx="15">
                  <c:v>14979.856889937619</c:v>
                </c:pt>
                <c:pt idx="16">
                  <c:v>10218.786123462878</c:v>
                </c:pt>
                <c:pt idx="17">
                  <c:v>7603.7671550546602</c:v>
                </c:pt>
                <c:pt idx="18">
                  <c:v>3189.0947698702676</c:v>
                </c:pt>
                <c:pt idx="19">
                  <c:v>730.08500471467596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9E5-406B-A288-698FFF50676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427940415"/>
        <c:axId val="1427940831"/>
      </c:barChart>
      <c:catAx>
        <c:axId val="14279404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427940831"/>
        <c:crosses val="autoZero"/>
        <c:auto val="1"/>
        <c:lblAlgn val="ctr"/>
        <c:lblOffset val="100"/>
        <c:noMultiLvlLbl val="0"/>
      </c:catAx>
      <c:valAx>
        <c:axId val="142794083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cs-CZ"/>
                  <a:t>mil. Kč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42794041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3754811875688659"/>
          <c:y val="0.92863543118390579"/>
          <c:w val="0.12490376248622684"/>
          <c:h val="6.451759860041460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622086467087003"/>
          <c:y val="9.3700787401574809E-2"/>
          <c:w val="0.79150034616896803"/>
          <c:h val="0.701683211422080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'výdaje_grafy_podle věku'!$C$27</c:f>
              <c:strCache>
                <c:ptCount val="1"/>
                <c:pt idx="0">
                  <c:v>muži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lIns="180000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accent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14-1A41-4224-9FE9-85290C8DA894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lIns="108000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accent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15-1A41-4224-9FE9-85290C8DA894}"/>
                </c:ext>
              </c:extLst>
            </c:dLbl>
            <c:dLbl>
              <c:idx val="11"/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lIns="144000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accent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16-1A41-4224-9FE9-85290C8DA894}"/>
                </c:ext>
              </c:extLst>
            </c:dLbl>
            <c:dLbl>
              <c:idx val="12"/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lIns="144000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accent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17-1A41-4224-9FE9-85290C8DA894}"/>
                </c:ext>
              </c:extLst>
            </c:dLbl>
            <c:dLbl>
              <c:idx val="16"/>
              <c:layout>
                <c:manualLayout>
                  <c:x val="0"/>
                  <c:y val="-1.830831197363604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1A41-4224-9FE9-85290C8DA894}"/>
                </c:ext>
              </c:extLst>
            </c:dLbl>
            <c:dLbl>
              <c:idx val="17"/>
              <c:layout>
                <c:manualLayout>
                  <c:x val="-4.1523928163604276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1A41-4224-9FE9-85290C8DA894}"/>
                </c:ext>
              </c:extLst>
            </c:dLbl>
            <c:dLbl>
              <c:idx val="18"/>
              <c:layout>
                <c:manualLayout>
                  <c:x val="-4.1523928163604276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1A41-4224-9FE9-85290C8DA894}"/>
                </c:ext>
              </c:extLst>
            </c:dLbl>
            <c:dLbl>
              <c:idx val="19"/>
              <c:layout>
                <c:manualLayout>
                  <c:x val="-4.1523928163604276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14E6-4BC3-8FAC-45C808C68A6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accen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'výdaje_grafy_podle věku'!$A$28:$A$47</c:f>
              <c:strCache>
                <c:ptCount val="20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70-74</c:v>
                </c:pt>
                <c:pt idx="15">
                  <c:v>75-79</c:v>
                </c:pt>
                <c:pt idx="16">
                  <c:v>80-84</c:v>
                </c:pt>
                <c:pt idx="17">
                  <c:v>85-89</c:v>
                </c:pt>
                <c:pt idx="18">
                  <c:v>90-94</c:v>
                </c:pt>
                <c:pt idx="19">
                  <c:v>95+</c:v>
                </c:pt>
              </c:strCache>
            </c:strRef>
          </c:cat>
          <c:val>
            <c:numRef>
              <c:f>'výdaje_grafy_podle věku'!$C$28:$C$47</c:f>
              <c:numCache>
                <c:formatCode>#,##0</c:formatCode>
                <c:ptCount val="20"/>
                <c:pt idx="0">
                  <c:v>22332.751762241933</c:v>
                </c:pt>
                <c:pt idx="1">
                  <c:v>12225.197881692453</c:v>
                </c:pt>
                <c:pt idx="2">
                  <c:v>12473.402511561428</c:v>
                </c:pt>
                <c:pt idx="3">
                  <c:v>12403.986257367744</c:v>
                </c:pt>
                <c:pt idx="4">
                  <c:v>10593.644570900366</c:v>
                </c:pt>
                <c:pt idx="5">
                  <c:v>11874.939401011576</c:v>
                </c:pt>
                <c:pt idx="6">
                  <c:v>13426.157704118808</c:v>
                </c:pt>
                <c:pt idx="7">
                  <c:v>14636.481249024659</c:v>
                </c:pt>
                <c:pt idx="8">
                  <c:v>16842.854683241196</c:v>
                </c:pt>
                <c:pt idx="9">
                  <c:v>20033.117020196449</c:v>
                </c:pt>
                <c:pt idx="10">
                  <c:v>25875.389843996505</c:v>
                </c:pt>
                <c:pt idx="11">
                  <c:v>33655.975168198354</c:v>
                </c:pt>
                <c:pt idx="12">
                  <c:v>44750.696226496038</c:v>
                </c:pt>
                <c:pt idx="13">
                  <c:v>57046.336351848295</c:v>
                </c:pt>
                <c:pt idx="14">
                  <c:v>70079.862086601555</c:v>
                </c:pt>
                <c:pt idx="15">
                  <c:v>80239.427931301616</c:v>
                </c:pt>
                <c:pt idx="16">
                  <c:v>81897.539715312509</c:v>
                </c:pt>
                <c:pt idx="17">
                  <c:v>85377.614968248556</c:v>
                </c:pt>
                <c:pt idx="18">
                  <c:v>86438.653226194729</c:v>
                </c:pt>
                <c:pt idx="19">
                  <c:v>93341.323035538575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4E6-4BC3-8FAC-45C808C68A62}"/>
            </c:ext>
          </c:extLst>
        </c:ser>
        <c:ser>
          <c:idx val="1"/>
          <c:order val="1"/>
          <c:tx>
            <c:strRef>
              <c:f>'výdaje_grafy_podle věku'!$D$27</c:f>
              <c:strCache>
                <c:ptCount val="1"/>
                <c:pt idx="0">
                  <c:v>ženy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8.3047856327208552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3-1A41-4224-9FE9-85290C8DA894}"/>
                </c:ext>
              </c:extLst>
            </c:dLbl>
            <c:dLbl>
              <c:idx val="1"/>
              <c:layout>
                <c:manualLayout>
                  <c:x val="8.304785632720817E-3"/>
                  <c:y val="-6.7129701748622447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2-1A41-4224-9FE9-85290C8DA894}"/>
                </c:ext>
              </c:extLst>
            </c:dLbl>
            <c:dLbl>
              <c:idx val="2"/>
              <c:layout>
                <c:manualLayout>
                  <c:x val="8.3047856327208552E-3"/>
                  <c:y val="6.7129701748622447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1-1A41-4224-9FE9-85290C8DA894}"/>
                </c:ext>
              </c:extLst>
            </c:dLbl>
            <c:dLbl>
              <c:idx val="3"/>
              <c:layout>
                <c:manualLayout>
                  <c:x val="4.1523928163603894E-3"/>
                  <c:y val="7.3233247894544124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lIns="252000" anchor="ctr" anchorCtr="1"/>
                <a:lstStyle/>
                <a:p>
                  <a:pPr>
                    <a:defRPr sz="800" b="0" i="0" u="none" strike="noStrike" kern="1200" baseline="0">
                      <a:solidFill>
                        <a:srgbClr val="C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</c:ext>
                <c:ext xmlns:c16="http://schemas.microsoft.com/office/drawing/2014/chart" uri="{C3380CC4-5D6E-409C-BE32-E72D297353CC}">
                  <c16:uniqueId val="{00000010-1A41-4224-9FE9-85290C8DA894}"/>
                </c:ext>
              </c:extLst>
            </c:dLbl>
            <c:dLbl>
              <c:idx val="4"/>
              <c:layout>
                <c:manualLayout>
                  <c:x val="6.2285892245406418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F-1A41-4224-9FE9-85290C8DA894}"/>
                </c:ext>
              </c:extLst>
            </c:dLbl>
            <c:dLbl>
              <c:idx val="5"/>
              <c:layout>
                <c:manualLayout>
                  <c:x val="6.2285892245406418E-3"/>
                  <c:y val="-6.7129701748622447E-1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lIns="108000" anchor="ctr" anchorCtr="1"/>
                <a:lstStyle/>
                <a:p>
                  <a:pPr>
                    <a:defRPr sz="800" b="0" i="0" u="none" strike="noStrike" kern="1200" baseline="0">
                      <a:solidFill>
                        <a:srgbClr val="C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</c:ext>
                <c:ext xmlns:c16="http://schemas.microsoft.com/office/drawing/2014/chart" uri="{C3380CC4-5D6E-409C-BE32-E72D297353CC}">
                  <c16:uniqueId val="{0000000E-1A41-4224-9FE9-85290C8DA894}"/>
                </c:ext>
              </c:extLst>
            </c:dLbl>
            <c:dLbl>
              <c:idx val="6"/>
              <c:layout>
                <c:manualLayout>
                  <c:x val="4.1523928163604276E-3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lIns="108000" anchor="ctr" anchorCtr="1"/>
                <a:lstStyle/>
                <a:p>
                  <a:pPr>
                    <a:defRPr sz="800" b="0" i="0" u="none" strike="noStrike" kern="1200" baseline="0">
                      <a:solidFill>
                        <a:srgbClr val="C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</c:ext>
                <c:ext xmlns:c16="http://schemas.microsoft.com/office/drawing/2014/chart" uri="{C3380CC4-5D6E-409C-BE32-E72D297353CC}">
                  <c16:uniqueId val="{0000000D-1A41-4224-9FE9-85290C8DA894}"/>
                </c:ext>
              </c:extLst>
            </c:dLbl>
            <c:dLbl>
              <c:idx val="7"/>
              <c:layout>
                <c:manualLayout>
                  <c:x val="6.2285892245405655E-3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lIns="108000" anchor="ctr" anchorCtr="1"/>
                <a:lstStyle/>
                <a:p>
                  <a:pPr>
                    <a:defRPr sz="800" b="0" i="0" u="none" strike="noStrike" kern="1200" baseline="0">
                      <a:solidFill>
                        <a:srgbClr val="C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</c:ext>
                <c:ext xmlns:c16="http://schemas.microsoft.com/office/drawing/2014/chart" uri="{C3380CC4-5D6E-409C-BE32-E72D297353CC}">
                  <c16:uniqueId val="{0000000C-1A41-4224-9FE9-85290C8DA894}"/>
                </c:ext>
              </c:extLst>
            </c:dLbl>
            <c:dLbl>
              <c:idx val="8"/>
              <c:layout>
                <c:manualLayout>
                  <c:x val="6.2285892245406418E-3"/>
                  <c:y val="-6.7129701748622447E-1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lIns="108000" anchor="ctr" anchorCtr="1"/>
                <a:lstStyle/>
                <a:p>
                  <a:pPr>
                    <a:defRPr sz="800" b="0" i="0" u="none" strike="noStrike" kern="1200" baseline="0">
                      <a:solidFill>
                        <a:srgbClr val="C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</c:ext>
                <c:ext xmlns:c16="http://schemas.microsoft.com/office/drawing/2014/chart" uri="{C3380CC4-5D6E-409C-BE32-E72D297353CC}">
                  <c16:uniqueId val="{0000000B-1A41-4224-9FE9-85290C8DA894}"/>
                </c:ext>
              </c:extLst>
            </c:dLbl>
            <c:dLbl>
              <c:idx val="9"/>
              <c:layout>
                <c:manualLayout>
                  <c:x val="4.1523928163604276E-3"/>
                  <c:y val="-6.7129701748622447E-1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lIns="108000" anchor="ctr" anchorCtr="1"/>
                <a:lstStyle/>
                <a:p>
                  <a:pPr>
                    <a:defRPr sz="800" b="0" i="0" u="none" strike="noStrike" kern="1200" baseline="0">
                      <a:solidFill>
                        <a:srgbClr val="C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</c:ext>
                <c:ext xmlns:c16="http://schemas.microsoft.com/office/drawing/2014/chart" uri="{C3380CC4-5D6E-409C-BE32-E72D297353CC}">
                  <c16:uniqueId val="{0000000A-1A41-4224-9FE9-85290C8DA894}"/>
                </c:ext>
              </c:extLst>
            </c:dLbl>
            <c:dLbl>
              <c:idx val="10"/>
              <c:layout>
                <c:manualLayout>
                  <c:x val="4.1523928163603513E-3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lIns="108000" anchor="ctr" anchorCtr="1"/>
                <a:lstStyle/>
                <a:p>
                  <a:pPr>
                    <a:defRPr sz="800" b="0" i="0" u="none" strike="noStrike" kern="1200" baseline="0">
                      <a:solidFill>
                        <a:srgbClr val="C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</c:ext>
                <c:ext xmlns:c16="http://schemas.microsoft.com/office/drawing/2014/chart" uri="{C3380CC4-5D6E-409C-BE32-E72D297353CC}">
                  <c16:uniqueId val="{00000009-1A41-4224-9FE9-85290C8DA894}"/>
                </c:ext>
              </c:extLst>
            </c:dLbl>
            <c:dLbl>
              <c:idx val="11"/>
              <c:layout>
                <c:manualLayout>
                  <c:x val="6.2285892245406418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1A41-4224-9FE9-85290C8DA894}"/>
                </c:ext>
              </c:extLst>
            </c:dLbl>
            <c:dLbl>
              <c:idx val="12"/>
              <c:layout>
                <c:manualLayout>
                  <c:x val="6.2285892245407173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1A41-4224-9FE9-85290C8DA894}"/>
                </c:ext>
              </c:extLst>
            </c:dLbl>
            <c:dLbl>
              <c:idx val="13"/>
              <c:layout>
                <c:manualLayout>
                  <c:x val="6.2285892245407173E-3"/>
                  <c:y val="-3.661662394727206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1A41-4224-9FE9-85290C8DA894}"/>
                </c:ext>
              </c:extLst>
            </c:dLbl>
            <c:dLbl>
              <c:idx val="14"/>
              <c:layout>
                <c:manualLayout>
                  <c:x val="6.2285892245406418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1A41-4224-9FE9-85290C8DA894}"/>
                </c:ext>
              </c:extLst>
            </c:dLbl>
            <c:dLbl>
              <c:idx val="15"/>
              <c:layout>
                <c:manualLayout>
                  <c:x val="4.1523928163604276E-3"/>
                  <c:y val="-3.3564850874311223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1A41-4224-9FE9-85290C8DA894}"/>
                </c:ext>
              </c:extLst>
            </c:dLbl>
            <c:dLbl>
              <c:idx val="16"/>
              <c:layout>
                <c:manualLayout>
                  <c:x val="4.1523928163604276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1A41-4224-9FE9-85290C8DA89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rgbClr val="C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'výdaje_grafy_podle věku'!$A$28:$A$47</c:f>
              <c:strCache>
                <c:ptCount val="20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70-74</c:v>
                </c:pt>
                <c:pt idx="15">
                  <c:v>75-79</c:v>
                </c:pt>
                <c:pt idx="16">
                  <c:v>80-84</c:v>
                </c:pt>
                <c:pt idx="17">
                  <c:v>85-89</c:v>
                </c:pt>
                <c:pt idx="18">
                  <c:v>90-94</c:v>
                </c:pt>
                <c:pt idx="19">
                  <c:v>95+</c:v>
                </c:pt>
              </c:strCache>
            </c:strRef>
          </c:cat>
          <c:val>
            <c:numRef>
              <c:f>'výdaje_grafy_podle věku'!$D$28:$D$47</c:f>
              <c:numCache>
                <c:formatCode>#,##0</c:formatCode>
                <c:ptCount val="20"/>
                <c:pt idx="0">
                  <c:v>19834.630137965123</c:v>
                </c:pt>
                <c:pt idx="1">
                  <c:v>10193.660862188841</c:v>
                </c:pt>
                <c:pt idx="2">
                  <c:v>12170.844990334566</c:v>
                </c:pt>
                <c:pt idx="3">
                  <c:v>14891.068070508263</c:v>
                </c:pt>
                <c:pt idx="4">
                  <c:v>14605.881730052346</c:v>
                </c:pt>
                <c:pt idx="5">
                  <c:v>18509.838995140286</c:v>
                </c:pt>
                <c:pt idx="6">
                  <c:v>20725.695601877338</c:v>
                </c:pt>
                <c:pt idx="7">
                  <c:v>20283.935282912214</c:v>
                </c:pt>
                <c:pt idx="8">
                  <c:v>20133.544072789704</c:v>
                </c:pt>
                <c:pt idx="9">
                  <c:v>23697.535130865755</c:v>
                </c:pt>
                <c:pt idx="10">
                  <c:v>27496.302103623941</c:v>
                </c:pt>
                <c:pt idx="11">
                  <c:v>31468.295414142023</c:v>
                </c:pt>
                <c:pt idx="12">
                  <c:v>36297.879330207368</c:v>
                </c:pt>
                <c:pt idx="13">
                  <c:v>44100.860877086845</c:v>
                </c:pt>
                <c:pt idx="14">
                  <c:v>53743.40570607852</c:v>
                </c:pt>
                <c:pt idx="15">
                  <c:v>63971.123992657063</c:v>
                </c:pt>
                <c:pt idx="16">
                  <c:v>70195.782418489907</c:v>
                </c:pt>
                <c:pt idx="17">
                  <c:v>79187.348330388792</c:v>
                </c:pt>
                <c:pt idx="18">
                  <c:v>84517.019153004585</c:v>
                </c:pt>
                <c:pt idx="19">
                  <c:v>88608.821989588731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4E6-4BC3-8FAC-45C808C68A6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398451759"/>
        <c:axId val="1398444687"/>
      </c:barChart>
      <c:catAx>
        <c:axId val="139845175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398444687"/>
        <c:crosses val="autoZero"/>
        <c:auto val="1"/>
        <c:lblAlgn val="ctr"/>
        <c:lblOffset val="100"/>
        <c:noMultiLvlLbl val="0"/>
      </c:catAx>
      <c:valAx>
        <c:axId val="139844468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cs-CZ"/>
                  <a:t>Kč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39845175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7824579124579121E-2"/>
          <c:y val="5.0925925925925923E-2"/>
          <c:w val="0.91239562289562293"/>
          <c:h val="0.59561468253968253"/>
        </c:manualLayout>
      </c:layout>
      <c:lineChart>
        <c:grouping val="standard"/>
        <c:varyColors val="0"/>
        <c:ser>
          <c:idx val="0"/>
          <c:order val="0"/>
          <c:tx>
            <c:strRef>
              <c:f>'2_2_3'!$A$24</c:f>
              <c:strCache>
                <c:ptCount val="1"/>
                <c:pt idx="0">
                  <c:v> podíl na výdajích na zdravotní péči hrazené 
z veřejných zdrojů celkem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'2_2_3'!$B$23:$K$23</c:f>
              <c:numCache>
                <c:formatCode>General</c:formatCode>
                <c:ptCount val="10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</c:numCache>
            </c:numRef>
          </c:cat>
          <c:val>
            <c:numRef>
              <c:f>'2_2_3'!$B$24:$K$24</c:f>
              <c:numCache>
                <c:formatCode>0%</c:formatCode>
                <c:ptCount val="10"/>
                <c:pt idx="0">
                  <c:v>0.82181661362879277</c:v>
                </c:pt>
                <c:pt idx="1">
                  <c:v>0.82267735679936049</c:v>
                </c:pt>
                <c:pt idx="2">
                  <c:v>0.82452269020211133</c:v>
                </c:pt>
                <c:pt idx="3">
                  <c:v>0.81613186635542467</c:v>
                </c:pt>
                <c:pt idx="4">
                  <c:v>0.80460961691696442</c:v>
                </c:pt>
                <c:pt idx="5">
                  <c:v>0.79922498711231593</c:v>
                </c:pt>
                <c:pt idx="6">
                  <c:v>0.7917794580169647</c:v>
                </c:pt>
                <c:pt idx="7">
                  <c:v>0.78305299806399176</c:v>
                </c:pt>
                <c:pt idx="8">
                  <c:v>0.78461207637012664</c:v>
                </c:pt>
                <c:pt idx="9">
                  <c:v>0.78271249237899898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4B6-433F-A199-9C4D9B375C2F}"/>
            </c:ext>
          </c:extLst>
        </c:ser>
        <c:ser>
          <c:idx val="1"/>
          <c:order val="1"/>
          <c:tx>
            <c:strRef>
              <c:f>'2_2_3'!$A$25</c:f>
              <c:strCache>
                <c:ptCount val="1"/>
                <c:pt idx="0">
                  <c:v> podíl na výdajích na zdravotní péči celkem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'2_2_3'!$B$23:$K$23</c:f>
              <c:numCache>
                <c:formatCode>General</c:formatCode>
                <c:ptCount val="10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</c:numCache>
            </c:numRef>
          </c:cat>
          <c:val>
            <c:numRef>
              <c:f>'2_2_3'!$B$25:$K$25</c:f>
              <c:numCache>
                <c:formatCode>0%</c:formatCode>
                <c:ptCount val="10"/>
                <c:pt idx="0">
                  <c:v>0.69326579189074988</c:v>
                </c:pt>
                <c:pt idx="1">
                  <c:v>0.69220244459517821</c:v>
                </c:pt>
                <c:pt idx="2">
                  <c:v>0.69399358840628089</c:v>
                </c:pt>
                <c:pt idx="3">
                  <c:v>0.68766745182182198</c:v>
                </c:pt>
                <c:pt idx="4">
                  <c:v>0.66948013414473539</c:v>
                </c:pt>
                <c:pt idx="5">
                  <c:v>0.66359932357882301</c:v>
                </c:pt>
                <c:pt idx="6">
                  <c:v>0.65412574432400528</c:v>
                </c:pt>
                <c:pt idx="7">
                  <c:v>0.64957438172502135</c:v>
                </c:pt>
                <c:pt idx="8">
                  <c:v>0.65399695820169301</c:v>
                </c:pt>
                <c:pt idx="9">
                  <c:v>0.64841570265217796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4B6-433F-A199-9C4D9B375C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10283168"/>
        <c:axId val="1510279424"/>
      </c:lineChart>
      <c:catAx>
        <c:axId val="1510283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510279424"/>
        <c:crosses val="autoZero"/>
        <c:auto val="1"/>
        <c:lblAlgn val="ctr"/>
        <c:lblOffset val="100"/>
        <c:noMultiLvlLbl val="0"/>
      </c:catAx>
      <c:valAx>
        <c:axId val="1510279424"/>
        <c:scaling>
          <c:orientation val="minMax"/>
          <c:min val="0.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0"/>
                  <a:lumOff val="50000"/>
                </a:schemeClr>
              </a:solidFill>
              <a:prstDash val="sys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510283168"/>
        <c:crosses val="autoZero"/>
        <c:crossBetween val="between"/>
        <c:majorUnit val="5.000000000000001E-2"/>
        <c:minorUnit val="1.0000000000000002E-2"/>
      </c:valAx>
      <c:spPr>
        <a:noFill/>
        <a:ln>
          <a:solidFill>
            <a:schemeClr val="tx1">
              <a:lumMod val="50000"/>
              <a:lumOff val="50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0.10683169934640523"/>
          <c:y val="0.75218293650793655"/>
          <c:w val="0.80736993464052287"/>
          <c:h val="0.23052857142857142"/>
        </c:manualLayout>
      </c:layout>
      <c:overlay val="0"/>
      <c:spPr>
        <a:noFill/>
        <a:ln w="6350">
          <a:solidFill>
            <a:schemeClr val="bg1">
              <a:lumMod val="50000"/>
            </a:scheme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'výdaje podle věku na 1 pojišt.'!$V$36</c:f>
              <c:strCache>
                <c:ptCount val="1"/>
                <c:pt idx="0">
                  <c:v>Muži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288000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2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'výdaje podle věku na 1 pojišt.'!$U$37:$U$46</c:f>
              <c:numCache>
                <c:formatCode>General</c:formatCode>
                <c:ptCount val="10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</c:numCache>
            </c:numRef>
          </c:cat>
          <c:val>
            <c:numRef>
              <c:f>'výdaje podle věku na 1 pojišt.'!$V$37:$V$46</c:f>
              <c:numCache>
                <c:formatCode>#,##0</c:formatCode>
                <c:ptCount val="10"/>
                <c:pt idx="0">
                  <c:v>21267</c:v>
                </c:pt>
                <c:pt idx="1">
                  <c:v>20539</c:v>
                </c:pt>
                <c:pt idx="2">
                  <c:v>20539</c:v>
                </c:pt>
                <c:pt idx="3">
                  <c:v>20555</c:v>
                </c:pt>
                <c:pt idx="4">
                  <c:v>21500</c:v>
                </c:pt>
                <c:pt idx="5">
                  <c:v>21677</c:v>
                </c:pt>
                <c:pt idx="6">
                  <c:v>22103</c:v>
                </c:pt>
                <c:pt idx="7">
                  <c:v>23815</c:v>
                </c:pt>
                <c:pt idx="8">
                  <c:v>26553</c:v>
                </c:pt>
                <c:pt idx="9">
                  <c:v>27995.964322115444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6C4-4D32-B65C-86473A1A4234}"/>
            </c:ext>
          </c:extLst>
        </c:ser>
        <c:ser>
          <c:idx val="1"/>
          <c:order val="1"/>
          <c:tx>
            <c:strRef>
              <c:f>'výdaje podle věku na 1 pojišt.'!$W$36</c:f>
              <c:strCache>
                <c:ptCount val="1"/>
                <c:pt idx="0">
                  <c:v>Ženy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60000" anchor="ctr" anchorCtr="1"/>
              <a:lstStyle/>
              <a:p>
                <a:pPr>
                  <a:defRPr sz="800" b="1" i="0" u="none" strike="noStrike" kern="1200" baseline="0">
                    <a:solidFill>
                      <a:srgbClr val="C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'výdaje podle věku na 1 pojišt.'!$U$37:$U$46</c:f>
              <c:numCache>
                <c:formatCode>General</c:formatCode>
                <c:ptCount val="10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</c:numCache>
            </c:numRef>
          </c:cat>
          <c:val>
            <c:numRef>
              <c:f>'výdaje podle věku na 1 pojišt.'!$W$37:$W$46</c:f>
              <c:numCache>
                <c:formatCode>#,##0</c:formatCode>
                <c:ptCount val="10"/>
                <c:pt idx="0">
                  <c:v>23445</c:v>
                </c:pt>
                <c:pt idx="1">
                  <c:v>22427</c:v>
                </c:pt>
                <c:pt idx="2">
                  <c:v>22414</c:v>
                </c:pt>
                <c:pt idx="3">
                  <c:v>22608</c:v>
                </c:pt>
                <c:pt idx="4">
                  <c:v>23809</c:v>
                </c:pt>
                <c:pt idx="5">
                  <c:v>23326</c:v>
                </c:pt>
                <c:pt idx="6">
                  <c:v>23385</c:v>
                </c:pt>
                <c:pt idx="7">
                  <c:v>24838</c:v>
                </c:pt>
                <c:pt idx="8">
                  <c:v>28155</c:v>
                </c:pt>
                <c:pt idx="9">
                  <c:v>29744.732795982818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6C4-4D32-B65C-86473A1A4234}"/>
            </c:ext>
          </c:extLst>
        </c:ser>
        <c:ser>
          <c:idx val="2"/>
          <c:order val="2"/>
          <c:tx>
            <c:strRef>
              <c:f>'výdaje podle věku na 1 pojišt.'!$X$36</c:f>
              <c:strCache>
                <c:ptCount val="1"/>
                <c:pt idx="0">
                  <c:v>Celkem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108000" anchor="ctr" anchorCtr="1"/>
              <a:lstStyle/>
              <a:p>
                <a:pPr>
                  <a:defRPr sz="800" b="1" i="0" u="none" strike="noStrike" kern="1200" baseline="0">
                    <a:solidFill>
                      <a:schemeClr val="accent3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'výdaje podle věku na 1 pojišt.'!$U$37:$U$46</c:f>
              <c:numCache>
                <c:formatCode>General</c:formatCode>
                <c:ptCount val="10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</c:numCache>
            </c:numRef>
          </c:cat>
          <c:val>
            <c:numRef>
              <c:f>'výdaje podle věku na 1 pojišt.'!$X$37:$X$46</c:f>
              <c:numCache>
                <c:formatCode>#,##0</c:formatCode>
                <c:ptCount val="10"/>
                <c:pt idx="0">
                  <c:v>22356</c:v>
                </c:pt>
                <c:pt idx="1">
                  <c:v>22664</c:v>
                </c:pt>
                <c:pt idx="2">
                  <c:v>22623</c:v>
                </c:pt>
                <c:pt idx="3">
                  <c:v>22930</c:v>
                </c:pt>
                <c:pt idx="4">
                  <c:v>22536</c:v>
                </c:pt>
                <c:pt idx="5">
                  <c:v>22514</c:v>
                </c:pt>
                <c:pt idx="6">
                  <c:v>22744</c:v>
                </c:pt>
                <c:pt idx="7">
                  <c:v>24327</c:v>
                </c:pt>
                <c:pt idx="8">
                  <c:v>27365</c:v>
                </c:pt>
                <c:pt idx="9">
                  <c:v>28881.696240534369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6C4-4D32-B65C-86473A1A423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301312511"/>
        <c:axId val="1301306271"/>
      </c:barChart>
      <c:catAx>
        <c:axId val="1301312511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301306271"/>
        <c:crosses val="autoZero"/>
        <c:auto val="1"/>
        <c:lblAlgn val="ctr"/>
        <c:lblOffset val="100"/>
        <c:noMultiLvlLbl val="0"/>
      </c:catAx>
      <c:valAx>
        <c:axId val="130130627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3013125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509444444444445"/>
          <c:y val="5.174074074074074E-2"/>
          <c:w val="0.72766209150326799"/>
          <c:h val="0.6142785185185185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'2_2_3'!$A$48</c:f>
              <c:strCache>
                <c:ptCount val="1"/>
                <c:pt idx="0">
                  <c:v>rozdíl v mld. Kč 
(výdaje zdravotních pojišťoven - výdaje domácností)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'2_2_3'!$B$47:$K$47</c:f>
              <c:numCache>
                <c:formatCode>General</c:formatCode>
                <c:ptCount val="10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</c:numCache>
            </c:numRef>
          </c:cat>
          <c:val>
            <c:numRef>
              <c:f>'2_2_3'!$B$48:$K$48</c:f>
              <c:numCache>
                <c:formatCode>#\ ##0.0</c:formatCode>
                <c:ptCount val="10"/>
                <c:pt idx="0">
                  <c:v>188.78399999896493</c:v>
                </c:pt>
                <c:pt idx="1">
                  <c:v>189.85099999877301</c:v>
                </c:pt>
                <c:pt idx="2">
                  <c:v>192.76327992291826</c:v>
                </c:pt>
                <c:pt idx="3">
                  <c:v>192.99699999843901</c:v>
                </c:pt>
                <c:pt idx="4">
                  <c:v>186.41799999820921</c:v>
                </c:pt>
                <c:pt idx="5">
                  <c:v>183.82599999809102</c:v>
                </c:pt>
                <c:pt idx="6">
                  <c:v>184.74599999793489</c:v>
                </c:pt>
                <c:pt idx="7">
                  <c:v>197.29899999767969</c:v>
                </c:pt>
                <c:pt idx="8">
                  <c:v>226.56931158485119</c:v>
                </c:pt>
                <c:pt idx="9">
                  <c:v>246.03175997900163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BE8-4D36-98A8-D00154F3F3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675903"/>
        <c:axId val="152633679"/>
      </c:barChart>
      <c:lineChart>
        <c:grouping val="stacked"/>
        <c:varyColors val="0"/>
        <c:ser>
          <c:idx val="1"/>
          <c:order val="1"/>
          <c:tx>
            <c:strRef>
              <c:f>'2_2_3'!$A$49</c:f>
              <c:strCache>
                <c:ptCount val="1"/>
                <c:pt idx="0">
                  <c:v> index 
(výdaje zdravotních pojišťoven/výdaje domácností)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'2_2_3'!$B$47:$K$47</c:f>
              <c:numCache>
                <c:formatCode>General</c:formatCode>
                <c:ptCount val="10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</c:numCache>
            </c:numRef>
          </c:cat>
          <c:val>
            <c:numRef>
              <c:f>'2_2_3'!$B$49:$K$49</c:f>
              <c:numCache>
                <c:formatCode>#\ ##0.0</c:formatCode>
                <c:ptCount val="10"/>
                <c:pt idx="0">
                  <c:v>5.3796311331500215</c:v>
                </c:pt>
                <c:pt idx="1">
                  <c:v>5.267657240334862</c:v>
                </c:pt>
                <c:pt idx="2">
                  <c:v>5.268073685151168</c:v>
                </c:pt>
                <c:pt idx="3">
                  <c:v>5.2550653701037735</c:v>
                </c:pt>
                <c:pt idx="4">
                  <c:v>4.8688776355487482</c:v>
                </c:pt>
                <c:pt idx="5">
                  <c:v>4.6304854443883645</c:v>
                </c:pt>
                <c:pt idx="6">
                  <c:v>4.4888016012148304</c:v>
                </c:pt>
                <c:pt idx="7">
                  <c:v>4.5957535992224603</c:v>
                </c:pt>
                <c:pt idx="8">
                  <c:v>4.9510552380998059</c:v>
                </c:pt>
                <c:pt idx="9">
                  <c:v>4.8604117237651669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BE8-4D36-98A8-D00154F3F3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2349807"/>
        <c:axId val="182371855"/>
      </c:lineChart>
      <c:catAx>
        <c:axId val="267590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52633679"/>
        <c:crosses val="autoZero"/>
        <c:auto val="1"/>
        <c:lblAlgn val="ctr"/>
        <c:lblOffset val="100"/>
        <c:tickLblSkip val="3"/>
        <c:noMultiLvlLbl val="0"/>
      </c:catAx>
      <c:valAx>
        <c:axId val="152633679"/>
        <c:scaling>
          <c:orientation val="minMax"/>
          <c:max val="2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2675903"/>
        <c:crosses val="autoZero"/>
        <c:crossBetween val="between"/>
      </c:valAx>
      <c:valAx>
        <c:axId val="182371855"/>
        <c:scaling>
          <c:orientation val="minMax"/>
          <c:max val="5.5"/>
          <c:min val="3"/>
        </c:scaling>
        <c:delete val="0"/>
        <c:axPos val="r"/>
        <c:numFmt formatCode="#\ ##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82349807"/>
        <c:crosses val="max"/>
        <c:crossBetween val="between"/>
      </c:valAx>
      <c:catAx>
        <c:axId val="182349807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82371855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0494117647058826E-2"/>
          <c:y val="0.76892888888888888"/>
          <c:w val="0.93561307189542486"/>
          <c:h val="0.2028488888888888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cs-CZ" sz="800" b="1"/>
              <a:t>Rok </a:t>
            </a:r>
            <a:r>
              <a:rPr lang="en-US" sz="800" b="1"/>
              <a:t>2019</a:t>
            </a:r>
          </a:p>
        </c:rich>
      </c:tx>
      <c:layout>
        <c:manualLayout>
          <c:xMode val="edge"/>
          <c:yMode val="edge"/>
          <c:x val="0.90180380952380934"/>
          <c:y val="4.565359477124183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62667507936507927"/>
          <c:y val="0.13346764705882352"/>
          <c:w val="0.35289396825396824"/>
          <c:h val="0.72429186926315958"/>
        </c:manualLayout>
      </c:layout>
      <c:doughnutChart>
        <c:varyColors val="1"/>
        <c:ser>
          <c:idx val="0"/>
          <c:order val="0"/>
          <c:tx>
            <c:strRef>
              <c:f>'2_4_6'!$C$111</c:f>
              <c:strCache>
                <c:ptCount val="1"/>
                <c:pt idx="0">
                  <c:v>Rok 2019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5BE-41B8-9916-37B7629EDE0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5BE-41B8-9916-37B7629EDE0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5BE-41B8-9916-37B7629EDE0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5BE-41B8-9916-37B7629EDE0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25BE-41B8-9916-37B7629EDE0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25BE-41B8-9916-37B7629EDE0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25BE-41B8-9916-37B7629EDE0D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25BE-41B8-9916-37B7629EDE0D}"/>
              </c:ext>
            </c:extLst>
          </c:dPt>
          <c:dLbls>
            <c:dLbl>
              <c:idx val="0"/>
              <c:layout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25BE-41B8-9916-37B7629EDE0D}"/>
                </c:ext>
              </c:extLst>
            </c:dLbl>
            <c:dLbl>
              <c:idx val="1"/>
              <c:layout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25BE-41B8-9916-37B7629EDE0D}"/>
                </c:ext>
              </c:extLst>
            </c:dLbl>
            <c:dLbl>
              <c:idx val="2"/>
              <c:layout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25BE-41B8-9916-37B7629EDE0D}"/>
                </c:ext>
              </c:extLst>
            </c:dLbl>
            <c:dLbl>
              <c:idx val="3"/>
              <c:layout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25BE-41B8-9916-37B7629EDE0D}"/>
                </c:ext>
              </c:extLst>
            </c:dLbl>
            <c:dLbl>
              <c:idx val="4"/>
              <c:layout>
                <c:manualLayout>
                  <c:x val="-6.888560157790935E-2"/>
                  <c:y val="-7.9375000000000001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25BE-41B8-9916-37B7629EDE0D}"/>
                </c:ext>
              </c:extLst>
            </c:dLbl>
            <c:dLbl>
              <c:idx val="5"/>
              <c:layout>
                <c:manualLayout>
                  <c:x val="-0.10482539682539682"/>
                  <c:y val="-0.1411111111111111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25BE-41B8-9916-37B7629EDE0D}"/>
                </c:ext>
              </c:extLst>
            </c:dLbl>
            <c:dLbl>
              <c:idx val="6"/>
              <c:layout>
                <c:manualLayout>
                  <c:x val="-7.055555555555558E-2"/>
                  <c:y val="-0.16462962962962963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25BE-41B8-9916-37B7629EDE0D}"/>
                </c:ext>
              </c:extLst>
            </c:dLbl>
            <c:dLbl>
              <c:idx val="7"/>
              <c:layout>
                <c:manualLayout>
                  <c:x val="-2.4190476190476227E-2"/>
                  <c:y val="-0.15679012345679014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25BE-41B8-9916-37B7629EDE0D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'2_4_6'!$A$112:$A$118</c:f>
              <c:strCache>
                <c:ptCount val="7"/>
                <c:pt idx="0">
                  <c:v> Léčebná
 péče</c:v>
                </c:pt>
                <c:pt idx="1">
                  <c:v> Laboratorní
 a zobrazovací služby</c:v>
                </c:pt>
                <c:pt idx="2">
                  <c:v> Léčiva
 a terapeutické pomůcky</c:v>
                </c:pt>
                <c:pt idx="3">
                  <c:v> Dlouhodobá
 zdravotní péče</c:v>
                </c:pt>
                <c:pt idx="4">
                  <c:v> Rehabilitační
 péče</c:v>
                </c:pt>
                <c:pt idx="5">
                  <c:v> Preventivní
 péče</c:v>
                </c:pt>
                <c:pt idx="6">
                  <c:v> ostatní*</c:v>
                </c:pt>
              </c:strCache>
            </c:strRef>
          </c:cat>
          <c:val>
            <c:numRef>
              <c:f>'2_4_6'!$C$112:$C$118</c:f>
              <c:numCache>
                <c:formatCode>#\ ##0.0</c:formatCode>
                <c:ptCount val="7"/>
                <c:pt idx="0">
                  <c:v>162.12089622100137</c:v>
                </c:pt>
                <c:pt idx="1">
                  <c:v>45.823716890000064</c:v>
                </c:pt>
                <c:pt idx="2">
                  <c:v>43.518517666000058</c:v>
                </c:pt>
                <c:pt idx="3">
                  <c:v>20.178306008000021</c:v>
                </c:pt>
                <c:pt idx="4">
                  <c:v>15.94980730199997</c:v>
                </c:pt>
                <c:pt idx="5">
                  <c:v>8.6502411930000047</c:v>
                </c:pt>
                <c:pt idx="6">
                  <c:v>13.522330596000018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25BE-41B8-9916-37B7629EDE0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1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2090729783037473"/>
          <c:y val="0.14295625000000001"/>
          <c:w val="0.202534516765286"/>
          <c:h val="0.76936840277777774"/>
        </c:manualLayout>
      </c:layout>
      <c:overlay val="0"/>
      <c:spPr>
        <a:noFill/>
        <a:ln>
          <a:solidFill>
            <a:schemeClr val="bg1">
              <a:lumMod val="50000"/>
            </a:schemeClr>
          </a:solidFill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4">
    <c:autoUpdate val="0"/>
  </c:externalData>
  <c:userShapes r:id="rId5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>
        <c:manualLayout>
          <c:xMode val="edge"/>
          <c:yMode val="edge"/>
          <c:x val="0.761608295575392"/>
          <c:y val="3.131991051454138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1213717594949766"/>
          <c:y val="0.10984621888706865"/>
          <c:w val="0.82011202756381718"/>
          <c:h val="0.78708767108809385"/>
        </c:manualLayout>
      </c:layout>
      <c:doughnutChart>
        <c:varyColors val="1"/>
        <c:ser>
          <c:idx val="0"/>
          <c:order val="0"/>
          <c:tx>
            <c:strRef>
              <c:f>'2_4_6'!$B$111</c:f>
              <c:strCache>
                <c:ptCount val="1"/>
                <c:pt idx="0">
                  <c:v>Rok 2015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44F-49FA-AC26-CA454751F50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44F-49FA-AC26-CA454751F50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44F-49FA-AC26-CA454751F50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44F-49FA-AC26-CA454751F50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C44F-49FA-AC26-CA454751F507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C44F-49FA-AC26-CA454751F507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C44F-49FA-AC26-CA454751F507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C44F-49FA-AC26-CA454751F507}"/>
              </c:ext>
            </c:extLst>
          </c:dPt>
          <c:dLbls>
            <c:dLbl>
              <c:idx val="0"/>
              <c:layout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C44F-49FA-AC26-CA454751F507}"/>
                </c:ext>
              </c:extLst>
            </c:dLbl>
            <c:dLbl>
              <c:idx val="1"/>
              <c:layout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C44F-49FA-AC26-CA454751F507}"/>
                </c:ext>
              </c:extLst>
            </c:dLbl>
            <c:dLbl>
              <c:idx val="2"/>
              <c:layout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C44F-49FA-AC26-CA454751F507}"/>
                </c:ext>
              </c:extLst>
            </c:dLbl>
            <c:dLbl>
              <c:idx val="3"/>
              <c:layout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C44F-49FA-AC26-CA454751F507}"/>
                </c:ext>
              </c:extLst>
            </c:dLbl>
            <c:dLbl>
              <c:idx val="4"/>
              <c:layout>
                <c:manualLayout>
                  <c:x val="-0.2336580086580087"/>
                  <c:y val="-5.0396825396825419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C44F-49FA-AC26-CA454751F507}"/>
                </c:ext>
              </c:extLst>
            </c:dLbl>
            <c:dLbl>
              <c:idx val="5"/>
              <c:layout>
                <c:manualLayout>
                  <c:x val="-0.24002340545733331"/>
                  <c:y val="-0.1276883510366573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C44F-49FA-AC26-CA454751F507}"/>
                </c:ext>
              </c:extLst>
            </c:dLbl>
            <c:dLbl>
              <c:idx val="6"/>
              <c:layout>
                <c:manualLayout>
                  <c:x val="-0.16379561925899119"/>
                  <c:y val="-0.16015536648522963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C44F-49FA-AC26-CA454751F507}"/>
                </c:ext>
              </c:extLst>
            </c:dLbl>
            <c:dLbl>
              <c:idx val="7"/>
              <c:layout>
                <c:manualLayout>
                  <c:x val="-2.4190476190476227E-2"/>
                  <c:y val="-0.15679012345679014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C44F-49FA-AC26-CA454751F507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'2_4_6'!$A$112:$A$118</c:f>
              <c:strCache>
                <c:ptCount val="7"/>
                <c:pt idx="0">
                  <c:v> Léčebná
 péče</c:v>
                </c:pt>
                <c:pt idx="1">
                  <c:v> Laboratorní
 a zobrazovací služby</c:v>
                </c:pt>
                <c:pt idx="2">
                  <c:v> Léčiva
 a terapeutické pomůcky</c:v>
                </c:pt>
                <c:pt idx="3">
                  <c:v> Dlouhodobá
 zdravotní péče</c:v>
                </c:pt>
                <c:pt idx="4">
                  <c:v> Rehabilitační
 péče</c:v>
                </c:pt>
                <c:pt idx="5">
                  <c:v> Preventivní
 péče</c:v>
                </c:pt>
                <c:pt idx="6">
                  <c:v> ostatní*</c:v>
                </c:pt>
              </c:strCache>
            </c:strRef>
          </c:cat>
          <c:val>
            <c:numRef>
              <c:f>'2_4_6'!$B$112:$B$118</c:f>
              <c:numCache>
                <c:formatCode>#\ ##0.0</c:formatCode>
                <c:ptCount val="7"/>
                <c:pt idx="0">
                  <c:v>121</c:v>
                </c:pt>
                <c:pt idx="1">
                  <c:v>32.521000000000001</c:v>
                </c:pt>
                <c:pt idx="2">
                  <c:v>38.401000000000003</c:v>
                </c:pt>
                <c:pt idx="3">
                  <c:v>14.028</c:v>
                </c:pt>
                <c:pt idx="4">
                  <c:v>11.201000000000001</c:v>
                </c:pt>
                <c:pt idx="5">
                  <c:v>6.6120000000000001</c:v>
                </c:pt>
                <c:pt idx="6">
                  <c:v>10.697000000000003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C44F-49FA-AC26-CA454751F50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1"/>
      </c:doughnutChart>
      <c:spPr>
        <a:noFill/>
        <a:ln>
          <a:noFill/>
        </a:ln>
        <a:effectLst/>
      </c:spPr>
    </c:plotArea>
    <c:plotVisOnly val="1"/>
    <c:dispBlanksAs val="zero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4">
    <c:autoUpdate val="0"/>
  </c:externalData>
  <c:userShapes r:id="rId5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2430108580825732E-2"/>
          <c:y val="4.8506944444444443E-2"/>
          <c:w val="0.87599568726108401"/>
          <c:h val="0.77022152777777775"/>
        </c:manualLayout>
      </c:layout>
      <c:lineChart>
        <c:grouping val="standard"/>
        <c:varyColors val="0"/>
        <c:ser>
          <c:idx val="0"/>
          <c:order val="0"/>
          <c:tx>
            <c:strRef>
              <c:f>'2_4_'!$A$119</c:f>
              <c:strCache>
                <c:ptCount val="1"/>
                <c:pt idx="0">
                  <c:v>Celkem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'2_4_'!$B$118:$G$118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'2_4_'!$B$119:$G$119</c:f>
              <c:numCache>
                <c:formatCode>#\ ##0.0</c:formatCode>
                <c:ptCount val="5"/>
                <c:pt idx="0">
                  <c:v>121</c:v>
                </c:pt>
                <c:pt idx="1">
                  <c:v>121.2</c:v>
                </c:pt>
                <c:pt idx="2">
                  <c:v>128.44800000000001</c:v>
                </c:pt>
                <c:pt idx="3">
                  <c:v>148.92853289299998</c:v>
                </c:pt>
                <c:pt idx="4">
                  <c:v>162.12089622100137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8F0-4309-889E-858E1B066166}"/>
            </c:ext>
          </c:extLst>
        </c:ser>
        <c:ser>
          <c:idx val="1"/>
          <c:order val="1"/>
          <c:tx>
            <c:strRef>
              <c:f>'2_4_'!$A$120</c:f>
              <c:strCache>
                <c:ptCount val="1"/>
                <c:pt idx="0">
                  <c:v> Lůžková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6.0165975103734441E-2"/>
                  <c:y val="-4.91284589426321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B8F0-4309-889E-858E1B066166}"/>
                </c:ext>
              </c:extLst>
            </c:dLbl>
            <c:dLbl>
              <c:idx val="1"/>
              <c:layout>
                <c:manualLayout>
                  <c:x val="-6.0165975103734441E-2"/>
                  <c:y val="-5.484274465691788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B8F0-4309-889E-858E1B066166}"/>
                </c:ext>
              </c:extLst>
            </c:dLbl>
            <c:dLbl>
              <c:idx val="2"/>
              <c:layout>
                <c:manualLayout>
                  <c:x val="-6.0165975103734441E-2"/>
                  <c:y val="-4.3414173228346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B8F0-4309-889E-858E1B06616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'2_4_'!$B$118:$G$118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'2_4_'!$B$120:$G$120</c:f>
              <c:numCache>
                <c:formatCode>#\ ##0.0</c:formatCode>
                <c:ptCount val="5"/>
                <c:pt idx="0">
                  <c:v>47.052999999999997</c:v>
                </c:pt>
                <c:pt idx="1">
                  <c:v>46.534999999999997</c:v>
                </c:pt>
                <c:pt idx="2">
                  <c:v>50.594000000000001</c:v>
                </c:pt>
                <c:pt idx="3">
                  <c:v>54.094749470000004</c:v>
                </c:pt>
                <c:pt idx="4">
                  <c:v>57.367705971999392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B8F0-4309-889E-858E1B066166}"/>
            </c:ext>
          </c:extLst>
        </c:ser>
        <c:ser>
          <c:idx val="2"/>
          <c:order val="2"/>
          <c:tx>
            <c:strRef>
              <c:f>'2_4_'!$A$121</c:f>
              <c:strCache>
                <c:ptCount val="1"/>
                <c:pt idx="0">
                  <c:v> Denní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'2_4_'!$B$118:$G$118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'2_4_'!$B$121:$G$121</c:f>
              <c:numCache>
                <c:formatCode>#\ ##0.0</c:formatCode>
                <c:ptCount val="5"/>
                <c:pt idx="0">
                  <c:v>5.7350000000000003</c:v>
                </c:pt>
                <c:pt idx="1">
                  <c:v>5.72</c:v>
                </c:pt>
                <c:pt idx="2">
                  <c:v>6.3860000000000001</c:v>
                </c:pt>
                <c:pt idx="3">
                  <c:v>6.71495</c:v>
                </c:pt>
                <c:pt idx="4">
                  <c:v>7.3069747639999996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B8F0-4309-889E-858E1B066166}"/>
            </c:ext>
          </c:extLst>
        </c:ser>
        <c:ser>
          <c:idx val="3"/>
          <c:order val="3"/>
          <c:tx>
            <c:strRef>
              <c:f>'2_4_'!$A$122</c:f>
              <c:strCache>
                <c:ptCount val="1"/>
                <c:pt idx="0">
                  <c:v> Ambulantní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'2_4_'!$B$118:$G$118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'2_4_'!$B$122:$G$122</c:f>
              <c:numCache>
                <c:formatCode>#\ ##0.0</c:formatCode>
                <c:ptCount val="5"/>
                <c:pt idx="0">
                  <c:v>68.02</c:v>
                </c:pt>
                <c:pt idx="1">
                  <c:v>68.757000000000005</c:v>
                </c:pt>
                <c:pt idx="2">
                  <c:v>71.278999999999996</c:v>
                </c:pt>
                <c:pt idx="3">
                  <c:v>87.902910329999997</c:v>
                </c:pt>
                <c:pt idx="4">
                  <c:v>97.206914606002002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B8F0-4309-889E-858E1B0661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42283375"/>
        <c:axId val="442277967"/>
      </c:lineChart>
      <c:catAx>
        <c:axId val="4422833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42277967"/>
        <c:crosses val="autoZero"/>
        <c:auto val="1"/>
        <c:lblAlgn val="ctr"/>
        <c:lblOffset val="100"/>
        <c:noMultiLvlLbl val="0"/>
      </c:catAx>
      <c:valAx>
        <c:axId val="44227796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cs-CZ" b="1"/>
                  <a:t>Mld. Kč</a:t>
                </a:r>
              </a:p>
            </c:rich>
          </c:tx>
          <c:layout>
            <c:manualLayout>
              <c:xMode val="edge"/>
              <c:yMode val="edge"/>
              <c:x val="9.4074074074074074E-2"/>
              <c:y val="6.7180555555555549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s-CZ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42283375"/>
        <c:crosses val="autoZero"/>
        <c:crossBetween val="between"/>
      </c:valAx>
      <c:spPr>
        <a:noFill/>
        <a:ln>
          <a:solidFill>
            <a:sysClr val="window" lastClr="FFFFFF">
              <a:lumMod val="75000"/>
            </a:sysClr>
          </a:solidFill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'2_4_'!$A$126</c:f>
              <c:strCache>
                <c:ptCount val="1"/>
                <c:pt idx="0">
                  <c:v> Lůžková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'2_4_'!$B$125:$G$125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'2_4_'!$B$126:$G$126</c:f>
              <c:numCache>
                <c:formatCode>0%</c:formatCode>
                <c:ptCount val="3"/>
                <c:pt idx="0">
                  <c:v>0.39388702042850021</c:v>
                </c:pt>
                <c:pt idx="1">
                  <c:v>0.36322622951550337</c:v>
                </c:pt>
                <c:pt idx="2">
                  <c:v>0.35385756746493913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A09-4282-9EBB-A1ECB10E3926}"/>
            </c:ext>
          </c:extLst>
        </c:ser>
        <c:ser>
          <c:idx val="1"/>
          <c:order val="1"/>
          <c:tx>
            <c:strRef>
              <c:f>'2_4_'!$A$127</c:f>
              <c:strCache>
                <c:ptCount val="1"/>
                <c:pt idx="0">
                  <c:v> Denní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'2_4_'!$B$125:$G$125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'2_4_'!$B$127:$G$127</c:f>
              <c:numCache>
                <c:formatCode>0%</c:formatCode>
                <c:ptCount val="3"/>
                <c:pt idx="0">
                  <c:v>4.9716616841056299E-2</c:v>
                </c:pt>
                <c:pt idx="1">
                  <c:v>4.5088404952088393E-2</c:v>
                </c:pt>
                <c:pt idx="2">
                  <c:v>4.5071147115046874E-2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A09-4282-9EBB-A1ECB10E3926}"/>
            </c:ext>
          </c:extLst>
        </c:ser>
        <c:ser>
          <c:idx val="2"/>
          <c:order val="2"/>
          <c:tx>
            <c:strRef>
              <c:f>'2_4_'!$A$128</c:f>
              <c:strCache>
                <c:ptCount val="1"/>
                <c:pt idx="0">
                  <c:v> Ambulantní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'2_4_'!$B$125:$G$125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'2_4_'!$B$128:$G$128</c:f>
              <c:numCache>
                <c:formatCode>0%</c:formatCode>
                <c:ptCount val="3"/>
                <c:pt idx="0">
                  <c:v>0.55492495017438959</c:v>
                </c:pt>
                <c:pt idx="1">
                  <c:v>0.59023552184694661</c:v>
                </c:pt>
                <c:pt idx="2">
                  <c:v>0.5995952210472032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A09-4282-9EBB-A1ECB10E39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445245199"/>
        <c:axId val="445261839"/>
      </c:barChart>
      <c:catAx>
        <c:axId val="44524519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45261839"/>
        <c:crosses val="autoZero"/>
        <c:auto val="1"/>
        <c:lblAlgn val="ctr"/>
        <c:lblOffset val="100"/>
        <c:noMultiLvlLbl val="0"/>
      </c:catAx>
      <c:valAx>
        <c:axId val="445261839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44524519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038211768925911"/>
          <c:y val="4.8506944444444443E-2"/>
          <c:w val="0.84492423657419291"/>
          <c:h val="0.70563202614379084"/>
        </c:manualLayout>
      </c:layout>
      <c:lineChart>
        <c:grouping val="standard"/>
        <c:varyColors val="0"/>
        <c:ser>
          <c:idx val="0"/>
          <c:order val="0"/>
          <c:tx>
            <c:strRef>
              <c:f>'2_4_6'!$A$168</c:f>
              <c:strCache>
                <c:ptCount val="1"/>
                <c:pt idx="0">
                  <c:v> Celkem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'2_4_6'!$B$167:$F$167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'2_4_6'!$B$168:$F$168</c:f>
              <c:numCache>
                <c:formatCode>#\ ##0.0</c:formatCode>
                <c:ptCount val="5"/>
                <c:pt idx="0">
                  <c:v>74.977999999999994</c:v>
                </c:pt>
                <c:pt idx="1">
                  <c:v>75.286000000000001</c:v>
                </c:pt>
                <c:pt idx="2">
                  <c:v>79.41</c:v>
                </c:pt>
                <c:pt idx="3">
                  <c:v>96.648158750999997</c:v>
                </c:pt>
                <c:pt idx="4">
                  <c:v>107.23523360100195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F38-4280-859D-583E67590EA6}"/>
            </c:ext>
          </c:extLst>
        </c:ser>
        <c:ser>
          <c:idx val="1"/>
          <c:order val="1"/>
          <c:tx>
            <c:strRef>
              <c:f>'2_4_6'!$A$169</c:f>
              <c:strCache>
                <c:ptCount val="1"/>
                <c:pt idx="0">
                  <c:v> Specializovaná 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solidFill>
                <a:schemeClr val="accent2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'2_4_6'!$B$167:$F$167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'2_4_6'!$B$169:$F$169</c:f>
              <c:numCache>
                <c:formatCode>#\ ##0.0</c:formatCode>
                <c:ptCount val="5"/>
                <c:pt idx="0">
                  <c:v>40.507295977000126</c:v>
                </c:pt>
                <c:pt idx="1">
                  <c:v>40.709412143001884</c:v>
                </c:pt>
                <c:pt idx="2">
                  <c:v>41.819800766997027</c:v>
                </c:pt>
                <c:pt idx="3">
                  <c:v>55.239921740997197</c:v>
                </c:pt>
                <c:pt idx="4">
                  <c:v>61.538752364002498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F38-4280-859D-583E67590EA6}"/>
            </c:ext>
          </c:extLst>
        </c:ser>
        <c:ser>
          <c:idx val="2"/>
          <c:order val="2"/>
          <c:tx>
            <c:strRef>
              <c:f>'2_4_6'!$A$170</c:f>
              <c:strCache>
                <c:ptCount val="1"/>
                <c:pt idx="0">
                  <c:v> Všeobecná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triangle"/>
            <c:size val="7"/>
            <c:spPr>
              <a:solidFill>
                <a:srgbClr val="7030A0"/>
              </a:solidFill>
              <a:ln w="9525">
                <a:solidFill>
                  <a:schemeClr val="tx1"/>
                </a:solidFill>
              </a:ln>
              <a:effectLst/>
            </c:spPr>
          </c:marker>
          <c:dLbls>
            <c:spPr>
              <a:solidFill>
                <a:schemeClr val="accent4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'2_4_6'!$B$167:$F$167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'2_4_6'!$B$170:$F$170</c:f>
              <c:numCache>
                <c:formatCode>#\ ##0.0</c:formatCode>
                <c:ptCount val="5"/>
                <c:pt idx="0">
                  <c:v>18.86145326699981</c:v>
                </c:pt>
                <c:pt idx="1">
                  <c:v>19.458441258999848</c:v>
                </c:pt>
                <c:pt idx="2">
                  <c:v>19.977411051000217</c:v>
                </c:pt>
                <c:pt idx="3">
                  <c:v>23.122315716999765</c:v>
                </c:pt>
                <c:pt idx="4">
                  <c:v>24.889938395999454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F38-4280-859D-583E67590EA6}"/>
            </c:ext>
          </c:extLst>
        </c:ser>
        <c:ser>
          <c:idx val="3"/>
          <c:order val="3"/>
          <c:tx>
            <c:strRef>
              <c:f>'2_4_6'!$A$171</c:f>
              <c:strCache>
                <c:ptCount val="1"/>
                <c:pt idx="0">
                  <c:v> Stomatologická</c:v>
                </c:pt>
              </c:strCache>
            </c:strRef>
          </c:tx>
          <c:spPr>
            <a:ln w="28575" cap="rnd">
              <a:solidFill>
                <a:schemeClr val="accent6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FC000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spPr>
              <a:solidFill>
                <a:schemeClr val="accent6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'2_4_6'!$B$167:$F$167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'2_4_6'!$B$171:$F$171</c:f>
              <c:numCache>
                <c:formatCode>#\ ##0.0</c:formatCode>
                <c:ptCount val="5"/>
                <c:pt idx="0">
                  <c:v>8.5414667569999985</c:v>
                </c:pt>
                <c:pt idx="1">
                  <c:v>8.5893800720000115</c:v>
                </c:pt>
                <c:pt idx="2">
                  <c:v>9.4813479050000016</c:v>
                </c:pt>
                <c:pt idx="3">
                  <c:v>9.5406728759999719</c:v>
                </c:pt>
                <c:pt idx="4">
                  <c:v>10.778223846000049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9F38-4280-859D-583E67590EA6}"/>
            </c:ext>
          </c:extLst>
        </c:ser>
        <c:ser>
          <c:idx val="4"/>
          <c:order val="4"/>
          <c:tx>
            <c:strRef>
              <c:f>'2_4_6'!$A$172</c:f>
              <c:strCache>
                <c:ptCount val="1"/>
                <c:pt idx="0">
                  <c:v> Rehabilitační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rgbClr val="00B050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spPr>
              <a:solidFill>
                <a:schemeClr val="accent3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'2_4_6'!$B$167:$F$167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'2_4_6'!$B$172:$F$172</c:f>
              <c:numCache>
                <c:formatCode>#\ ##0.0</c:formatCode>
                <c:ptCount val="5"/>
                <c:pt idx="0">
                  <c:v>6.9580000000000002</c:v>
                </c:pt>
                <c:pt idx="1">
                  <c:v>6.5289999999999999</c:v>
                </c:pt>
                <c:pt idx="2">
                  <c:v>8.1310000000000002</c:v>
                </c:pt>
                <c:pt idx="3">
                  <c:v>8.7452484209999994</c:v>
                </c:pt>
                <c:pt idx="4">
                  <c:v>10.028318994999951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9F38-4280-859D-583E67590E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42283375"/>
        <c:axId val="442277967"/>
      </c:lineChart>
      <c:catAx>
        <c:axId val="4422833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42277967"/>
        <c:crosses val="autoZero"/>
        <c:auto val="1"/>
        <c:lblAlgn val="ctr"/>
        <c:lblOffset val="300"/>
        <c:noMultiLvlLbl val="0"/>
      </c:catAx>
      <c:valAx>
        <c:axId val="442277967"/>
        <c:scaling>
          <c:orientation val="minMax"/>
          <c:max val="11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cs-CZ" b="1"/>
                  <a:t>Mld. Kč</a:t>
                </a:r>
              </a:p>
            </c:rich>
          </c:tx>
          <c:layout>
            <c:manualLayout>
              <c:xMode val="edge"/>
              <c:yMode val="edge"/>
              <c:x val="0.14706947616995517"/>
              <c:y val="5.8633365300171603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s-CZ"/>
            </a:p>
          </c:txPr>
        </c:title>
        <c:numFmt formatCode="#,##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42283375"/>
        <c:crosses val="autoZero"/>
        <c:crossBetween val="between"/>
        <c:majorUnit val="10"/>
      </c:valAx>
      <c:spPr>
        <a:noFill/>
        <a:ln>
          <a:solidFill>
            <a:sysClr val="window" lastClr="FFFFFF">
              <a:lumMod val="75000"/>
            </a:sysClr>
          </a:solidFill>
        </a:ln>
        <a:effectLst/>
      </c:spPr>
    </c:plotArea>
    <c:legend>
      <c:legendPos val="b"/>
      <c:layout>
        <c:manualLayout>
          <c:xMode val="edge"/>
          <c:yMode val="edge"/>
          <c:x val="9.2153968253968252E-2"/>
          <c:y val="0.84922654320987656"/>
          <c:w val="0.8324907407407407"/>
          <c:h val="0.1243152777777777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'2_4_6'!$A$176</c:f>
              <c:strCache>
                <c:ptCount val="1"/>
                <c:pt idx="0">
                  <c:v> Specializovaná 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('2_4_6'!$B$175,'2_4_6'!$F$175)</c:f>
              <c:numCache>
                <c:formatCode>General</c:formatCode>
                <c:ptCount val="2"/>
                <c:pt idx="0">
                  <c:v>2015</c:v>
                </c:pt>
                <c:pt idx="1">
                  <c:v>2019</c:v>
                </c:pt>
              </c:numCache>
            </c:numRef>
          </c:cat>
          <c:val>
            <c:numRef>
              <c:f>('2_4_6'!$B$176,'2_4_6'!$F$176)</c:f>
              <c:numCache>
                <c:formatCode>0%</c:formatCode>
                <c:ptCount val="2"/>
                <c:pt idx="0">
                  <c:v>0.54025575471471809</c:v>
                </c:pt>
                <c:pt idx="1">
                  <c:v>0.57386691199810569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BDD-4826-8155-F4E29C1CEFDF}"/>
            </c:ext>
          </c:extLst>
        </c:ser>
        <c:ser>
          <c:idx val="1"/>
          <c:order val="1"/>
          <c:tx>
            <c:strRef>
              <c:f>'2_4_6'!$A$177</c:f>
              <c:strCache>
                <c:ptCount val="1"/>
                <c:pt idx="0">
                  <c:v> Všeobecná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('2_4_6'!$B$175,'2_4_6'!$F$175)</c:f>
              <c:numCache>
                <c:formatCode>General</c:formatCode>
                <c:ptCount val="2"/>
                <c:pt idx="0">
                  <c:v>2015</c:v>
                </c:pt>
                <c:pt idx="1">
                  <c:v>2019</c:v>
                </c:pt>
              </c:numCache>
            </c:numRef>
          </c:cat>
          <c:val>
            <c:numRef>
              <c:f>('2_4_6'!$B$177,'2_4_6'!$F$177)</c:f>
              <c:numCache>
                <c:formatCode>0%</c:formatCode>
                <c:ptCount val="2"/>
                <c:pt idx="0">
                  <c:v>0.25155983444476793</c:v>
                </c:pt>
                <c:pt idx="1">
                  <c:v>0.23210597450283257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BDD-4826-8155-F4E29C1CEFDF}"/>
            </c:ext>
          </c:extLst>
        </c:ser>
        <c:ser>
          <c:idx val="2"/>
          <c:order val="2"/>
          <c:tx>
            <c:strRef>
              <c:f>'2_4_6'!$A$178</c:f>
              <c:strCache>
                <c:ptCount val="1"/>
                <c:pt idx="0">
                  <c:v> Stomatologická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('2_4_6'!$B$175,'2_4_6'!$F$175)</c:f>
              <c:numCache>
                <c:formatCode>General</c:formatCode>
                <c:ptCount val="2"/>
                <c:pt idx="0">
                  <c:v>2015</c:v>
                </c:pt>
                <c:pt idx="1">
                  <c:v>2019</c:v>
                </c:pt>
              </c:numCache>
            </c:numRef>
          </c:cat>
          <c:val>
            <c:numRef>
              <c:f>('2_4_6'!$B$178,'2_4_6'!$F$178)</c:f>
              <c:numCache>
                <c:formatCode>0%</c:formatCode>
                <c:ptCount val="2"/>
                <c:pt idx="0">
                  <c:v>0.11391963985435727</c:v>
                </c:pt>
                <c:pt idx="1">
                  <c:v>0.10051009807190221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BDD-4826-8155-F4E29C1CEFDF}"/>
            </c:ext>
          </c:extLst>
        </c:ser>
        <c:ser>
          <c:idx val="3"/>
          <c:order val="3"/>
          <c:tx>
            <c:strRef>
              <c:f>'2_4_6'!$A$179</c:f>
              <c:strCache>
                <c:ptCount val="1"/>
                <c:pt idx="0">
                  <c:v> Rehabilitační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('2_4_6'!$B$175,'2_4_6'!$F$175)</c:f>
              <c:numCache>
                <c:formatCode>General</c:formatCode>
                <c:ptCount val="2"/>
                <c:pt idx="0">
                  <c:v>2015</c:v>
                </c:pt>
                <c:pt idx="1">
                  <c:v>2019</c:v>
                </c:pt>
              </c:numCache>
            </c:numRef>
          </c:cat>
          <c:val>
            <c:numRef>
              <c:f>('2_4_6'!$B$179,'2_4_6'!$F$179)</c:f>
              <c:numCache>
                <c:formatCode>0%</c:formatCode>
                <c:ptCount val="2"/>
                <c:pt idx="0">
                  <c:v>9.280055482941664E-2</c:v>
                </c:pt>
                <c:pt idx="1">
                  <c:v>9.3517015427159497E-2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BDD-4826-8155-F4E29C1CEF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445245199"/>
        <c:axId val="445261839"/>
      </c:barChart>
      <c:catAx>
        <c:axId val="44524519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45261839"/>
        <c:crosses val="autoZero"/>
        <c:auto val="1"/>
        <c:lblAlgn val="ctr"/>
        <c:lblOffset val="100"/>
        <c:noMultiLvlLbl val="0"/>
      </c:catAx>
      <c:valAx>
        <c:axId val="445261839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44524519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5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5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0.72722</cdr:x>
      <cdr:y>0.39526</cdr:y>
    </cdr:from>
    <cdr:to>
      <cdr:x>0.88598</cdr:x>
      <cdr:y>0.58487</cdr:y>
    </cdr:to>
    <cdr:sp macro="" textlink="">
      <cdr:nvSpPr>
        <cdr:cNvPr id="2" name="TextovéPole 14"/>
        <cdr:cNvSpPr txBox="1"/>
      </cdr:nvSpPr>
      <cdr:spPr>
        <a:xfrm xmlns:a="http://schemas.openxmlformats.org/drawingml/2006/main">
          <a:off x="4581498" y="1213256"/>
          <a:ext cx="1000151" cy="58201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 cmpd="sng">
          <a:noFill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ctr"/>
        <a:lstStyle xmlns:a="http://schemas.openxmlformats.org/drawingml/2006/main">
          <a:defPPr>
            <a:defRPr lang="en-US"/>
          </a:defPPr>
          <a:lvl1pPr algn="l" defTabSz="1042988" rtl="0" fontAlgn="base">
            <a:spcBef>
              <a:spcPct val="0"/>
            </a:spcBef>
            <a:spcAft>
              <a:spcPct val="0"/>
            </a:spcAft>
            <a:defRPr sz="2100" kern="12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520700" indent="-63500" algn="l" defTabSz="1042988" rtl="0" fontAlgn="base">
            <a:spcBef>
              <a:spcPct val="0"/>
            </a:spcBef>
            <a:spcAft>
              <a:spcPct val="0"/>
            </a:spcAft>
            <a:defRPr sz="2100" kern="12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1042988" indent="-128588" algn="l" defTabSz="1042988" rtl="0" fontAlgn="base">
            <a:spcBef>
              <a:spcPct val="0"/>
            </a:spcBef>
            <a:spcAft>
              <a:spcPct val="0"/>
            </a:spcAft>
            <a:defRPr sz="2100" kern="12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563688" indent="-192088" algn="l" defTabSz="1042988" rtl="0" fontAlgn="base">
            <a:spcBef>
              <a:spcPct val="0"/>
            </a:spcBef>
            <a:spcAft>
              <a:spcPct val="0"/>
            </a:spcAft>
            <a:defRPr sz="2100" kern="12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2085975" indent="-257175" algn="l" defTabSz="1042988" rtl="0" fontAlgn="base">
            <a:spcBef>
              <a:spcPct val="0"/>
            </a:spcBef>
            <a:spcAft>
              <a:spcPct val="0"/>
            </a:spcAft>
            <a:defRPr sz="2100" kern="12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algn="l" defTabSz="914400" rtl="0" eaLnBrk="1" latinLnBrk="0" hangingPunct="1">
            <a:defRPr sz="2100" kern="12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algn="l" defTabSz="914400" rtl="0" eaLnBrk="1" latinLnBrk="0" hangingPunct="1">
            <a:defRPr sz="2100" kern="12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algn="l" defTabSz="914400" rtl="0" eaLnBrk="1" latinLnBrk="0" hangingPunct="1">
            <a:defRPr sz="2100" kern="12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algn="l" defTabSz="914400" rtl="0" eaLnBrk="1" latinLnBrk="0" hangingPunct="1">
            <a:defRPr sz="2100" kern="12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cs-CZ" sz="800" b="1" dirty="0" smtClean="0">
              <a:latin typeface="Arial" pitchFamily="34" charset="0"/>
              <a:cs typeface="Arial" pitchFamily="34" charset="0"/>
            </a:rPr>
            <a:t>309,8 mld. Kč</a:t>
          </a:r>
          <a:r>
            <a:rPr lang="cs-CZ" sz="800" b="1" baseline="0" dirty="0" smtClean="0">
              <a:latin typeface="Arial" pitchFamily="34" charset="0"/>
              <a:cs typeface="Arial" pitchFamily="34" charset="0"/>
            </a:rPr>
            <a:t> celkem 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0.36099</cdr:x>
      <cdr:y>0.39615</cdr:y>
    </cdr:from>
    <cdr:to>
      <cdr:x>0.69</cdr:x>
      <cdr:y>0.58576</cdr:y>
    </cdr:to>
    <cdr:sp macro="" textlink="">
      <cdr:nvSpPr>
        <cdr:cNvPr id="2" name="TextovéPole 14"/>
        <cdr:cNvSpPr txBox="1"/>
      </cdr:nvSpPr>
      <cdr:spPr>
        <a:xfrm xmlns:a="http://schemas.openxmlformats.org/drawingml/2006/main">
          <a:off x="1031519" y="1135713"/>
          <a:ext cx="940156" cy="54358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 cmpd="sng">
          <a:noFill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ctr"/>
        <a:lstStyle xmlns:a="http://schemas.openxmlformats.org/drawingml/2006/main">
          <a:defPPr>
            <a:defRPr lang="en-US"/>
          </a:defPPr>
          <a:lvl1pPr algn="l" defTabSz="1042988" rtl="0" fontAlgn="base">
            <a:spcBef>
              <a:spcPct val="0"/>
            </a:spcBef>
            <a:spcAft>
              <a:spcPct val="0"/>
            </a:spcAft>
            <a:defRPr sz="2100" kern="12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520700" indent="-63500" algn="l" defTabSz="1042988" rtl="0" fontAlgn="base">
            <a:spcBef>
              <a:spcPct val="0"/>
            </a:spcBef>
            <a:spcAft>
              <a:spcPct val="0"/>
            </a:spcAft>
            <a:defRPr sz="2100" kern="12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1042988" indent="-128588" algn="l" defTabSz="1042988" rtl="0" fontAlgn="base">
            <a:spcBef>
              <a:spcPct val="0"/>
            </a:spcBef>
            <a:spcAft>
              <a:spcPct val="0"/>
            </a:spcAft>
            <a:defRPr sz="2100" kern="12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563688" indent="-192088" algn="l" defTabSz="1042988" rtl="0" fontAlgn="base">
            <a:spcBef>
              <a:spcPct val="0"/>
            </a:spcBef>
            <a:spcAft>
              <a:spcPct val="0"/>
            </a:spcAft>
            <a:defRPr sz="2100" kern="12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2085975" indent="-257175" algn="l" defTabSz="1042988" rtl="0" fontAlgn="base">
            <a:spcBef>
              <a:spcPct val="0"/>
            </a:spcBef>
            <a:spcAft>
              <a:spcPct val="0"/>
            </a:spcAft>
            <a:defRPr sz="2100" kern="12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algn="l" defTabSz="914400" rtl="0" eaLnBrk="1" latinLnBrk="0" hangingPunct="1">
            <a:defRPr sz="2100" kern="12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algn="l" defTabSz="914400" rtl="0" eaLnBrk="1" latinLnBrk="0" hangingPunct="1">
            <a:defRPr sz="2100" kern="12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algn="l" defTabSz="914400" rtl="0" eaLnBrk="1" latinLnBrk="0" hangingPunct="1">
            <a:defRPr sz="2100" kern="12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algn="l" defTabSz="914400" rtl="0" eaLnBrk="1" latinLnBrk="0" hangingPunct="1">
            <a:defRPr sz="2100" kern="12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cs-CZ" sz="800" b="1" dirty="0" smtClean="0">
              <a:latin typeface="Arial" pitchFamily="34" charset="0"/>
              <a:cs typeface="Arial" pitchFamily="34" charset="0"/>
            </a:rPr>
            <a:t>234,5 mld. Kč</a:t>
          </a:r>
          <a:r>
            <a:rPr lang="cs-CZ" sz="800" b="1" baseline="0" dirty="0" smtClean="0">
              <a:latin typeface="Arial" pitchFamily="34" charset="0"/>
              <a:cs typeface="Arial" pitchFamily="34" charset="0"/>
            </a:rPr>
            <a:t> celkem 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theme/themeOverride1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E599CD-362F-4C57-A34F-427E6B111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Publikace bar CZ_lide a spolecnost_2017-08-14.dotx</Template>
  <TotalTime>160</TotalTime>
  <Pages>15</Pages>
  <Words>4454</Words>
  <Characters>26279</Characters>
  <Application>Microsoft Office Word</Application>
  <DocSecurity>0</DocSecurity>
  <Lines>218</Lines>
  <Paragraphs>61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10" baseType="lpstr">
      <vt:lpstr/>
      <vt:lpstr/>
      <vt:lpstr>Styl: Nadpis 1</vt:lpstr>
      <vt:lpstr>    Styl: Nadpis 2</vt:lpstr>
      <vt:lpstr>        Styl: Nadpis 3</vt:lpstr>
      <vt:lpstr>        Styl: Nadpis 3</vt:lpstr>
      <vt:lpstr>    Styl: Nadpis 2</vt:lpstr>
      <vt:lpstr>        Styl: Nadpis 3</vt:lpstr>
      <vt:lpstr>    Styl: Nadpis 2</vt:lpstr>
      <vt:lpstr>        Styl: Nadpis 3</vt:lpstr>
    </vt:vector>
  </TitlesOfParts>
  <Manager/>
  <Company>CSU</Company>
  <LinksUpToDate>false</LinksUpToDate>
  <CharactersWithSpaces>30672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cermakova38818</dc:creator>
  <cp:keywords/>
  <dc:description/>
  <cp:lastModifiedBy>cermakova38818</cp:lastModifiedBy>
  <cp:revision>15</cp:revision>
  <cp:lastPrinted>2014-07-17T14:07:00Z</cp:lastPrinted>
  <dcterms:created xsi:type="dcterms:W3CDTF">2021-03-23T08:32:00Z</dcterms:created>
  <dcterms:modified xsi:type="dcterms:W3CDTF">2021-03-30T13:15:00Z</dcterms:modified>
  <cp:category/>
</cp:coreProperties>
</file>