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2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4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5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1B" w:rsidRDefault="009A7C8A" w:rsidP="009A7C8A">
      <w:pPr>
        <w:pStyle w:val="Nadpis1"/>
      </w:pPr>
      <w:r w:rsidRPr="009A7C8A">
        <w:t xml:space="preserve">1. </w:t>
      </w:r>
      <w:r>
        <w:t>Souhrnné výsledky zdravotnických účtů</w:t>
      </w:r>
    </w:p>
    <w:p w:rsidR="009A7C8A" w:rsidRPr="009A7C8A" w:rsidRDefault="009A7C8A" w:rsidP="00012061">
      <w:r w:rsidRPr="00240B6D">
        <w:t xml:space="preserve">V této části publikace jsou uvedeny základní </w:t>
      </w:r>
      <w:r>
        <w:t>údaje</w:t>
      </w:r>
      <w:r w:rsidRPr="00240B6D">
        <w:t xml:space="preserve"> ze zpracování zdravot</w:t>
      </w:r>
      <w:r w:rsidR="00DE1435">
        <w:t>nických účtů České republiky za </w:t>
      </w:r>
      <w:r w:rsidRPr="00240B6D">
        <w:t xml:space="preserve">referenční roky </w:t>
      </w:r>
      <w:r w:rsidRPr="00BE6701">
        <w:rPr>
          <w:b/>
        </w:rPr>
        <w:t>2010 až 2019</w:t>
      </w:r>
      <w:r>
        <w:t xml:space="preserve"> (</w:t>
      </w:r>
      <w:r w:rsidR="00691101" w:rsidRPr="00BE6701">
        <w:rPr>
          <w:b/>
        </w:rPr>
        <w:t>data</w:t>
      </w:r>
      <w:r w:rsidR="0074391E" w:rsidRPr="00BE6701">
        <w:rPr>
          <w:b/>
        </w:rPr>
        <w:t xml:space="preserve"> z období</w:t>
      </w:r>
      <w:r w:rsidR="00691101" w:rsidRPr="00BE6701">
        <w:rPr>
          <w:b/>
        </w:rPr>
        <w:t xml:space="preserve"> před výskytem nemoci Covid-19</w:t>
      </w:r>
      <w:r>
        <w:t>)</w:t>
      </w:r>
      <w:r w:rsidRPr="00240B6D">
        <w:t xml:space="preserve"> z pohledu jejich tří rozměrů, což jsou </w:t>
      </w:r>
      <w:r w:rsidRPr="00240B6D">
        <w:rPr>
          <w:b/>
        </w:rPr>
        <w:t>zdroje financování, druh zdravotní péče a typ jejího poskytovatele</w:t>
      </w:r>
      <w:r w:rsidRPr="00240B6D">
        <w:t>.</w:t>
      </w:r>
      <w:r>
        <w:t xml:space="preserve"> </w:t>
      </w:r>
      <w:r w:rsidRPr="00240B6D">
        <w:t>Otázky metodického charakteru týkající se užívaných pojmů či metodických nástrojů (klasifikací apod.), které není nutno s ohledem na srozumitelnost textu řešit bezprostředně na místě, jsou blíže specifikovány v metodické příloze.</w:t>
      </w:r>
    </w:p>
    <w:p w:rsidR="00EE4B1B" w:rsidRPr="007018F4" w:rsidRDefault="009A7C8A" w:rsidP="007018F4">
      <w:pPr>
        <w:pStyle w:val="Nadpis3"/>
      </w:pPr>
      <w:r w:rsidRPr="007018F4">
        <w:t>1.1. Celkové výdaje na zdravotní péči</w:t>
      </w:r>
    </w:p>
    <w:p w:rsidR="009A7C8A" w:rsidRDefault="009A7C8A" w:rsidP="00012061">
      <w:r w:rsidRPr="005D3FC5">
        <w:t>V roce 201</w:t>
      </w:r>
      <w:r>
        <w:t>9</w:t>
      </w:r>
      <w:r w:rsidRPr="005D3FC5">
        <w:t xml:space="preserve"> dosáhly</w:t>
      </w:r>
      <w:r w:rsidRPr="00240B6D">
        <w:rPr>
          <w:b/>
        </w:rPr>
        <w:t xml:space="preserve"> celkové výdaje</w:t>
      </w:r>
      <w:r w:rsidRPr="00240B6D">
        <w:t xml:space="preserve"> </w:t>
      </w:r>
      <w:r w:rsidRPr="00240B6D">
        <w:rPr>
          <w:b/>
        </w:rPr>
        <w:t>na zdravotní péči</w:t>
      </w:r>
      <w:r w:rsidRPr="00240B6D">
        <w:rPr>
          <w:b/>
          <w:vertAlign w:val="superscript"/>
        </w:rPr>
        <w:footnoteReference w:id="1"/>
      </w:r>
      <w:r w:rsidRPr="00240B6D">
        <w:t xml:space="preserve"> v České republice</w:t>
      </w:r>
      <w:r w:rsidR="000E23E1">
        <w:rPr>
          <w:b/>
        </w:rPr>
        <w:t xml:space="preserve"> 477,7</w:t>
      </w:r>
      <w:r>
        <w:rPr>
          <w:b/>
        </w:rPr>
        <w:t> </w:t>
      </w:r>
      <w:r w:rsidRPr="00240B6D">
        <w:rPr>
          <w:b/>
        </w:rPr>
        <w:t>mld. Kč</w:t>
      </w:r>
      <w:r w:rsidRPr="00676468">
        <w:t>.</w:t>
      </w:r>
      <w:r w:rsidRPr="00240B6D">
        <w:rPr>
          <w:b/>
        </w:rPr>
        <w:t xml:space="preserve"> </w:t>
      </w:r>
      <w:r w:rsidRPr="00240B6D">
        <w:t>Meziročně vzrostly o</w:t>
      </w:r>
      <w:r w:rsidRPr="00240B6D">
        <w:rPr>
          <w:b/>
        </w:rPr>
        <w:t xml:space="preserve"> </w:t>
      </w:r>
      <w:r w:rsidR="000E23E1">
        <w:rPr>
          <w:b/>
        </w:rPr>
        <w:t>43,6</w:t>
      </w:r>
      <w:r w:rsidRPr="00240B6D">
        <w:t xml:space="preserve"> </w:t>
      </w:r>
      <w:r w:rsidRPr="00B512BB">
        <w:rPr>
          <w:b/>
        </w:rPr>
        <w:t>mld. Kč (</w:t>
      </w:r>
      <w:r w:rsidR="000E23E1">
        <w:rPr>
          <w:b/>
        </w:rPr>
        <w:t xml:space="preserve">10 </w:t>
      </w:r>
      <w:r w:rsidRPr="00B512BB">
        <w:rPr>
          <w:b/>
        </w:rPr>
        <w:t>%)</w:t>
      </w:r>
      <w:r w:rsidR="000E23E1">
        <w:t>.</w:t>
      </w:r>
      <w:r w:rsidRPr="00240B6D">
        <w:t xml:space="preserve"> </w:t>
      </w:r>
      <w:r w:rsidR="000E23E1">
        <w:t>Nicméně</w:t>
      </w:r>
      <w:r w:rsidRPr="002E7C59">
        <w:t xml:space="preserve"> od roku 2010, kdy má ČSÚ k dispozici </w:t>
      </w:r>
      <w:r w:rsidR="00981913">
        <w:t>srovnatelné údaje o výdajích na </w:t>
      </w:r>
      <w:r w:rsidRPr="002E7C59">
        <w:t>zdravotní péči podle mezinárodní metodiky SHA 2011</w:t>
      </w:r>
      <w:r w:rsidR="000E23E1">
        <w:t xml:space="preserve"> byl nejvyšší nárůst výdajů na zdravotní</w:t>
      </w:r>
      <w:r w:rsidR="00235C8C">
        <w:t xml:space="preserve"> péči oproti předc</w:t>
      </w:r>
      <w:r w:rsidR="00981913">
        <w:t>hozímu roku v roce 2018 (o 11,8</w:t>
      </w:r>
      <w:r w:rsidR="00235C8C">
        <w:t> %)</w:t>
      </w:r>
      <w:r w:rsidRPr="002E7C59">
        <w:t>.</w:t>
      </w:r>
      <w:r w:rsidRPr="00240B6D">
        <w:t xml:space="preserve"> V letech 2010 až 201</w:t>
      </w:r>
      <w:r>
        <w:t>6</w:t>
      </w:r>
      <w:r w:rsidRPr="00240B6D">
        <w:t xml:space="preserve"> rostly c</w:t>
      </w:r>
      <w:r>
        <w:t xml:space="preserve">elkové výdaje na zdravotní péči </w:t>
      </w:r>
      <w:r w:rsidRPr="00240B6D">
        <w:t>v běžných cenách</w:t>
      </w:r>
      <w:r w:rsidRPr="00B63AFC">
        <w:t xml:space="preserve"> </w:t>
      </w:r>
      <w:r w:rsidRPr="00240B6D">
        <w:t xml:space="preserve">v průměru o </w:t>
      </w:r>
      <w:r>
        <w:t>1,4</w:t>
      </w:r>
      <w:r w:rsidRPr="00240B6D">
        <w:t xml:space="preserve"> % ročně. </w:t>
      </w:r>
      <w:r w:rsidR="00981913">
        <w:t>V roce 2017</w:t>
      </w:r>
      <w:r>
        <w:t xml:space="preserve"> došlo k výraznějšímu zvýšení celkových výdajů </w:t>
      </w:r>
      <w:r w:rsidR="00DE1435">
        <w:t>na </w:t>
      </w:r>
      <w:r>
        <w:t xml:space="preserve">zdravotní péči oproti předchozímu roku a to konkrétně o 6,8 %. </w:t>
      </w:r>
      <w:r w:rsidRPr="00BD7C23">
        <w:rPr>
          <w:b/>
        </w:rPr>
        <w:t>Od roku 2010</w:t>
      </w:r>
      <w:r w:rsidRPr="00240B6D">
        <w:t xml:space="preserve"> bylo </w:t>
      </w:r>
      <w:r>
        <w:t>n</w:t>
      </w:r>
      <w:r w:rsidRPr="00240B6D">
        <w:t xml:space="preserve">a zdravotní </w:t>
      </w:r>
      <w:r w:rsidRPr="00676468">
        <w:rPr>
          <w:spacing w:val="-2"/>
        </w:rPr>
        <w:t xml:space="preserve">péči v Česku vynaloženo </w:t>
      </w:r>
      <w:r w:rsidRPr="00BD7C23">
        <w:rPr>
          <w:b/>
          <w:spacing w:val="-2"/>
        </w:rPr>
        <w:t>celkem 3,7 bil. Kč</w:t>
      </w:r>
      <w:r w:rsidRPr="00676468">
        <w:rPr>
          <w:spacing w:val="-2"/>
        </w:rPr>
        <w:t xml:space="preserve"> z</w:t>
      </w:r>
      <w:r>
        <w:rPr>
          <w:spacing w:val="-2"/>
        </w:rPr>
        <w:t> </w:t>
      </w:r>
      <w:r w:rsidRPr="00676468">
        <w:rPr>
          <w:spacing w:val="-2"/>
        </w:rPr>
        <w:t>toho</w:t>
      </w:r>
      <w:r>
        <w:rPr>
          <w:spacing w:val="-2"/>
        </w:rPr>
        <w:t xml:space="preserve"> více než polovina (2 bil. Kč) v posledních pěti letech </w:t>
      </w:r>
      <w:r w:rsidRPr="00676468">
        <w:rPr>
          <w:spacing w:val="-2"/>
        </w:rPr>
        <w:t>(201</w:t>
      </w:r>
      <w:r>
        <w:rPr>
          <w:spacing w:val="-2"/>
        </w:rPr>
        <w:t>5 </w:t>
      </w:r>
      <w:r w:rsidRPr="00676468">
        <w:rPr>
          <w:spacing w:val="-2"/>
        </w:rPr>
        <w:t>až 201</w:t>
      </w:r>
      <w:r>
        <w:rPr>
          <w:spacing w:val="-2"/>
        </w:rPr>
        <w:t>9</w:t>
      </w:r>
      <w:r w:rsidRPr="00676468">
        <w:rPr>
          <w:spacing w:val="-2"/>
        </w:rPr>
        <w:t>)</w:t>
      </w:r>
      <w:r>
        <w:rPr>
          <w:spacing w:val="-2"/>
        </w:rPr>
        <w:t>.</w:t>
      </w:r>
      <w:r w:rsidRPr="00240B6D">
        <w:t xml:space="preserve"> </w:t>
      </w:r>
    </w:p>
    <w:p w:rsidR="00A6088A" w:rsidRDefault="009A7C8A" w:rsidP="00012061">
      <w:pPr>
        <w:rPr>
          <w:spacing w:val="-2"/>
        </w:rPr>
      </w:pPr>
      <w:r>
        <w:t>Výše u</w:t>
      </w:r>
      <w:r w:rsidRPr="00736F53">
        <w:t xml:space="preserve">vedený meziroční </w:t>
      </w:r>
      <w:r w:rsidRPr="00212B4D">
        <w:t>nárůs</w:t>
      </w:r>
      <w:r>
        <w:t xml:space="preserve">t celkových výdajů na zdravotní péči v ČR v roce 2019 byl </w:t>
      </w:r>
      <w:r w:rsidRPr="00736F53">
        <w:t xml:space="preserve">zapříčiněn </w:t>
      </w:r>
      <w:r>
        <w:t>především 9</w:t>
      </w:r>
      <w:r w:rsidR="003872E9">
        <w:t>,1</w:t>
      </w:r>
      <w:r w:rsidR="00235C8C">
        <w:t> </w:t>
      </w:r>
      <w:r>
        <w:t xml:space="preserve">% </w:t>
      </w:r>
      <w:r w:rsidRPr="00736F53">
        <w:t xml:space="preserve">navýšením prostředků </w:t>
      </w:r>
      <w:r w:rsidRPr="00676468">
        <w:rPr>
          <w:b/>
        </w:rPr>
        <w:t>z </w:t>
      </w:r>
      <w:r w:rsidRPr="008B7F0E">
        <w:rPr>
          <w:b/>
        </w:rPr>
        <w:t>veřejného zdravotního pojištění</w:t>
      </w:r>
      <w:r w:rsidRPr="00736F53">
        <w:t xml:space="preserve"> (</w:t>
      </w:r>
      <w:r>
        <w:t>nárůst o 25,9</w:t>
      </w:r>
      <w:r w:rsidRPr="00736F53">
        <w:t xml:space="preserve"> mld. Kč)</w:t>
      </w:r>
      <w:r>
        <w:t xml:space="preserve"> a o </w:t>
      </w:r>
      <w:r w:rsidR="00235C8C">
        <w:t>10,3</w:t>
      </w:r>
      <w:r>
        <w:t> % </w:t>
      </w:r>
      <w:r w:rsidRPr="00676468">
        <w:t xml:space="preserve">vyššími výdaji </w:t>
      </w:r>
      <w:r>
        <w:rPr>
          <w:b/>
        </w:rPr>
        <w:t>z veřejných rozpočtů</w:t>
      </w:r>
      <w:r w:rsidRPr="00736F53">
        <w:t xml:space="preserve"> (</w:t>
      </w:r>
      <w:r w:rsidR="00235C8C">
        <w:t>nárůst o 8</w:t>
      </w:r>
      <w:r>
        <w:t xml:space="preserve"> mld. Kč).</w:t>
      </w:r>
      <w:r w:rsidRPr="00736F53">
        <w:t xml:space="preserve"> </w:t>
      </w:r>
      <w:r>
        <w:rPr>
          <w:spacing w:val="-2"/>
        </w:rPr>
        <w:t xml:space="preserve">U </w:t>
      </w:r>
      <w:r>
        <w:rPr>
          <w:b/>
          <w:spacing w:val="-2"/>
        </w:rPr>
        <w:t>přímých plateb</w:t>
      </w:r>
      <w:r w:rsidRPr="00D01786">
        <w:rPr>
          <w:spacing w:val="-2"/>
        </w:rPr>
        <w:t xml:space="preserve"> </w:t>
      </w:r>
      <w:r w:rsidRPr="00D01786">
        <w:rPr>
          <w:b/>
          <w:spacing w:val="-2"/>
        </w:rPr>
        <w:t>domácností</w:t>
      </w:r>
      <w:r w:rsidRPr="00D01786">
        <w:rPr>
          <w:spacing w:val="-2"/>
        </w:rPr>
        <w:t xml:space="preserve"> </w:t>
      </w:r>
      <w:r>
        <w:rPr>
          <w:spacing w:val="-2"/>
        </w:rPr>
        <w:t>došlo meziročně k nejvyššímu nárůstu výdajů od roku 2010,</w:t>
      </w:r>
      <w:r w:rsidRPr="00D01786">
        <w:rPr>
          <w:spacing w:val="-2"/>
        </w:rPr>
        <w:t xml:space="preserve"> </w:t>
      </w:r>
      <w:r>
        <w:rPr>
          <w:spacing w:val="-2"/>
        </w:rPr>
        <w:t xml:space="preserve">a to </w:t>
      </w:r>
      <w:r w:rsidRPr="00D01786">
        <w:rPr>
          <w:spacing w:val="-2"/>
        </w:rPr>
        <w:t xml:space="preserve">o </w:t>
      </w:r>
      <w:r>
        <w:rPr>
          <w:spacing w:val="-2"/>
        </w:rPr>
        <w:t xml:space="preserve">6,4 </w:t>
      </w:r>
      <w:r w:rsidRPr="00D01786">
        <w:rPr>
          <w:spacing w:val="-2"/>
        </w:rPr>
        <w:t>mld. Kč (</w:t>
      </w:r>
      <w:r>
        <w:rPr>
          <w:spacing w:val="-2"/>
        </w:rPr>
        <w:t>11,1 %). Od ro</w:t>
      </w:r>
      <w:r w:rsidR="00981913">
        <w:rPr>
          <w:spacing w:val="-2"/>
        </w:rPr>
        <w:t>ku 2010 se výdaje domácností na </w:t>
      </w:r>
      <w:r>
        <w:rPr>
          <w:spacing w:val="-2"/>
        </w:rPr>
        <w:t xml:space="preserve">zdravotní péči zvýšily cekem o 20,6 mld. Kč. </w:t>
      </w:r>
    </w:p>
    <w:p w:rsidR="00235C8C" w:rsidRDefault="005C1851" w:rsidP="004418C4">
      <w:pPr>
        <w:spacing w:after="120"/>
        <w:jc w:val="left"/>
        <w:rPr>
          <w:noProof/>
        </w:rPr>
      </w:pPr>
      <w:r w:rsidRPr="005C1851">
        <w:rPr>
          <w:rFonts w:cs="Arial"/>
          <w:b/>
          <w:sz w:val="18"/>
          <w:szCs w:val="18"/>
        </w:rPr>
        <w:t>Graf č. 1.1. Celkové výdaje na zdravotní péči v Česku, 2010</w:t>
      </w:r>
      <w:r w:rsidRPr="005C1851">
        <w:rPr>
          <w:b/>
          <w:sz w:val="16"/>
          <w:szCs w:val="16"/>
        </w:rPr>
        <w:t>–</w:t>
      </w:r>
      <w:r w:rsidRPr="005C1851">
        <w:rPr>
          <w:rFonts w:cs="Arial"/>
          <w:b/>
          <w:sz w:val="18"/>
          <w:szCs w:val="18"/>
        </w:rPr>
        <w:t>2019 (mld. Kč; podíl na HDP)</w:t>
      </w:r>
    </w:p>
    <w:p w:rsidR="00A6088A" w:rsidRDefault="00A05CF9" w:rsidP="0070129F">
      <w:pPr>
        <w:spacing w:before="120" w:after="120"/>
        <w:jc w:val="left"/>
        <w:rPr>
          <w:b/>
          <w:bCs/>
          <w:i/>
          <w:sz w:val="16"/>
          <w:szCs w:val="16"/>
        </w:rPr>
      </w:pPr>
      <w:r>
        <w:rPr>
          <w:noProof/>
        </w:rPr>
        <w:drawing>
          <wp:inline distT="0" distB="0" distL="0" distR="0" wp14:anchorId="695EF476" wp14:editId="53BF25C0">
            <wp:extent cx="6032938" cy="3563007"/>
            <wp:effectExtent l="0" t="0" r="6350" b="1841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088A" w:rsidRPr="005C1851">
        <w:rPr>
          <w:b/>
          <w:bCs/>
          <w:i/>
          <w:sz w:val="16"/>
          <w:szCs w:val="16"/>
        </w:rPr>
        <w:t xml:space="preserve"> </w:t>
      </w:r>
    </w:p>
    <w:p w:rsidR="009A7C8A" w:rsidRPr="00A6088A" w:rsidRDefault="00A6088A" w:rsidP="00A6088A">
      <w:pPr>
        <w:jc w:val="right"/>
        <w:rPr>
          <w:b/>
          <w:bCs/>
          <w:i/>
          <w:sz w:val="16"/>
          <w:szCs w:val="16"/>
        </w:rPr>
      </w:pPr>
      <w:r w:rsidRPr="005C1851">
        <w:rPr>
          <w:b/>
          <w:bCs/>
          <w:i/>
          <w:sz w:val="16"/>
          <w:szCs w:val="16"/>
        </w:rPr>
        <w:t xml:space="preserve">Zdroj: ČSÚ 2021, Zdravotnické účty ČR 2010 </w:t>
      </w:r>
      <w:r w:rsidRPr="005C1851">
        <w:rPr>
          <w:b/>
          <w:sz w:val="16"/>
          <w:szCs w:val="16"/>
        </w:rPr>
        <w:t>–</w:t>
      </w:r>
      <w:r w:rsidRPr="005C1851">
        <w:rPr>
          <w:b/>
          <w:bCs/>
          <w:i/>
          <w:sz w:val="16"/>
          <w:szCs w:val="16"/>
        </w:rPr>
        <w:t xml:space="preserve"> 2019</w:t>
      </w:r>
      <w:r w:rsidR="009A7C8A">
        <w:br w:type="page"/>
      </w:r>
    </w:p>
    <w:p w:rsidR="009A7C8A" w:rsidRPr="00FB146C" w:rsidRDefault="009A7C8A" w:rsidP="00012061">
      <w:pPr>
        <w:rPr>
          <w:bCs/>
          <w:i/>
          <w:spacing w:val="-2"/>
        </w:rPr>
      </w:pPr>
      <w:r w:rsidRPr="00ED7293">
        <w:lastRenderedPageBreak/>
        <w:t xml:space="preserve">V meziročním srovnání výdajů zdravotních pojišťoven na zdravotní péči podle typu poskytnuté péče vzrostly především </w:t>
      </w:r>
      <w:r w:rsidRPr="00ED7293">
        <w:rPr>
          <w:b/>
        </w:rPr>
        <w:t>výdaje na léčebnou péči</w:t>
      </w:r>
      <w:r w:rsidRPr="00ED7293">
        <w:t xml:space="preserve"> (o 14,4 mld. Kč), což bylo z nejvyšší části zapříčiněno zvýšením výdajů za ambulantní léčebnou péči (o 10,4 mld. Kč). U ambulantní péče došlo konkrétně k nejvyššímu zvýšení výdajů u speci</w:t>
      </w:r>
      <w:r w:rsidR="003872E9">
        <w:t>alizované ambulantní péče (o 6,4</w:t>
      </w:r>
      <w:r w:rsidRPr="00ED7293">
        <w:t xml:space="preserve"> mld. Kč). K druhému nejvyššímu zvýšení v roce 2019 došlo </w:t>
      </w:r>
      <w:r w:rsidR="00981913">
        <w:rPr>
          <w:b/>
        </w:rPr>
        <w:t>u </w:t>
      </w:r>
      <w:r w:rsidRPr="00ED7293">
        <w:rPr>
          <w:b/>
        </w:rPr>
        <w:t>výdajů za léčiva a ostatní zdravotnické prostředky</w:t>
      </w:r>
      <w:r w:rsidRPr="00ED7293">
        <w:t xml:space="preserve"> (o 6,5 mld. Kč), což bylo způsobeno především zvýšením výdajů na léčiva a zdravotnický materiál (o 5,5 mld. Kč).</w:t>
      </w:r>
      <w:r>
        <w:t xml:space="preserve"> </w:t>
      </w:r>
    </w:p>
    <w:p w:rsidR="009A7C8A" w:rsidRDefault="009A7C8A" w:rsidP="00012061">
      <w:r w:rsidRPr="00FC7C45">
        <w:t xml:space="preserve">Zatímco v absolutních hodnotách každoročně výdaje na zdravotní péči v Česku rostou, jejich </w:t>
      </w:r>
      <w:r w:rsidRPr="00FC7C45">
        <w:rPr>
          <w:b/>
        </w:rPr>
        <w:t xml:space="preserve">podíl na </w:t>
      </w:r>
      <w:r>
        <w:rPr>
          <w:b/>
        </w:rPr>
        <w:t>hrubém domácím produktu (</w:t>
      </w:r>
      <w:r w:rsidRPr="00FC7C45">
        <w:rPr>
          <w:b/>
        </w:rPr>
        <w:t>HDP</w:t>
      </w:r>
      <w:r>
        <w:rPr>
          <w:b/>
        </w:rPr>
        <w:t>)</w:t>
      </w:r>
      <w:r w:rsidRPr="00FC7C45">
        <w:t xml:space="preserve"> </w:t>
      </w:r>
      <w:r>
        <w:t>se v čase nemění. Mezi lety 2010-2013 docházelo ke stagnaci</w:t>
      </w:r>
      <w:r w:rsidRPr="00FC7C45">
        <w:t>, kdy se tento poměrový ukazatel poh</w:t>
      </w:r>
      <w:r>
        <w:t>yboval v průměru 8,37 % HDP. V</w:t>
      </w:r>
      <w:r w:rsidRPr="00FC7C45">
        <w:t xml:space="preserve"> roce 2014 </w:t>
      </w:r>
      <w:r>
        <w:t xml:space="preserve">došlo k poklesu podílu na HDP na 8,06 %. V následujícím roce došlo k nejvyššímu poklesu podílu na HDP, přesně o 0,42 procentního bodu. V letech 2015-2017 byl podíl na HDP v průměru 7,6 %. O </w:t>
      </w:r>
      <w:r w:rsidR="00A05CF9">
        <w:t>0,</w:t>
      </w:r>
      <w:r>
        <w:t>43 procentních bodů došlo ke zvýšení v roce 2018, podíl na HDP tedy po několika letech znovu přesáhl hranici 8 %. Co se týče podílu na HDP v roce 2019,</w:t>
      </w:r>
      <w:r w:rsidR="003872E9">
        <w:t xml:space="preserve"> došlo meziročně ke zvýšení </w:t>
      </w:r>
      <w:r w:rsidR="00A05CF9">
        <w:t>o 0,28 </w:t>
      </w:r>
      <w:proofErr w:type="spellStart"/>
      <w:proofErr w:type="gramStart"/>
      <w:r w:rsidR="00A05CF9">
        <w:t>p.b</w:t>
      </w:r>
      <w:proofErr w:type="spellEnd"/>
      <w:r w:rsidR="00A05CF9">
        <w:t>. na</w:t>
      </w:r>
      <w:proofErr w:type="gramEnd"/>
      <w:r w:rsidR="00A05CF9">
        <w:t xml:space="preserve"> 8,31</w:t>
      </w:r>
      <w:r>
        <w:t> %, což je ne</w:t>
      </w:r>
      <w:r w:rsidR="003872E9">
        <w:t>jvyšší podíl na HDP od roku 2014</w:t>
      </w:r>
      <w:r>
        <w:t xml:space="preserve">. </w:t>
      </w:r>
    </w:p>
    <w:p w:rsidR="00FE5105" w:rsidRPr="001774B9" w:rsidRDefault="00FE5105" w:rsidP="0033652E">
      <w:pPr>
        <w:keepNext/>
        <w:spacing w:before="240" w:after="120"/>
        <w:rPr>
          <w:rFonts w:cs="Arial"/>
          <w:b/>
          <w:sz w:val="18"/>
          <w:szCs w:val="18"/>
        </w:rPr>
      </w:pPr>
      <w:r w:rsidRPr="001774B9">
        <w:rPr>
          <w:rFonts w:cs="Arial"/>
          <w:b/>
          <w:sz w:val="18"/>
          <w:szCs w:val="18"/>
        </w:rPr>
        <w:t>Graf č. 1.2</w:t>
      </w:r>
      <w:r>
        <w:rPr>
          <w:rFonts w:cs="Arial"/>
          <w:b/>
          <w:sz w:val="18"/>
          <w:szCs w:val="18"/>
        </w:rPr>
        <w:t>.</w:t>
      </w:r>
      <w:r w:rsidRPr="001774B9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Výdaje na zdravotní péči na jednoho obyvatele v ČR v letech 2010-2019 (Kč)</w:t>
      </w:r>
    </w:p>
    <w:p w:rsidR="009A7C8A" w:rsidRDefault="00A05CF9" w:rsidP="0070129F">
      <w:pPr>
        <w:spacing w:before="120" w:after="120"/>
      </w:pPr>
      <w:r>
        <w:rPr>
          <w:noProof/>
        </w:rPr>
        <w:drawing>
          <wp:inline distT="0" distB="0" distL="0" distR="0" wp14:anchorId="29145CAC" wp14:editId="4484A64A">
            <wp:extent cx="6064469" cy="2469515"/>
            <wp:effectExtent l="0" t="0" r="12700" b="698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105" w:rsidRDefault="00FE5105" w:rsidP="00FE5105">
      <w:pPr>
        <w:keepNext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Zdroj: Č</w:t>
      </w:r>
      <w:r w:rsidRPr="00240B6D">
        <w:rPr>
          <w:b/>
          <w:bCs/>
          <w:i/>
          <w:sz w:val="16"/>
          <w:szCs w:val="16"/>
        </w:rPr>
        <w:t>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 xml:space="preserve"> 201</w:t>
      </w:r>
      <w:r>
        <w:rPr>
          <w:b/>
          <w:bCs/>
          <w:i/>
          <w:sz w:val="16"/>
          <w:szCs w:val="16"/>
        </w:rPr>
        <w:t>9</w:t>
      </w:r>
    </w:p>
    <w:p w:rsidR="00FE5105" w:rsidRDefault="00FE5105" w:rsidP="00012061">
      <w:r>
        <w:t xml:space="preserve">Graf </w:t>
      </w:r>
      <w:proofErr w:type="gramStart"/>
      <w:r>
        <w:t>č.1.2</w:t>
      </w:r>
      <w:proofErr w:type="gramEnd"/>
      <w:r w:rsidR="00691101">
        <w:t>.</w:t>
      </w:r>
      <w:r>
        <w:t xml:space="preserve"> zachycuje </w:t>
      </w:r>
      <w:r w:rsidRPr="007E641C">
        <w:rPr>
          <w:b/>
        </w:rPr>
        <w:t>výdaje na zdravotní péči na jednoho obyvatele</w:t>
      </w:r>
      <w:r>
        <w:t xml:space="preserve"> v letech 2010-2019. Jak lze na grafu vidět, mezi lety 2010-2015 nedocházelo k výraznějšímu zvyšování výdajů na zdravotní péči na jednoho obyvatele (každoročně zvýšení o 1 %). Průměrné výdaje na jednoho</w:t>
      </w:r>
      <w:r w:rsidR="00981913">
        <w:t xml:space="preserve"> obyvatele byly v těchto letech </w:t>
      </w:r>
      <w:r>
        <w:t xml:space="preserve">32, 7 tis. Kč. Od roku 2016 začalo docházet k výraznějšímu zvyšování výdajů na jednoho obyvatele. </w:t>
      </w:r>
      <w:r w:rsidR="00981913">
        <w:t xml:space="preserve">V roce 2018 a </w:t>
      </w:r>
      <w:r>
        <w:t>2019 došlo ke zvýšení výdajů na zdravotní péči na jednoho obyvat</w:t>
      </w:r>
      <w:r w:rsidR="00A05CF9">
        <w:t xml:space="preserve">ele oproti předchozímu roku </w:t>
      </w:r>
      <w:r w:rsidR="00981913">
        <w:t xml:space="preserve">v průměru </w:t>
      </w:r>
      <w:r w:rsidR="00A05CF9">
        <w:t>o 10</w:t>
      </w:r>
      <w:r w:rsidR="00981913">
        <w:t>,5</w:t>
      </w:r>
      <w:r>
        <w:t xml:space="preserve"> %. </w:t>
      </w:r>
      <w:r w:rsidRPr="007E641C">
        <w:rPr>
          <w:b/>
        </w:rPr>
        <w:t xml:space="preserve">V roce 2019 byly </w:t>
      </w:r>
      <w:r w:rsidR="00A05CF9">
        <w:rPr>
          <w:b/>
        </w:rPr>
        <w:t>výdaje na jednoho obyvatele přibližně 44,8</w:t>
      </w:r>
      <w:r w:rsidRPr="007E641C">
        <w:rPr>
          <w:b/>
        </w:rPr>
        <w:t xml:space="preserve"> tis. Kč.</w:t>
      </w:r>
      <w:r>
        <w:rPr>
          <w:b/>
        </w:rPr>
        <w:t xml:space="preserve"> </w:t>
      </w:r>
      <w:r>
        <w:t>Oproti roku 2010 došlo ke zvý</w:t>
      </w:r>
      <w:r w:rsidR="00A05CF9">
        <w:t>šení těchto výdajů téměř o 13 tis. Kč (o 41</w:t>
      </w:r>
      <w:r>
        <w:t> %).</w:t>
      </w:r>
    </w:p>
    <w:p w:rsidR="00FE5105" w:rsidRDefault="00FE5105" w:rsidP="00FE5105">
      <w:pPr>
        <w:pStyle w:val="Nadpis3"/>
      </w:pPr>
      <w:r w:rsidRPr="00FE5105">
        <w:t>1.2. Výdaje na zdravotní péči podle zdrojů financování</w:t>
      </w:r>
    </w:p>
    <w:p w:rsidR="00FE5105" w:rsidRDefault="00FE5105" w:rsidP="00FE5105">
      <w:pPr>
        <w:widowControl w:val="0"/>
        <w:spacing w:after="0"/>
        <w:rPr>
          <w:bCs/>
          <w:szCs w:val="20"/>
        </w:rPr>
      </w:pPr>
      <w:r w:rsidRPr="00D3629C">
        <w:rPr>
          <w:bCs/>
          <w:szCs w:val="20"/>
        </w:rPr>
        <w:t>Financování zdravotní péče je základním rozměrem zdravotnických účtů. Každý ze zdrojů financování má svoji specifickou úlohu. Me</w:t>
      </w:r>
      <w:r>
        <w:rPr>
          <w:bCs/>
          <w:szCs w:val="20"/>
        </w:rPr>
        <w:t>zinárodní m</w:t>
      </w:r>
      <w:r w:rsidRPr="00240B6D">
        <w:rPr>
          <w:bCs/>
          <w:szCs w:val="20"/>
        </w:rPr>
        <w:t xml:space="preserve">anuál SHA 2011 k zdravotnickým účtům </w:t>
      </w:r>
      <w:r>
        <w:rPr>
          <w:bCs/>
          <w:szCs w:val="20"/>
        </w:rPr>
        <w:t>definuje</w:t>
      </w:r>
      <w:r w:rsidRPr="00240B6D">
        <w:rPr>
          <w:bCs/>
          <w:szCs w:val="20"/>
        </w:rPr>
        <w:t xml:space="preserve"> tři základní </w:t>
      </w:r>
      <w:r w:rsidRPr="00240B6D">
        <w:rPr>
          <w:b/>
          <w:bCs/>
          <w:szCs w:val="20"/>
        </w:rPr>
        <w:t>zdroje financování</w:t>
      </w:r>
      <w:r w:rsidRPr="00240B6D">
        <w:rPr>
          <w:bCs/>
          <w:szCs w:val="20"/>
        </w:rPr>
        <w:t xml:space="preserve"> zdravotní péče</w:t>
      </w:r>
      <w:r>
        <w:rPr>
          <w:bCs/>
          <w:szCs w:val="20"/>
        </w:rPr>
        <w:t>,</w:t>
      </w:r>
      <w:r w:rsidRPr="00240B6D">
        <w:rPr>
          <w:bCs/>
          <w:szCs w:val="20"/>
        </w:rPr>
        <w:t xml:space="preserve"> a to: </w:t>
      </w:r>
    </w:p>
    <w:p w:rsidR="00FE5105" w:rsidRPr="00FE5105" w:rsidRDefault="00FE5105" w:rsidP="00FE5105">
      <w:pPr>
        <w:pStyle w:val="Odstavecseseznamem"/>
        <w:widowControl w:val="0"/>
        <w:numPr>
          <w:ilvl w:val="0"/>
          <w:numId w:val="17"/>
        </w:numPr>
        <w:spacing w:after="0"/>
        <w:rPr>
          <w:bCs/>
          <w:szCs w:val="20"/>
        </w:rPr>
      </w:pPr>
      <w:r w:rsidRPr="00FE5105">
        <w:rPr>
          <w:bCs/>
          <w:szCs w:val="20"/>
        </w:rPr>
        <w:t xml:space="preserve">veřejné zdroje, </w:t>
      </w:r>
    </w:p>
    <w:p w:rsidR="00FE5105" w:rsidRPr="00FE5105" w:rsidRDefault="00FE5105" w:rsidP="00FE5105">
      <w:pPr>
        <w:pStyle w:val="Odstavecseseznamem"/>
        <w:keepNext/>
        <w:numPr>
          <w:ilvl w:val="0"/>
          <w:numId w:val="17"/>
        </w:numPr>
        <w:tabs>
          <w:tab w:val="left" w:pos="426"/>
        </w:tabs>
        <w:spacing w:after="0"/>
        <w:rPr>
          <w:bCs/>
          <w:szCs w:val="20"/>
        </w:rPr>
      </w:pPr>
      <w:r w:rsidRPr="00FE5105">
        <w:rPr>
          <w:bCs/>
          <w:szCs w:val="20"/>
        </w:rPr>
        <w:t>soukromé zdroje bez přímých plateb domácností,</w:t>
      </w:r>
    </w:p>
    <w:p w:rsidR="00FE5105" w:rsidRPr="00FE5105" w:rsidRDefault="00FE5105" w:rsidP="00FE5105">
      <w:pPr>
        <w:pStyle w:val="Odstavecseseznamem"/>
        <w:keepNext/>
        <w:numPr>
          <w:ilvl w:val="0"/>
          <w:numId w:val="17"/>
        </w:numPr>
        <w:tabs>
          <w:tab w:val="left" w:pos="426"/>
        </w:tabs>
        <w:spacing w:after="0"/>
        <w:rPr>
          <w:bCs/>
          <w:szCs w:val="20"/>
        </w:rPr>
      </w:pPr>
      <w:r w:rsidRPr="00FE5105">
        <w:rPr>
          <w:bCs/>
          <w:szCs w:val="20"/>
        </w:rPr>
        <w:t>přímé platby domácností.</w:t>
      </w:r>
    </w:p>
    <w:p w:rsidR="008F6122" w:rsidRDefault="00FE5105" w:rsidP="00012061">
      <w:r w:rsidRPr="00240B6D">
        <w:t xml:space="preserve">Do prvně jmenované skupiny – veřejné zdroje – patří především finanční prostředky získané v rámci </w:t>
      </w:r>
      <w:r w:rsidRPr="00240B6D">
        <w:rPr>
          <w:b/>
        </w:rPr>
        <w:t>povinného zdravotního pojištění</w:t>
      </w:r>
      <w:r w:rsidRPr="00240B6D">
        <w:t xml:space="preserve"> </w:t>
      </w:r>
      <w:r w:rsidRPr="003C1109">
        <w:rPr>
          <w:i/>
        </w:rPr>
        <w:t xml:space="preserve">(podrobněji viz kapitola </w:t>
      </w:r>
      <w:r>
        <w:rPr>
          <w:i/>
        </w:rPr>
        <w:t>2</w:t>
      </w:r>
      <w:r w:rsidRPr="003C1109">
        <w:rPr>
          <w:i/>
        </w:rPr>
        <w:t>)</w:t>
      </w:r>
      <w:r w:rsidRPr="00240B6D">
        <w:t xml:space="preserve"> a dále prostředky z </w:t>
      </w:r>
      <w:r w:rsidRPr="009A6737">
        <w:rPr>
          <w:b/>
        </w:rPr>
        <w:t>veřejných rozpočtů</w:t>
      </w:r>
      <w:r w:rsidRPr="00240B6D">
        <w:t>, které</w:t>
      </w:r>
      <w:r>
        <w:t xml:space="preserve"> </w:t>
      </w:r>
      <w:r w:rsidRPr="00240B6D">
        <w:t xml:space="preserve">zahrnují jak finanční zdroje získané na zdravotní péči přímo ze </w:t>
      </w:r>
      <w:r w:rsidRPr="00240B6D">
        <w:rPr>
          <w:b/>
        </w:rPr>
        <w:t>státního rozpočtu</w:t>
      </w:r>
      <w:r w:rsidRPr="00240B6D">
        <w:t xml:space="preserve"> - nejčastěji z kapitoly </w:t>
      </w:r>
      <w:r>
        <w:t>MZ</w:t>
      </w:r>
      <w:r w:rsidR="00981913">
        <w:t xml:space="preserve"> a </w:t>
      </w:r>
      <w:r w:rsidRPr="00240B6D">
        <w:t xml:space="preserve">MPSV, tak </w:t>
      </w:r>
      <w:r>
        <w:t xml:space="preserve">i </w:t>
      </w:r>
      <w:r w:rsidRPr="00240B6D">
        <w:t>zdroje místních rozpočtů</w:t>
      </w:r>
      <w:r>
        <w:t>,</w:t>
      </w:r>
      <w:r w:rsidRPr="00240B6D">
        <w:t xml:space="preserve"> kam patří především zdroje z </w:t>
      </w:r>
      <w:r w:rsidRPr="00240B6D">
        <w:rPr>
          <w:b/>
        </w:rPr>
        <w:t>krajských rozpočtů</w:t>
      </w:r>
      <w:r w:rsidRPr="00240B6D">
        <w:t>.</w:t>
      </w:r>
      <w:r>
        <w:t xml:space="preserve"> </w:t>
      </w:r>
    </w:p>
    <w:p w:rsidR="008F6122" w:rsidRDefault="00FE5105" w:rsidP="00012061">
      <w:r w:rsidRPr="00240B6D">
        <w:lastRenderedPageBreak/>
        <w:t xml:space="preserve">Do soukromých zdrojů (bez přímých plateb domácností) jsou zahrnuty </w:t>
      </w:r>
      <w:r w:rsidRPr="00240B6D">
        <w:rPr>
          <w:b/>
        </w:rPr>
        <w:t>dobrovolné platby</w:t>
      </w:r>
      <w:r w:rsidRPr="00240B6D">
        <w:t xml:space="preserve"> na zdravotní péči </w:t>
      </w:r>
      <w:r w:rsidRPr="00240B6D">
        <w:rPr>
          <w:b/>
        </w:rPr>
        <w:t>neziskových institucí</w:t>
      </w:r>
      <w:r w:rsidRPr="00240B6D">
        <w:t xml:space="preserve">, </w:t>
      </w:r>
      <w:r w:rsidRPr="00240B6D">
        <w:rPr>
          <w:b/>
        </w:rPr>
        <w:t>soukromé zdravotní pojištění</w:t>
      </w:r>
      <w:r w:rsidRPr="00240B6D">
        <w:t xml:space="preserve"> a </w:t>
      </w:r>
      <w:r w:rsidRPr="00240B6D">
        <w:rPr>
          <w:b/>
        </w:rPr>
        <w:t>závodní (podniková) preventivní péče</w:t>
      </w:r>
      <w:r w:rsidRPr="00240B6D">
        <w:t xml:space="preserve">. </w:t>
      </w:r>
    </w:p>
    <w:p w:rsidR="00FE5105" w:rsidRDefault="00FE5105" w:rsidP="00012061">
      <w:r w:rsidRPr="00240B6D">
        <w:t xml:space="preserve">Přímé platby domácností </w:t>
      </w:r>
      <w:r w:rsidRPr="003C1109">
        <w:rPr>
          <w:i/>
        </w:rPr>
        <w:t>(podrobněji viz kapitola </w:t>
      </w:r>
      <w:r>
        <w:rPr>
          <w:i/>
        </w:rPr>
        <w:t>3</w:t>
      </w:r>
      <w:r w:rsidRPr="003C1109">
        <w:rPr>
          <w:i/>
        </w:rPr>
        <w:t>)</w:t>
      </w:r>
      <w:r w:rsidRPr="00240B6D">
        <w:t xml:space="preserve"> zahrnují </w:t>
      </w:r>
      <w:r w:rsidRPr="00240B6D">
        <w:rPr>
          <w:b/>
        </w:rPr>
        <w:t>přímé výdaje příjemců zdravotní péče (pacientů)</w:t>
      </w:r>
      <w:r w:rsidRPr="00240B6D">
        <w:t xml:space="preserve"> nebo jejich případnou </w:t>
      </w:r>
      <w:r w:rsidRPr="00240B6D">
        <w:rPr>
          <w:b/>
        </w:rPr>
        <w:t>spoluúčast</w:t>
      </w:r>
      <w:r w:rsidRPr="00240B6D">
        <w:t xml:space="preserve">. </w:t>
      </w:r>
    </w:p>
    <w:p w:rsidR="00FE5105" w:rsidRDefault="00FE5105" w:rsidP="00FE5105">
      <w:pPr>
        <w:keepNext/>
        <w:spacing w:before="240" w:after="120" w:line="240" w:lineRule="auto"/>
        <w:rPr>
          <w:b/>
          <w:bCs/>
          <w:sz w:val="18"/>
          <w:szCs w:val="18"/>
        </w:rPr>
      </w:pPr>
      <w:r w:rsidRPr="00240B6D">
        <w:rPr>
          <w:b/>
          <w:bCs/>
          <w:sz w:val="18"/>
          <w:szCs w:val="18"/>
        </w:rPr>
        <w:t xml:space="preserve">Tab. </w:t>
      </w:r>
      <w:proofErr w:type="gramStart"/>
      <w:r>
        <w:rPr>
          <w:b/>
          <w:bCs/>
          <w:sz w:val="18"/>
          <w:szCs w:val="18"/>
        </w:rPr>
        <w:t>č.</w:t>
      </w:r>
      <w:proofErr w:type="gramEnd"/>
      <w:r>
        <w:rPr>
          <w:b/>
          <w:bCs/>
          <w:sz w:val="18"/>
          <w:szCs w:val="18"/>
        </w:rPr>
        <w:t xml:space="preserve"> 1</w:t>
      </w:r>
      <w:r w:rsidRPr="00240B6D">
        <w:rPr>
          <w:b/>
          <w:bCs/>
          <w:sz w:val="18"/>
          <w:szCs w:val="18"/>
        </w:rPr>
        <w:t>.1</w:t>
      </w:r>
      <w:r>
        <w:rPr>
          <w:b/>
          <w:bCs/>
          <w:sz w:val="18"/>
          <w:szCs w:val="18"/>
        </w:rPr>
        <w:t>.</w:t>
      </w:r>
      <w:r w:rsidRPr="00240B6D">
        <w:rPr>
          <w:b/>
          <w:bCs/>
          <w:sz w:val="18"/>
          <w:szCs w:val="18"/>
        </w:rPr>
        <w:t xml:space="preserve"> Výdaje na zdravotní péči v Česku podle zdrojů financování, 2010</w:t>
      </w:r>
      <w:r>
        <w:rPr>
          <w:b/>
          <w:bCs/>
          <w:sz w:val="18"/>
          <w:szCs w:val="18"/>
        </w:rPr>
        <w:t>, 2015</w:t>
      </w:r>
      <w:r>
        <w:rPr>
          <w:b/>
          <w:sz w:val="16"/>
          <w:szCs w:val="16"/>
        </w:rPr>
        <w:t xml:space="preserve"> až </w:t>
      </w:r>
      <w:r w:rsidRPr="00240B6D">
        <w:rPr>
          <w:b/>
          <w:bCs/>
          <w:sz w:val="18"/>
          <w:szCs w:val="18"/>
        </w:rPr>
        <w:t>201</w:t>
      </w:r>
      <w:r>
        <w:rPr>
          <w:b/>
          <w:bCs/>
          <w:sz w:val="18"/>
          <w:szCs w:val="18"/>
        </w:rPr>
        <w:t>9</w:t>
      </w:r>
      <w:r w:rsidRPr="00240B6D">
        <w:rPr>
          <w:b/>
          <w:bCs/>
          <w:sz w:val="18"/>
          <w:szCs w:val="18"/>
        </w:rPr>
        <w:t xml:space="preserve"> (mil. Kč)</w:t>
      </w:r>
    </w:p>
    <w:tbl>
      <w:tblPr>
        <w:tblW w:w="9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839"/>
        <w:gridCol w:w="944"/>
        <w:gridCol w:w="944"/>
        <w:gridCol w:w="944"/>
        <w:gridCol w:w="944"/>
        <w:gridCol w:w="944"/>
        <w:gridCol w:w="951"/>
      </w:tblGrid>
      <w:tr w:rsidR="00FE5105" w:rsidRPr="00FE5105" w:rsidTr="008F6122">
        <w:trPr>
          <w:trHeight w:val="487"/>
        </w:trPr>
        <w:tc>
          <w:tcPr>
            <w:tcW w:w="3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Zdroj financování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Struktura 2019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 Veřejné zdroje celkem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282 166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293 359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300 210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322 033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361 852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A05CF9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395 757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82,8</w:t>
            </w:r>
            <w:r w:rsidR="008714C9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1.1 Vládní systémy (veřejné rozpočty)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50 277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58 899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62 509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69 865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77 939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A05CF9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85 993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18,0</w:t>
            </w:r>
            <w:r w:rsidR="008714C9"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200" w:firstLine="32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1.1.1 Státní rozpočet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45 187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52 622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55 895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62 090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69 503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76 758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8714C9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16,01</w:t>
            </w:r>
            <w:r w:rsidR="00520DC4">
              <w:rPr>
                <w:rFonts w:cs="Arial"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200" w:firstLine="32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1.1.2 Krajské a obecní rozpočty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5 091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6 277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6 614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7 774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8 436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9 235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</w:t>
            </w:r>
            <w:r w:rsidR="008714C9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1.2 Veřejné zdravotní pojišťovny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231 889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234 460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237 700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252 169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283 913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309 764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64,8</w:t>
            </w:r>
            <w:r w:rsidR="008714C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2 Soukromé zdroje celkem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9 217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9 322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10 222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11 303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14 924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18 235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3,8</w:t>
            </w:r>
            <w:r w:rsidR="008714C9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 w:rsidR="00520DC4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 xml:space="preserve">2.1 Soukromé zdravotní pojištění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0,1</w:t>
            </w:r>
            <w:r w:rsidR="008714C9">
              <w:rPr>
                <w:rFonts w:cs="Arial"/>
                <w:color w:val="000000"/>
                <w:sz w:val="16"/>
                <w:szCs w:val="16"/>
              </w:rPr>
              <w:t>4</w:t>
            </w:r>
            <w:r w:rsidR="00520DC4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2.2 Neziskové organizace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7 888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7 929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8 479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8 995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13 163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16 300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3,4</w:t>
            </w:r>
            <w:r w:rsidR="008714C9">
              <w:rPr>
                <w:rFonts w:cs="Arial"/>
                <w:color w:val="000000"/>
                <w:sz w:val="16"/>
                <w:szCs w:val="16"/>
              </w:rPr>
              <w:t>1</w:t>
            </w:r>
            <w:r w:rsidR="00520DC4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2.3 Podniky - závodní preventivní péče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1 769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1 197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color w:val="000000"/>
                <w:sz w:val="16"/>
                <w:szCs w:val="16"/>
              </w:rPr>
              <w:t>1 251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05" w:rsidRPr="00FE5105" w:rsidRDefault="008714C9" w:rsidP="0070129F">
            <w:pPr>
              <w:spacing w:before="120" w:after="12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0,26</w:t>
            </w:r>
            <w:r w:rsidR="00520DC4">
              <w:rPr>
                <w:rFonts w:cs="Arial"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 Domácnosti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43 105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50 634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52 954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54 870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57 344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63 732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13,3</w:t>
            </w:r>
            <w:r w:rsidR="008714C9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  <w:r w:rsidR="00FE5105"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E5105" w:rsidRPr="00FE5105" w:rsidTr="008F6122">
        <w:trPr>
          <w:trHeight w:val="464"/>
        </w:trPr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zdravotní péči celkem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334 488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353 315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363 386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388 206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434 120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520DC4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477 724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FE5105" w:rsidRPr="00FE5105" w:rsidRDefault="00FE5105" w:rsidP="0070129F">
            <w:pPr>
              <w:spacing w:before="120" w:after="12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100,0</w:t>
            </w:r>
            <w:r w:rsidR="008714C9">
              <w:rPr>
                <w:rFonts w:cs="Arial"/>
                <w:b/>
                <w:bCs/>
                <w:color w:val="000000"/>
                <w:sz w:val="16"/>
                <w:szCs w:val="16"/>
              </w:rPr>
              <w:t>0 </w:t>
            </w:r>
            <w:r w:rsidRPr="00FE5105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FE5105" w:rsidRDefault="00FE5105" w:rsidP="00693FB4">
      <w:pPr>
        <w:keepNext/>
        <w:spacing w:before="120" w:after="60" w:line="240" w:lineRule="auto"/>
        <w:rPr>
          <w:sz w:val="16"/>
        </w:rPr>
      </w:pPr>
      <w:r>
        <w:rPr>
          <w:sz w:val="16"/>
        </w:rPr>
        <w:t>Pozn. Ú</w:t>
      </w:r>
      <w:r w:rsidRPr="00240B6D">
        <w:rPr>
          <w:sz w:val="16"/>
        </w:rPr>
        <w:t>daje za rok 201</w:t>
      </w:r>
      <w:r>
        <w:rPr>
          <w:sz w:val="16"/>
        </w:rPr>
        <w:t>9</w:t>
      </w:r>
      <w:r w:rsidRPr="00240B6D">
        <w:rPr>
          <w:sz w:val="16"/>
        </w:rPr>
        <w:t xml:space="preserve"> jsou předběžné</w:t>
      </w:r>
      <w:r>
        <w:rPr>
          <w:sz w:val="16"/>
        </w:rPr>
        <w:t>.</w:t>
      </w:r>
    </w:p>
    <w:p w:rsidR="00FE5105" w:rsidRDefault="00FE5105" w:rsidP="00FE5105">
      <w:pPr>
        <w:keepNext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:rsidR="00B651E6" w:rsidRPr="008F6122" w:rsidRDefault="00B651E6" w:rsidP="00012061">
      <w:r w:rsidRPr="00DE40E4">
        <w:t xml:space="preserve">Struktura financování zdravotnictví v České republice se dlouhodobě nemění. Primárně je české zdravotnictví financováno z veřejných zdrojů. </w:t>
      </w:r>
      <w:r>
        <w:t>Mezi lety</w:t>
      </w:r>
      <w:r w:rsidRPr="00DE40E4">
        <w:t xml:space="preserve"> 2010-2019 se </w:t>
      </w:r>
      <w:r w:rsidRPr="00DE40E4">
        <w:rPr>
          <w:b/>
        </w:rPr>
        <w:t>financování z veřejných zdrojů</w:t>
      </w:r>
      <w:r w:rsidR="00981913">
        <w:t xml:space="preserve"> podílelo na </w:t>
      </w:r>
      <w:r w:rsidRPr="00DE40E4">
        <w:t>financování zdravotní péče z 83,0 % až 84,4 %. V ro</w:t>
      </w:r>
      <w:r w:rsidR="00520DC4">
        <w:t>ce 2019 to bylo konkrétně z 82,8</w:t>
      </w:r>
      <w:r w:rsidR="00981913">
        <w:t xml:space="preserve"> %. Nejvyšší podíl na </w:t>
      </w:r>
      <w:r w:rsidRPr="00DE40E4">
        <w:t xml:space="preserve">financování zdravotní péče v ČR z veřejných zdrojů </w:t>
      </w:r>
      <w:r>
        <w:t>zaujímaly</w:t>
      </w:r>
      <w:r w:rsidRPr="00DE40E4">
        <w:t xml:space="preserve"> především </w:t>
      </w:r>
      <w:r w:rsidRPr="00DE40E4">
        <w:rPr>
          <w:b/>
        </w:rPr>
        <w:t>platby hrazené zdravotní</w:t>
      </w:r>
      <w:r>
        <w:rPr>
          <w:b/>
        </w:rPr>
        <w:t>mi</w:t>
      </w:r>
      <w:r w:rsidRPr="00DE40E4">
        <w:rPr>
          <w:b/>
        </w:rPr>
        <w:t xml:space="preserve"> pojišťovn</w:t>
      </w:r>
      <w:r>
        <w:rPr>
          <w:b/>
        </w:rPr>
        <w:t>ami</w:t>
      </w:r>
      <w:r w:rsidRPr="00DE40E4">
        <w:rPr>
          <w:b/>
        </w:rPr>
        <w:t xml:space="preserve"> z veřejného pojištění</w:t>
      </w:r>
      <w:r w:rsidRPr="00DE40E4">
        <w:t xml:space="preserve"> (</w:t>
      </w:r>
      <w:r>
        <w:t xml:space="preserve">v roce 2019 činily </w:t>
      </w:r>
      <w:r w:rsidRPr="00DE40E4">
        <w:t>309,8 mld. Kč,</w:t>
      </w:r>
      <w:r>
        <w:t xml:space="preserve"> tj. </w:t>
      </w:r>
      <w:r w:rsidR="00520DC4">
        <w:t>64,8</w:t>
      </w:r>
      <w:r w:rsidRPr="00DE40E4">
        <w:t xml:space="preserve"> %). Dále </w:t>
      </w:r>
      <w:r w:rsidRPr="00DE40E4">
        <w:rPr>
          <w:b/>
        </w:rPr>
        <w:t>vládní systémy</w:t>
      </w:r>
      <w:r w:rsidR="00981913">
        <w:t> </w:t>
      </w:r>
      <w:r w:rsidR="00520DC4">
        <w:t>(86 </w:t>
      </w:r>
      <w:r w:rsidRPr="00DE40E4">
        <w:t xml:space="preserve"> mld. K</w:t>
      </w:r>
      <w:r w:rsidR="00520DC4">
        <w:t>č, tj. 18,0</w:t>
      </w:r>
      <w:r>
        <w:t xml:space="preserve"> %) </w:t>
      </w:r>
      <w:r w:rsidRPr="00DE40E4">
        <w:t>z nichž převažuje financování ze státního rozpočtu</w:t>
      </w:r>
      <w:r>
        <w:t xml:space="preserve"> </w:t>
      </w:r>
      <w:r>
        <w:rPr>
          <w:rStyle w:val="Znakapoznpodarou"/>
          <w:bCs/>
          <w:szCs w:val="20"/>
        </w:rPr>
        <w:footnoteReference w:id="2"/>
      </w:r>
      <w:r w:rsidRPr="00DE40E4">
        <w:rPr>
          <w:vertAlign w:val="superscript"/>
        </w:rPr>
        <w:t>,</w:t>
      </w:r>
      <w:r>
        <w:rPr>
          <w:rStyle w:val="Znakapoznpodarou"/>
          <w:bCs/>
          <w:szCs w:val="20"/>
        </w:rPr>
        <w:footnoteReference w:id="3"/>
      </w:r>
      <w:r w:rsidR="00520DC4">
        <w:t xml:space="preserve"> (76,8</w:t>
      </w:r>
      <w:r w:rsidRPr="00DE40E4">
        <w:t xml:space="preserve"> mld. Kč) nad financováním z krajských</w:t>
      </w:r>
      <w:r w:rsidR="00520DC4">
        <w:t xml:space="preserve"> a obecních rozpočtů (9,2</w:t>
      </w:r>
      <w:r w:rsidRPr="00DE40E4">
        <w:t xml:space="preserve"> mld. Kč). Mezi další zdroj</w:t>
      </w:r>
      <w:r>
        <w:t>e</w:t>
      </w:r>
      <w:r w:rsidRPr="00DE40E4">
        <w:t xml:space="preserve"> financování zdravotní péče patří </w:t>
      </w:r>
      <w:r w:rsidRPr="00DE40E4">
        <w:rPr>
          <w:b/>
        </w:rPr>
        <w:t>domácnosti</w:t>
      </w:r>
      <w:r w:rsidRPr="00DE40E4">
        <w:t xml:space="preserve"> (63,7 mld. Kč, </w:t>
      </w:r>
      <w:r>
        <w:t>tj.</w:t>
      </w:r>
      <w:r w:rsidR="00520DC4">
        <w:t xml:space="preserve"> 13,3</w:t>
      </w:r>
      <w:r w:rsidRPr="00DE40E4">
        <w:t xml:space="preserve"> %) nebo </w:t>
      </w:r>
      <w:r w:rsidRPr="00DE40E4">
        <w:rPr>
          <w:b/>
        </w:rPr>
        <w:t>soukromé zdroje</w:t>
      </w:r>
      <w:r w:rsidRPr="00DE40E4">
        <w:t xml:space="preserve"> (18,2 mld. Kč, </w:t>
      </w:r>
      <w:r>
        <w:t>tj.</w:t>
      </w:r>
      <w:r w:rsidRPr="00DE40E4">
        <w:t xml:space="preserve"> 3,8 %). Do soukromých zdrojů lze zařadit soukromé zdravotní pojišťovny, neziskové organizace nebo závodní preventivní péči v podnicích.</w:t>
      </w:r>
    </w:p>
    <w:p w:rsidR="00FE5105" w:rsidRPr="00240B6D" w:rsidRDefault="00FE5105" w:rsidP="00FE5105">
      <w:pPr>
        <w:keepNext/>
        <w:spacing w:before="240" w:after="12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Graf č. 1</w:t>
      </w:r>
      <w:r w:rsidRPr="00240B6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3.</w:t>
      </w:r>
      <w:r w:rsidRPr="00240B6D">
        <w:rPr>
          <w:b/>
          <w:bCs/>
          <w:sz w:val="18"/>
          <w:szCs w:val="18"/>
        </w:rPr>
        <w:t xml:space="preserve"> Výdaje na zdravotní péči v Česku podle hlavních zdrojů financování, 201</w:t>
      </w:r>
      <w:r>
        <w:rPr>
          <w:b/>
          <w:bCs/>
          <w:sz w:val="18"/>
          <w:szCs w:val="18"/>
        </w:rPr>
        <w:t>5</w:t>
      </w:r>
      <w:r w:rsidRPr="00240B6D">
        <w:rPr>
          <w:b/>
          <w:bCs/>
          <w:sz w:val="18"/>
          <w:szCs w:val="18"/>
        </w:rPr>
        <w:t>–201</w:t>
      </w:r>
      <w:r>
        <w:rPr>
          <w:b/>
          <w:bCs/>
          <w:sz w:val="18"/>
          <w:szCs w:val="18"/>
        </w:rPr>
        <w:t>9</w:t>
      </w:r>
      <w:r w:rsidRPr="00240B6D">
        <w:rPr>
          <w:b/>
          <w:bCs/>
          <w:sz w:val="18"/>
          <w:szCs w:val="18"/>
        </w:rPr>
        <w:t xml:space="preserve"> </w:t>
      </w:r>
    </w:p>
    <w:p w:rsidR="00FE5105" w:rsidRPr="00240B6D" w:rsidRDefault="00FE5105" w:rsidP="004418C4">
      <w:pPr>
        <w:keepNext/>
        <w:tabs>
          <w:tab w:val="left" w:pos="142"/>
          <w:tab w:val="left" w:pos="5670"/>
        </w:tabs>
        <w:spacing w:after="120" w:line="240" w:lineRule="auto"/>
        <w:rPr>
          <w:b/>
          <w:i/>
          <w:sz w:val="18"/>
        </w:rPr>
      </w:pPr>
      <w:r w:rsidRPr="00240B6D">
        <w:rPr>
          <w:b/>
          <w:i/>
          <w:sz w:val="18"/>
        </w:rPr>
        <w:tab/>
        <w:t xml:space="preserve">a) v mld. Kč </w:t>
      </w:r>
      <w:r w:rsidRPr="00240B6D">
        <w:rPr>
          <w:b/>
          <w:i/>
          <w:sz w:val="18"/>
        </w:rPr>
        <w:tab/>
        <w:t>b) struktura v %</w:t>
      </w:r>
    </w:p>
    <w:p w:rsidR="00FE5105" w:rsidRDefault="00520DC4" w:rsidP="0070129F">
      <w:pPr>
        <w:spacing w:after="120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10247</wp:posOffset>
            </wp:positionV>
            <wp:extent cx="2448560" cy="4109369"/>
            <wp:effectExtent l="0" t="0" r="8890" b="5715"/>
            <wp:wrapNone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DC4">
        <w:rPr>
          <w:noProof/>
        </w:rPr>
        <w:t xml:space="preserve"> </w:t>
      </w:r>
      <w:r w:rsidR="006F6465">
        <w:rPr>
          <w:noProof/>
        </w:rPr>
        <w:drawing>
          <wp:inline distT="0" distB="0" distL="0" distR="0" wp14:anchorId="54E4E5C0" wp14:editId="2F449B65">
            <wp:extent cx="3510280" cy="4120055"/>
            <wp:effectExtent l="0" t="0" r="13970" b="1397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51E6" w:rsidRPr="00240B6D" w:rsidRDefault="00B651E6" w:rsidP="004418C4">
      <w:pPr>
        <w:keepNext/>
        <w:spacing w:before="120" w:after="60" w:line="240" w:lineRule="auto"/>
        <w:rPr>
          <w:sz w:val="16"/>
        </w:rPr>
      </w:pPr>
      <w:r>
        <w:rPr>
          <w:sz w:val="16"/>
        </w:rPr>
        <w:t>(</w:t>
      </w:r>
      <w:r w:rsidRPr="00240B6D">
        <w:rPr>
          <w:sz w:val="16"/>
        </w:rPr>
        <w:t xml:space="preserve">1) </w:t>
      </w:r>
      <w:r>
        <w:rPr>
          <w:sz w:val="16"/>
        </w:rPr>
        <w:t>zahrnují soukromé zdravotní pojištění, neziskové organizace a závodní preventivní péči v podnicích</w:t>
      </w:r>
      <w:r w:rsidRPr="00240B6D">
        <w:rPr>
          <w:sz w:val="16"/>
        </w:rPr>
        <w:t xml:space="preserve"> </w:t>
      </w:r>
    </w:p>
    <w:p w:rsidR="00B651E6" w:rsidRDefault="00B651E6" w:rsidP="00B651E6">
      <w:pPr>
        <w:keepNext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>2</w:t>
      </w:r>
      <w:r w:rsidRPr="00240B6D">
        <w:rPr>
          <w:b/>
          <w:bCs/>
          <w:i/>
          <w:sz w:val="16"/>
          <w:szCs w:val="16"/>
        </w:rPr>
        <w:t>01</w:t>
      </w:r>
      <w:r>
        <w:rPr>
          <w:b/>
          <w:bCs/>
          <w:i/>
          <w:sz w:val="16"/>
          <w:szCs w:val="16"/>
        </w:rPr>
        <w:t>9</w:t>
      </w:r>
    </w:p>
    <w:p w:rsidR="00B651E6" w:rsidRPr="00012061" w:rsidRDefault="00B651E6" w:rsidP="00012061">
      <w:pPr>
        <w:rPr>
          <w:rFonts w:eastAsia="MS Gothic"/>
          <w:b/>
          <w:i/>
        </w:rPr>
      </w:pPr>
      <w:r w:rsidRPr="00012061">
        <w:rPr>
          <w:rFonts w:eastAsia="MS Gothic"/>
          <w:b/>
          <w:i/>
        </w:rPr>
        <w:t>Za zdravotní péči bylo vydáno nejvíce peněz z veřejných zdrojů</w:t>
      </w:r>
    </w:p>
    <w:p w:rsidR="00B651E6" w:rsidRDefault="00B651E6" w:rsidP="00012061">
      <w:pPr>
        <w:rPr>
          <w:bCs/>
          <w:szCs w:val="20"/>
        </w:rPr>
      </w:pPr>
      <w:r w:rsidRPr="00240B6D">
        <w:rPr>
          <w:bCs/>
          <w:szCs w:val="20"/>
        </w:rPr>
        <w:t>V roce 201</w:t>
      </w:r>
      <w:r>
        <w:rPr>
          <w:bCs/>
          <w:szCs w:val="20"/>
        </w:rPr>
        <w:t>9</w:t>
      </w:r>
      <w:r w:rsidRPr="00240B6D">
        <w:rPr>
          <w:bCs/>
          <w:szCs w:val="20"/>
        </w:rPr>
        <w:t xml:space="preserve"> šlo z </w:t>
      </w:r>
      <w:r w:rsidRPr="00012061">
        <w:rPr>
          <w:b/>
          <w:bCs/>
          <w:szCs w:val="20"/>
        </w:rPr>
        <w:t>veřejných zdrojů</w:t>
      </w:r>
      <w:r w:rsidRPr="00240B6D">
        <w:rPr>
          <w:bCs/>
          <w:szCs w:val="20"/>
        </w:rPr>
        <w:t xml:space="preserve"> na zdravotní péči v </w:t>
      </w:r>
      <w:r w:rsidRPr="00DB5AED">
        <w:rPr>
          <w:bCs/>
          <w:szCs w:val="20"/>
        </w:rPr>
        <w:t>Česku celkem</w:t>
      </w:r>
      <w:r w:rsidRPr="00240B6D">
        <w:rPr>
          <w:bCs/>
          <w:szCs w:val="20"/>
        </w:rPr>
        <w:t xml:space="preserve"> </w:t>
      </w:r>
      <w:r w:rsidR="00520DC4">
        <w:rPr>
          <w:b/>
          <w:bCs/>
          <w:szCs w:val="20"/>
        </w:rPr>
        <w:t>395,8</w:t>
      </w:r>
      <w:r w:rsidRPr="00012061">
        <w:rPr>
          <w:b/>
          <w:bCs/>
          <w:szCs w:val="20"/>
        </w:rPr>
        <w:t xml:space="preserve"> mld. Kč</w:t>
      </w:r>
      <w:r w:rsidR="00520DC4">
        <w:rPr>
          <w:bCs/>
          <w:szCs w:val="20"/>
        </w:rPr>
        <w:t xml:space="preserve"> – meziročně o 33,9 mld. Kč (o 9,4</w:t>
      </w:r>
      <w:r>
        <w:rPr>
          <w:bCs/>
          <w:szCs w:val="20"/>
        </w:rPr>
        <w:t xml:space="preserve"> %) více. </w:t>
      </w:r>
      <w:r>
        <w:rPr>
          <w:szCs w:val="20"/>
        </w:rPr>
        <w:t>V přepočtu na jednoho obyvatele to v roce 2019 činilo v průměru</w:t>
      </w:r>
      <w:r>
        <w:rPr>
          <w:bCs/>
          <w:szCs w:val="20"/>
        </w:rPr>
        <w:t xml:space="preserve"> </w:t>
      </w:r>
      <w:r w:rsidR="00520DC4">
        <w:rPr>
          <w:bCs/>
          <w:szCs w:val="20"/>
        </w:rPr>
        <w:t>37,1</w:t>
      </w:r>
      <w:r w:rsidRPr="00752E56">
        <w:rPr>
          <w:bCs/>
          <w:szCs w:val="20"/>
        </w:rPr>
        <w:t xml:space="preserve"> tis. Kč</w:t>
      </w:r>
      <w:r w:rsidR="00520DC4">
        <w:rPr>
          <w:bCs/>
          <w:szCs w:val="20"/>
        </w:rPr>
        <w:t>, což je o 3</w:t>
      </w:r>
      <w:r w:rsidR="00A9095C">
        <w:rPr>
          <w:bCs/>
          <w:szCs w:val="20"/>
        </w:rPr>
        <w:t> tis. Kč</w:t>
      </w:r>
      <w:r w:rsidR="00520DC4">
        <w:rPr>
          <w:bCs/>
          <w:szCs w:val="20"/>
        </w:rPr>
        <w:t xml:space="preserve"> více než v roce 2018. </w:t>
      </w:r>
      <w:r>
        <w:rPr>
          <w:bCs/>
          <w:szCs w:val="20"/>
        </w:rPr>
        <w:t>Celkově bylo z veřejných rozpočtů na zdravotní p</w:t>
      </w:r>
      <w:r w:rsidR="00012061">
        <w:rPr>
          <w:bCs/>
          <w:szCs w:val="20"/>
        </w:rPr>
        <w:t>éči za posledních pět let (2015 až </w:t>
      </w:r>
      <w:r>
        <w:rPr>
          <w:bCs/>
          <w:szCs w:val="20"/>
        </w:rPr>
        <w:t xml:space="preserve">2019) vydáno </w:t>
      </w:r>
      <w:r w:rsidR="0033652E">
        <w:rPr>
          <w:b/>
          <w:bCs/>
          <w:szCs w:val="20"/>
        </w:rPr>
        <w:t>celkem 1,67</w:t>
      </w:r>
      <w:r w:rsidRPr="00012061">
        <w:rPr>
          <w:b/>
          <w:bCs/>
          <w:szCs w:val="20"/>
        </w:rPr>
        <w:t xml:space="preserve"> bilionu Kč</w:t>
      </w:r>
      <w:r>
        <w:rPr>
          <w:bCs/>
          <w:szCs w:val="20"/>
        </w:rPr>
        <w:t xml:space="preserve">. </w:t>
      </w:r>
    </w:p>
    <w:p w:rsidR="00B651E6" w:rsidRDefault="00B651E6" w:rsidP="00012061">
      <w:pPr>
        <w:rPr>
          <w:bCs/>
          <w:szCs w:val="20"/>
        </w:rPr>
      </w:pPr>
      <w:r w:rsidRPr="00240B6D">
        <w:rPr>
          <w:bCs/>
          <w:szCs w:val="20"/>
        </w:rPr>
        <w:t xml:space="preserve">V rámci </w:t>
      </w:r>
      <w:r w:rsidRPr="00012061">
        <w:rPr>
          <w:b/>
          <w:bCs/>
          <w:szCs w:val="20"/>
        </w:rPr>
        <w:t>veřejného financování zdravotní péče</w:t>
      </w:r>
      <w:r w:rsidRPr="00240B6D">
        <w:rPr>
          <w:bCs/>
          <w:szCs w:val="20"/>
        </w:rPr>
        <w:t xml:space="preserve"> </w:t>
      </w:r>
      <w:r>
        <w:rPr>
          <w:bCs/>
          <w:szCs w:val="20"/>
        </w:rPr>
        <w:t>v České republice</w:t>
      </w:r>
      <w:r w:rsidRPr="00240B6D">
        <w:rPr>
          <w:bCs/>
          <w:szCs w:val="20"/>
        </w:rPr>
        <w:t xml:space="preserve"> převládá financování prostřednictvím </w:t>
      </w:r>
      <w:r w:rsidRPr="00D76ECF">
        <w:rPr>
          <w:bCs/>
          <w:szCs w:val="20"/>
        </w:rPr>
        <w:t>plateb z </w:t>
      </w:r>
      <w:r w:rsidRPr="00012061">
        <w:rPr>
          <w:b/>
          <w:bCs/>
          <w:szCs w:val="20"/>
        </w:rPr>
        <w:t>veřejného zdravotního pojištění.</w:t>
      </w:r>
      <w:r w:rsidRPr="00240B6D">
        <w:rPr>
          <w:bCs/>
          <w:szCs w:val="20"/>
        </w:rPr>
        <w:t xml:space="preserve"> Veřejné zdravotní pojišťovny </w:t>
      </w:r>
      <w:r>
        <w:rPr>
          <w:bCs/>
          <w:szCs w:val="20"/>
        </w:rPr>
        <w:t xml:space="preserve">vydaly </w:t>
      </w:r>
      <w:r w:rsidRPr="00752E56">
        <w:rPr>
          <w:bCs/>
          <w:szCs w:val="20"/>
        </w:rPr>
        <w:t>v roce 2019</w:t>
      </w:r>
      <w:r w:rsidRPr="00240B6D">
        <w:rPr>
          <w:bCs/>
          <w:szCs w:val="20"/>
        </w:rPr>
        <w:t xml:space="preserve"> na financování zdravotní péče</w:t>
      </w:r>
      <w:r>
        <w:rPr>
          <w:bCs/>
          <w:szCs w:val="20"/>
        </w:rPr>
        <w:t xml:space="preserve"> </w:t>
      </w:r>
      <w:r w:rsidRPr="00752E56">
        <w:rPr>
          <w:bCs/>
          <w:szCs w:val="20"/>
        </w:rPr>
        <w:t xml:space="preserve">celkem </w:t>
      </w:r>
      <w:r w:rsidRPr="00012061">
        <w:rPr>
          <w:b/>
          <w:bCs/>
          <w:szCs w:val="20"/>
        </w:rPr>
        <w:t>309,8 mld. Kč</w:t>
      </w:r>
      <w:r w:rsidR="000F70FE">
        <w:rPr>
          <w:bCs/>
          <w:szCs w:val="20"/>
        </w:rPr>
        <w:t>, což je 78</w:t>
      </w:r>
      <w:r>
        <w:rPr>
          <w:bCs/>
          <w:szCs w:val="20"/>
        </w:rPr>
        <w:t> % z celkových výdajů z veřejných zdr</w:t>
      </w:r>
      <w:r w:rsidR="0033652E">
        <w:rPr>
          <w:bCs/>
          <w:szCs w:val="20"/>
        </w:rPr>
        <w:t>ojů na zdravotní péči. Oproti roku 2010</w:t>
      </w:r>
      <w:r>
        <w:rPr>
          <w:bCs/>
          <w:szCs w:val="20"/>
        </w:rPr>
        <w:t xml:space="preserve"> došl</w:t>
      </w:r>
      <w:r w:rsidR="000F70FE">
        <w:rPr>
          <w:bCs/>
          <w:szCs w:val="20"/>
        </w:rPr>
        <w:t>o ke snížení tohoto podílu o 4 procentní body</w:t>
      </w:r>
      <w:r>
        <w:rPr>
          <w:bCs/>
          <w:szCs w:val="20"/>
        </w:rPr>
        <w:t xml:space="preserve">. Toto je pravděpodobně způsobeno nárůstem podílů </w:t>
      </w:r>
      <w:r w:rsidRPr="00DB056D">
        <w:rPr>
          <w:szCs w:val="20"/>
        </w:rPr>
        <w:t>financování z veřejných rozpočtů</w:t>
      </w:r>
      <w:r>
        <w:rPr>
          <w:bCs/>
          <w:szCs w:val="20"/>
        </w:rPr>
        <w:t>. Od roku 2010</w:t>
      </w:r>
      <w:r w:rsidRPr="009C1400">
        <w:rPr>
          <w:bCs/>
          <w:szCs w:val="20"/>
        </w:rPr>
        <w:t xml:space="preserve"> vzrostl podíl státního rozpočtu na financování zdravotní péče z veřejných zdrojů</w:t>
      </w:r>
      <w:r w:rsidRPr="00240B6D">
        <w:rPr>
          <w:bCs/>
          <w:szCs w:val="20"/>
        </w:rPr>
        <w:t xml:space="preserve"> z</w:t>
      </w:r>
      <w:r w:rsidR="000F70FE">
        <w:rPr>
          <w:bCs/>
          <w:szCs w:val="20"/>
        </w:rPr>
        <w:t> 16</w:t>
      </w:r>
      <w:r w:rsidRPr="00240B6D">
        <w:rPr>
          <w:bCs/>
          <w:szCs w:val="20"/>
        </w:rPr>
        <w:t> % (</w:t>
      </w:r>
      <w:r>
        <w:rPr>
          <w:bCs/>
          <w:szCs w:val="20"/>
        </w:rPr>
        <w:t>45,2</w:t>
      </w:r>
      <w:r w:rsidR="000F70FE">
        <w:rPr>
          <w:bCs/>
          <w:szCs w:val="20"/>
        </w:rPr>
        <w:t xml:space="preserve"> mld. Kč) na 19</w:t>
      </w:r>
      <w:r w:rsidRPr="00240B6D">
        <w:rPr>
          <w:bCs/>
          <w:szCs w:val="20"/>
        </w:rPr>
        <w:t> % (</w:t>
      </w:r>
      <w:r w:rsidR="0033652E">
        <w:rPr>
          <w:bCs/>
          <w:szCs w:val="20"/>
        </w:rPr>
        <w:t>76,8</w:t>
      </w:r>
      <w:r w:rsidRPr="00240B6D">
        <w:rPr>
          <w:bCs/>
          <w:szCs w:val="20"/>
        </w:rPr>
        <w:t xml:space="preserve"> mld. Kč) v roce 201</w:t>
      </w:r>
      <w:r>
        <w:rPr>
          <w:bCs/>
          <w:szCs w:val="20"/>
        </w:rPr>
        <w:t>9</w:t>
      </w:r>
      <w:r w:rsidRPr="00B00E05">
        <w:rPr>
          <w:bCs/>
          <w:szCs w:val="20"/>
        </w:rPr>
        <w:t>. Místní (krajské a obecní) rozpočt</w:t>
      </w:r>
      <w:r>
        <w:rPr>
          <w:bCs/>
          <w:szCs w:val="20"/>
        </w:rPr>
        <w:t xml:space="preserve">y </w:t>
      </w:r>
      <w:r>
        <w:rPr>
          <w:szCs w:val="20"/>
        </w:rPr>
        <w:t>se na financování zdravotní péče z veřejných zdrojů podílejí nejméně</w:t>
      </w:r>
      <w:r w:rsidRPr="00B00E05">
        <w:rPr>
          <w:bCs/>
          <w:szCs w:val="20"/>
        </w:rPr>
        <w:t xml:space="preserve">. </w:t>
      </w:r>
      <w:r>
        <w:rPr>
          <w:bCs/>
          <w:szCs w:val="20"/>
        </w:rPr>
        <w:t>V roce 2019 byl podíl na celkových výd</w:t>
      </w:r>
      <w:r w:rsidR="006769A4">
        <w:rPr>
          <w:bCs/>
          <w:szCs w:val="20"/>
        </w:rPr>
        <w:t>ajích z veřejných zdrojů jen 2</w:t>
      </w:r>
      <w:r>
        <w:rPr>
          <w:bCs/>
          <w:szCs w:val="20"/>
        </w:rPr>
        <w:t> % (</w:t>
      </w:r>
      <w:r w:rsidR="0033652E">
        <w:rPr>
          <w:bCs/>
          <w:szCs w:val="20"/>
        </w:rPr>
        <w:t>9,2</w:t>
      </w:r>
      <w:r w:rsidRPr="00752E56">
        <w:rPr>
          <w:bCs/>
          <w:szCs w:val="20"/>
        </w:rPr>
        <w:t> mld. Kč</w:t>
      </w:r>
      <w:r>
        <w:rPr>
          <w:bCs/>
          <w:szCs w:val="20"/>
        </w:rPr>
        <w:t>). Nicméně od roku 2010 došl</w:t>
      </w:r>
      <w:r w:rsidR="0033652E">
        <w:rPr>
          <w:bCs/>
          <w:szCs w:val="20"/>
        </w:rPr>
        <w:t>o ke zvýšení těchto výdajů o 4,1</w:t>
      </w:r>
      <w:r>
        <w:rPr>
          <w:bCs/>
          <w:szCs w:val="20"/>
        </w:rPr>
        <w:t> mld. Kč.</w:t>
      </w:r>
    </w:p>
    <w:p w:rsidR="00B651E6" w:rsidRDefault="00B651E6" w:rsidP="00B651E6">
      <w:pPr>
        <w:widowControl w:val="0"/>
        <w:spacing w:before="240" w:after="120" w:line="240" w:lineRule="auto"/>
        <w:rPr>
          <w:b/>
          <w:bCs/>
          <w:sz w:val="18"/>
          <w:szCs w:val="18"/>
        </w:rPr>
      </w:pPr>
    </w:p>
    <w:p w:rsidR="0033652E" w:rsidRDefault="0033652E" w:rsidP="00B651E6">
      <w:pPr>
        <w:widowControl w:val="0"/>
        <w:spacing w:before="240" w:after="120" w:line="240" w:lineRule="auto"/>
        <w:rPr>
          <w:b/>
          <w:bCs/>
          <w:sz w:val="18"/>
          <w:szCs w:val="18"/>
        </w:rPr>
      </w:pPr>
    </w:p>
    <w:p w:rsidR="00B651E6" w:rsidRDefault="00B651E6" w:rsidP="00B651E6">
      <w:pPr>
        <w:widowControl w:val="0"/>
        <w:spacing w:before="240" w:after="120" w:line="240" w:lineRule="auto"/>
        <w:rPr>
          <w:b/>
          <w:bCs/>
          <w:sz w:val="18"/>
          <w:szCs w:val="18"/>
        </w:rPr>
      </w:pPr>
    </w:p>
    <w:p w:rsidR="008F6122" w:rsidRDefault="008F6122" w:rsidP="00B651E6">
      <w:pPr>
        <w:widowControl w:val="0"/>
        <w:spacing w:before="240" w:after="120" w:line="240" w:lineRule="auto"/>
        <w:rPr>
          <w:b/>
          <w:bCs/>
          <w:sz w:val="18"/>
          <w:szCs w:val="18"/>
        </w:rPr>
      </w:pPr>
    </w:p>
    <w:p w:rsidR="00B651E6" w:rsidRPr="00240B6D" w:rsidRDefault="00B651E6" w:rsidP="00B651E6">
      <w:pPr>
        <w:widowControl w:val="0"/>
        <w:spacing w:before="240" w:after="120" w:line="240" w:lineRule="auto"/>
        <w:rPr>
          <w:b/>
          <w:bCs/>
          <w:sz w:val="18"/>
          <w:szCs w:val="18"/>
        </w:rPr>
      </w:pPr>
      <w:r w:rsidRPr="00240B6D">
        <w:rPr>
          <w:b/>
          <w:bCs/>
          <w:sz w:val="18"/>
          <w:szCs w:val="18"/>
        </w:rPr>
        <w:lastRenderedPageBreak/>
        <w:t xml:space="preserve">Graf č </w:t>
      </w:r>
      <w:r>
        <w:rPr>
          <w:b/>
          <w:bCs/>
          <w:sz w:val="18"/>
          <w:szCs w:val="18"/>
        </w:rPr>
        <w:t>1</w:t>
      </w:r>
      <w:r w:rsidRPr="00240B6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4.</w:t>
      </w:r>
      <w:r w:rsidRPr="00240B6D">
        <w:rPr>
          <w:b/>
          <w:bCs/>
          <w:sz w:val="18"/>
          <w:szCs w:val="18"/>
        </w:rPr>
        <w:t xml:space="preserve"> Výdaje na zdravotní péči v Česku financované z veřejných zdrojů, 201</w:t>
      </w:r>
      <w:r>
        <w:rPr>
          <w:b/>
          <w:bCs/>
          <w:sz w:val="18"/>
          <w:szCs w:val="18"/>
        </w:rPr>
        <w:t>5</w:t>
      </w:r>
      <w:r w:rsidRPr="00240B6D">
        <w:rPr>
          <w:b/>
          <w:bCs/>
          <w:sz w:val="18"/>
          <w:szCs w:val="18"/>
        </w:rPr>
        <w:t>–201</w:t>
      </w:r>
      <w:r>
        <w:rPr>
          <w:b/>
          <w:bCs/>
          <w:sz w:val="18"/>
          <w:szCs w:val="18"/>
        </w:rPr>
        <w:t>9</w:t>
      </w:r>
      <w:r w:rsidRPr="00240B6D">
        <w:rPr>
          <w:b/>
          <w:bCs/>
          <w:sz w:val="18"/>
          <w:szCs w:val="18"/>
        </w:rPr>
        <w:t xml:space="preserve"> </w:t>
      </w:r>
    </w:p>
    <w:p w:rsidR="00B651E6" w:rsidRPr="00240B6D" w:rsidRDefault="00B651E6" w:rsidP="0070129F">
      <w:pPr>
        <w:keepNext/>
        <w:tabs>
          <w:tab w:val="left" w:pos="142"/>
          <w:tab w:val="left" w:pos="5245"/>
        </w:tabs>
        <w:spacing w:after="120"/>
        <w:rPr>
          <w:b/>
          <w:i/>
          <w:sz w:val="18"/>
        </w:rPr>
      </w:pPr>
      <w:r>
        <w:rPr>
          <w:b/>
          <w:i/>
          <w:sz w:val="18"/>
        </w:rPr>
        <w:t xml:space="preserve">a) v mld. Kč </w:t>
      </w:r>
      <w:r>
        <w:rPr>
          <w:b/>
          <w:i/>
          <w:sz w:val="18"/>
        </w:rPr>
        <w:tab/>
      </w:r>
      <w:r w:rsidRPr="00240B6D">
        <w:rPr>
          <w:b/>
          <w:i/>
          <w:sz w:val="18"/>
        </w:rPr>
        <w:t>b) struktura v %</w:t>
      </w:r>
    </w:p>
    <w:p w:rsidR="00B651E6" w:rsidRPr="00634CA2" w:rsidRDefault="000F70FE" w:rsidP="003D2F60">
      <w:pPr>
        <w:keepNext/>
        <w:spacing w:after="0"/>
        <w:rPr>
          <w:bCs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15744</wp:posOffset>
            </wp:positionV>
            <wp:extent cx="2740901" cy="4162096"/>
            <wp:effectExtent l="0" t="0" r="2540" b="10160"/>
            <wp:wrapNone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1E6" w:rsidRPr="00240B6D">
        <w:rPr>
          <w:noProof/>
          <w:lang w:val="en-US" w:eastAsia="en-US"/>
        </w:rPr>
        <w:t xml:space="preserve"> </w:t>
      </w:r>
      <w:r w:rsidR="00B651E6" w:rsidRPr="00F0156A">
        <w:rPr>
          <w:noProof/>
        </w:rPr>
        <w:t xml:space="preserve"> </w:t>
      </w:r>
      <w:r w:rsidR="006F6465">
        <w:rPr>
          <w:noProof/>
        </w:rPr>
        <w:drawing>
          <wp:inline distT="0" distB="0" distL="0" distR="0" wp14:anchorId="63C85307" wp14:editId="2427950A">
            <wp:extent cx="3163614" cy="4162097"/>
            <wp:effectExtent l="0" t="0" r="17780" b="1016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651E6" w:rsidRPr="009B4CDF">
        <w:rPr>
          <w:noProof/>
        </w:rPr>
        <w:t xml:space="preserve"> </w:t>
      </w:r>
    </w:p>
    <w:p w:rsidR="00B651E6" w:rsidRPr="003D2F60" w:rsidRDefault="003D2F60" w:rsidP="0070129F">
      <w:pPr>
        <w:keepNext/>
        <w:spacing w:before="120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 xml:space="preserve"> 201</w:t>
      </w:r>
      <w:r>
        <w:rPr>
          <w:b/>
          <w:bCs/>
          <w:i/>
          <w:sz w:val="16"/>
          <w:szCs w:val="16"/>
        </w:rPr>
        <w:t>9</w:t>
      </w:r>
    </w:p>
    <w:p w:rsidR="00B651E6" w:rsidRPr="000353CA" w:rsidRDefault="00B651E6" w:rsidP="00012061">
      <w:pPr>
        <w:rPr>
          <w:i/>
        </w:rPr>
      </w:pPr>
      <w:r>
        <w:t xml:space="preserve">Jak už bylo výše zmíněno, </w:t>
      </w:r>
      <w:r w:rsidRPr="004E6972">
        <w:rPr>
          <w:b/>
        </w:rPr>
        <w:t>v</w:t>
      </w:r>
      <w:r w:rsidRPr="00761C28">
        <w:rPr>
          <w:b/>
        </w:rPr>
        <w:t>eřejné zdravotní pojišťovny</w:t>
      </w:r>
      <w:r>
        <w:rPr>
          <w:rStyle w:val="Znakapoznpodarou"/>
          <w:b/>
          <w:bCs/>
          <w:szCs w:val="20"/>
        </w:rPr>
        <w:footnoteReference w:id="4"/>
      </w:r>
      <w:r w:rsidRPr="00240B6D">
        <w:t xml:space="preserve"> </w:t>
      </w:r>
      <w:r>
        <w:t xml:space="preserve">se na financování zdravotní péče v České republice podílejí z největší části. </w:t>
      </w:r>
      <w:r w:rsidRPr="00240B6D">
        <w:t xml:space="preserve">V absolutním vyjádření šlo </w:t>
      </w:r>
      <w:r>
        <w:t>od roku 2010</w:t>
      </w:r>
      <w:r w:rsidRPr="00240B6D">
        <w:t xml:space="preserve"> na zdravotní péči z veřejného </w:t>
      </w:r>
      <w:r>
        <w:t xml:space="preserve">zdravotního </w:t>
      </w:r>
      <w:r w:rsidRPr="00240B6D">
        <w:t>pojištění nejvíce finančních prostředků v roce 201</w:t>
      </w:r>
      <w:r>
        <w:t>9</w:t>
      </w:r>
      <w:r w:rsidRPr="00240B6D">
        <w:t xml:space="preserve"> (</w:t>
      </w:r>
      <w:r>
        <w:t xml:space="preserve">309,7 </w:t>
      </w:r>
      <w:r w:rsidRPr="00240B6D">
        <w:t>mld. Kč)</w:t>
      </w:r>
      <w:r>
        <w:t xml:space="preserve">. V </w:t>
      </w:r>
      <w:r w:rsidRPr="00240B6D">
        <w:t>t</w:t>
      </w:r>
      <w:r>
        <w:t>éto</w:t>
      </w:r>
      <w:r w:rsidRPr="00240B6D">
        <w:t xml:space="preserve"> část</w:t>
      </w:r>
      <w:r>
        <w:t>ce</w:t>
      </w:r>
      <w:r w:rsidRPr="00240B6D">
        <w:t xml:space="preserve"> </w:t>
      </w:r>
      <w:r>
        <w:t>jsou</w:t>
      </w:r>
      <w:r w:rsidRPr="00240B6D">
        <w:t xml:space="preserve"> kromě peněz, které jdou přímo na zdravotní péči</w:t>
      </w:r>
      <w:r>
        <w:t>,</w:t>
      </w:r>
      <w:r w:rsidRPr="00240B6D">
        <w:t xml:space="preserve"> zahrnuty </w:t>
      </w:r>
      <w:r>
        <w:t xml:space="preserve">například </w:t>
      </w:r>
      <w:r w:rsidRPr="00240B6D">
        <w:t xml:space="preserve">i výdaje na programy preventivní péče </w:t>
      </w:r>
      <w:r>
        <w:t xml:space="preserve">nebo vlastní provoz </w:t>
      </w:r>
      <w:r w:rsidRPr="00240B6D">
        <w:t>zdravotních pojišťoven</w:t>
      </w:r>
      <w:r>
        <w:t>. V roce 2019 vydaly zdravotní pojišťovn</w:t>
      </w:r>
      <w:r w:rsidR="00981913">
        <w:t>y na zdravotní péči meziročně o </w:t>
      </w:r>
      <w:r>
        <w:t xml:space="preserve">9,11 % (25,85 mld. Kč) více finančních prostředků. Nejvyšší meziroční nárůst od roku 2010 byl zaznamenán v roce 2018, kdy došlo ke zvýšení výdajů zdravotních pojišťoven o 12,59 % (31,75 mld. Kč). </w:t>
      </w:r>
      <w:r w:rsidRPr="000353CA">
        <w:rPr>
          <w:i/>
        </w:rPr>
        <w:t xml:space="preserve">Podrobněji viz kapitola </w:t>
      </w:r>
      <w:r>
        <w:rPr>
          <w:i/>
        </w:rPr>
        <w:t>č. 2</w:t>
      </w:r>
      <w:r w:rsidRPr="000353CA">
        <w:rPr>
          <w:i/>
        </w:rPr>
        <w:t xml:space="preserve"> této publikace.</w:t>
      </w:r>
    </w:p>
    <w:p w:rsidR="003D2F60" w:rsidRPr="00012061" w:rsidRDefault="003D2F60" w:rsidP="00012061">
      <w:pPr>
        <w:rPr>
          <w:rFonts w:eastAsia="MS Gothic"/>
          <w:b/>
          <w:i/>
        </w:rPr>
      </w:pPr>
      <w:r w:rsidRPr="00012061">
        <w:rPr>
          <w:rFonts w:eastAsia="MS Gothic"/>
          <w:b/>
          <w:i/>
        </w:rPr>
        <w:t>Výdaje státního rozpočtu na zdravotní péči dlouhodobě rostou</w:t>
      </w:r>
    </w:p>
    <w:p w:rsidR="00012061" w:rsidRPr="00012061" w:rsidRDefault="003D2F60" w:rsidP="00012061">
      <w:pPr>
        <w:rPr>
          <w:szCs w:val="17"/>
        </w:rPr>
      </w:pPr>
      <w:r>
        <w:rPr>
          <w:szCs w:val="17"/>
        </w:rPr>
        <w:t>Ze státního rozpočtu</w:t>
      </w:r>
      <w:r>
        <w:rPr>
          <w:rStyle w:val="Znakapoznpodarou"/>
          <w:bCs/>
          <w:szCs w:val="17"/>
        </w:rPr>
        <w:footnoteReference w:id="5"/>
      </w:r>
      <w:r>
        <w:rPr>
          <w:szCs w:val="17"/>
        </w:rPr>
        <w:t xml:space="preserve"> šlo v roce 2019</w:t>
      </w:r>
      <w:r w:rsidRPr="00240B6D">
        <w:rPr>
          <w:szCs w:val="17"/>
        </w:rPr>
        <w:t xml:space="preserve"> </w:t>
      </w:r>
      <w:r>
        <w:rPr>
          <w:szCs w:val="17"/>
        </w:rPr>
        <w:t xml:space="preserve">na zdravotní péči </w:t>
      </w:r>
      <w:r w:rsidRPr="00240B6D">
        <w:rPr>
          <w:szCs w:val="17"/>
        </w:rPr>
        <w:t xml:space="preserve">celkem </w:t>
      </w:r>
      <w:r w:rsidR="000F70FE">
        <w:rPr>
          <w:szCs w:val="17"/>
        </w:rPr>
        <w:t>76,8</w:t>
      </w:r>
      <w:r w:rsidRPr="00240B6D">
        <w:rPr>
          <w:szCs w:val="17"/>
        </w:rPr>
        <w:t xml:space="preserve"> mld. </w:t>
      </w:r>
      <w:r>
        <w:rPr>
          <w:szCs w:val="17"/>
        </w:rPr>
        <w:t>Kč. M</w:t>
      </w:r>
      <w:r w:rsidR="000F70FE">
        <w:rPr>
          <w:szCs w:val="17"/>
        </w:rPr>
        <w:t>eziročně došlo ke zvýšení o 7,3 mld. Kč (o 10,4</w:t>
      </w:r>
      <w:r>
        <w:rPr>
          <w:szCs w:val="17"/>
        </w:rPr>
        <w:t> %</w:t>
      </w:r>
      <w:r w:rsidR="000F70FE">
        <w:rPr>
          <w:szCs w:val="17"/>
        </w:rPr>
        <w:t>)</w:t>
      </w:r>
      <w:r>
        <w:rPr>
          <w:szCs w:val="17"/>
        </w:rPr>
        <w:t>. Na celkových výdajích na zdravotní péči v Česku se výdaje ze</w:t>
      </w:r>
      <w:r w:rsidR="000F70FE">
        <w:rPr>
          <w:szCs w:val="17"/>
        </w:rPr>
        <w:t xml:space="preserve"> státních rozpočtů podílí z 16,1</w:t>
      </w:r>
      <w:r>
        <w:rPr>
          <w:szCs w:val="17"/>
        </w:rPr>
        <w:t> %.</w:t>
      </w:r>
      <w:r w:rsidR="00012061">
        <w:rPr>
          <w:szCs w:val="17"/>
        </w:rPr>
        <w:br w:type="page"/>
      </w:r>
    </w:p>
    <w:p w:rsidR="003D2F60" w:rsidRPr="000B0B3E" w:rsidRDefault="003D2F60" w:rsidP="004418C4">
      <w:pPr>
        <w:spacing w:after="120"/>
        <w:rPr>
          <w:rFonts w:eastAsia="MS Gothic"/>
          <w:b/>
          <w:sz w:val="18"/>
          <w:szCs w:val="18"/>
        </w:rPr>
      </w:pPr>
      <w:r w:rsidRPr="000B0B3E">
        <w:rPr>
          <w:rFonts w:eastAsia="MS Gothic"/>
          <w:b/>
          <w:sz w:val="18"/>
          <w:szCs w:val="18"/>
        </w:rPr>
        <w:lastRenderedPageBreak/>
        <w:t xml:space="preserve">Graf </w:t>
      </w:r>
      <w:r>
        <w:rPr>
          <w:rFonts w:eastAsia="MS Gothic"/>
          <w:b/>
          <w:sz w:val="18"/>
          <w:szCs w:val="18"/>
        </w:rPr>
        <w:t>č. 1.5</w:t>
      </w:r>
      <w:r w:rsidRPr="000B0B3E">
        <w:rPr>
          <w:rFonts w:eastAsia="MS Gothic"/>
          <w:b/>
          <w:sz w:val="18"/>
          <w:szCs w:val="18"/>
        </w:rPr>
        <w:t xml:space="preserve">. Výdaje na zdravotní péči v Česku financované </w:t>
      </w:r>
      <w:r>
        <w:rPr>
          <w:rFonts w:eastAsia="MS Gothic"/>
          <w:b/>
          <w:sz w:val="18"/>
          <w:szCs w:val="18"/>
        </w:rPr>
        <w:t>přímo ze státního rozpočtu, 2015</w:t>
      </w:r>
      <w:r>
        <w:rPr>
          <w:b/>
          <w:sz w:val="18"/>
          <w:szCs w:val="18"/>
        </w:rPr>
        <w:t>–2019</w:t>
      </w:r>
      <w:r w:rsidRPr="000B0B3E">
        <w:rPr>
          <w:rFonts w:eastAsia="MS Gothic"/>
          <w:b/>
          <w:sz w:val="18"/>
          <w:szCs w:val="18"/>
        </w:rPr>
        <w:t xml:space="preserve"> </w:t>
      </w:r>
    </w:p>
    <w:p w:rsidR="003D2F60" w:rsidRPr="00240B6D" w:rsidRDefault="003D2F60" w:rsidP="004418C4">
      <w:pPr>
        <w:widowControl w:val="0"/>
        <w:tabs>
          <w:tab w:val="left" w:pos="142"/>
          <w:tab w:val="left" w:pos="5245"/>
        </w:tabs>
        <w:spacing w:before="120" w:after="120"/>
        <w:rPr>
          <w:b/>
          <w:i/>
          <w:sz w:val="18"/>
        </w:rPr>
      </w:pPr>
      <w:r w:rsidRPr="00240B6D">
        <w:rPr>
          <w:b/>
          <w:i/>
          <w:sz w:val="18"/>
        </w:rPr>
        <w:t xml:space="preserve">a) v mld. Kč </w:t>
      </w:r>
      <w:r w:rsidRPr="00240B6D">
        <w:rPr>
          <w:b/>
          <w:i/>
          <w:sz w:val="18"/>
        </w:rPr>
        <w:tab/>
        <w:t>b) struktura v %</w:t>
      </w:r>
    </w:p>
    <w:p w:rsidR="003D2F60" w:rsidRDefault="004418C4" w:rsidP="003D2F60">
      <w:pPr>
        <w:spacing w:after="120"/>
        <w:rPr>
          <w:rFonts w:cs="Arial"/>
          <w:b/>
          <w:bCs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5194A1" wp14:editId="5BBFA680">
            <wp:simplePos x="0" y="0"/>
            <wp:positionH relativeFrom="margin">
              <wp:align>right</wp:align>
            </wp:positionH>
            <wp:positionV relativeFrom="paragraph">
              <wp:posOffset>10094</wp:posOffset>
            </wp:positionV>
            <wp:extent cx="2648607" cy="3184635"/>
            <wp:effectExtent l="0" t="0" r="18415" b="15875"/>
            <wp:wrapNone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9A4" w:rsidRPr="006769A4">
        <w:rPr>
          <w:noProof/>
        </w:rPr>
        <w:t xml:space="preserve"> </w:t>
      </w:r>
      <w:r w:rsidR="006769A4">
        <w:rPr>
          <w:noProof/>
        </w:rPr>
        <w:drawing>
          <wp:inline distT="0" distB="0" distL="0" distR="0" wp14:anchorId="552314D6" wp14:editId="552306EA">
            <wp:extent cx="3268717" cy="3184634"/>
            <wp:effectExtent l="0" t="0" r="8255" b="15875"/>
            <wp:docPr id="30" name="Graf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2F60" w:rsidRPr="003D2F60" w:rsidRDefault="003D2F60" w:rsidP="004418C4">
      <w:pPr>
        <w:widowControl w:val="0"/>
        <w:spacing w:before="120" w:after="0" w:line="240" w:lineRule="auto"/>
        <w:rPr>
          <w:sz w:val="16"/>
        </w:rPr>
      </w:pPr>
      <w:r w:rsidRPr="003D2F60">
        <w:rPr>
          <w:sz w:val="16"/>
        </w:rPr>
        <w:t xml:space="preserve">(1) zahrnuje lůžkovou, denní a domácí dlouhodobou péči </w:t>
      </w:r>
    </w:p>
    <w:p w:rsidR="003D2F60" w:rsidRPr="003D2F60" w:rsidRDefault="003D2F60" w:rsidP="004418C4">
      <w:pPr>
        <w:widowControl w:val="0"/>
        <w:spacing w:before="60" w:after="0" w:line="240" w:lineRule="auto"/>
        <w:rPr>
          <w:sz w:val="16"/>
        </w:rPr>
      </w:pPr>
      <w:r w:rsidRPr="003D2F60">
        <w:rPr>
          <w:sz w:val="16"/>
        </w:rPr>
        <w:t xml:space="preserve">(2) zahrnuje příspěvek na péči, na mobilitu, na kompenzační pomůcky a sociální služby </w:t>
      </w:r>
    </w:p>
    <w:p w:rsidR="003D2F60" w:rsidRPr="003D2F60" w:rsidRDefault="003D2F60" w:rsidP="004418C4">
      <w:pPr>
        <w:widowControl w:val="0"/>
        <w:spacing w:before="60" w:after="60" w:line="240" w:lineRule="auto"/>
        <w:rPr>
          <w:sz w:val="16"/>
        </w:rPr>
      </w:pPr>
      <w:r w:rsidRPr="003D2F60">
        <w:rPr>
          <w:sz w:val="16"/>
        </w:rPr>
        <w:t>(3) zahrnuje například léčebnou a rehabilitační péči, doplňkové služby, léčiva a ostatní zdravotnický materiál, preventivní péči, správu systému zdravotní péče a další</w:t>
      </w:r>
    </w:p>
    <w:p w:rsidR="003D2F60" w:rsidRPr="003D2F60" w:rsidRDefault="003D2F60" w:rsidP="004418C4">
      <w:pPr>
        <w:widowControl w:val="0"/>
        <w:spacing w:before="60"/>
        <w:jc w:val="right"/>
        <w:rPr>
          <w:b/>
          <w:bCs/>
          <w:i/>
          <w:sz w:val="16"/>
          <w:szCs w:val="16"/>
        </w:rPr>
      </w:pPr>
      <w:r w:rsidRPr="003D2F60">
        <w:rPr>
          <w:b/>
          <w:bCs/>
          <w:i/>
          <w:sz w:val="16"/>
          <w:szCs w:val="16"/>
        </w:rPr>
        <w:t>Zdroj: ČSÚ 2021, Zdravotnické účty ČR 2010</w:t>
      </w:r>
      <w:r w:rsidRPr="003D2F60">
        <w:rPr>
          <w:b/>
          <w:sz w:val="16"/>
          <w:szCs w:val="16"/>
        </w:rPr>
        <w:t>–</w:t>
      </w:r>
      <w:r w:rsidRPr="003D2F60">
        <w:rPr>
          <w:b/>
          <w:bCs/>
          <w:i/>
          <w:sz w:val="16"/>
          <w:szCs w:val="16"/>
        </w:rPr>
        <w:t>2019</w:t>
      </w:r>
    </w:p>
    <w:p w:rsidR="003D2F60" w:rsidRPr="00240B6D" w:rsidRDefault="003D2F60" w:rsidP="00012061">
      <w:r>
        <w:t xml:space="preserve">Dvě třetiny z celkových výdajů na </w:t>
      </w:r>
      <w:r w:rsidRPr="00F02D18">
        <w:rPr>
          <w:b/>
        </w:rPr>
        <w:t>dlouhodobou péči</w:t>
      </w:r>
      <w:r>
        <w:t xml:space="preserve"> pocházely ze státního rozpočtu. </w:t>
      </w:r>
      <w:r w:rsidRPr="00240B6D">
        <w:t>V roce 201</w:t>
      </w:r>
      <w:r>
        <w:t>9</w:t>
      </w:r>
      <w:r w:rsidRPr="00240B6D">
        <w:t xml:space="preserve"> </w:t>
      </w:r>
      <w:r>
        <w:t>bylo</w:t>
      </w:r>
      <w:r w:rsidR="00A9095C">
        <w:t xml:space="preserve"> za tuto péči</w:t>
      </w:r>
      <w:r w:rsidRPr="00240B6D">
        <w:t xml:space="preserve"> </w:t>
      </w:r>
      <w:r>
        <w:t xml:space="preserve">vydáno </w:t>
      </w:r>
      <w:r w:rsidRPr="00240B6D">
        <w:t xml:space="preserve">celkem </w:t>
      </w:r>
      <w:r w:rsidR="006769A4">
        <w:rPr>
          <w:b/>
        </w:rPr>
        <w:t>68,1</w:t>
      </w:r>
      <w:r w:rsidRPr="004E543E">
        <w:rPr>
          <w:b/>
        </w:rPr>
        <w:t xml:space="preserve"> mld. Kč</w:t>
      </w:r>
      <w:r>
        <w:t xml:space="preserve"> z celkových 7</w:t>
      </w:r>
      <w:r w:rsidR="006769A4">
        <w:t>6,8</w:t>
      </w:r>
      <w:r>
        <w:t xml:space="preserve"> mld. Kč výdajů ze státního rozpočtu</w:t>
      </w:r>
      <w:r w:rsidRPr="00240B6D">
        <w:t>. Většina z těchto finančních prostředků (</w:t>
      </w:r>
      <w:r w:rsidR="006769A4">
        <w:t>33,7</w:t>
      </w:r>
      <w:r>
        <w:t xml:space="preserve"> mld. Kč) byla</w:t>
      </w:r>
      <w:r w:rsidRPr="00240B6D">
        <w:t xml:space="preserve"> v roce 201</w:t>
      </w:r>
      <w:r>
        <w:t>9 určena</w:t>
      </w:r>
      <w:r w:rsidRPr="00240B6D">
        <w:t xml:space="preserve"> na </w:t>
      </w:r>
      <w:r w:rsidRPr="00BE5F54">
        <w:rPr>
          <w:b/>
        </w:rPr>
        <w:t>dlouhodobou lůžkovou zdravotní péči</w:t>
      </w:r>
      <w:r w:rsidRPr="00240B6D">
        <w:t xml:space="preserve"> </w:t>
      </w:r>
      <w:r>
        <w:t xml:space="preserve">zahrnující např. domovy pro seniory, domovy se zvláštním režimem nebo domovy pro zdravotně postižené. Meziročně došlo ke </w:t>
      </w:r>
      <w:r w:rsidR="00FA22FB">
        <w:rPr>
          <w:b/>
        </w:rPr>
        <w:t>zvýšení o 3,2</w:t>
      </w:r>
      <w:r w:rsidRPr="00BE5F54">
        <w:rPr>
          <w:b/>
        </w:rPr>
        <w:t> mld. Kč</w:t>
      </w:r>
      <w:r>
        <w:t>. Další část financí byla vydána za </w:t>
      </w:r>
      <w:r w:rsidRPr="00BE5F54">
        <w:rPr>
          <w:b/>
        </w:rPr>
        <w:t>domácí dlouhodobou zdravotní péči</w:t>
      </w:r>
      <w:r>
        <w:t xml:space="preserve">, na kterou směřovalo necelých 5 mld. Kč. Oproti </w:t>
      </w:r>
      <w:r w:rsidR="004D20A3">
        <w:t>roku 2018 došlo ke zvýšení o 594</w:t>
      </w:r>
      <w:r>
        <w:t xml:space="preserve"> mil. Kč. Nejmenší částka byla vydána za </w:t>
      </w:r>
      <w:r w:rsidRPr="00BE5F54">
        <w:rPr>
          <w:b/>
        </w:rPr>
        <w:t>denní dlouhodobou zdravotní péči</w:t>
      </w:r>
      <w:r>
        <w:rPr>
          <w:b/>
        </w:rPr>
        <w:t>,</w:t>
      </w:r>
      <w:r>
        <w:t xml:space="preserve"> a to konkrétně 2,4 mld. Kč.</w:t>
      </w:r>
    </w:p>
    <w:p w:rsidR="003D2F60" w:rsidRPr="000353CA" w:rsidRDefault="003D2F60" w:rsidP="00012061">
      <w:pPr>
        <w:rPr>
          <w:i/>
        </w:rPr>
      </w:pPr>
      <w:r w:rsidRPr="00240B6D">
        <w:t xml:space="preserve">Na </w:t>
      </w:r>
      <w:r w:rsidRPr="00213704">
        <w:rPr>
          <w:b/>
        </w:rPr>
        <w:t>sociáln</w:t>
      </w:r>
      <w:r>
        <w:rPr>
          <w:b/>
        </w:rPr>
        <w:t>í</w:t>
      </w:r>
      <w:r w:rsidRPr="00213704">
        <w:rPr>
          <w:b/>
        </w:rPr>
        <w:t xml:space="preserve"> dlouhodobou péči</w:t>
      </w:r>
      <w:r w:rsidRPr="00240B6D">
        <w:t xml:space="preserve"> </w:t>
      </w:r>
      <w:r>
        <w:t xml:space="preserve">bylo v roce 2019 </w:t>
      </w:r>
      <w:r w:rsidRPr="00240B6D">
        <w:t>vynalož</w:t>
      </w:r>
      <w:r>
        <w:t xml:space="preserve">eno </w:t>
      </w:r>
      <w:r w:rsidR="00FA22FB">
        <w:rPr>
          <w:b/>
        </w:rPr>
        <w:t xml:space="preserve">celkem </w:t>
      </w:r>
      <w:r w:rsidRPr="00690878">
        <w:rPr>
          <w:b/>
        </w:rPr>
        <w:t>27 mld. Kč</w:t>
      </w:r>
      <w:r w:rsidRPr="00240B6D">
        <w:t xml:space="preserve">. </w:t>
      </w:r>
      <w:r>
        <w:t>Do těchto výdajů spadají výdaje za sociální služby poskytované například osobám se zdravotními problémy a funkčními omezeními (v roce 2019 celkem 3,1 mld. Kč) nebo peněžité dávky poskytované jednotlivým osobám případně domácnostem (v roce 2019 celkem 23,8 mld. Kč).</w:t>
      </w:r>
    </w:p>
    <w:p w:rsidR="003D2F60" w:rsidRDefault="003D2F60" w:rsidP="00012061">
      <w:pPr>
        <w:rPr>
          <w:b/>
        </w:rPr>
      </w:pPr>
      <w:r w:rsidRPr="00240B6D">
        <w:t xml:space="preserve">Mezi ostatní výdaje na zdravotní péči hrazené ze státního rozpočtu patří </w:t>
      </w:r>
      <w:r>
        <w:t>například</w:t>
      </w:r>
      <w:r w:rsidRPr="00240B6D">
        <w:t xml:space="preserve"> </w:t>
      </w:r>
      <w:r w:rsidRPr="00213704">
        <w:rPr>
          <w:b/>
        </w:rPr>
        <w:t>preventivní péče,</w:t>
      </w:r>
      <w:r>
        <w:t xml:space="preserve"> do </w:t>
      </w:r>
      <w:r w:rsidRPr="00240B6D">
        <w:t>které stát v roce 201</w:t>
      </w:r>
      <w:r>
        <w:t>9</w:t>
      </w:r>
      <w:r w:rsidRPr="00240B6D">
        <w:t xml:space="preserve"> investoval </w:t>
      </w:r>
      <w:r w:rsidRPr="00BE5F54">
        <w:rPr>
          <w:b/>
        </w:rPr>
        <w:t>1,1 mld. Kč</w:t>
      </w:r>
      <w:r>
        <w:t>, dále v</w:t>
      </w:r>
      <w:r w:rsidRPr="00240B6D">
        <w:t xml:space="preserve">ýdaje související se </w:t>
      </w:r>
      <w:r w:rsidRPr="00213704">
        <w:rPr>
          <w:b/>
        </w:rPr>
        <w:t xml:space="preserve">správou </w:t>
      </w:r>
      <w:r w:rsidR="00FA22FB">
        <w:rPr>
          <w:b/>
        </w:rPr>
        <w:t>systému zdravotní péče (2,6</w:t>
      </w:r>
      <w:r>
        <w:rPr>
          <w:b/>
        </w:rPr>
        <w:t> mld. Kč)</w:t>
      </w:r>
      <w:r>
        <w:t xml:space="preserve">, </w:t>
      </w:r>
      <w:r>
        <w:rPr>
          <w:b/>
        </w:rPr>
        <w:t xml:space="preserve">léčebná péče (3,3 mld. Kč) </w:t>
      </w:r>
      <w:r>
        <w:t xml:space="preserve">nebo </w:t>
      </w:r>
      <w:r>
        <w:rPr>
          <w:b/>
        </w:rPr>
        <w:t>rehabilitační péče (443 mil. Kč).</w:t>
      </w:r>
    </w:p>
    <w:p w:rsidR="003D2F60" w:rsidRPr="00012061" w:rsidRDefault="003D2F60" w:rsidP="00012061">
      <w:pPr>
        <w:rPr>
          <w:b/>
          <w:i/>
        </w:rPr>
      </w:pPr>
      <w:r w:rsidRPr="00012061">
        <w:rPr>
          <w:b/>
          <w:i/>
        </w:rPr>
        <w:t>Ze soukromých zdrojů bylo na zdravotní péči vydáno celkem 81,97 mld. Kč</w:t>
      </w:r>
    </w:p>
    <w:p w:rsidR="003D2F60" w:rsidRDefault="003D2F60" w:rsidP="003D2F60">
      <w:pPr>
        <w:rPr>
          <w:b/>
          <w:bCs/>
          <w:sz w:val="18"/>
          <w:szCs w:val="18"/>
        </w:rPr>
      </w:pPr>
      <w:r>
        <w:t xml:space="preserve">Podíl výdajů ze soukromých (dobrovolných) zdrojů na celkových výdajích na zdravotní </w:t>
      </w:r>
      <w:r w:rsidR="00FA22FB">
        <w:t>péči byl v roce 2019 celkem 17,2</w:t>
      </w:r>
      <w:r>
        <w:t xml:space="preserve"> %. Dlouhodobě se na celkových výdajích za zdravotní péči hrazenou ze soukromých zdrojů nejvíce podílí </w:t>
      </w:r>
      <w:r>
        <w:rPr>
          <w:b/>
        </w:rPr>
        <w:t>přímé platby </w:t>
      </w:r>
      <w:r w:rsidRPr="00591143">
        <w:rPr>
          <w:b/>
        </w:rPr>
        <w:t>domácností (pacientů)</w:t>
      </w:r>
      <w:r>
        <w:rPr>
          <w:b/>
        </w:rPr>
        <w:t>,</w:t>
      </w:r>
      <w:r>
        <w:t xml:space="preserve"> v roce 2019 to bylo konkrétně ze 78 %. Nicméně několikátým rokem dochází k postupnému snižování tohoto podílu. O</w:t>
      </w:r>
      <w:r w:rsidR="009E0B7F">
        <w:t>d roku 2015 došlo ke snížení o 7</w:t>
      </w:r>
      <w:r>
        <w:t xml:space="preserve"> procentních bodů. </w:t>
      </w:r>
      <w:r w:rsidRPr="005B002C">
        <w:rPr>
          <w:b/>
          <w:bCs/>
        </w:rPr>
        <w:t>Výdaje domácností na zdravotní péči v roce 2019 byly celkem 63,7 mld. Kč.</w:t>
      </w:r>
      <w:r>
        <w:rPr>
          <w:b/>
          <w:bCs/>
        </w:rPr>
        <w:t xml:space="preserve"> </w:t>
      </w:r>
      <w:r>
        <w:t xml:space="preserve">Meziročně došlo ke zvýšení o 6,4 mld. Kč. Z plateb domácností jde nejvíce peněz za léčiva a ostatní </w:t>
      </w:r>
      <w:r>
        <w:lastRenderedPageBreak/>
        <w:t xml:space="preserve">zdravotnický materiál. Další </w:t>
      </w:r>
      <w:r>
        <w:rPr>
          <w:bCs/>
          <w:szCs w:val="17"/>
        </w:rPr>
        <w:t>v</w:t>
      </w:r>
      <w:r w:rsidRPr="00240B6D">
        <w:rPr>
          <w:bCs/>
          <w:szCs w:val="17"/>
        </w:rPr>
        <w:t xml:space="preserve">ýznamný podíl výdajů domácností představují též platby </w:t>
      </w:r>
      <w:r>
        <w:rPr>
          <w:bCs/>
          <w:szCs w:val="17"/>
        </w:rPr>
        <w:t xml:space="preserve">u stomatologů </w:t>
      </w:r>
      <w:r w:rsidR="00981913">
        <w:rPr>
          <w:bCs/>
          <w:szCs w:val="17"/>
        </w:rPr>
        <w:t>za </w:t>
      </w:r>
      <w:r w:rsidRPr="00052153">
        <w:rPr>
          <w:b/>
          <w:bCs/>
          <w:szCs w:val="17"/>
        </w:rPr>
        <w:t>nadstandardní služby a materiál</w:t>
      </w:r>
      <w:r w:rsidRPr="00240B6D">
        <w:rPr>
          <w:bCs/>
          <w:szCs w:val="17"/>
        </w:rPr>
        <w:t>. Další</w:t>
      </w:r>
      <w:r>
        <w:rPr>
          <w:bCs/>
          <w:szCs w:val="17"/>
        </w:rPr>
        <w:t>,</w:t>
      </w:r>
      <w:r w:rsidRPr="00240B6D">
        <w:rPr>
          <w:bCs/>
          <w:szCs w:val="17"/>
        </w:rPr>
        <w:t xml:space="preserve"> byť méně významné</w:t>
      </w:r>
      <w:r>
        <w:rPr>
          <w:bCs/>
          <w:szCs w:val="17"/>
        </w:rPr>
        <w:t>,</w:t>
      </w:r>
      <w:r w:rsidRPr="00240B6D">
        <w:rPr>
          <w:bCs/>
          <w:szCs w:val="17"/>
        </w:rPr>
        <w:t xml:space="preserve"> jsou platby za lá</w:t>
      </w:r>
      <w:bookmarkStart w:id="0" w:name="_GoBack"/>
      <w:bookmarkEnd w:id="0"/>
      <w:r w:rsidRPr="00240B6D">
        <w:rPr>
          <w:bCs/>
          <w:szCs w:val="17"/>
        </w:rPr>
        <w:t>zeňské pobyty, nadstandardně vybavené pokoje v nemocnicích a platby za různá potvrzení</w:t>
      </w:r>
      <w:r>
        <w:rPr>
          <w:bCs/>
          <w:szCs w:val="17"/>
        </w:rPr>
        <w:t xml:space="preserve"> např. </w:t>
      </w:r>
      <w:r w:rsidRPr="00240B6D">
        <w:rPr>
          <w:bCs/>
          <w:szCs w:val="17"/>
        </w:rPr>
        <w:t>u praktických lékařů</w:t>
      </w:r>
      <w:r w:rsidR="00981913">
        <w:rPr>
          <w:bCs/>
          <w:szCs w:val="17"/>
        </w:rPr>
        <w:t xml:space="preserve"> a </w:t>
      </w:r>
      <w:r w:rsidRPr="00EA7AD1">
        <w:rPr>
          <w:bCs/>
          <w:szCs w:val="17"/>
        </w:rPr>
        <w:t>regulační poplatk</w:t>
      </w:r>
      <w:r>
        <w:rPr>
          <w:bCs/>
          <w:szCs w:val="17"/>
        </w:rPr>
        <w:t>y</w:t>
      </w:r>
      <w:r w:rsidRPr="00EA7AD1">
        <w:rPr>
          <w:bCs/>
          <w:szCs w:val="17"/>
        </w:rPr>
        <w:t xml:space="preserve"> za pohotovostní služby.</w:t>
      </w:r>
      <w:r w:rsidRPr="00240B6D">
        <w:rPr>
          <w:bCs/>
          <w:szCs w:val="17"/>
        </w:rPr>
        <w:t xml:space="preserve"> </w:t>
      </w:r>
      <w:r w:rsidRPr="00B30C7F">
        <w:rPr>
          <w:i/>
          <w:iCs/>
        </w:rPr>
        <w:t>Více v kapitole č.</w:t>
      </w:r>
      <w:r w:rsidR="00DE1435">
        <w:rPr>
          <w:i/>
          <w:iCs/>
        </w:rPr>
        <w:t xml:space="preserve"> </w:t>
      </w:r>
      <w:r>
        <w:rPr>
          <w:i/>
          <w:iCs/>
        </w:rPr>
        <w:t>3</w:t>
      </w:r>
      <w:r w:rsidR="00DE1435">
        <w:rPr>
          <w:i/>
          <w:iCs/>
        </w:rPr>
        <w:t>.</w:t>
      </w:r>
      <w:r>
        <w:rPr>
          <w:i/>
          <w:iCs/>
        </w:rPr>
        <w:t xml:space="preserve"> Výdaje domácností na zdravotní péči.</w:t>
      </w:r>
      <w:r>
        <w:rPr>
          <w:b/>
          <w:bCs/>
          <w:sz w:val="18"/>
          <w:szCs w:val="18"/>
        </w:rPr>
        <w:t xml:space="preserve"> </w:t>
      </w:r>
    </w:p>
    <w:p w:rsidR="003D2F60" w:rsidRPr="003D2F60" w:rsidRDefault="003D2F60" w:rsidP="004418C4">
      <w:pPr>
        <w:spacing w:after="120"/>
        <w:rPr>
          <w:b/>
          <w:bCs/>
          <w:sz w:val="18"/>
          <w:szCs w:val="18"/>
        </w:rPr>
      </w:pPr>
      <w:r w:rsidRPr="003D2F60">
        <w:rPr>
          <w:b/>
          <w:bCs/>
          <w:sz w:val="18"/>
          <w:szCs w:val="18"/>
        </w:rPr>
        <w:t xml:space="preserve">Graf č. 1.6. Výdaje na zdravotní péči v Česku financované ze soukromých zdrojů, 2015–2019 </w:t>
      </w:r>
    </w:p>
    <w:p w:rsidR="003D2F60" w:rsidRPr="003D2F60" w:rsidRDefault="004418C4" w:rsidP="0070129F">
      <w:pPr>
        <w:keepNext/>
        <w:tabs>
          <w:tab w:val="left" w:pos="142"/>
          <w:tab w:val="left" w:pos="5529"/>
        </w:tabs>
        <w:spacing w:after="120"/>
        <w:rPr>
          <w:b/>
          <w:i/>
          <w:sz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4FDC8F" wp14:editId="3BCD2C5F">
            <wp:simplePos x="0" y="0"/>
            <wp:positionH relativeFrom="margin">
              <wp:posOffset>3378944</wp:posOffset>
            </wp:positionH>
            <wp:positionV relativeFrom="paragraph">
              <wp:posOffset>221288</wp:posOffset>
            </wp:positionV>
            <wp:extent cx="2719508" cy="3342990"/>
            <wp:effectExtent l="0" t="0" r="5080" b="10160"/>
            <wp:wrapNone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60" w:rsidRPr="003D2F60">
        <w:rPr>
          <w:b/>
          <w:i/>
          <w:sz w:val="18"/>
        </w:rPr>
        <w:tab/>
        <w:t xml:space="preserve">a) v mld. Kč </w:t>
      </w:r>
      <w:r w:rsidR="003D2F60" w:rsidRPr="003D2F60">
        <w:rPr>
          <w:b/>
          <w:i/>
          <w:sz w:val="18"/>
        </w:rPr>
        <w:tab/>
        <w:t>b) struktura v %</w:t>
      </w:r>
    </w:p>
    <w:p w:rsidR="00B651E6" w:rsidRDefault="003D2F60" w:rsidP="003D2F60">
      <w:pPr>
        <w:keepNext/>
        <w:spacing w:after="0"/>
        <w:rPr>
          <w:bCs/>
          <w:szCs w:val="20"/>
        </w:rPr>
      </w:pPr>
      <w:r>
        <w:rPr>
          <w:noProof/>
        </w:rPr>
        <w:drawing>
          <wp:inline distT="0" distB="0" distL="0" distR="0" wp14:anchorId="680947CC" wp14:editId="47144748">
            <wp:extent cx="3059394" cy="3332480"/>
            <wp:effectExtent l="0" t="0" r="8255" b="127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2F60" w:rsidRPr="003D2F60" w:rsidRDefault="003D2F60" w:rsidP="0070129F">
      <w:pPr>
        <w:keepNext/>
        <w:spacing w:before="120"/>
        <w:jc w:val="right"/>
        <w:rPr>
          <w:b/>
          <w:bCs/>
          <w:i/>
          <w:sz w:val="16"/>
          <w:szCs w:val="16"/>
        </w:rPr>
      </w:pPr>
      <w:r w:rsidRPr="003D2F60">
        <w:rPr>
          <w:b/>
          <w:bCs/>
          <w:i/>
          <w:sz w:val="16"/>
          <w:szCs w:val="16"/>
        </w:rPr>
        <w:t>Zdroj: ČSÚ 2021, Zdravotnické účty ČR 2010</w:t>
      </w:r>
      <w:r w:rsidRPr="003D2F60">
        <w:rPr>
          <w:b/>
          <w:sz w:val="16"/>
          <w:szCs w:val="16"/>
        </w:rPr>
        <w:t>–</w:t>
      </w:r>
      <w:r w:rsidRPr="003D2F60">
        <w:rPr>
          <w:b/>
          <w:bCs/>
          <w:i/>
          <w:sz w:val="16"/>
          <w:szCs w:val="16"/>
        </w:rPr>
        <w:t>2019</w:t>
      </w:r>
    </w:p>
    <w:p w:rsidR="003D2F60" w:rsidRDefault="003D2F60" w:rsidP="003D2F60">
      <w:pPr>
        <w:spacing w:after="120"/>
        <w:rPr>
          <w:bCs/>
          <w:szCs w:val="17"/>
        </w:rPr>
      </w:pPr>
      <w:r>
        <w:rPr>
          <w:bCs/>
          <w:szCs w:val="17"/>
        </w:rPr>
        <w:t>Další výdaje se soukromých zdrojů (kromě výdajů domácnosti) činily v roce 2019 celkem 18,2 mld. Kč, což je 3,8 % z celkových výdajů na zdravotní péči.</w:t>
      </w:r>
    </w:p>
    <w:p w:rsidR="003D2F60" w:rsidRPr="004E5CC3" w:rsidRDefault="003D2F60" w:rsidP="003D2F60">
      <w:pPr>
        <w:spacing w:after="120"/>
        <w:rPr>
          <w:bCs/>
          <w:szCs w:val="17"/>
        </w:rPr>
      </w:pPr>
      <w:r w:rsidRPr="002E7C59">
        <w:rPr>
          <w:b/>
          <w:bCs/>
          <w:szCs w:val="17"/>
        </w:rPr>
        <w:t>Neziskové instituce</w:t>
      </w:r>
      <w:r w:rsidRPr="002E7C59">
        <w:rPr>
          <w:bCs/>
          <w:szCs w:val="17"/>
        </w:rPr>
        <w:t xml:space="preserve"> (např. Červený kříž) jsou v Česku orientovány zejména</w:t>
      </w:r>
      <w:r>
        <w:rPr>
          <w:bCs/>
          <w:szCs w:val="17"/>
        </w:rPr>
        <w:t xml:space="preserve"> charitativně. V roce 2019 dosáhl jejich podíl 3</w:t>
      </w:r>
      <w:r w:rsidR="00FA22FB">
        <w:rPr>
          <w:bCs/>
          <w:szCs w:val="17"/>
        </w:rPr>
        <w:t>,4</w:t>
      </w:r>
      <w:r>
        <w:rPr>
          <w:bCs/>
          <w:szCs w:val="17"/>
        </w:rPr>
        <w:t xml:space="preserve"> % z celkových výdajů na zdravotní péči a 20 % z výdajů na </w:t>
      </w:r>
      <w:r w:rsidR="00981913">
        <w:rPr>
          <w:bCs/>
          <w:szCs w:val="17"/>
        </w:rPr>
        <w:t>zdravotní péči financovaných ze </w:t>
      </w:r>
      <w:r>
        <w:rPr>
          <w:bCs/>
          <w:szCs w:val="17"/>
        </w:rPr>
        <w:t xml:space="preserve">soukromých zdrojů. Celkově neziskové organizace vynaložily celkem 16,3 mld. Kč, což je o 3,1 mld. Kč více než v roce předchozím. </w:t>
      </w:r>
    </w:p>
    <w:p w:rsidR="003D2F60" w:rsidRDefault="003D2F60" w:rsidP="003D2F60">
      <w:pPr>
        <w:spacing w:after="120"/>
        <w:rPr>
          <w:bCs/>
          <w:szCs w:val="17"/>
        </w:rPr>
      </w:pPr>
      <w:r w:rsidRPr="002E7C59">
        <w:rPr>
          <w:bCs/>
          <w:szCs w:val="17"/>
        </w:rPr>
        <w:t xml:space="preserve">Pro </w:t>
      </w:r>
      <w:r w:rsidRPr="002E7C59">
        <w:rPr>
          <w:b/>
          <w:bCs/>
          <w:szCs w:val="17"/>
        </w:rPr>
        <w:t>podnikovou sféru</w:t>
      </w:r>
      <w:r w:rsidRPr="002E7C59">
        <w:rPr>
          <w:bCs/>
          <w:szCs w:val="17"/>
        </w:rPr>
        <w:t xml:space="preserve"> je účast na financování zdravotní péče, zejména péče preventivní, spíše vedlejší, i</w:t>
      </w:r>
      <w:r>
        <w:rPr>
          <w:bCs/>
          <w:szCs w:val="17"/>
        </w:rPr>
        <w:t> </w:t>
      </w:r>
      <w:r w:rsidRPr="002E7C59">
        <w:rPr>
          <w:bCs/>
          <w:szCs w:val="17"/>
        </w:rPr>
        <w:t>když (z pohledu právních norem) nutnou aktivitou.</w:t>
      </w:r>
      <w:r w:rsidRPr="00240B6D">
        <w:rPr>
          <w:bCs/>
          <w:szCs w:val="17"/>
        </w:rPr>
        <w:t xml:space="preserve"> </w:t>
      </w:r>
      <w:r>
        <w:rPr>
          <w:bCs/>
          <w:szCs w:val="17"/>
        </w:rPr>
        <w:t xml:space="preserve">V roce 2019 činily výdaje za závodní preventivní péči celkem 1,3 mld. Kč. </w:t>
      </w:r>
    </w:p>
    <w:p w:rsidR="003D2F60" w:rsidRDefault="003D2F60" w:rsidP="003D2F60">
      <w:pPr>
        <w:spacing w:after="120"/>
        <w:rPr>
          <w:bCs/>
          <w:szCs w:val="17"/>
        </w:rPr>
      </w:pPr>
      <w:r w:rsidRPr="00D10A68">
        <w:rPr>
          <w:b/>
          <w:bCs/>
          <w:szCs w:val="17"/>
        </w:rPr>
        <w:t xml:space="preserve">Soukromé </w:t>
      </w:r>
      <w:r>
        <w:rPr>
          <w:b/>
          <w:bCs/>
          <w:szCs w:val="17"/>
        </w:rPr>
        <w:t xml:space="preserve">dobrovolné </w:t>
      </w:r>
      <w:r w:rsidRPr="00D10A68">
        <w:rPr>
          <w:b/>
          <w:bCs/>
          <w:szCs w:val="17"/>
        </w:rPr>
        <w:t>zdravotní pojištění</w:t>
      </w:r>
      <w:r w:rsidRPr="00D10A68">
        <w:rPr>
          <w:bCs/>
          <w:szCs w:val="17"/>
        </w:rPr>
        <w:t xml:space="preserve"> v datech zdravotnických účtů České republiky zahrnuje pouze cestovní pojištění</w:t>
      </w:r>
      <w:r>
        <w:rPr>
          <w:rStyle w:val="Znakapoznpodarou"/>
          <w:bCs/>
          <w:szCs w:val="17"/>
        </w:rPr>
        <w:footnoteReference w:id="6"/>
      </w:r>
      <w:r>
        <w:rPr>
          <w:bCs/>
          <w:szCs w:val="17"/>
        </w:rPr>
        <w:t xml:space="preserve"> a jeho podíl na celkových nákladech na zdravotní péči je tak v Česku zcela zanedbatelný</w:t>
      </w:r>
      <w:r w:rsidRPr="00D10A68">
        <w:rPr>
          <w:bCs/>
          <w:szCs w:val="17"/>
        </w:rPr>
        <w:t xml:space="preserve">. </w:t>
      </w:r>
    </w:p>
    <w:p w:rsidR="00FE5105" w:rsidRDefault="003D2F60" w:rsidP="003D2F60">
      <w:pPr>
        <w:pStyle w:val="Nadpis3"/>
        <w:rPr>
          <w:rStyle w:val="Nadpis3Char"/>
          <w:b/>
          <w:bCs/>
        </w:rPr>
      </w:pPr>
      <w:r w:rsidRPr="003D2F60">
        <w:t xml:space="preserve">1.3. </w:t>
      </w:r>
      <w:r w:rsidRPr="003D2F60">
        <w:rPr>
          <w:rStyle w:val="Nadpis3Char"/>
          <w:b/>
          <w:bCs/>
        </w:rPr>
        <w:t>Výdaje na zdravotnictví podle druhu poskytnuté péče</w:t>
      </w:r>
    </w:p>
    <w:p w:rsidR="003D2F60" w:rsidRDefault="003D2F60" w:rsidP="003D2F60">
      <w:pPr>
        <w:rPr>
          <w:rFonts w:cs="Arial"/>
          <w:szCs w:val="20"/>
        </w:rPr>
      </w:pPr>
      <w:r w:rsidRPr="00240B6D">
        <w:rPr>
          <w:rFonts w:cs="Arial"/>
          <w:szCs w:val="20"/>
        </w:rPr>
        <w:t xml:space="preserve">Druhý významný pohled na problematiku zdravotní péče souvisí s druhem </w:t>
      </w:r>
      <w:r>
        <w:rPr>
          <w:rFonts w:cs="Arial"/>
          <w:szCs w:val="20"/>
        </w:rPr>
        <w:t xml:space="preserve">poskytované </w:t>
      </w:r>
      <w:r w:rsidRPr="00240B6D">
        <w:rPr>
          <w:rFonts w:cs="Arial"/>
          <w:szCs w:val="20"/>
        </w:rPr>
        <w:t xml:space="preserve">péče. Zdravotní péče může být spotřebovávána individuálně nebo kolektivně. Vzhledem ke skutečnosti, že zdravotní stav </w:t>
      </w:r>
      <w:r w:rsidR="00733ADA">
        <w:rPr>
          <w:rFonts w:cs="Arial"/>
          <w:szCs w:val="20"/>
        </w:rPr>
        <w:t>se týká</w:t>
      </w:r>
      <w:r w:rsidRPr="00240B6D">
        <w:rPr>
          <w:rFonts w:cs="Arial"/>
          <w:szCs w:val="20"/>
        </w:rPr>
        <w:t xml:space="preserve"> jednotlivců, většina spotřeby zdravotních služeb se vztahuje k soukromé spotřebě. </w:t>
      </w:r>
    </w:p>
    <w:p w:rsidR="003D2F60" w:rsidRDefault="003D2F60" w:rsidP="003D2F60">
      <w:pPr>
        <w:rPr>
          <w:rFonts w:eastAsia="Calibri" w:cs="Arial"/>
          <w:szCs w:val="20"/>
          <w:lang w:eastAsia="en-US"/>
        </w:rPr>
      </w:pPr>
      <w:r w:rsidRPr="00696417">
        <w:rPr>
          <w:rFonts w:cs="Arial"/>
          <w:b/>
          <w:szCs w:val="20"/>
        </w:rPr>
        <w:lastRenderedPageBreak/>
        <w:t>Individuální</w:t>
      </w:r>
      <w:r w:rsidRPr="00696417">
        <w:rPr>
          <w:rFonts w:cs="Arial"/>
          <w:szCs w:val="20"/>
        </w:rPr>
        <w:t xml:space="preserve"> spotřeba obsahuje standardní kroky léčebného procesu – stanovení diagnózy, formace léčebného plánu, předepsání léku či terapie, diagnostiku a lékařské hodnocení, provedení léčby a hodnocení výsledků. Osobní zdravotní péče zahrnuje léčebnou, rehabilitační, dlouhodobou zdravotní péči</w:t>
      </w:r>
      <w:r>
        <w:rPr>
          <w:rFonts w:cs="Arial"/>
          <w:szCs w:val="20"/>
        </w:rPr>
        <w:t xml:space="preserve">, </w:t>
      </w:r>
      <w:r w:rsidRPr="00696417">
        <w:rPr>
          <w:rFonts w:cs="Arial"/>
          <w:szCs w:val="20"/>
        </w:rPr>
        <w:t xml:space="preserve">podpůrné služby (laboratoře, zobrazovací metody a dopravu pacientů) a v neposlední řadě </w:t>
      </w:r>
      <w:r>
        <w:rPr>
          <w:rFonts w:cs="Arial"/>
          <w:szCs w:val="20"/>
        </w:rPr>
        <w:t xml:space="preserve">i </w:t>
      </w:r>
      <w:r w:rsidRPr="00696417">
        <w:rPr>
          <w:rFonts w:cs="Arial"/>
          <w:szCs w:val="20"/>
        </w:rPr>
        <w:t>léky a</w:t>
      </w:r>
      <w:r>
        <w:rPr>
          <w:rFonts w:cs="Arial"/>
          <w:szCs w:val="20"/>
        </w:rPr>
        <w:t> </w:t>
      </w:r>
      <w:r w:rsidRPr="00696417">
        <w:rPr>
          <w:rFonts w:cs="Arial"/>
          <w:szCs w:val="20"/>
        </w:rPr>
        <w:t>terapeutické pomůcky.</w:t>
      </w:r>
      <w:r w:rsidRPr="00240B6D">
        <w:rPr>
          <w:rFonts w:cs="Arial"/>
          <w:szCs w:val="20"/>
        </w:rPr>
        <w:t xml:space="preserve"> </w:t>
      </w:r>
      <w:r w:rsidRPr="00240B6D">
        <w:rPr>
          <w:rFonts w:eastAsia="Calibri" w:cs="Arial"/>
          <w:szCs w:val="20"/>
          <w:lang w:eastAsia="en-US"/>
        </w:rPr>
        <w:t xml:space="preserve">Výdaje na individuální spotřebu pokrývají </w:t>
      </w:r>
      <w:r>
        <w:rPr>
          <w:rFonts w:eastAsia="Calibri" w:cs="Arial"/>
          <w:szCs w:val="20"/>
          <w:lang w:eastAsia="en-US"/>
        </w:rPr>
        <w:t xml:space="preserve">v Česku </w:t>
      </w:r>
      <w:r w:rsidRPr="00240B6D">
        <w:rPr>
          <w:rFonts w:eastAsia="Calibri" w:cs="Arial"/>
          <w:szCs w:val="20"/>
          <w:lang w:eastAsia="en-US"/>
        </w:rPr>
        <w:t xml:space="preserve">dlouhodobě </w:t>
      </w:r>
      <w:r>
        <w:rPr>
          <w:rFonts w:eastAsia="Calibri" w:cs="Arial"/>
          <w:szCs w:val="20"/>
          <w:lang w:eastAsia="en-US"/>
        </w:rPr>
        <w:t xml:space="preserve">cca </w:t>
      </w:r>
      <w:r w:rsidRPr="00240B6D">
        <w:rPr>
          <w:rFonts w:eastAsia="Calibri" w:cs="Arial"/>
          <w:szCs w:val="20"/>
          <w:lang w:eastAsia="en-US"/>
        </w:rPr>
        <w:t>9</w:t>
      </w:r>
      <w:r>
        <w:rPr>
          <w:rFonts w:eastAsia="Calibri" w:cs="Arial"/>
          <w:szCs w:val="20"/>
          <w:lang w:eastAsia="en-US"/>
        </w:rPr>
        <w:t>0 </w:t>
      </w:r>
      <w:r w:rsidRPr="00240B6D">
        <w:rPr>
          <w:rFonts w:eastAsia="Calibri" w:cs="Arial"/>
          <w:szCs w:val="20"/>
          <w:lang w:eastAsia="en-US"/>
        </w:rPr>
        <w:t>% výdajů na zdravotní péči</w:t>
      </w:r>
      <w:r>
        <w:rPr>
          <w:rFonts w:eastAsia="Calibri" w:cs="Arial"/>
          <w:szCs w:val="20"/>
          <w:lang w:eastAsia="en-US"/>
        </w:rPr>
        <w:t>.</w:t>
      </w:r>
    </w:p>
    <w:p w:rsidR="003D2F60" w:rsidRDefault="00733ADA" w:rsidP="003D2F60">
      <w:pPr>
        <w:rPr>
          <w:rFonts w:eastAsia="Calibri" w:cs="Arial"/>
          <w:szCs w:val="20"/>
          <w:lang w:eastAsia="en-US"/>
        </w:rPr>
      </w:pPr>
      <w:r w:rsidRPr="0082464D">
        <w:t>Do zdravotní patří i služby, které jsou zaměřeny na zlepšení celkového zdravotního stavu populace či efektivitu systému zdravotnictví jako takového</w:t>
      </w:r>
      <w:r w:rsidR="003D2F60" w:rsidRPr="00240B6D">
        <w:rPr>
          <w:rFonts w:cs="Arial"/>
          <w:szCs w:val="20"/>
        </w:rPr>
        <w:t xml:space="preserve">. </w:t>
      </w:r>
      <w:r w:rsidR="003D2F60" w:rsidRPr="00240B6D">
        <w:rPr>
          <w:rFonts w:eastAsia="Calibri" w:cs="Arial"/>
          <w:b/>
          <w:szCs w:val="20"/>
          <w:lang w:eastAsia="en-US"/>
        </w:rPr>
        <w:t>Kolektivní</w:t>
      </w:r>
      <w:r w:rsidR="003D2F60" w:rsidRPr="00240B6D">
        <w:rPr>
          <w:rFonts w:eastAsia="Calibri" w:cs="Arial"/>
          <w:szCs w:val="20"/>
          <w:lang w:eastAsia="en-US"/>
        </w:rPr>
        <w:t xml:space="preserve"> </w:t>
      </w:r>
      <w:r w:rsidR="003D2F60" w:rsidRPr="00441783">
        <w:rPr>
          <w:rFonts w:eastAsia="Calibri" w:cs="Arial"/>
          <w:b/>
          <w:szCs w:val="20"/>
          <w:lang w:eastAsia="en-US"/>
        </w:rPr>
        <w:t>služby</w:t>
      </w:r>
      <w:r w:rsidR="003D2F60" w:rsidRPr="00240B6D">
        <w:rPr>
          <w:rFonts w:eastAsia="Calibri" w:cs="Arial"/>
          <w:szCs w:val="20"/>
          <w:lang w:eastAsia="en-US"/>
        </w:rPr>
        <w:t xml:space="preserve"> jsou zacíleny na celou populaci (nebo části populace) a mají zlepšit celkové zdravotní standardy nebo efektivitu a výkonnost systému zdravotnictví</w:t>
      </w:r>
      <w:r w:rsidR="003D2F60">
        <w:rPr>
          <w:rFonts w:eastAsia="Calibri" w:cs="Arial"/>
          <w:szCs w:val="20"/>
          <w:lang w:eastAsia="en-US"/>
        </w:rPr>
        <w:t>.</w:t>
      </w:r>
      <w:r w:rsidR="003D2F60" w:rsidRPr="00240B6D">
        <w:rPr>
          <w:rFonts w:eastAsia="Calibri" w:cs="Arial"/>
          <w:szCs w:val="20"/>
          <w:lang w:eastAsia="en-US"/>
        </w:rPr>
        <w:t xml:space="preserve"> To se týká zejména některých </w:t>
      </w:r>
      <w:r w:rsidR="003D2F60" w:rsidRPr="00441783">
        <w:rPr>
          <w:rFonts w:eastAsia="Calibri" w:cs="Arial"/>
          <w:b/>
          <w:szCs w:val="20"/>
          <w:lang w:eastAsia="en-US"/>
        </w:rPr>
        <w:t xml:space="preserve">preventivních služeb </w:t>
      </w:r>
      <w:r w:rsidR="003D2F60" w:rsidRPr="000B2A6F">
        <w:rPr>
          <w:rFonts w:eastAsia="Calibri" w:cs="Arial"/>
          <w:szCs w:val="20"/>
          <w:lang w:eastAsia="en-US"/>
        </w:rPr>
        <w:t>a</w:t>
      </w:r>
      <w:r w:rsidR="003D2F60" w:rsidRPr="00441783">
        <w:rPr>
          <w:rFonts w:eastAsia="Calibri" w:cs="Arial"/>
          <w:b/>
          <w:szCs w:val="20"/>
          <w:lang w:eastAsia="en-US"/>
        </w:rPr>
        <w:t xml:space="preserve"> </w:t>
      </w:r>
      <w:r w:rsidR="003D2F60">
        <w:rPr>
          <w:rFonts w:eastAsia="Calibri" w:cs="Arial"/>
          <w:b/>
          <w:szCs w:val="20"/>
          <w:lang w:eastAsia="en-US"/>
        </w:rPr>
        <w:t>realizaci</w:t>
      </w:r>
      <w:r w:rsidR="003D2F60" w:rsidRPr="00441783">
        <w:rPr>
          <w:rFonts w:eastAsia="Calibri" w:cs="Arial"/>
          <w:b/>
          <w:szCs w:val="20"/>
          <w:lang w:eastAsia="en-US"/>
        </w:rPr>
        <w:t xml:space="preserve"> zdravotnických programů </w:t>
      </w:r>
      <w:r w:rsidR="003D2F60" w:rsidRPr="000B2A6F">
        <w:rPr>
          <w:rFonts w:eastAsia="Calibri" w:cs="Arial"/>
          <w:szCs w:val="20"/>
          <w:lang w:eastAsia="en-US"/>
        </w:rPr>
        <w:t>a jejich</w:t>
      </w:r>
      <w:r w:rsidR="003D2F60" w:rsidRPr="00441783">
        <w:rPr>
          <w:rFonts w:eastAsia="Calibri" w:cs="Arial"/>
          <w:b/>
          <w:szCs w:val="20"/>
          <w:lang w:eastAsia="en-US"/>
        </w:rPr>
        <w:t xml:space="preserve"> finanční správy</w:t>
      </w:r>
      <w:r w:rsidR="003D2F60" w:rsidRPr="00240B6D">
        <w:rPr>
          <w:rFonts w:eastAsia="Calibri" w:cs="Arial"/>
          <w:szCs w:val="20"/>
          <w:lang w:eastAsia="en-US"/>
        </w:rPr>
        <w:t xml:space="preserve">. </w:t>
      </w:r>
    </w:p>
    <w:p w:rsidR="003D2F60" w:rsidRPr="00240B6D" w:rsidRDefault="003D2F60" w:rsidP="0070129F">
      <w:pPr>
        <w:keepNext/>
        <w:spacing w:after="120" w:line="240" w:lineRule="auto"/>
        <w:rPr>
          <w:b/>
          <w:bCs/>
          <w:sz w:val="18"/>
          <w:szCs w:val="18"/>
        </w:rPr>
      </w:pPr>
      <w:r w:rsidRPr="00240B6D">
        <w:rPr>
          <w:b/>
          <w:bCs/>
          <w:sz w:val="18"/>
          <w:szCs w:val="18"/>
        </w:rPr>
        <w:t xml:space="preserve">Tabulka č. </w:t>
      </w:r>
      <w:r>
        <w:rPr>
          <w:b/>
          <w:bCs/>
          <w:sz w:val="18"/>
          <w:szCs w:val="18"/>
        </w:rPr>
        <w:t>1</w:t>
      </w:r>
      <w:r w:rsidRPr="00240B6D">
        <w:rPr>
          <w:b/>
          <w:bCs/>
          <w:sz w:val="18"/>
          <w:szCs w:val="18"/>
        </w:rPr>
        <w:t>.2 Výdaje na zdravotnictví v Česku podle druh</w:t>
      </w:r>
      <w:r>
        <w:rPr>
          <w:b/>
          <w:bCs/>
          <w:sz w:val="18"/>
          <w:szCs w:val="18"/>
        </w:rPr>
        <w:t>u</w:t>
      </w:r>
      <w:r w:rsidRPr="00240B6D">
        <w:rPr>
          <w:b/>
          <w:bCs/>
          <w:sz w:val="18"/>
          <w:szCs w:val="18"/>
        </w:rPr>
        <w:t xml:space="preserve"> péče, 2010</w:t>
      </w:r>
      <w:r>
        <w:rPr>
          <w:b/>
          <w:bCs/>
          <w:sz w:val="18"/>
          <w:szCs w:val="18"/>
        </w:rPr>
        <w:t xml:space="preserve"> a 2015 až</w:t>
      </w:r>
      <w:r w:rsidRPr="00240B6D">
        <w:rPr>
          <w:b/>
          <w:bCs/>
          <w:sz w:val="18"/>
          <w:szCs w:val="18"/>
        </w:rPr>
        <w:t xml:space="preserve"> 201</w:t>
      </w:r>
      <w:r>
        <w:rPr>
          <w:b/>
          <w:bCs/>
          <w:sz w:val="18"/>
          <w:szCs w:val="18"/>
        </w:rPr>
        <w:t>9</w:t>
      </w:r>
      <w:r w:rsidRPr="00240B6D">
        <w:rPr>
          <w:b/>
          <w:bCs/>
          <w:sz w:val="18"/>
          <w:szCs w:val="18"/>
        </w:rPr>
        <w:t xml:space="preserve"> (mil. Kč)</w:t>
      </w: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50"/>
        <w:gridCol w:w="851"/>
        <w:gridCol w:w="871"/>
        <w:gridCol w:w="776"/>
        <w:gridCol w:w="776"/>
      </w:tblGrid>
      <w:tr w:rsidR="003D2F60" w:rsidRPr="003D2F60" w:rsidTr="00FA22FB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6B8B7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Struktura 2019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138 031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143 766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144 830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153 867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175 960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190 376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39,85</w:t>
            </w:r>
            <w:r w:rsidR="003D2F60" w:rsidRPr="003D2F60">
              <w:t> 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1.1 Lůžková léčebná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55 816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51 471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51 037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56 533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60 166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63 431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13,28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1.2 Denní léčebná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5 238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5 720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6 386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6 715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7 307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1,53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1.3 Ambulantní léčebná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76 791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85 268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86 706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89 356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107 231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117 673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FA22FB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24,6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3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1.4 Domácí léčebná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1 292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1 591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1 848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1 965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0,4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4</w:t>
            </w:r>
            <w:r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 Rehabilitační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12 493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15 038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18 024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19 931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22 754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4,76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2.1 Lůžková rehabilitační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5 453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7 042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7 808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8 786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9 647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10 913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2,28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2.3 Ambulantní rehabilitační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7 040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7 996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7 663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9 238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10 284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11 840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2,48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 Dlouhodobá zdravotní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35 748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41 311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43 948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49 005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55 091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61 550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12,88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3.1 Lůžková dlouhodobá zdravotní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29 802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34 846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37 143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41 306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46 455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51 724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10,83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3.2 Denní dlouhodobá zdravotní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1 480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1 706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1 765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1 964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2 230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2 474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0,5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2</w:t>
            </w:r>
            <w:r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3.4 Domácí dlouhodobá zdravotní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4 466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4 759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5 039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5 735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6 405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7 352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1,5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4</w:t>
            </w:r>
            <w:r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 Doplňkové služby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37 039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40 020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41 081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43 524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51 018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55 869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11,69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4.1 Laboratorní služby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19 917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22 037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22 527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23 793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28 335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31 066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FA22FB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6,5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0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4.2 Zobrazovací metody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9 729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10 484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10 698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11 154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13 430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14 758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3,09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4.3 Doprava pacientů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7 393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7 499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7 856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8 577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9 253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10 045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2,1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0</w:t>
            </w:r>
            <w:r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5 Léčiva a ostatní zdravotnický materiál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66 231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67 761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69 346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71 903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73 543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80 032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16,75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5.1 Léčiva a zdravotnický materiál (1)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57 091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57 993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59 697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61 742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62 886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68 426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FA22FB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14,3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2</w:t>
            </w:r>
            <w:r w:rsidR="003D2F60"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ind w:firstLineChars="100" w:firstLine="16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5.2 Terapeutické pomůcky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9 141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9 769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9 650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10 160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10 657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11 605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color w:val="000000"/>
                <w:sz w:val="16"/>
                <w:szCs w:val="16"/>
              </w:rPr>
              <w:t>2,4</w:t>
            </w:r>
            <w:r w:rsidR="003A0EF4">
              <w:rPr>
                <w:rFonts w:cs="Arial"/>
                <w:color w:val="000000"/>
                <w:sz w:val="16"/>
                <w:szCs w:val="16"/>
              </w:rPr>
              <w:t>3</w:t>
            </w:r>
            <w:r w:rsidRPr="003D2F60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9 990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9 027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9 739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10 540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10 787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11 292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2,36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8 649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8 536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8 583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8 634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9 188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10 001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2,09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HCR. 1 Dlouhodobá sociální péče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16 999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18 611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20 148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21 799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23 536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26 989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5,65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5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HCR. 2 Podpora zdraví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0,07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6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Ostatní služby zdravotní péče jinde neklasifikované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9 048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8 951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9 887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10 308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14 746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18 525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F60" w:rsidRPr="003D2F60" w:rsidRDefault="003A0EF4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3,88</w:t>
            </w:r>
            <w:r w:rsidR="003D2F60"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3D2F60" w:rsidRPr="003D2F60" w:rsidTr="00FA22FB">
        <w:trPr>
          <w:trHeight w:val="26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334 488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353 316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363 386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388 207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434 120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FA22FB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477 724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2F60" w:rsidRPr="003D2F60" w:rsidRDefault="003D2F60" w:rsidP="003D2F60">
            <w:pPr>
              <w:spacing w:after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3D2F60">
              <w:rPr>
                <w:rFonts w:cs="Arial"/>
                <w:b/>
                <w:bCs/>
                <w:color w:val="000000"/>
                <w:sz w:val="16"/>
                <w:szCs w:val="16"/>
              </w:rPr>
              <w:t>100,0 %</w:t>
            </w:r>
          </w:p>
        </w:tc>
      </w:tr>
    </w:tbl>
    <w:p w:rsidR="003D2F60" w:rsidRPr="00240B6D" w:rsidRDefault="003D2F60" w:rsidP="004418C4">
      <w:pPr>
        <w:keepNext/>
        <w:spacing w:before="120" w:after="60" w:line="240" w:lineRule="auto"/>
        <w:rPr>
          <w:bCs/>
          <w:sz w:val="16"/>
          <w:szCs w:val="16"/>
        </w:rPr>
      </w:pPr>
      <w:r w:rsidRPr="00240B6D">
        <w:rPr>
          <w:bCs/>
          <w:sz w:val="16"/>
          <w:szCs w:val="16"/>
        </w:rPr>
        <w:t xml:space="preserve">(1) </w:t>
      </w:r>
      <w:r>
        <w:rPr>
          <w:bCs/>
          <w:sz w:val="16"/>
          <w:szCs w:val="16"/>
        </w:rPr>
        <w:t>z</w:t>
      </w:r>
      <w:r w:rsidRPr="00240B6D">
        <w:rPr>
          <w:bCs/>
          <w:sz w:val="16"/>
          <w:szCs w:val="16"/>
        </w:rPr>
        <w:t>ahrnují léky na předpis, volně prodejné léky a další zboží krátkodobé spotřeby např. obvazy, elastické kompresivní punčochy, inkontinenční pomůcky</w:t>
      </w:r>
      <w:r>
        <w:rPr>
          <w:bCs/>
          <w:sz w:val="16"/>
          <w:szCs w:val="16"/>
        </w:rPr>
        <w:t xml:space="preserve">. </w:t>
      </w:r>
      <w:r w:rsidRPr="001D189A">
        <w:rPr>
          <w:b/>
          <w:bCs/>
          <w:sz w:val="16"/>
          <w:szCs w:val="16"/>
        </w:rPr>
        <w:t>Nezahrnuje</w:t>
      </w:r>
      <w:r>
        <w:rPr>
          <w:bCs/>
          <w:sz w:val="16"/>
          <w:szCs w:val="16"/>
        </w:rPr>
        <w:t>, dle manuálu SHA,</w:t>
      </w:r>
      <w:r w:rsidRPr="0069641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výdaje na léky </w:t>
      </w:r>
      <w:r w:rsidRPr="006374C2">
        <w:rPr>
          <w:b/>
          <w:bCs/>
          <w:sz w:val="16"/>
          <w:szCs w:val="16"/>
        </w:rPr>
        <w:t>spotřebované přímo</w:t>
      </w:r>
      <w:r>
        <w:rPr>
          <w:bCs/>
          <w:sz w:val="16"/>
          <w:szCs w:val="16"/>
        </w:rPr>
        <w:t xml:space="preserve"> ve zdravotnických zařízeních. </w:t>
      </w:r>
    </w:p>
    <w:p w:rsidR="003D2F60" w:rsidRPr="00AE5923" w:rsidRDefault="003D2F60" w:rsidP="004418C4">
      <w:pPr>
        <w:keepNext/>
        <w:spacing w:before="60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:rsidR="003D2F60" w:rsidRPr="00012061" w:rsidRDefault="003D2F60" w:rsidP="00012061">
      <w:pPr>
        <w:rPr>
          <w:rFonts w:eastAsia="MS Gothic"/>
          <w:b/>
          <w:i/>
        </w:rPr>
      </w:pPr>
      <w:r w:rsidRPr="00012061">
        <w:rPr>
          <w:rFonts w:eastAsia="MS Gothic"/>
          <w:b/>
          <w:i/>
        </w:rPr>
        <w:t xml:space="preserve">Největší část výdajů na zdravotní péči jde dlouhodobě na léčebnou péči </w:t>
      </w:r>
    </w:p>
    <w:p w:rsidR="003D2F60" w:rsidRPr="00012061" w:rsidRDefault="003D2F60" w:rsidP="003D2F60">
      <w:pPr>
        <w:rPr>
          <w:bCs/>
          <w:szCs w:val="20"/>
        </w:rPr>
      </w:pPr>
      <w:r>
        <w:rPr>
          <w:bCs/>
          <w:szCs w:val="20"/>
        </w:rPr>
        <w:t>N</w:t>
      </w:r>
      <w:r w:rsidRPr="000D2F1A">
        <w:rPr>
          <w:bCs/>
          <w:szCs w:val="20"/>
        </w:rPr>
        <w:t xml:space="preserve">ejvětší část z nákladů na zdravotní péči směřuje v Česku do </w:t>
      </w:r>
      <w:r w:rsidRPr="000D2F1A">
        <w:rPr>
          <w:b/>
          <w:bCs/>
          <w:szCs w:val="20"/>
        </w:rPr>
        <w:t>péče léčebné.</w:t>
      </w:r>
      <w:r w:rsidRPr="000D2F1A">
        <w:rPr>
          <w:bCs/>
          <w:szCs w:val="20"/>
        </w:rPr>
        <w:t xml:space="preserve"> </w:t>
      </w:r>
      <w:r w:rsidRPr="00E31D31">
        <w:rPr>
          <w:b/>
          <w:bCs/>
          <w:szCs w:val="20"/>
        </w:rPr>
        <w:t>V letech 2010 až 2019</w:t>
      </w:r>
      <w:r>
        <w:rPr>
          <w:bCs/>
          <w:szCs w:val="20"/>
        </w:rPr>
        <w:t xml:space="preserve"> směřovalo na léčebnou péči  </w:t>
      </w:r>
      <w:r w:rsidRPr="00E31D31">
        <w:rPr>
          <w:b/>
          <w:bCs/>
          <w:szCs w:val="20"/>
        </w:rPr>
        <w:t>v průměru 40</w:t>
      </w:r>
      <w:r w:rsidR="003A0EF4">
        <w:rPr>
          <w:b/>
          <w:bCs/>
          <w:szCs w:val="20"/>
        </w:rPr>
        <w:t>,5</w:t>
      </w:r>
      <w:r w:rsidRPr="00E31D31">
        <w:rPr>
          <w:b/>
          <w:bCs/>
          <w:szCs w:val="20"/>
        </w:rPr>
        <w:t> % z celkových výdajů na zdravotní péči</w:t>
      </w:r>
      <w:r>
        <w:rPr>
          <w:bCs/>
          <w:szCs w:val="20"/>
        </w:rPr>
        <w:t xml:space="preserve">. </w:t>
      </w:r>
      <w:r w:rsidRPr="00E31D31">
        <w:rPr>
          <w:b/>
          <w:bCs/>
          <w:szCs w:val="20"/>
        </w:rPr>
        <w:t>V roce 2019</w:t>
      </w:r>
      <w:r w:rsidRPr="000D2F1A">
        <w:rPr>
          <w:bCs/>
          <w:szCs w:val="20"/>
        </w:rPr>
        <w:t xml:space="preserve"> </w:t>
      </w:r>
      <w:r>
        <w:rPr>
          <w:bCs/>
          <w:szCs w:val="20"/>
        </w:rPr>
        <w:t xml:space="preserve">na ni bylo konkrétně vynaloženo </w:t>
      </w:r>
      <w:r w:rsidRPr="00E31D31">
        <w:rPr>
          <w:b/>
          <w:bCs/>
          <w:szCs w:val="20"/>
        </w:rPr>
        <w:t>190,4 mld. Kč</w:t>
      </w:r>
      <w:r w:rsidR="003A0EF4">
        <w:rPr>
          <w:bCs/>
          <w:szCs w:val="20"/>
        </w:rPr>
        <w:t>, což bylo 39,9</w:t>
      </w:r>
      <w:r>
        <w:rPr>
          <w:bCs/>
          <w:szCs w:val="20"/>
        </w:rPr>
        <w:t> % z celkových výdajů na zdravotní péči</w:t>
      </w:r>
      <w:r w:rsidRPr="000D2F1A">
        <w:rPr>
          <w:bCs/>
          <w:szCs w:val="20"/>
        </w:rPr>
        <w:t xml:space="preserve">. </w:t>
      </w:r>
      <w:r>
        <w:rPr>
          <w:bCs/>
          <w:szCs w:val="20"/>
        </w:rPr>
        <w:t>Meziročně došlo k </w:t>
      </w:r>
      <w:r w:rsidRPr="00E31D31">
        <w:rPr>
          <w:b/>
          <w:bCs/>
          <w:szCs w:val="20"/>
        </w:rPr>
        <w:t>navýšení o 14,4 mld. Kč</w:t>
      </w:r>
      <w:r>
        <w:rPr>
          <w:bCs/>
          <w:szCs w:val="20"/>
        </w:rPr>
        <w:t xml:space="preserve"> (o 8,2 %). Nicméně k </w:t>
      </w:r>
      <w:r w:rsidRPr="00E31D31">
        <w:rPr>
          <w:b/>
          <w:bCs/>
          <w:szCs w:val="20"/>
        </w:rPr>
        <w:t>nejv</w:t>
      </w:r>
      <w:r>
        <w:rPr>
          <w:b/>
          <w:bCs/>
          <w:szCs w:val="20"/>
        </w:rPr>
        <w:t>ětšímu</w:t>
      </w:r>
      <w:r w:rsidRPr="00E31D31">
        <w:rPr>
          <w:b/>
          <w:bCs/>
          <w:szCs w:val="20"/>
        </w:rPr>
        <w:t xml:space="preserve"> navýšení</w:t>
      </w:r>
      <w:r>
        <w:rPr>
          <w:bCs/>
          <w:szCs w:val="20"/>
        </w:rPr>
        <w:t xml:space="preserve"> od roku 2010 došlo </w:t>
      </w:r>
      <w:r w:rsidRPr="00E31D31">
        <w:rPr>
          <w:b/>
          <w:bCs/>
          <w:szCs w:val="20"/>
        </w:rPr>
        <w:t>v roce 2018</w:t>
      </w:r>
      <w:r>
        <w:rPr>
          <w:bCs/>
          <w:szCs w:val="20"/>
        </w:rPr>
        <w:t xml:space="preserve">, kdy se výdaje na léčebnou péči zvýšily </w:t>
      </w:r>
      <w:r w:rsidRPr="00E31D31">
        <w:rPr>
          <w:b/>
          <w:bCs/>
          <w:szCs w:val="20"/>
        </w:rPr>
        <w:t>o skoro 22,1 mld. Kč</w:t>
      </w:r>
      <w:r>
        <w:rPr>
          <w:bCs/>
          <w:szCs w:val="20"/>
        </w:rPr>
        <w:t xml:space="preserve"> (o 14,4 %). </w:t>
      </w:r>
      <w:r w:rsidRPr="00E31D31">
        <w:rPr>
          <w:b/>
          <w:bCs/>
          <w:szCs w:val="20"/>
        </w:rPr>
        <w:t>Za období 2010–2019</w:t>
      </w:r>
      <w:r w:rsidRPr="000D2F1A">
        <w:rPr>
          <w:bCs/>
          <w:szCs w:val="20"/>
        </w:rPr>
        <w:t xml:space="preserve"> </w:t>
      </w:r>
      <w:r>
        <w:rPr>
          <w:bCs/>
          <w:szCs w:val="20"/>
        </w:rPr>
        <w:t xml:space="preserve">byly celkové výdaje na léčebnou péči </w:t>
      </w:r>
      <w:r w:rsidRPr="00E31D31">
        <w:rPr>
          <w:b/>
          <w:bCs/>
          <w:szCs w:val="20"/>
        </w:rPr>
        <w:t>celkem 1,5 bilionu Kč</w:t>
      </w:r>
      <w:r>
        <w:rPr>
          <w:bCs/>
          <w:szCs w:val="20"/>
        </w:rPr>
        <w:t>. V roce 2019 byly</w:t>
      </w:r>
      <w:r w:rsidR="00981913">
        <w:rPr>
          <w:bCs/>
          <w:szCs w:val="20"/>
        </w:rPr>
        <w:t xml:space="preserve"> výdaje na jednoho obyvatele na </w:t>
      </w:r>
      <w:r>
        <w:rPr>
          <w:bCs/>
          <w:szCs w:val="20"/>
        </w:rPr>
        <w:t xml:space="preserve">léčebnou péči </w:t>
      </w:r>
      <w:r w:rsidRPr="00E31D31">
        <w:rPr>
          <w:b/>
          <w:bCs/>
          <w:szCs w:val="20"/>
        </w:rPr>
        <w:t>17,8 tis. Kč</w:t>
      </w:r>
      <w:r>
        <w:rPr>
          <w:bCs/>
          <w:szCs w:val="20"/>
        </w:rPr>
        <w:t xml:space="preserve">. </w:t>
      </w:r>
    </w:p>
    <w:p w:rsidR="00CB1092" w:rsidRDefault="00CB1092" w:rsidP="004418C4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Graf č. 1</w:t>
      </w:r>
      <w:r w:rsidRPr="00240B6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7. </w:t>
      </w:r>
      <w:r w:rsidRPr="00240B6D">
        <w:rPr>
          <w:b/>
          <w:sz w:val="18"/>
          <w:szCs w:val="18"/>
        </w:rPr>
        <w:t xml:space="preserve">Výdaje na zdravotní péči v Česku podle </w:t>
      </w:r>
      <w:r>
        <w:rPr>
          <w:b/>
          <w:sz w:val="18"/>
          <w:szCs w:val="18"/>
        </w:rPr>
        <w:t>druhu poskytnuté péče v roce 2010, 2018 a 2019, mld. Kč</w:t>
      </w:r>
    </w:p>
    <w:p w:rsidR="00FE5105" w:rsidRPr="00240B6D" w:rsidRDefault="003A0EF4" w:rsidP="0070129F">
      <w:pPr>
        <w:spacing w:before="120" w:after="120"/>
      </w:pPr>
      <w:r>
        <w:rPr>
          <w:noProof/>
        </w:rPr>
        <w:drawing>
          <wp:inline distT="0" distB="0" distL="0" distR="0" wp14:anchorId="1D7DB8ED" wp14:editId="3D8EEED5">
            <wp:extent cx="5969876" cy="4046483"/>
            <wp:effectExtent l="0" t="0" r="12065" b="11430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1092" w:rsidRPr="00CB1092" w:rsidRDefault="00CB1092" w:rsidP="004418C4">
      <w:pPr>
        <w:spacing w:after="60" w:line="240" w:lineRule="auto"/>
        <w:jc w:val="left"/>
        <w:rPr>
          <w:bCs/>
          <w:sz w:val="16"/>
          <w:szCs w:val="16"/>
        </w:rPr>
      </w:pPr>
      <w:r w:rsidRPr="00CB1092">
        <w:rPr>
          <w:bCs/>
          <w:sz w:val="16"/>
          <w:szCs w:val="16"/>
        </w:rPr>
        <w:t xml:space="preserve">(1) zahrnují léky na předpis, volně prodejné léky a další zboží krátkodobé spotřeby např. obvazy, elastické kompresivní punčochy, inkontinenční pomůcky. </w:t>
      </w:r>
      <w:r w:rsidRPr="00CB1092">
        <w:rPr>
          <w:b/>
          <w:bCs/>
          <w:sz w:val="16"/>
          <w:szCs w:val="16"/>
        </w:rPr>
        <w:t>Nezahrnuje</w:t>
      </w:r>
      <w:r w:rsidRPr="00CB1092">
        <w:rPr>
          <w:bCs/>
          <w:sz w:val="16"/>
          <w:szCs w:val="16"/>
        </w:rPr>
        <w:t xml:space="preserve">, dle manuálu SHA, výdaje na léky </w:t>
      </w:r>
      <w:r w:rsidRPr="00CB1092">
        <w:rPr>
          <w:b/>
          <w:bCs/>
          <w:sz w:val="16"/>
          <w:szCs w:val="16"/>
        </w:rPr>
        <w:t>spotřebované přímo</w:t>
      </w:r>
      <w:r w:rsidRPr="00CB1092">
        <w:rPr>
          <w:bCs/>
          <w:sz w:val="16"/>
          <w:szCs w:val="16"/>
        </w:rPr>
        <w:t xml:space="preserve"> ve zdravotnických zařízeních.</w:t>
      </w:r>
    </w:p>
    <w:p w:rsidR="00CB1092" w:rsidRPr="00CB1092" w:rsidRDefault="00CB1092" w:rsidP="004418C4">
      <w:pPr>
        <w:spacing w:after="60" w:line="240" w:lineRule="auto"/>
        <w:jc w:val="left"/>
        <w:rPr>
          <w:bCs/>
          <w:sz w:val="16"/>
          <w:szCs w:val="16"/>
        </w:rPr>
      </w:pPr>
      <w:r w:rsidRPr="00CB1092">
        <w:rPr>
          <w:bCs/>
          <w:sz w:val="16"/>
          <w:szCs w:val="16"/>
        </w:rPr>
        <w:t>(2)</w:t>
      </w:r>
      <w:r w:rsidRPr="00CB1092">
        <w:rPr>
          <w:rFonts w:eastAsia="Calibri" w:cs="Arial"/>
          <w:sz w:val="16"/>
          <w:szCs w:val="16"/>
          <w:lang w:eastAsia="en-US"/>
        </w:rPr>
        <w:t xml:space="preserve"> zahrnuje například</w:t>
      </w:r>
      <w:r w:rsidR="002E4F81">
        <w:rPr>
          <w:rFonts w:eastAsia="Calibri" w:cs="Arial"/>
          <w:sz w:val="16"/>
          <w:szCs w:val="16"/>
          <w:lang w:eastAsia="en-US"/>
        </w:rPr>
        <w:t xml:space="preserve"> výdaje na</w:t>
      </w:r>
      <w:r w:rsidRPr="00CB1092">
        <w:rPr>
          <w:rFonts w:eastAsia="Calibri" w:cs="Arial"/>
          <w:sz w:val="16"/>
          <w:szCs w:val="16"/>
          <w:lang w:eastAsia="en-US"/>
        </w:rPr>
        <w:t xml:space="preserve"> podporu zdraví nebo </w:t>
      </w:r>
      <w:r w:rsidR="002E4F81">
        <w:rPr>
          <w:rFonts w:eastAsia="Calibri" w:cs="Arial"/>
          <w:sz w:val="16"/>
          <w:szCs w:val="16"/>
          <w:lang w:eastAsia="en-US"/>
        </w:rPr>
        <w:t>výdaje jinde neklasifikované</w:t>
      </w:r>
    </w:p>
    <w:p w:rsidR="00CB1092" w:rsidRPr="00CB1092" w:rsidRDefault="00CB1092" w:rsidP="0070129F">
      <w:pPr>
        <w:spacing w:before="60" w:line="240" w:lineRule="auto"/>
        <w:jc w:val="right"/>
        <w:rPr>
          <w:b/>
          <w:bCs/>
          <w:i/>
          <w:sz w:val="16"/>
          <w:szCs w:val="16"/>
        </w:rPr>
      </w:pPr>
      <w:r w:rsidRPr="00CB1092">
        <w:rPr>
          <w:b/>
          <w:bCs/>
          <w:i/>
          <w:sz w:val="16"/>
          <w:szCs w:val="16"/>
        </w:rPr>
        <w:t xml:space="preserve"> Zdroj: ČSÚ 2021, Zdravotnické účty ČR 2010</w:t>
      </w:r>
      <w:r w:rsidRPr="00CB1092">
        <w:rPr>
          <w:b/>
          <w:sz w:val="16"/>
          <w:szCs w:val="16"/>
        </w:rPr>
        <w:t>–</w:t>
      </w:r>
      <w:r w:rsidRPr="00CB1092">
        <w:rPr>
          <w:b/>
          <w:bCs/>
          <w:i/>
          <w:sz w:val="16"/>
          <w:szCs w:val="16"/>
        </w:rPr>
        <w:t>2019</w:t>
      </w:r>
    </w:p>
    <w:p w:rsidR="00CB1092" w:rsidRDefault="00CB1092" w:rsidP="00CB1092">
      <w:pPr>
        <w:rPr>
          <w:bCs/>
          <w:i/>
          <w:szCs w:val="17"/>
        </w:rPr>
      </w:pPr>
      <w:r>
        <w:rPr>
          <w:bCs/>
          <w:szCs w:val="20"/>
        </w:rPr>
        <w:t xml:space="preserve">Za </w:t>
      </w:r>
      <w:r w:rsidRPr="00CA142C">
        <w:rPr>
          <w:b/>
          <w:bCs/>
          <w:szCs w:val="20"/>
        </w:rPr>
        <w:t>dlouhodobou péči zdravotní i sociální</w:t>
      </w:r>
      <w:r>
        <w:rPr>
          <w:bCs/>
          <w:szCs w:val="20"/>
        </w:rPr>
        <w:t xml:space="preserve"> bylo v roce 2019 vydáno celkem </w:t>
      </w:r>
      <w:r w:rsidRPr="00CA142C">
        <w:rPr>
          <w:b/>
          <w:bCs/>
          <w:szCs w:val="20"/>
        </w:rPr>
        <w:t>88,5 mld. Kč</w:t>
      </w:r>
      <w:r>
        <w:rPr>
          <w:b/>
          <w:bCs/>
          <w:szCs w:val="20"/>
        </w:rPr>
        <w:t xml:space="preserve">. </w:t>
      </w:r>
      <w:r>
        <w:rPr>
          <w:bCs/>
          <w:szCs w:val="20"/>
        </w:rPr>
        <w:t xml:space="preserve">Dlouhodobě jde více peněz na </w:t>
      </w:r>
      <w:r w:rsidRPr="00CA142C">
        <w:rPr>
          <w:b/>
          <w:bCs/>
          <w:szCs w:val="20"/>
        </w:rPr>
        <w:t xml:space="preserve">dlouhodobou zdravotní péči </w:t>
      </w:r>
      <w:r>
        <w:rPr>
          <w:b/>
          <w:bCs/>
          <w:szCs w:val="20"/>
        </w:rPr>
        <w:t xml:space="preserve">(v roce 2019 celkem </w:t>
      </w:r>
      <w:r w:rsidRPr="00CA142C">
        <w:rPr>
          <w:b/>
          <w:bCs/>
          <w:szCs w:val="20"/>
        </w:rPr>
        <w:t>61,</w:t>
      </w:r>
      <w:r>
        <w:rPr>
          <w:b/>
          <w:bCs/>
          <w:szCs w:val="20"/>
        </w:rPr>
        <w:t>5</w:t>
      </w:r>
      <w:r w:rsidRPr="00CA142C">
        <w:rPr>
          <w:b/>
          <w:bCs/>
          <w:szCs w:val="20"/>
        </w:rPr>
        <w:t> mld. K</w:t>
      </w:r>
      <w:r>
        <w:rPr>
          <w:b/>
          <w:bCs/>
          <w:szCs w:val="20"/>
        </w:rPr>
        <w:t xml:space="preserve">č) </w:t>
      </w:r>
      <w:r w:rsidRPr="00CA142C">
        <w:rPr>
          <w:bCs/>
          <w:szCs w:val="20"/>
        </w:rPr>
        <w:t>než na</w:t>
      </w:r>
      <w:r>
        <w:rPr>
          <w:b/>
          <w:bCs/>
          <w:szCs w:val="20"/>
        </w:rPr>
        <w:t xml:space="preserve"> </w:t>
      </w:r>
      <w:r w:rsidRPr="00CA142C">
        <w:rPr>
          <w:b/>
          <w:bCs/>
          <w:szCs w:val="20"/>
        </w:rPr>
        <w:t>dlouhodobou sociální péči 27 mld. Kč.</w:t>
      </w:r>
      <w:r>
        <w:rPr>
          <w:bCs/>
          <w:szCs w:val="20"/>
        </w:rPr>
        <w:t xml:space="preserve"> V roce 2019 byl podíl výdajů na dlouhodobou péči na celko</w:t>
      </w:r>
      <w:r w:rsidR="002E4F81">
        <w:rPr>
          <w:bCs/>
          <w:szCs w:val="20"/>
        </w:rPr>
        <w:t>vé výdaje za zdravotní péči 18,5</w:t>
      </w:r>
      <w:r>
        <w:rPr>
          <w:bCs/>
          <w:szCs w:val="20"/>
        </w:rPr>
        <w:t> %. Průměr za období 2010–2019</w:t>
      </w:r>
      <w:r w:rsidRPr="00240B6D">
        <w:rPr>
          <w:bCs/>
          <w:szCs w:val="20"/>
        </w:rPr>
        <w:t xml:space="preserve"> </w:t>
      </w:r>
      <w:r>
        <w:rPr>
          <w:bCs/>
          <w:szCs w:val="20"/>
        </w:rPr>
        <w:t>byl 16,9</w:t>
      </w:r>
      <w:r w:rsidRPr="00240B6D">
        <w:rPr>
          <w:bCs/>
          <w:szCs w:val="20"/>
        </w:rPr>
        <w:t xml:space="preserve"> %. </w:t>
      </w:r>
      <w:r>
        <w:rPr>
          <w:bCs/>
          <w:szCs w:val="20"/>
        </w:rPr>
        <w:t xml:space="preserve">Meziročně došlo ke zvýšení výdajů na dlouhodobou péči o 9,9 mld. Kč (o 13 %), což je nejvyšší zvýšení od roku 2010. </w:t>
      </w:r>
      <w:r w:rsidRPr="00FD2E06">
        <w:rPr>
          <w:b/>
          <w:bCs/>
          <w:szCs w:val="20"/>
        </w:rPr>
        <w:t>Za období 2010-2019 bylo vynaloženo za dlouhodobou zdravotní i sociální péči celkem 635,7 mld. Kč.</w:t>
      </w:r>
      <w:r>
        <w:rPr>
          <w:bCs/>
          <w:szCs w:val="20"/>
        </w:rPr>
        <w:t xml:space="preserve"> </w:t>
      </w:r>
      <w:r w:rsidRPr="00FD2E06">
        <w:rPr>
          <w:b/>
          <w:bCs/>
          <w:szCs w:val="20"/>
        </w:rPr>
        <w:t>Na jednoho obyvatele</w:t>
      </w:r>
      <w:r>
        <w:rPr>
          <w:bCs/>
          <w:szCs w:val="20"/>
        </w:rPr>
        <w:t xml:space="preserve"> vychází v roce 2019 za tuto péči částka </w:t>
      </w:r>
      <w:r w:rsidRPr="00FD2E06">
        <w:rPr>
          <w:b/>
          <w:bCs/>
          <w:szCs w:val="20"/>
        </w:rPr>
        <w:t>8,3 tis. Kč</w:t>
      </w:r>
      <w:r>
        <w:rPr>
          <w:bCs/>
          <w:szCs w:val="20"/>
        </w:rPr>
        <w:t xml:space="preserve"> z toho 5,8 tis. Kč za dlouhodobou zdravotní péči a 2,5 tis. Kč za dlouhodobou sociální péči. </w:t>
      </w:r>
      <w:r w:rsidRPr="009641BC">
        <w:rPr>
          <w:bCs/>
          <w:i/>
          <w:szCs w:val="20"/>
        </w:rPr>
        <w:t>P</w:t>
      </w:r>
      <w:r w:rsidRPr="00A5222D">
        <w:rPr>
          <w:bCs/>
          <w:i/>
          <w:szCs w:val="17"/>
        </w:rPr>
        <w:t xml:space="preserve">odrobnější informace </w:t>
      </w:r>
      <w:r>
        <w:rPr>
          <w:bCs/>
          <w:i/>
          <w:szCs w:val="17"/>
        </w:rPr>
        <w:t xml:space="preserve">jsou </w:t>
      </w:r>
      <w:r w:rsidRPr="00A5222D">
        <w:rPr>
          <w:bCs/>
          <w:i/>
          <w:szCs w:val="17"/>
        </w:rPr>
        <w:t xml:space="preserve">k dispozici v kapitole </w:t>
      </w:r>
      <w:r>
        <w:rPr>
          <w:bCs/>
          <w:i/>
          <w:szCs w:val="17"/>
        </w:rPr>
        <w:t xml:space="preserve">č. 4 </w:t>
      </w:r>
      <w:r w:rsidRPr="00A5222D">
        <w:rPr>
          <w:bCs/>
          <w:i/>
          <w:szCs w:val="17"/>
        </w:rPr>
        <w:t xml:space="preserve">Výdaje </w:t>
      </w:r>
      <w:r>
        <w:rPr>
          <w:bCs/>
          <w:i/>
          <w:szCs w:val="17"/>
        </w:rPr>
        <w:t xml:space="preserve">na dlouhodobou </w:t>
      </w:r>
      <w:r w:rsidRPr="00A5222D">
        <w:rPr>
          <w:bCs/>
          <w:i/>
          <w:szCs w:val="17"/>
        </w:rPr>
        <w:t>péči.</w:t>
      </w:r>
    </w:p>
    <w:p w:rsidR="00CB1092" w:rsidRPr="00717DDE" w:rsidRDefault="00CB1092" w:rsidP="00CB1092">
      <w:pPr>
        <w:rPr>
          <w:bCs/>
          <w:i/>
          <w:szCs w:val="17"/>
        </w:rPr>
      </w:pPr>
      <w:r>
        <w:rPr>
          <w:bCs/>
          <w:szCs w:val="20"/>
        </w:rPr>
        <w:t>Celkem 80 mld. Kč bylo v roce 2019 vynaloženo</w:t>
      </w:r>
      <w:r w:rsidRPr="00A5222D">
        <w:rPr>
          <w:bCs/>
          <w:szCs w:val="20"/>
        </w:rPr>
        <w:t xml:space="preserve"> na </w:t>
      </w:r>
      <w:r w:rsidRPr="00A5222D">
        <w:rPr>
          <w:b/>
          <w:bCs/>
          <w:szCs w:val="20"/>
        </w:rPr>
        <w:t>léčiva</w:t>
      </w:r>
      <w:r w:rsidRPr="00A5222D">
        <w:rPr>
          <w:b/>
          <w:bCs/>
          <w:szCs w:val="20"/>
          <w:vertAlign w:val="superscript"/>
        </w:rPr>
        <w:footnoteReference w:id="7"/>
      </w:r>
      <w:r>
        <w:rPr>
          <w:b/>
          <w:bCs/>
          <w:szCs w:val="20"/>
        </w:rPr>
        <w:t xml:space="preserve"> a ostatní zdravotnický materiál</w:t>
      </w:r>
      <w:r w:rsidR="002E4F81">
        <w:rPr>
          <w:bCs/>
          <w:szCs w:val="20"/>
        </w:rPr>
        <w:t>, což činilo 16,8</w:t>
      </w:r>
      <w:r>
        <w:rPr>
          <w:bCs/>
          <w:szCs w:val="20"/>
        </w:rPr>
        <w:t xml:space="preserve"> % z celkových výdajů na zdravotní péči. </w:t>
      </w:r>
      <w:r w:rsidRPr="003005E4">
        <w:t xml:space="preserve">Průměrné výdaje na léčiva a zdravotnické výrobky vztažené </w:t>
      </w:r>
      <w:r>
        <w:t xml:space="preserve">na jednoho obyvatele dosáhly v roce 2019 částky ve výši 7,5 tis. Kč bez započtení výdajů na léky spotřebované </w:t>
      </w:r>
      <w:r w:rsidR="00981913">
        <w:rPr>
          <w:bCs/>
          <w:szCs w:val="16"/>
        </w:rPr>
        <w:t>přímo ve </w:t>
      </w:r>
      <w:r w:rsidRPr="006374C2">
        <w:rPr>
          <w:bCs/>
          <w:szCs w:val="16"/>
        </w:rPr>
        <w:t>zdravotnických zařízeních</w:t>
      </w:r>
      <w:r>
        <w:rPr>
          <w:bCs/>
          <w:szCs w:val="16"/>
        </w:rPr>
        <w:t>.</w:t>
      </w:r>
      <w:r>
        <w:rPr>
          <w:bCs/>
          <w:szCs w:val="20"/>
        </w:rPr>
        <w:t xml:space="preserve"> </w:t>
      </w:r>
      <w:r w:rsidRPr="00A91F5C">
        <w:rPr>
          <w:b/>
        </w:rPr>
        <w:t>Léčiva a zdravotnický materiál</w:t>
      </w:r>
      <w:r w:rsidRPr="00240B6D">
        <w:t xml:space="preserve"> (léky</w:t>
      </w:r>
      <w:r>
        <w:t xml:space="preserve">, </w:t>
      </w:r>
      <w:r w:rsidRPr="00240B6D">
        <w:t xml:space="preserve">dezinfekce, obvazy, náplasti, teploměry atd.) </w:t>
      </w:r>
      <w:r>
        <w:t>tvořily v roce 2019 celkem</w:t>
      </w:r>
      <w:r w:rsidRPr="00240B6D">
        <w:t xml:space="preserve"> 8</w:t>
      </w:r>
      <w:r>
        <w:t>5</w:t>
      </w:r>
      <w:r w:rsidRPr="00240B6D">
        <w:t> % výdajů této skupiny</w:t>
      </w:r>
      <w:r>
        <w:t xml:space="preserve">. </w:t>
      </w:r>
      <w:r w:rsidRPr="00240B6D">
        <w:t>Meziročně se výdaje v uvedené skupině léčiv zvýšily v roce 201</w:t>
      </w:r>
      <w:r>
        <w:t>9</w:t>
      </w:r>
      <w:r w:rsidRPr="00240B6D">
        <w:t xml:space="preserve"> o </w:t>
      </w:r>
      <w:r>
        <w:t xml:space="preserve">8,8 </w:t>
      </w:r>
      <w:r w:rsidRPr="00240B6D">
        <w:t>% (v</w:t>
      </w:r>
      <w:r>
        <w:t> </w:t>
      </w:r>
      <w:r w:rsidRPr="00240B6D">
        <w:t xml:space="preserve">absolutních hodnotách o </w:t>
      </w:r>
      <w:r>
        <w:t>5,5</w:t>
      </w:r>
      <w:r w:rsidRPr="00240B6D">
        <w:t xml:space="preserve"> mld. Kč</w:t>
      </w:r>
      <w:r>
        <w:t>).</w:t>
      </w:r>
      <w:r>
        <w:rPr>
          <w:bCs/>
          <w:szCs w:val="20"/>
        </w:rPr>
        <w:t xml:space="preserve"> </w:t>
      </w:r>
      <w:r>
        <w:rPr>
          <w:b/>
        </w:rPr>
        <w:t>V</w:t>
      </w:r>
      <w:r w:rsidRPr="00240B6D">
        <w:rPr>
          <w:b/>
        </w:rPr>
        <w:t>ýdaje na</w:t>
      </w:r>
      <w:r w:rsidRPr="00240B6D">
        <w:t xml:space="preserve"> </w:t>
      </w:r>
      <w:r w:rsidRPr="00240B6D">
        <w:rPr>
          <w:b/>
        </w:rPr>
        <w:t>terapeutické pomůcky</w:t>
      </w:r>
      <w:r w:rsidRPr="00240B6D">
        <w:t xml:space="preserve"> (brýle, naslouchadla, berle, invalidní vozíky, apod.)</w:t>
      </w:r>
      <w:r>
        <w:t xml:space="preserve"> se podílely 15 % na celkových výdajích na léčiva a ostatní zdravotnický materiál a výrobky. </w:t>
      </w:r>
      <w:r w:rsidRPr="00240B6D">
        <w:t xml:space="preserve">Za </w:t>
      </w:r>
      <w:r w:rsidRPr="002B4648">
        <w:rPr>
          <w:b/>
        </w:rPr>
        <w:t>dioptrické brýle, kontaktní čočky a ostatní výrobky oční optiky</w:t>
      </w:r>
      <w:r>
        <w:t xml:space="preserve"> utratili</w:t>
      </w:r>
      <w:r w:rsidRPr="00240B6D">
        <w:t xml:space="preserve"> </w:t>
      </w:r>
      <w:r>
        <w:t xml:space="preserve">v roce 2019 </w:t>
      </w:r>
      <w:r w:rsidRPr="00240B6D">
        <w:t xml:space="preserve">pacienti </w:t>
      </w:r>
      <w:r>
        <w:t>ze svých kapes celkem</w:t>
      </w:r>
      <w:r w:rsidRPr="00240B6D">
        <w:t xml:space="preserve"> 4</w:t>
      </w:r>
      <w:r>
        <w:t xml:space="preserve">,1 mld. Kč, zbývajících 0,27 mld. Kč doplatily zdravotní pojišťovny. </w:t>
      </w:r>
      <w:r w:rsidRPr="009641BC">
        <w:rPr>
          <w:bCs/>
          <w:i/>
          <w:szCs w:val="20"/>
        </w:rPr>
        <w:t>P</w:t>
      </w:r>
      <w:r w:rsidRPr="00A5222D">
        <w:rPr>
          <w:bCs/>
          <w:i/>
          <w:szCs w:val="17"/>
        </w:rPr>
        <w:t xml:space="preserve">odrobnější informace </w:t>
      </w:r>
      <w:r>
        <w:rPr>
          <w:bCs/>
          <w:i/>
          <w:szCs w:val="17"/>
        </w:rPr>
        <w:t xml:space="preserve">jsou </w:t>
      </w:r>
      <w:r w:rsidRPr="00A5222D">
        <w:rPr>
          <w:bCs/>
          <w:i/>
          <w:szCs w:val="17"/>
        </w:rPr>
        <w:t xml:space="preserve">k dispozici v kapitole </w:t>
      </w:r>
      <w:r>
        <w:rPr>
          <w:bCs/>
          <w:i/>
          <w:szCs w:val="17"/>
        </w:rPr>
        <w:t xml:space="preserve">č. 5 </w:t>
      </w:r>
      <w:r w:rsidRPr="00A5222D">
        <w:rPr>
          <w:bCs/>
          <w:i/>
          <w:szCs w:val="17"/>
        </w:rPr>
        <w:t xml:space="preserve">Výdaje </w:t>
      </w:r>
      <w:r>
        <w:rPr>
          <w:bCs/>
          <w:i/>
          <w:szCs w:val="17"/>
        </w:rPr>
        <w:t>za léky</w:t>
      </w:r>
      <w:r w:rsidRPr="00A5222D">
        <w:rPr>
          <w:bCs/>
          <w:i/>
          <w:szCs w:val="17"/>
        </w:rPr>
        <w:t>.</w:t>
      </w:r>
    </w:p>
    <w:p w:rsidR="00CB1092" w:rsidRPr="00FD2E06" w:rsidRDefault="00CB1092" w:rsidP="004418C4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Graf č. 1</w:t>
      </w:r>
      <w:r w:rsidRPr="00240B6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8. </w:t>
      </w:r>
      <w:r w:rsidRPr="00240B6D">
        <w:rPr>
          <w:b/>
          <w:sz w:val="18"/>
          <w:szCs w:val="18"/>
        </w:rPr>
        <w:t>Výdaje na zdravotní péči v</w:t>
      </w:r>
      <w:r>
        <w:rPr>
          <w:b/>
          <w:sz w:val="18"/>
          <w:szCs w:val="18"/>
        </w:rPr>
        <w:t> </w:t>
      </w:r>
      <w:r w:rsidRPr="00240B6D">
        <w:rPr>
          <w:b/>
          <w:sz w:val="18"/>
          <w:szCs w:val="18"/>
        </w:rPr>
        <w:t>Česku</w:t>
      </w:r>
      <w:r>
        <w:rPr>
          <w:b/>
          <w:sz w:val="18"/>
          <w:szCs w:val="18"/>
        </w:rPr>
        <w:t xml:space="preserve"> na jednoho obyvatele</w:t>
      </w:r>
      <w:r w:rsidRPr="00240B6D">
        <w:rPr>
          <w:b/>
          <w:sz w:val="18"/>
          <w:szCs w:val="18"/>
        </w:rPr>
        <w:t xml:space="preserve"> podle druh</w:t>
      </w:r>
      <w:r>
        <w:rPr>
          <w:b/>
          <w:sz w:val="18"/>
          <w:szCs w:val="18"/>
        </w:rPr>
        <w:t>u</w:t>
      </w:r>
      <w:r w:rsidRPr="00240B6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poskytnuté </w:t>
      </w:r>
      <w:r w:rsidRPr="00240B6D">
        <w:rPr>
          <w:b/>
          <w:sz w:val="18"/>
          <w:szCs w:val="18"/>
        </w:rPr>
        <w:t>péče</w:t>
      </w:r>
      <w:r>
        <w:rPr>
          <w:b/>
          <w:sz w:val="18"/>
          <w:szCs w:val="18"/>
        </w:rPr>
        <w:t xml:space="preserve"> či služeb v letech 2015-2019, tis. Kč</w:t>
      </w:r>
    </w:p>
    <w:p w:rsidR="00FE5105" w:rsidRDefault="002E4F81" w:rsidP="0070129F">
      <w:pPr>
        <w:spacing w:before="120" w:after="120"/>
      </w:pPr>
      <w:r>
        <w:rPr>
          <w:noProof/>
        </w:rPr>
        <w:drawing>
          <wp:inline distT="0" distB="0" distL="0" distR="0" wp14:anchorId="0E817C31" wp14:editId="032B4605">
            <wp:extent cx="6074979" cy="4771696"/>
            <wp:effectExtent l="0" t="0" r="2540" b="1016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1092" w:rsidRDefault="00CB1092" w:rsidP="004418C4">
      <w:pPr>
        <w:spacing w:after="6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240B6D">
        <w:rPr>
          <w:bCs/>
          <w:sz w:val="16"/>
          <w:szCs w:val="16"/>
        </w:rPr>
        <w:t xml:space="preserve">1) </w:t>
      </w:r>
      <w:r>
        <w:rPr>
          <w:bCs/>
          <w:sz w:val="16"/>
          <w:szCs w:val="16"/>
        </w:rPr>
        <w:t>z</w:t>
      </w:r>
      <w:r w:rsidRPr="00240B6D">
        <w:rPr>
          <w:bCs/>
          <w:sz w:val="16"/>
          <w:szCs w:val="16"/>
        </w:rPr>
        <w:t>ahrnují léky na předpis, volně prodejné léky a další zboží krátkodobé spotřeby např. obvazy, elastické kompresivní punčochy, inkontinenční pomůcky</w:t>
      </w:r>
      <w:r>
        <w:rPr>
          <w:bCs/>
          <w:sz w:val="16"/>
          <w:szCs w:val="16"/>
        </w:rPr>
        <w:t xml:space="preserve">. </w:t>
      </w:r>
      <w:r w:rsidRPr="001D189A">
        <w:rPr>
          <w:b/>
          <w:bCs/>
          <w:sz w:val="16"/>
          <w:szCs w:val="16"/>
        </w:rPr>
        <w:t>Nezahrnuje</w:t>
      </w:r>
      <w:r>
        <w:rPr>
          <w:bCs/>
          <w:sz w:val="16"/>
          <w:szCs w:val="16"/>
        </w:rPr>
        <w:t>, dle manuálu SHA,</w:t>
      </w:r>
      <w:r w:rsidRPr="0069641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výdaje na léky </w:t>
      </w:r>
      <w:r w:rsidRPr="006374C2">
        <w:rPr>
          <w:b/>
          <w:bCs/>
          <w:sz w:val="16"/>
          <w:szCs w:val="16"/>
        </w:rPr>
        <w:t>spotřebované přímo</w:t>
      </w:r>
      <w:r>
        <w:rPr>
          <w:bCs/>
          <w:sz w:val="16"/>
          <w:szCs w:val="16"/>
        </w:rPr>
        <w:t xml:space="preserve"> ve zdravotnických zařízeních. </w:t>
      </w:r>
    </w:p>
    <w:p w:rsidR="00CB1092" w:rsidRPr="00FD2E06" w:rsidRDefault="00CB1092" w:rsidP="004418C4">
      <w:pPr>
        <w:spacing w:after="60" w:line="240" w:lineRule="auto"/>
        <w:rPr>
          <w:bCs/>
          <w:sz w:val="16"/>
          <w:szCs w:val="16"/>
        </w:rPr>
      </w:pPr>
      <w:r w:rsidRPr="002F2CBA">
        <w:rPr>
          <w:bCs/>
          <w:sz w:val="16"/>
          <w:szCs w:val="16"/>
        </w:rPr>
        <w:t>(2)</w:t>
      </w:r>
      <w:r w:rsidRPr="002F2CBA">
        <w:rPr>
          <w:rFonts w:eastAsia="Calibri" w:cs="Arial"/>
          <w:sz w:val="16"/>
          <w:szCs w:val="16"/>
          <w:lang w:eastAsia="en-US"/>
        </w:rPr>
        <w:t xml:space="preserve"> </w:t>
      </w:r>
      <w:r w:rsidR="002E4F81" w:rsidRPr="00CB1092">
        <w:rPr>
          <w:rFonts w:eastAsia="Calibri" w:cs="Arial"/>
          <w:sz w:val="16"/>
          <w:szCs w:val="16"/>
          <w:lang w:eastAsia="en-US"/>
        </w:rPr>
        <w:t>zahrnuje například</w:t>
      </w:r>
      <w:r w:rsidR="002E4F81">
        <w:rPr>
          <w:rFonts w:eastAsia="Calibri" w:cs="Arial"/>
          <w:sz w:val="16"/>
          <w:szCs w:val="16"/>
          <w:lang w:eastAsia="en-US"/>
        </w:rPr>
        <w:t xml:space="preserve"> výdaje na</w:t>
      </w:r>
      <w:r w:rsidR="002E4F81" w:rsidRPr="00CB1092">
        <w:rPr>
          <w:rFonts w:eastAsia="Calibri" w:cs="Arial"/>
          <w:sz w:val="16"/>
          <w:szCs w:val="16"/>
          <w:lang w:eastAsia="en-US"/>
        </w:rPr>
        <w:t xml:space="preserve"> podporu zdraví nebo </w:t>
      </w:r>
      <w:r w:rsidR="002E4F81">
        <w:rPr>
          <w:rFonts w:eastAsia="Calibri" w:cs="Arial"/>
          <w:sz w:val="16"/>
          <w:szCs w:val="16"/>
          <w:lang w:eastAsia="en-US"/>
        </w:rPr>
        <w:t>výdaje jinde neklasifikované</w:t>
      </w:r>
    </w:p>
    <w:p w:rsidR="00CB1092" w:rsidRDefault="00CB1092" w:rsidP="00CB1092">
      <w:pPr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:rsidR="00CB1092" w:rsidRPr="005073EF" w:rsidRDefault="00CB1092" w:rsidP="00CB1092">
      <w:pPr>
        <w:widowControl w:val="0"/>
        <w:rPr>
          <w:bCs/>
          <w:szCs w:val="20"/>
        </w:rPr>
      </w:pPr>
      <w:r>
        <w:rPr>
          <w:bCs/>
          <w:szCs w:val="20"/>
        </w:rPr>
        <w:t>Více než</w:t>
      </w:r>
      <w:r w:rsidRPr="00A5222D">
        <w:rPr>
          <w:bCs/>
          <w:szCs w:val="20"/>
        </w:rPr>
        <w:t xml:space="preserve"> jedna desetina (1</w:t>
      </w:r>
      <w:r w:rsidR="00D60053">
        <w:rPr>
          <w:bCs/>
          <w:szCs w:val="20"/>
        </w:rPr>
        <w:t>1,7</w:t>
      </w:r>
      <w:r w:rsidRPr="00A5222D">
        <w:rPr>
          <w:bCs/>
          <w:szCs w:val="20"/>
        </w:rPr>
        <w:t xml:space="preserve"> %) z finančních prostředků určených na zdravotní péči v Česku v</w:t>
      </w:r>
      <w:r>
        <w:rPr>
          <w:bCs/>
          <w:szCs w:val="20"/>
        </w:rPr>
        <w:t> roce 2019 směřovala</w:t>
      </w:r>
      <w:r w:rsidRPr="00A5222D">
        <w:rPr>
          <w:bCs/>
          <w:szCs w:val="20"/>
        </w:rPr>
        <w:t xml:space="preserve"> na</w:t>
      </w:r>
      <w:r>
        <w:rPr>
          <w:bCs/>
          <w:szCs w:val="20"/>
        </w:rPr>
        <w:t xml:space="preserve"> </w:t>
      </w:r>
      <w:r w:rsidRPr="00AA47C3">
        <w:rPr>
          <w:b/>
          <w:bCs/>
          <w:szCs w:val="20"/>
        </w:rPr>
        <w:t>doplňkové služby</w:t>
      </w:r>
      <w:r>
        <w:rPr>
          <w:bCs/>
          <w:szCs w:val="20"/>
        </w:rPr>
        <w:t>, kam lze zařadit</w:t>
      </w:r>
      <w:r w:rsidRPr="00A5222D">
        <w:rPr>
          <w:bCs/>
          <w:szCs w:val="20"/>
        </w:rPr>
        <w:t xml:space="preserve"> </w:t>
      </w:r>
      <w:r w:rsidRPr="00A5222D">
        <w:rPr>
          <w:b/>
          <w:bCs/>
          <w:szCs w:val="20"/>
        </w:rPr>
        <w:t>laboratorní služby, zobrazo</w:t>
      </w:r>
      <w:r>
        <w:rPr>
          <w:b/>
          <w:bCs/>
          <w:szCs w:val="20"/>
        </w:rPr>
        <w:t>vací metody a dopravu pacientů</w:t>
      </w:r>
      <w:r w:rsidRPr="00A5222D">
        <w:rPr>
          <w:b/>
          <w:bCs/>
          <w:szCs w:val="20"/>
        </w:rPr>
        <w:t xml:space="preserve">. </w:t>
      </w:r>
      <w:r>
        <w:rPr>
          <w:bCs/>
          <w:szCs w:val="20"/>
        </w:rPr>
        <w:t>Na správu systémů zdravotní péče bylo v roce 2019 vydáno celkem 10 mld. Kč (2</w:t>
      </w:r>
      <w:r w:rsidR="00D60053">
        <w:rPr>
          <w:bCs/>
          <w:szCs w:val="20"/>
        </w:rPr>
        <w:t>,1</w:t>
      </w:r>
      <w:r>
        <w:rPr>
          <w:bCs/>
          <w:szCs w:val="20"/>
        </w:rPr>
        <w:t xml:space="preserve"> %). </w:t>
      </w:r>
    </w:p>
    <w:p w:rsidR="00CB1092" w:rsidRPr="00012061" w:rsidRDefault="00CB1092" w:rsidP="00012061">
      <w:pPr>
        <w:rPr>
          <w:b/>
          <w:i/>
        </w:rPr>
      </w:pPr>
      <w:r w:rsidRPr="00012061">
        <w:rPr>
          <w:b/>
          <w:i/>
        </w:rPr>
        <w:t>V roce 2019 byla z výdajů na léčebnou péči vydána nejvyšší částka za specializovanou ambulantní léčebnou péči</w:t>
      </w:r>
    </w:p>
    <w:p w:rsidR="00CB1092" w:rsidRDefault="00CB1092" w:rsidP="00CB1092">
      <w:pPr>
        <w:rPr>
          <w:szCs w:val="17"/>
        </w:rPr>
      </w:pPr>
      <w:r>
        <w:rPr>
          <w:szCs w:val="17"/>
        </w:rPr>
        <w:t>Léčebnou péči lze rozdělit na lůžkovou, denní, domácí a ambulantní. Ambulantní léčebnou péči lze dále rozdělit na specializovanou, všeobecnou, stomatologickou a ostatní ambulantní léčebnou péči jinde nezařazenou. V roce 2019 byl poprvé od roku 2010 nejvyšší podíl na výdaje na léčebnou péči</w:t>
      </w:r>
      <w:r w:rsidR="00981913">
        <w:rPr>
          <w:szCs w:val="17"/>
        </w:rPr>
        <w:t xml:space="preserve"> u </w:t>
      </w:r>
      <w:r w:rsidRPr="00C62B95">
        <w:rPr>
          <w:b/>
          <w:szCs w:val="17"/>
        </w:rPr>
        <w:t>specializované ambulantní léčebné péče</w:t>
      </w:r>
      <w:r>
        <w:rPr>
          <w:szCs w:val="17"/>
        </w:rPr>
        <w:t xml:space="preserve"> </w:t>
      </w:r>
      <w:r w:rsidRPr="00115885">
        <w:rPr>
          <w:b/>
          <w:szCs w:val="17"/>
        </w:rPr>
        <w:t>(34,6 %)</w:t>
      </w:r>
      <w:r>
        <w:rPr>
          <w:szCs w:val="17"/>
        </w:rPr>
        <w:t xml:space="preserve">. V předchozích letech byl vždy nejvyšší podíl u </w:t>
      </w:r>
      <w:r w:rsidRPr="00115885">
        <w:rPr>
          <w:b/>
          <w:szCs w:val="17"/>
        </w:rPr>
        <w:t>lůžkové péče</w:t>
      </w:r>
      <w:r>
        <w:rPr>
          <w:szCs w:val="17"/>
        </w:rPr>
        <w:t xml:space="preserve">, v roce 2019 byl tento podíl </w:t>
      </w:r>
      <w:r w:rsidRPr="00115885">
        <w:rPr>
          <w:b/>
          <w:szCs w:val="17"/>
        </w:rPr>
        <w:t>33,3 %</w:t>
      </w:r>
      <w:r>
        <w:rPr>
          <w:szCs w:val="17"/>
        </w:rPr>
        <w:t xml:space="preserve">. </w:t>
      </w:r>
      <w:r w:rsidRPr="00240B6D">
        <w:rPr>
          <w:szCs w:val="17"/>
        </w:rPr>
        <w:t xml:space="preserve">Výdaje na </w:t>
      </w:r>
      <w:r>
        <w:rPr>
          <w:szCs w:val="17"/>
        </w:rPr>
        <w:t>lůžkovou</w:t>
      </w:r>
      <w:r w:rsidRPr="00240B6D">
        <w:rPr>
          <w:szCs w:val="17"/>
        </w:rPr>
        <w:t xml:space="preserve"> </w:t>
      </w:r>
      <w:r w:rsidRPr="00CB374C">
        <w:rPr>
          <w:szCs w:val="17"/>
        </w:rPr>
        <w:t>péči</w:t>
      </w:r>
      <w:r w:rsidRPr="00240B6D">
        <w:rPr>
          <w:szCs w:val="17"/>
        </w:rPr>
        <w:t xml:space="preserve"> však od</w:t>
      </w:r>
      <w:r>
        <w:rPr>
          <w:szCs w:val="17"/>
        </w:rPr>
        <w:t xml:space="preserve"> roku 2010, kdy představovaly 40,4</w:t>
      </w:r>
      <w:r w:rsidRPr="00240B6D">
        <w:rPr>
          <w:szCs w:val="17"/>
        </w:rPr>
        <w:t> % celkové léčebné péče, postupně klesa</w:t>
      </w:r>
      <w:r>
        <w:rPr>
          <w:szCs w:val="17"/>
        </w:rPr>
        <w:t xml:space="preserve">ly – </w:t>
      </w:r>
      <w:r w:rsidRPr="00240B6D">
        <w:rPr>
          <w:szCs w:val="17"/>
        </w:rPr>
        <w:t>z</w:t>
      </w:r>
      <w:r>
        <w:rPr>
          <w:szCs w:val="17"/>
        </w:rPr>
        <w:t xml:space="preserve"> částky 55,8 mld. Kč v roce 2010 na 51</w:t>
      </w:r>
      <w:r w:rsidRPr="00240B6D">
        <w:rPr>
          <w:szCs w:val="17"/>
        </w:rPr>
        <w:t xml:space="preserve"> mld. Kč v roce 2016. </w:t>
      </w:r>
      <w:r>
        <w:rPr>
          <w:szCs w:val="17"/>
        </w:rPr>
        <w:t>V roce 2017 tyto výdaje meziročně vzrostly o více jak desetinu na 56,5 mld. Kč. N</w:t>
      </w:r>
      <w:r w:rsidRPr="0005411D">
        <w:rPr>
          <w:szCs w:val="17"/>
        </w:rPr>
        <w:t xml:space="preserve">árůst </w:t>
      </w:r>
      <w:r w:rsidR="00981913">
        <w:rPr>
          <w:szCs w:val="17"/>
        </w:rPr>
        <w:t>pokračoval i </w:t>
      </w:r>
      <w:r>
        <w:rPr>
          <w:szCs w:val="17"/>
        </w:rPr>
        <w:t xml:space="preserve">v roce 2018, kdy bylo vydáno na lůžkovou péči celkem 60,2 mld. Kč. V roce </w:t>
      </w:r>
      <w:r w:rsidRPr="00315AC4">
        <w:rPr>
          <w:b/>
          <w:szCs w:val="17"/>
        </w:rPr>
        <w:t>2019</w:t>
      </w:r>
      <w:r>
        <w:rPr>
          <w:szCs w:val="17"/>
        </w:rPr>
        <w:t xml:space="preserve"> došlo ke zvýšení výdajů </w:t>
      </w:r>
      <w:r w:rsidR="00981913">
        <w:rPr>
          <w:b/>
          <w:szCs w:val="17"/>
        </w:rPr>
        <w:t>o </w:t>
      </w:r>
      <w:r w:rsidRPr="00315AC4">
        <w:rPr>
          <w:b/>
          <w:szCs w:val="17"/>
        </w:rPr>
        <w:t>5,4 % na 63,4 mld. Kč</w:t>
      </w:r>
      <w:r>
        <w:rPr>
          <w:szCs w:val="17"/>
        </w:rPr>
        <w:t xml:space="preserve">. </w:t>
      </w:r>
    </w:p>
    <w:p w:rsidR="00981913" w:rsidRPr="00115885" w:rsidRDefault="00981913" w:rsidP="00CB1092">
      <w:pPr>
        <w:rPr>
          <w:szCs w:val="17"/>
        </w:rPr>
      </w:pPr>
    </w:p>
    <w:p w:rsidR="00CB1092" w:rsidRPr="00240B6D" w:rsidRDefault="00CB1092" w:rsidP="00CB1092">
      <w:pPr>
        <w:spacing w:before="240" w:after="120"/>
        <w:rPr>
          <w:b/>
          <w:bCs/>
          <w:sz w:val="18"/>
          <w:szCs w:val="18"/>
        </w:rPr>
      </w:pPr>
      <w:r w:rsidRPr="00240B6D">
        <w:rPr>
          <w:b/>
          <w:bCs/>
          <w:sz w:val="18"/>
          <w:szCs w:val="18"/>
        </w:rPr>
        <w:lastRenderedPageBreak/>
        <w:t>Graf č</w:t>
      </w:r>
      <w:r>
        <w:rPr>
          <w:b/>
          <w:bCs/>
          <w:sz w:val="18"/>
          <w:szCs w:val="18"/>
        </w:rPr>
        <w:t>.</w:t>
      </w:r>
      <w:r w:rsidRPr="00240B6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</w:t>
      </w:r>
      <w:r w:rsidRPr="00240B6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9.</w:t>
      </w:r>
      <w:r w:rsidRPr="00240B6D">
        <w:rPr>
          <w:b/>
          <w:bCs/>
          <w:sz w:val="18"/>
          <w:szCs w:val="18"/>
        </w:rPr>
        <w:t xml:space="preserve"> Výdaje na léčebnou péči v Česku podle jejího typu, 201</w:t>
      </w:r>
      <w:r>
        <w:rPr>
          <w:b/>
          <w:bCs/>
          <w:sz w:val="18"/>
          <w:szCs w:val="18"/>
        </w:rPr>
        <w:t>5</w:t>
      </w:r>
      <w:r w:rsidRPr="00240B6D">
        <w:rPr>
          <w:b/>
          <w:bCs/>
          <w:sz w:val="18"/>
          <w:szCs w:val="18"/>
        </w:rPr>
        <w:t>–201</w:t>
      </w:r>
      <w:r>
        <w:rPr>
          <w:b/>
          <w:bCs/>
          <w:sz w:val="18"/>
          <w:szCs w:val="18"/>
        </w:rPr>
        <w:t>9</w:t>
      </w:r>
    </w:p>
    <w:p w:rsidR="00CB1092" w:rsidRPr="00240B6D" w:rsidRDefault="00CB1092" w:rsidP="0070129F">
      <w:pPr>
        <w:keepNext/>
        <w:tabs>
          <w:tab w:val="left" w:pos="142"/>
          <w:tab w:val="left" w:pos="5103"/>
        </w:tabs>
        <w:spacing w:after="120"/>
        <w:rPr>
          <w:b/>
          <w:i/>
          <w:sz w:val="18"/>
        </w:rPr>
      </w:pPr>
      <w:r w:rsidRPr="00240B6D">
        <w:rPr>
          <w:b/>
          <w:i/>
          <w:sz w:val="18"/>
        </w:rPr>
        <w:tab/>
        <w:t xml:space="preserve">a) v mld. Kč </w:t>
      </w:r>
      <w:r w:rsidRPr="00240B6D">
        <w:rPr>
          <w:b/>
          <w:i/>
          <w:sz w:val="18"/>
        </w:rPr>
        <w:tab/>
        <w:t>b) struktura v %</w:t>
      </w:r>
    </w:p>
    <w:p w:rsidR="00CB1092" w:rsidRDefault="00CB1092" w:rsidP="00CB1092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F72A3F" wp14:editId="0B1C6DB6">
            <wp:simplePos x="0" y="0"/>
            <wp:positionH relativeFrom="margin">
              <wp:align>right</wp:align>
            </wp:positionH>
            <wp:positionV relativeFrom="paragraph">
              <wp:posOffset>11671</wp:posOffset>
            </wp:positionV>
            <wp:extent cx="3037490" cy="4098290"/>
            <wp:effectExtent l="0" t="0" r="10795" b="16510"/>
            <wp:wrapNone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9F27BB" wp14:editId="7DC3E142">
            <wp:extent cx="2858770" cy="4109545"/>
            <wp:effectExtent l="0" t="0" r="17780" b="5715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1092" w:rsidRPr="00CB1092" w:rsidRDefault="00CB1092" w:rsidP="0070129F">
      <w:pPr>
        <w:keepNext/>
        <w:spacing w:before="120"/>
        <w:jc w:val="right"/>
        <w:rPr>
          <w:b/>
          <w:bCs/>
          <w:i/>
          <w:sz w:val="16"/>
          <w:szCs w:val="16"/>
        </w:rPr>
      </w:pPr>
      <w:r w:rsidRPr="00CB1092">
        <w:rPr>
          <w:b/>
          <w:bCs/>
          <w:i/>
          <w:sz w:val="16"/>
          <w:szCs w:val="16"/>
        </w:rPr>
        <w:t>Zdroj: ČSÚ 2021, Zdravotnické účty ČR 2010</w:t>
      </w:r>
      <w:r w:rsidRPr="00CB1092">
        <w:rPr>
          <w:b/>
          <w:sz w:val="16"/>
          <w:szCs w:val="16"/>
        </w:rPr>
        <w:t>–</w:t>
      </w:r>
      <w:r w:rsidRPr="00CB1092">
        <w:rPr>
          <w:b/>
          <w:bCs/>
          <w:i/>
          <w:sz w:val="16"/>
          <w:szCs w:val="16"/>
        </w:rPr>
        <w:t>2019</w:t>
      </w:r>
    </w:p>
    <w:p w:rsidR="00CB1092" w:rsidRPr="00EB6A26" w:rsidRDefault="00CB1092" w:rsidP="00CB1092">
      <w:pPr>
        <w:rPr>
          <w:bCs/>
          <w:szCs w:val="17"/>
          <w:highlight w:val="yellow"/>
        </w:rPr>
      </w:pPr>
      <w:r>
        <w:rPr>
          <w:b/>
          <w:szCs w:val="17"/>
        </w:rPr>
        <w:t>A</w:t>
      </w:r>
      <w:r w:rsidRPr="00F725A0">
        <w:rPr>
          <w:b/>
          <w:szCs w:val="17"/>
        </w:rPr>
        <w:t>mbulantní péče</w:t>
      </w:r>
      <w:r w:rsidRPr="00F725A0">
        <w:rPr>
          <w:szCs w:val="17"/>
        </w:rPr>
        <w:t xml:space="preserve"> může být poskytována v nemocnicích nebo praktickými lékaři a specialisty v soukromých zdravotnických zařízeních či jednotlivých ordinacích.</w:t>
      </w:r>
      <w:r w:rsidRPr="00F725A0">
        <w:rPr>
          <w:i/>
          <w:szCs w:val="17"/>
        </w:rPr>
        <w:t xml:space="preserve"> </w:t>
      </w:r>
      <w:r w:rsidRPr="00F725A0">
        <w:rPr>
          <w:szCs w:val="17"/>
        </w:rPr>
        <w:t xml:space="preserve">Výdaje na ambulantní </w:t>
      </w:r>
      <w:r>
        <w:rPr>
          <w:szCs w:val="17"/>
        </w:rPr>
        <w:t xml:space="preserve">léčebnou </w:t>
      </w:r>
      <w:r w:rsidRPr="00F725A0">
        <w:rPr>
          <w:szCs w:val="17"/>
        </w:rPr>
        <w:t xml:space="preserve">péči </w:t>
      </w:r>
      <w:r>
        <w:rPr>
          <w:szCs w:val="17"/>
        </w:rPr>
        <w:t xml:space="preserve">v roce 2019 vzrostly o 9,7 % na </w:t>
      </w:r>
      <w:r w:rsidRPr="00EB6A26">
        <w:rPr>
          <w:b/>
          <w:szCs w:val="17"/>
        </w:rPr>
        <w:t>117,7 mld. Kč</w:t>
      </w:r>
      <w:r>
        <w:rPr>
          <w:szCs w:val="17"/>
        </w:rPr>
        <w:t>. Nicméně k největšímu zvýšení výdajů došlo v roc</w:t>
      </w:r>
      <w:r w:rsidR="00981913">
        <w:rPr>
          <w:szCs w:val="17"/>
        </w:rPr>
        <w:t>e 2018, kdy se výdaje zvýšily o </w:t>
      </w:r>
      <w:r>
        <w:rPr>
          <w:szCs w:val="17"/>
        </w:rPr>
        <w:t xml:space="preserve">20 %. </w:t>
      </w:r>
    </w:p>
    <w:p w:rsidR="00CB1092" w:rsidRDefault="00CB1092" w:rsidP="00CB1092">
      <w:pPr>
        <w:rPr>
          <w:bCs/>
          <w:szCs w:val="17"/>
        </w:rPr>
      </w:pPr>
      <w:r>
        <w:rPr>
          <w:bCs/>
          <w:szCs w:val="17"/>
        </w:rPr>
        <w:t>Jak už bylo výše zmíněno, největší podíl výdajů na léčebnou péči šel na</w:t>
      </w:r>
      <w:r w:rsidRPr="00B94DEB">
        <w:rPr>
          <w:bCs/>
          <w:szCs w:val="17"/>
        </w:rPr>
        <w:t xml:space="preserve"> </w:t>
      </w:r>
      <w:r w:rsidRPr="00B94DEB">
        <w:rPr>
          <w:b/>
          <w:bCs/>
          <w:szCs w:val="17"/>
        </w:rPr>
        <w:t xml:space="preserve">specializovanou ambulantní péči. </w:t>
      </w:r>
      <w:r w:rsidRPr="00B94DEB">
        <w:rPr>
          <w:bCs/>
          <w:szCs w:val="17"/>
        </w:rPr>
        <w:t xml:space="preserve">Výdaje na tuto péči, která je poskytovaná nejčastěji specialisty v nemocnicích nebo </w:t>
      </w:r>
      <w:r>
        <w:rPr>
          <w:bCs/>
          <w:szCs w:val="17"/>
        </w:rPr>
        <w:t xml:space="preserve">samostatných ordinacích lékaře, </w:t>
      </w:r>
      <w:r w:rsidRPr="00B94DEB">
        <w:rPr>
          <w:bCs/>
          <w:szCs w:val="17"/>
        </w:rPr>
        <w:t xml:space="preserve">meziročně vzrostly o </w:t>
      </w:r>
      <w:r>
        <w:rPr>
          <w:bCs/>
          <w:szCs w:val="17"/>
        </w:rPr>
        <w:t>6,4 mld. Kč</w:t>
      </w:r>
      <w:r w:rsidRPr="00B94DEB">
        <w:rPr>
          <w:bCs/>
          <w:szCs w:val="17"/>
        </w:rPr>
        <w:t xml:space="preserve"> na </w:t>
      </w:r>
      <w:r w:rsidRPr="00315AC4">
        <w:rPr>
          <w:b/>
          <w:bCs/>
          <w:szCs w:val="17"/>
        </w:rPr>
        <w:t>65,9 miliard v roce 2019</w:t>
      </w:r>
      <w:r w:rsidRPr="00B94DEB">
        <w:rPr>
          <w:bCs/>
          <w:szCs w:val="17"/>
        </w:rPr>
        <w:t xml:space="preserve">. </w:t>
      </w:r>
    </w:p>
    <w:p w:rsidR="00CB1092" w:rsidRPr="007C2360" w:rsidRDefault="00CB1092" w:rsidP="00CB1092">
      <w:pPr>
        <w:rPr>
          <w:bCs/>
          <w:i/>
          <w:szCs w:val="17"/>
        </w:rPr>
      </w:pPr>
      <w:r>
        <w:rPr>
          <w:bCs/>
          <w:szCs w:val="17"/>
        </w:rPr>
        <w:t xml:space="preserve">Meziročně výrazně vzrostla i </w:t>
      </w:r>
      <w:r w:rsidRPr="000D2F1A">
        <w:rPr>
          <w:b/>
          <w:bCs/>
          <w:szCs w:val="17"/>
        </w:rPr>
        <w:t>všeobecná ambulantní péče</w:t>
      </w:r>
      <w:r>
        <w:rPr>
          <w:bCs/>
          <w:szCs w:val="17"/>
        </w:rPr>
        <w:t xml:space="preserve"> </w:t>
      </w:r>
      <w:r w:rsidRPr="000D2F1A">
        <w:rPr>
          <w:bCs/>
          <w:szCs w:val="17"/>
        </w:rPr>
        <w:t>poskytovan</w:t>
      </w:r>
      <w:r>
        <w:rPr>
          <w:bCs/>
          <w:szCs w:val="17"/>
        </w:rPr>
        <w:t>á</w:t>
      </w:r>
      <w:r w:rsidRPr="000D2F1A">
        <w:rPr>
          <w:bCs/>
          <w:szCs w:val="17"/>
        </w:rPr>
        <w:t xml:space="preserve"> nejčastěji praktickými lékaři pro děti a </w:t>
      </w:r>
      <w:r>
        <w:rPr>
          <w:bCs/>
          <w:szCs w:val="17"/>
        </w:rPr>
        <w:t xml:space="preserve">pro </w:t>
      </w:r>
      <w:r w:rsidRPr="000D2F1A">
        <w:rPr>
          <w:bCs/>
          <w:szCs w:val="17"/>
        </w:rPr>
        <w:t>dospělé</w:t>
      </w:r>
      <w:r>
        <w:rPr>
          <w:bCs/>
          <w:szCs w:val="17"/>
        </w:rPr>
        <w:t xml:space="preserve">, a to z 26,1 mld. Kč v roce 2018 na </w:t>
      </w:r>
      <w:r w:rsidRPr="00EB6A26">
        <w:rPr>
          <w:b/>
          <w:bCs/>
          <w:szCs w:val="17"/>
        </w:rPr>
        <w:t>28 miliard v roce 2019</w:t>
      </w:r>
      <w:r>
        <w:rPr>
          <w:bCs/>
          <w:szCs w:val="17"/>
        </w:rPr>
        <w:t xml:space="preserve">. Výdaje na ambulantní </w:t>
      </w:r>
      <w:r w:rsidRPr="00387CD6">
        <w:rPr>
          <w:b/>
          <w:bCs/>
          <w:szCs w:val="17"/>
        </w:rPr>
        <w:t>stomatologickou péči</w:t>
      </w:r>
      <w:r>
        <w:rPr>
          <w:bCs/>
          <w:szCs w:val="17"/>
        </w:rPr>
        <w:t xml:space="preserve"> v roce 2019 vzrostly o 9 % a tím </w:t>
      </w:r>
      <w:r w:rsidRPr="00EB6A26">
        <w:rPr>
          <w:b/>
          <w:bCs/>
          <w:szCs w:val="17"/>
        </w:rPr>
        <w:t>překonaly hranici 20 miliard korun</w:t>
      </w:r>
      <w:r>
        <w:rPr>
          <w:bCs/>
          <w:i/>
          <w:szCs w:val="17"/>
        </w:rPr>
        <w:t xml:space="preserve">. </w:t>
      </w:r>
      <w:r w:rsidR="00981913">
        <w:rPr>
          <w:szCs w:val="20"/>
        </w:rPr>
        <w:t>Výdaje na </w:t>
      </w:r>
      <w:r w:rsidRPr="009E3D07">
        <w:rPr>
          <w:b/>
          <w:szCs w:val="20"/>
        </w:rPr>
        <w:t>denní léčebnou péči</w:t>
      </w:r>
      <w:r w:rsidRPr="009E3D07">
        <w:rPr>
          <w:szCs w:val="20"/>
        </w:rPr>
        <w:t xml:space="preserve"> se v</w:t>
      </w:r>
      <w:r>
        <w:rPr>
          <w:szCs w:val="20"/>
        </w:rPr>
        <w:t xml:space="preserve"> roce 2015 až 2016 </w:t>
      </w:r>
      <w:r w:rsidRPr="009E3D07">
        <w:rPr>
          <w:szCs w:val="20"/>
        </w:rPr>
        <w:t>pohyb</w:t>
      </w:r>
      <w:r>
        <w:rPr>
          <w:szCs w:val="20"/>
        </w:rPr>
        <w:t>ovaly</w:t>
      </w:r>
      <w:r w:rsidRPr="009E3D07">
        <w:rPr>
          <w:szCs w:val="20"/>
        </w:rPr>
        <w:t xml:space="preserve"> </w:t>
      </w:r>
      <w:r>
        <w:rPr>
          <w:szCs w:val="20"/>
        </w:rPr>
        <w:t xml:space="preserve">kolem </w:t>
      </w:r>
      <w:r w:rsidRPr="009E3D07">
        <w:rPr>
          <w:szCs w:val="20"/>
        </w:rPr>
        <w:t>5</w:t>
      </w:r>
      <w:r>
        <w:rPr>
          <w:szCs w:val="20"/>
        </w:rPr>
        <w:t>,7</w:t>
      </w:r>
      <w:r w:rsidRPr="009E3D07">
        <w:rPr>
          <w:szCs w:val="20"/>
        </w:rPr>
        <w:t xml:space="preserve"> miliard Kč</w:t>
      </w:r>
      <w:r>
        <w:rPr>
          <w:szCs w:val="20"/>
        </w:rPr>
        <w:t xml:space="preserve">. V roce 2017 a 2018 přesáhly výdaje více než 6 mld. Kč a </w:t>
      </w:r>
      <w:r w:rsidRPr="00EB6A26">
        <w:rPr>
          <w:b/>
          <w:szCs w:val="20"/>
        </w:rPr>
        <w:t xml:space="preserve">v roce 2019 </w:t>
      </w:r>
      <w:r>
        <w:rPr>
          <w:bCs/>
          <w:szCs w:val="20"/>
        </w:rPr>
        <w:t xml:space="preserve">výdaje na denní léčebnou péči činily </w:t>
      </w:r>
      <w:r w:rsidRPr="00EB6A26">
        <w:rPr>
          <w:b/>
          <w:szCs w:val="20"/>
        </w:rPr>
        <w:t>celkem 7,3 mld. Kč</w:t>
      </w:r>
      <w:r>
        <w:rPr>
          <w:szCs w:val="20"/>
        </w:rPr>
        <w:t>.</w:t>
      </w:r>
    </w:p>
    <w:p w:rsidR="00CB1092" w:rsidRPr="00012061" w:rsidRDefault="00CB1092" w:rsidP="00012061">
      <w:pPr>
        <w:rPr>
          <w:b/>
          <w:i/>
        </w:rPr>
      </w:pPr>
      <w:r w:rsidRPr="00012061">
        <w:rPr>
          <w:b/>
          <w:i/>
        </w:rPr>
        <w:t>Výdaje na lůžkovou rehabilitačn</w:t>
      </w:r>
      <w:r w:rsidR="00AF72B7">
        <w:rPr>
          <w:b/>
          <w:i/>
        </w:rPr>
        <w:t xml:space="preserve">í péči vzrostly meziročně </w:t>
      </w:r>
      <w:r w:rsidRPr="00012061">
        <w:rPr>
          <w:b/>
          <w:i/>
        </w:rPr>
        <w:t>o</w:t>
      </w:r>
      <w:r w:rsidR="00AF72B7">
        <w:rPr>
          <w:b/>
          <w:i/>
        </w:rPr>
        <w:t xml:space="preserve"> více než</w:t>
      </w:r>
      <w:r w:rsidRPr="00012061">
        <w:rPr>
          <w:b/>
          <w:i/>
        </w:rPr>
        <w:t xml:space="preserve"> miliardu</w:t>
      </w:r>
    </w:p>
    <w:p w:rsidR="00CB1092" w:rsidRDefault="00CB1092" w:rsidP="00CB1092">
      <w:pPr>
        <w:spacing w:before="240" w:after="120"/>
        <w:rPr>
          <w:rFonts w:cs="Arial"/>
          <w:szCs w:val="20"/>
        </w:rPr>
      </w:pPr>
      <w:r w:rsidRPr="00EB6A26">
        <w:rPr>
          <w:b/>
          <w:szCs w:val="17"/>
        </w:rPr>
        <w:t>Rehabilitační péči</w:t>
      </w:r>
      <w:r>
        <w:rPr>
          <w:szCs w:val="17"/>
        </w:rPr>
        <w:t xml:space="preserve"> lze rozdělit do dvou kategorií a to na </w:t>
      </w:r>
      <w:r w:rsidRPr="00EB6A26">
        <w:rPr>
          <w:szCs w:val="17"/>
        </w:rPr>
        <w:t>ambulantní a lůžkovou.</w:t>
      </w:r>
      <w:r w:rsidR="00981913">
        <w:rPr>
          <w:szCs w:val="17"/>
        </w:rPr>
        <w:t xml:space="preserve"> Dlouhodobě jsou výdaje na </w:t>
      </w:r>
      <w:r>
        <w:rPr>
          <w:szCs w:val="17"/>
        </w:rPr>
        <w:t xml:space="preserve">oba druhy péče rozděleny téměř na polovinu. </w:t>
      </w:r>
      <w:r w:rsidRPr="00FF5BFF">
        <w:rPr>
          <w:szCs w:val="17"/>
        </w:rPr>
        <w:t xml:space="preserve">Na </w:t>
      </w:r>
      <w:r w:rsidRPr="00EB6A26">
        <w:rPr>
          <w:b/>
          <w:szCs w:val="17"/>
        </w:rPr>
        <w:t>lůžkovou rehabilitační péči</w:t>
      </w:r>
      <w:r w:rsidRPr="00FF5BFF">
        <w:rPr>
          <w:szCs w:val="17"/>
        </w:rPr>
        <w:t xml:space="preserve">, kam spadá především </w:t>
      </w:r>
      <w:r w:rsidRPr="00FF5BFF">
        <w:rPr>
          <w:b/>
          <w:szCs w:val="17"/>
        </w:rPr>
        <w:t xml:space="preserve">lázeňská péče, </w:t>
      </w:r>
      <w:r>
        <w:rPr>
          <w:szCs w:val="17"/>
        </w:rPr>
        <w:t xml:space="preserve">bylo v roce 2019 celkem vydáno </w:t>
      </w:r>
      <w:r w:rsidRPr="00EB6A26">
        <w:rPr>
          <w:b/>
          <w:szCs w:val="17"/>
        </w:rPr>
        <w:t>10,9 mld. Kč</w:t>
      </w:r>
      <w:r w:rsidRPr="00FF5BFF">
        <w:rPr>
          <w:szCs w:val="17"/>
        </w:rPr>
        <w:t xml:space="preserve">, což je </w:t>
      </w:r>
      <w:r>
        <w:rPr>
          <w:szCs w:val="17"/>
        </w:rPr>
        <w:t xml:space="preserve">téměř </w:t>
      </w:r>
      <w:r w:rsidRPr="00FF5BFF">
        <w:rPr>
          <w:szCs w:val="17"/>
        </w:rPr>
        <w:t>o</w:t>
      </w:r>
      <w:r>
        <w:rPr>
          <w:szCs w:val="17"/>
        </w:rPr>
        <w:t xml:space="preserve"> 1,3 mld. Kč </w:t>
      </w:r>
      <w:r w:rsidRPr="00FF5BFF">
        <w:rPr>
          <w:szCs w:val="17"/>
        </w:rPr>
        <w:t>více než v</w:t>
      </w:r>
      <w:r>
        <w:rPr>
          <w:szCs w:val="17"/>
        </w:rPr>
        <w:t> předchozím roce</w:t>
      </w:r>
      <w:r w:rsidRPr="00FF5BFF">
        <w:rPr>
          <w:szCs w:val="17"/>
        </w:rPr>
        <w:t>.</w:t>
      </w:r>
      <w:r w:rsidRPr="00FF5BF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 toho celkem 5,9 mld. Kč za lůžkovou rehabilitační péči zaplatily zdravotní pojišťovny. </w:t>
      </w:r>
      <w:r>
        <w:t>Vedle toho si na tuto péči</w:t>
      </w:r>
      <w:r>
        <w:rPr>
          <w:rFonts w:cs="Arial"/>
          <w:szCs w:val="20"/>
        </w:rPr>
        <w:t xml:space="preserve"> ve velké míře přispívají i pacienti sami. V roce </w:t>
      </w:r>
      <w:r w:rsidR="00981913">
        <w:rPr>
          <w:rFonts w:cs="Arial"/>
          <w:szCs w:val="20"/>
        </w:rPr>
        <w:t>2019 šlo z plateb domácností na </w:t>
      </w:r>
      <w:r>
        <w:rPr>
          <w:rFonts w:cs="Arial"/>
          <w:szCs w:val="20"/>
        </w:rPr>
        <w:t>lůžkovou rehabilitační péči celkem 4,5 mld. Kč</w:t>
      </w:r>
    </w:p>
    <w:p w:rsidR="00CB1092" w:rsidRPr="00240B6D" w:rsidRDefault="00CB1092" w:rsidP="00CB1092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Graf č.</w:t>
      </w:r>
      <w:r w:rsidRPr="00240B6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</w:t>
      </w:r>
      <w:r w:rsidRPr="00240B6D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10.</w:t>
      </w:r>
      <w:r w:rsidRPr="00240B6D">
        <w:rPr>
          <w:b/>
          <w:bCs/>
          <w:sz w:val="18"/>
          <w:szCs w:val="18"/>
        </w:rPr>
        <w:t xml:space="preserve"> Výdaje na </w:t>
      </w:r>
      <w:r>
        <w:rPr>
          <w:b/>
          <w:bCs/>
          <w:sz w:val="18"/>
          <w:szCs w:val="18"/>
        </w:rPr>
        <w:t xml:space="preserve">rehabilitační péči v Česku </w:t>
      </w:r>
      <w:r w:rsidRPr="00240B6D">
        <w:rPr>
          <w:b/>
          <w:bCs/>
          <w:sz w:val="18"/>
          <w:szCs w:val="18"/>
        </w:rPr>
        <w:t>podle jejího typu, 201</w:t>
      </w:r>
      <w:r>
        <w:rPr>
          <w:b/>
          <w:bCs/>
          <w:sz w:val="18"/>
          <w:szCs w:val="18"/>
        </w:rPr>
        <w:t>5</w:t>
      </w:r>
      <w:r w:rsidRPr="00240B6D">
        <w:rPr>
          <w:b/>
          <w:bCs/>
          <w:sz w:val="18"/>
          <w:szCs w:val="18"/>
        </w:rPr>
        <w:t>–201</w:t>
      </w:r>
      <w:r>
        <w:rPr>
          <w:b/>
          <w:bCs/>
          <w:sz w:val="18"/>
          <w:szCs w:val="18"/>
        </w:rPr>
        <w:t>9</w:t>
      </w:r>
    </w:p>
    <w:p w:rsidR="00CB1092" w:rsidRPr="00240B6D" w:rsidRDefault="00CB1092" w:rsidP="0070129F">
      <w:pPr>
        <w:keepNext/>
        <w:tabs>
          <w:tab w:val="left" w:pos="142"/>
          <w:tab w:val="left" w:pos="5387"/>
        </w:tabs>
        <w:spacing w:after="120"/>
        <w:rPr>
          <w:b/>
          <w:i/>
          <w:sz w:val="18"/>
        </w:rPr>
      </w:pPr>
      <w:r w:rsidRPr="00240B6D">
        <w:rPr>
          <w:b/>
          <w:i/>
          <w:sz w:val="18"/>
        </w:rPr>
        <w:tab/>
        <w:t xml:space="preserve">a) v mld. Kč </w:t>
      </w:r>
      <w:r w:rsidRPr="00240B6D">
        <w:rPr>
          <w:b/>
          <w:i/>
          <w:sz w:val="18"/>
        </w:rPr>
        <w:tab/>
        <w:t>b) struktura v %</w:t>
      </w:r>
    </w:p>
    <w:p w:rsidR="00CB1092" w:rsidRDefault="00CB1092" w:rsidP="00CB1092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B83E82" wp14:editId="094308B3">
            <wp:simplePos x="0" y="0"/>
            <wp:positionH relativeFrom="column">
              <wp:posOffset>3378944</wp:posOffset>
            </wp:positionH>
            <wp:positionV relativeFrom="paragraph">
              <wp:posOffset>11671</wp:posOffset>
            </wp:positionV>
            <wp:extent cx="2680138" cy="2196662"/>
            <wp:effectExtent l="0" t="0" r="6350" b="13335"/>
            <wp:wrapNone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828756" wp14:editId="7B8E9BDF">
            <wp:extent cx="3026410" cy="2186151"/>
            <wp:effectExtent l="0" t="0" r="2540" b="508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B1092" w:rsidRDefault="00CB1092" w:rsidP="0070129F">
      <w:pPr>
        <w:widowControl w:val="0"/>
        <w:spacing w:before="120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:rsidR="00CB1092" w:rsidRDefault="00CB1092" w:rsidP="00CB1092">
      <w:pPr>
        <w:rPr>
          <w:rFonts w:cs="Arial"/>
          <w:szCs w:val="20"/>
        </w:rPr>
      </w:pPr>
      <w:r w:rsidRPr="00F1671D">
        <w:rPr>
          <w:rFonts w:cs="Arial"/>
          <w:szCs w:val="20"/>
        </w:rPr>
        <w:t xml:space="preserve">Druhá polovina výdajů na rehabilitační péči připadá na její </w:t>
      </w:r>
      <w:r w:rsidRPr="009E3D07">
        <w:rPr>
          <w:rFonts w:cs="Arial"/>
          <w:b/>
          <w:szCs w:val="20"/>
        </w:rPr>
        <w:t>ambulantní formu</w:t>
      </w:r>
      <w:r w:rsidR="00981913">
        <w:rPr>
          <w:rFonts w:cs="Arial"/>
          <w:szCs w:val="20"/>
        </w:rPr>
        <w:t>, kdy pacienti docházejí na </w:t>
      </w:r>
      <w:r w:rsidRPr="00F1671D">
        <w:rPr>
          <w:rFonts w:cs="Arial"/>
          <w:szCs w:val="20"/>
        </w:rPr>
        <w:t xml:space="preserve">procedury do </w:t>
      </w:r>
      <w:r w:rsidRPr="00300021">
        <w:rPr>
          <w:rFonts w:cs="Arial"/>
          <w:b/>
          <w:szCs w:val="20"/>
        </w:rPr>
        <w:t>rehabilitačních zařízení</w:t>
      </w:r>
      <w:r w:rsidRPr="00F1671D">
        <w:rPr>
          <w:rFonts w:cs="Arial"/>
          <w:szCs w:val="20"/>
        </w:rPr>
        <w:t xml:space="preserve"> popř. do lázní bez možnosti ubytování</w:t>
      </w:r>
      <w:r w:rsidR="00981913">
        <w:rPr>
          <w:rFonts w:cs="Arial"/>
          <w:szCs w:val="20"/>
        </w:rPr>
        <w:t>. V roce 2019 došlo ke </w:t>
      </w:r>
      <w:r>
        <w:rPr>
          <w:rFonts w:cs="Arial"/>
          <w:szCs w:val="20"/>
        </w:rPr>
        <w:t xml:space="preserve">zvýšení těchto výdajů o 15,1 % na </w:t>
      </w:r>
      <w:r w:rsidRPr="00EB6A26">
        <w:rPr>
          <w:rFonts w:cs="Arial"/>
          <w:b/>
          <w:szCs w:val="20"/>
        </w:rPr>
        <w:t>11,8 mld. Kč</w:t>
      </w:r>
      <w:r>
        <w:rPr>
          <w:rFonts w:cs="Arial"/>
          <w:szCs w:val="20"/>
        </w:rPr>
        <w:t>. U ambulantní péče převažuje financování zdravotními pojišťovnami (10 mld. Kč). Z plateb domácností šlo na tuto péči jen 1,8 mld. Kč.</w:t>
      </w:r>
    </w:p>
    <w:p w:rsidR="00CB1092" w:rsidRPr="00012061" w:rsidRDefault="00CB1092" w:rsidP="00012061">
      <w:pPr>
        <w:rPr>
          <w:b/>
          <w:i/>
        </w:rPr>
      </w:pPr>
      <w:r w:rsidRPr="00012061">
        <w:rPr>
          <w:b/>
          <w:i/>
        </w:rPr>
        <w:t>V roce 2019 bylo za preventivní péči vydáno celkem 11,3 mld. Kč</w:t>
      </w:r>
    </w:p>
    <w:p w:rsidR="00CB1092" w:rsidRPr="00CB1092" w:rsidRDefault="00CB1092" w:rsidP="00CB1092">
      <w:pPr>
        <w:spacing w:before="240" w:after="120"/>
        <w:rPr>
          <w:b/>
          <w:bCs/>
          <w:sz w:val="18"/>
          <w:szCs w:val="18"/>
        </w:rPr>
      </w:pPr>
      <w:r w:rsidRPr="00CB1092">
        <w:rPr>
          <w:b/>
          <w:bCs/>
          <w:sz w:val="18"/>
          <w:szCs w:val="18"/>
        </w:rPr>
        <w:t>Graf č. 1.11. Výdaje na preventivní péči v Česku podle jejího typu, 2015–2019</w:t>
      </w:r>
    </w:p>
    <w:p w:rsidR="00CB1092" w:rsidRPr="00CB1092" w:rsidRDefault="00CB1092" w:rsidP="0070129F">
      <w:pPr>
        <w:keepNext/>
        <w:tabs>
          <w:tab w:val="left" w:pos="142"/>
          <w:tab w:val="left" w:pos="5387"/>
        </w:tabs>
        <w:spacing w:after="120"/>
        <w:rPr>
          <w:b/>
          <w:i/>
          <w:sz w:val="18"/>
        </w:rPr>
      </w:pPr>
      <w:r w:rsidRPr="00CB1092">
        <w:rPr>
          <w:b/>
          <w:i/>
          <w:sz w:val="18"/>
        </w:rPr>
        <w:tab/>
        <w:t xml:space="preserve">a) v mld. Kč </w:t>
      </w:r>
      <w:r w:rsidRPr="00CB1092">
        <w:rPr>
          <w:b/>
          <w:i/>
          <w:sz w:val="18"/>
        </w:rPr>
        <w:tab/>
        <w:t>b) struktura v %</w:t>
      </w:r>
    </w:p>
    <w:p w:rsidR="00CB1092" w:rsidRPr="00CB1092" w:rsidRDefault="00CB1092" w:rsidP="00CB1092">
      <w:pPr>
        <w:spacing w:after="0"/>
        <w:rPr>
          <w:rFonts w:cs="Arial"/>
          <w:szCs w:val="20"/>
        </w:rPr>
      </w:pPr>
      <w:r w:rsidRPr="00CB1092">
        <w:rPr>
          <w:noProof/>
        </w:rPr>
        <w:drawing>
          <wp:anchor distT="0" distB="0" distL="114300" distR="114300" simplePos="0" relativeHeight="251668480" behindDoc="0" locked="0" layoutInCell="1" allowOverlap="1" wp14:anchorId="4166A307" wp14:editId="198914C5">
            <wp:simplePos x="0" y="0"/>
            <wp:positionH relativeFrom="column">
              <wp:posOffset>3315882</wp:posOffset>
            </wp:positionH>
            <wp:positionV relativeFrom="paragraph">
              <wp:posOffset>20495</wp:posOffset>
            </wp:positionV>
            <wp:extent cx="2753711" cy="2501265"/>
            <wp:effectExtent l="0" t="0" r="8890" b="13335"/>
            <wp:wrapNone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092">
        <w:rPr>
          <w:noProof/>
        </w:rPr>
        <w:drawing>
          <wp:inline distT="0" distB="0" distL="0" distR="0" wp14:anchorId="3AEE7926" wp14:editId="69AA6764">
            <wp:extent cx="2900855" cy="2554014"/>
            <wp:effectExtent l="0" t="0" r="13970" b="177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B1092" w:rsidRPr="00CB1092" w:rsidRDefault="00CB1092" w:rsidP="004418C4">
      <w:pPr>
        <w:widowControl w:val="0"/>
        <w:spacing w:before="120"/>
        <w:jc w:val="right"/>
        <w:rPr>
          <w:b/>
          <w:bCs/>
          <w:i/>
          <w:sz w:val="16"/>
          <w:szCs w:val="16"/>
        </w:rPr>
      </w:pPr>
      <w:r w:rsidRPr="00CB1092">
        <w:rPr>
          <w:b/>
          <w:bCs/>
          <w:i/>
          <w:sz w:val="16"/>
          <w:szCs w:val="16"/>
        </w:rPr>
        <w:t>Zdroj: ČSÚ 2021, Zdravotnické účty ČR 2010</w:t>
      </w:r>
      <w:r w:rsidRPr="00CB1092">
        <w:rPr>
          <w:b/>
          <w:sz w:val="16"/>
          <w:szCs w:val="16"/>
        </w:rPr>
        <w:t>–</w:t>
      </w:r>
      <w:r w:rsidRPr="00CB1092">
        <w:rPr>
          <w:b/>
          <w:bCs/>
          <w:i/>
          <w:sz w:val="16"/>
          <w:szCs w:val="16"/>
        </w:rPr>
        <w:t>2019</w:t>
      </w:r>
    </w:p>
    <w:p w:rsidR="005C1851" w:rsidRPr="005C1851" w:rsidRDefault="005C1851" w:rsidP="005C1851">
      <w:pPr>
        <w:rPr>
          <w:rFonts w:eastAsia="Calibri" w:cs="Arial"/>
          <w:szCs w:val="20"/>
        </w:rPr>
      </w:pPr>
      <w:r>
        <w:rPr>
          <w:rFonts w:cs="Arial"/>
          <w:szCs w:val="20"/>
        </w:rPr>
        <w:t xml:space="preserve">Dvě třetiny výdajů v rámci preventivní péče byly vydány za </w:t>
      </w:r>
      <w:r w:rsidRPr="00107FA0">
        <w:rPr>
          <w:rFonts w:cs="Arial"/>
          <w:b/>
          <w:szCs w:val="20"/>
        </w:rPr>
        <w:t>programy pro sledování zdravotního stavu obyvatelstva</w:t>
      </w:r>
      <w:r>
        <w:rPr>
          <w:rFonts w:cs="Arial"/>
          <w:szCs w:val="20"/>
        </w:rPr>
        <w:t>. Tento druh péče zahrnuje</w:t>
      </w:r>
      <w:r w:rsidRPr="00240B6D">
        <w:rPr>
          <w:rFonts w:cs="Arial"/>
          <w:szCs w:val="20"/>
        </w:rPr>
        <w:t xml:space="preserve"> </w:t>
      </w:r>
      <w:r w:rsidRPr="00B85CB1">
        <w:rPr>
          <w:rFonts w:cs="Arial"/>
          <w:szCs w:val="20"/>
        </w:rPr>
        <w:t>aktivní monitoring</w:t>
      </w:r>
      <w:r w:rsidRPr="00240B6D">
        <w:rPr>
          <w:rFonts w:cs="Arial"/>
          <w:szCs w:val="20"/>
        </w:rPr>
        <w:t xml:space="preserve"> celkového zdravotního stavu i jeho dílčích aspektů. Preventivní programy z této skupiny se zaměřují </w:t>
      </w:r>
      <w:r>
        <w:rPr>
          <w:rFonts w:cs="Arial"/>
          <w:szCs w:val="20"/>
        </w:rPr>
        <w:t xml:space="preserve">jednak </w:t>
      </w:r>
      <w:r w:rsidRPr="00240B6D">
        <w:rPr>
          <w:rFonts w:eastAsia="Calibri" w:cs="Arial"/>
          <w:szCs w:val="20"/>
        </w:rPr>
        <w:t xml:space="preserve">na určitá období života jako je těhotenství (předporodní a poporodní péči), růst a vývoj dítěte, </w:t>
      </w:r>
      <w:r>
        <w:rPr>
          <w:rFonts w:eastAsia="Calibri" w:cs="Arial"/>
          <w:szCs w:val="20"/>
        </w:rPr>
        <w:t xml:space="preserve">na </w:t>
      </w:r>
      <w:r w:rsidRPr="00240B6D">
        <w:rPr>
          <w:rFonts w:eastAsia="Calibri" w:cs="Arial"/>
          <w:szCs w:val="20"/>
        </w:rPr>
        <w:t xml:space="preserve">skupiny </w:t>
      </w:r>
      <w:r>
        <w:rPr>
          <w:rFonts w:eastAsia="Calibri" w:cs="Arial"/>
          <w:szCs w:val="20"/>
        </w:rPr>
        <w:t>seniorů, jednak</w:t>
      </w:r>
      <w:r w:rsidRPr="00240B6D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oborově </w:t>
      </w:r>
      <w:r w:rsidRPr="00240B6D">
        <w:rPr>
          <w:rFonts w:eastAsia="Calibri" w:cs="Arial"/>
          <w:szCs w:val="20"/>
        </w:rPr>
        <w:t>na zubní a všeobecné preventivní prohlídky</w:t>
      </w:r>
      <w:r>
        <w:rPr>
          <w:rFonts w:eastAsia="Calibri" w:cs="Arial"/>
          <w:szCs w:val="20"/>
        </w:rPr>
        <w:t xml:space="preserve">. V roce 2018 došlo k poklesu výdajů na tuto péči o necelých 5 % (z 6,9 mld. Kč v roce 2017 na 6,5 mld. Kč v roce 2018), nicméně </w:t>
      </w:r>
      <w:r w:rsidRPr="00EB6A26">
        <w:rPr>
          <w:rFonts w:eastAsia="Calibri" w:cs="Arial"/>
          <w:b/>
          <w:szCs w:val="20"/>
        </w:rPr>
        <w:t>v roce 2019</w:t>
      </w:r>
      <w:r>
        <w:rPr>
          <w:rFonts w:eastAsia="Calibri" w:cs="Arial"/>
          <w:szCs w:val="20"/>
        </w:rPr>
        <w:t xml:space="preserve"> došlo ke zvýšení výdajů o 15 % na </w:t>
      </w:r>
      <w:r w:rsidRPr="00EB6A26">
        <w:rPr>
          <w:rFonts w:eastAsia="Calibri" w:cs="Arial"/>
          <w:b/>
          <w:szCs w:val="20"/>
        </w:rPr>
        <w:t>7,5 mld. Kč</w:t>
      </w:r>
      <w:r>
        <w:rPr>
          <w:rFonts w:eastAsia="Calibri" w:cs="Arial"/>
          <w:szCs w:val="20"/>
        </w:rPr>
        <w:t xml:space="preserve">. Tato část preventivní péče byla </w:t>
      </w:r>
      <w:r>
        <w:rPr>
          <w:rFonts w:eastAsia="Calibri" w:cs="Arial"/>
          <w:b/>
          <w:szCs w:val="20"/>
        </w:rPr>
        <w:t>největší měrou</w:t>
      </w:r>
      <w:r w:rsidRPr="00EB6A26">
        <w:rPr>
          <w:rFonts w:eastAsia="Calibri" w:cs="Arial"/>
          <w:b/>
          <w:szCs w:val="20"/>
        </w:rPr>
        <w:t xml:space="preserve"> hrazena z veřejného zdravotního pojištění</w:t>
      </w:r>
      <w:r>
        <w:rPr>
          <w:rFonts w:eastAsia="Calibri" w:cs="Arial"/>
          <w:szCs w:val="20"/>
        </w:rPr>
        <w:t xml:space="preserve">, dále byla financována i podniky v rámci jejich preventivní péče o své zaměstnance. </w:t>
      </w:r>
    </w:p>
    <w:p w:rsidR="005C1851" w:rsidRDefault="005C1851" w:rsidP="005C1851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Mezi další druh preventivní péče patří </w:t>
      </w:r>
      <w:r w:rsidRPr="0016731E">
        <w:rPr>
          <w:rFonts w:cs="Arial"/>
          <w:b/>
          <w:szCs w:val="20"/>
        </w:rPr>
        <w:t>imunizační programy</w:t>
      </w:r>
      <w:r w:rsidRPr="00240B6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Do nich lze zařadit</w:t>
      </w:r>
      <w:r w:rsidRPr="00240B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například imunizaci proti záškrtu, žloutence, chřipce, tetanu nebo spalničkám. </w:t>
      </w:r>
      <w:r w:rsidRPr="00EB6A26">
        <w:rPr>
          <w:rFonts w:cs="Arial"/>
          <w:b/>
          <w:szCs w:val="20"/>
        </w:rPr>
        <w:t>V roce 2019</w:t>
      </w:r>
      <w:r>
        <w:rPr>
          <w:rFonts w:cs="Arial"/>
          <w:szCs w:val="20"/>
        </w:rPr>
        <w:t xml:space="preserve"> bylo v Česku na tyto imunizační programy vynaloženo </w:t>
      </w:r>
      <w:r w:rsidRPr="00EB6A26">
        <w:rPr>
          <w:rFonts w:cs="Arial"/>
          <w:b/>
          <w:szCs w:val="20"/>
        </w:rPr>
        <w:t>celkem 1,7 mld. Kč</w:t>
      </w:r>
      <w:r w:rsidRPr="00091372">
        <w:rPr>
          <w:rFonts w:cs="Arial"/>
          <w:szCs w:val="20"/>
        </w:rPr>
        <w:t>, což je</w:t>
      </w:r>
      <w:r>
        <w:rPr>
          <w:rFonts w:cs="Arial"/>
          <w:szCs w:val="20"/>
        </w:rPr>
        <w:t xml:space="preserve"> méně než v roce předchozím. </w:t>
      </w:r>
    </w:p>
    <w:p w:rsidR="005C1851" w:rsidRDefault="005C1851" w:rsidP="005C1851">
      <w:pPr>
        <w:rPr>
          <w:rFonts w:cs="Arial"/>
          <w:szCs w:val="20"/>
        </w:rPr>
      </w:pPr>
      <w:r w:rsidRPr="00F1671D">
        <w:rPr>
          <w:rFonts w:cs="Arial"/>
          <w:szCs w:val="20"/>
        </w:rPr>
        <w:t xml:space="preserve">Další skupinou výdajů preventivní péče jsou </w:t>
      </w:r>
      <w:r w:rsidRPr="00F1671D">
        <w:rPr>
          <w:rFonts w:cs="Arial"/>
          <w:b/>
          <w:szCs w:val="20"/>
        </w:rPr>
        <w:t>programy pro včasné odhalení nemocí</w:t>
      </w:r>
      <w:r w:rsidRPr="00F1671D">
        <w:rPr>
          <w:rFonts w:cs="Arial"/>
          <w:szCs w:val="20"/>
        </w:rPr>
        <w:t xml:space="preserve"> zahrnující různé typy </w:t>
      </w:r>
      <w:proofErr w:type="spellStart"/>
      <w:r w:rsidRPr="00F1671D">
        <w:rPr>
          <w:rFonts w:cs="Arial"/>
          <w:szCs w:val="20"/>
        </w:rPr>
        <w:t>screeningů</w:t>
      </w:r>
      <w:proofErr w:type="spellEnd"/>
      <w:r w:rsidRPr="00F1671D">
        <w:rPr>
          <w:rFonts w:cs="Arial"/>
          <w:szCs w:val="20"/>
        </w:rPr>
        <w:t xml:space="preserve">, diagnostické testy a lékařské prohlídky. </w:t>
      </w:r>
      <w:r w:rsidRPr="00F1671D">
        <w:rPr>
          <w:szCs w:val="20"/>
        </w:rPr>
        <w:t xml:space="preserve">Zdravotní pojišťovny hradí některá preventivní vyšetření např. </w:t>
      </w:r>
      <w:proofErr w:type="spellStart"/>
      <w:r>
        <w:rPr>
          <w:szCs w:val="20"/>
        </w:rPr>
        <w:t>screening</w:t>
      </w:r>
      <w:proofErr w:type="spellEnd"/>
      <w:r>
        <w:rPr>
          <w:szCs w:val="20"/>
        </w:rPr>
        <w:t xml:space="preserve"> zhoubných</w:t>
      </w:r>
      <w:r w:rsidRPr="00F1671D">
        <w:rPr>
          <w:szCs w:val="20"/>
        </w:rPr>
        <w:t xml:space="preserve"> nádorů, </w:t>
      </w:r>
      <w:proofErr w:type="spellStart"/>
      <w:r w:rsidRPr="00F1671D">
        <w:rPr>
          <w:rFonts w:cs="Arial"/>
          <w:szCs w:val="20"/>
        </w:rPr>
        <w:t>screening</w:t>
      </w:r>
      <w:proofErr w:type="spellEnd"/>
      <w:r w:rsidRPr="00F1671D">
        <w:rPr>
          <w:rFonts w:cs="Arial"/>
          <w:szCs w:val="20"/>
        </w:rPr>
        <w:t xml:space="preserve"> sluchu u novorozenců nebo preventivní prohlídky ze základního fondu veřejného zdravotního pojištění.</w:t>
      </w:r>
      <w:r>
        <w:rPr>
          <w:rFonts w:cs="Arial"/>
          <w:szCs w:val="20"/>
        </w:rPr>
        <w:t xml:space="preserve"> </w:t>
      </w:r>
      <w:r w:rsidRPr="00EB6A26">
        <w:rPr>
          <w:rFonts w:cs="Arial"/>
          <w:b/>
          <w:szCs w:val="20"/>
        </w:rPr>
        <w:t>V roce 2019</w:t>
      </w:r>
      <w:r>
        <w:rPr>
          <w:rFonts w:cs="Arial"/>
          <w:szCs w:val="20"/>
        </w:rPr>
        <w:t xml:space="preserve"> bylo na tato preventivní vyšetření vynaloženo </w:t>
      </w:r>
      <w:r w:rsidR="002737A4">
        <w:rPr>
          <w:rFonts w:cs="Arial"/>
          <w:b/>
          <w:szCs w:val="20"/>
        </w:rPr>
        <w:t>celkem 1,6 </w:t>
      </w:r>
      <w:r w:rsidRPr="00EB6A26">
        <w:rPr>
          <w:rFonts w:cs="Arial"/>
          <w:b/>
          <w:szCs w:val="20"/>
        </w:rPr>
        <w:t>mld. Kč</w:t>
      </w:r>
      <w:r>
        <w:rPr>
          <w:rFonts w:cs="Arial"/>
          <w:szCs w:val="20"/>
        </w:rPr>
        <w:t>. Meziročně došlo ke snížení výdajů o 8,5 %.</w:t>
      </w:r>
    </w:p>
    <w:p w:rsidR="005C1851" w:rsidRPr="005C1851" w:rsidRDefault="005C1851" w:rsidP="005C1851">
      <w:pPr>
        <w:rPr>
          <w:rFonts w:cs="Arial"/>
          <w:szCs w:val="20"/>
        </w:rPr>
      </w:pPr>
      <w:r>
        <w:rPr>
          <w:rFonts w:cs="Arial"/>
          <w:szCs w:val="20"/>
        </w:rPr>
        <w:t xml:space="preserve">V neposlední řadě patří do preventivní péče i </w:t>
      </w:r>
      <w:r w:rsidRPr="00EB6A26">
        <w:rPr>
          <w:rFonts w:cs="Arial"/>
          <w:b/>
          <w:szCs w:val="20"/>
        </w:rPr>
        <w:t>informační a poradenské programy</w:t>
      </w:r>
      <w:r>
        <w:rPr>
          <w:rFonts w:cs="Arial"/>
          <w:szCs w:val="20"/>
        </w:rPr>
        <w:t>, které jsou zaměřeny například na informování jednotlivců o konkrétních zdravotních problémech, jejich podmiňujících faktorec</w:t>
      </w:r>
      <w:r w:rsidR="002737A4">
        <w:rPr>
          <w:rFonts w:cs="Arial"/>
          <w:szCs w:val="20"/>
        </w:rPr>
        <w:t>h a </w:t>
      </w:r>
      <w:r>
        <w:rPr>
          <w:rFonts w:cs="Arial"/>
          <w:szCs w:val="20"/>
        </w:rPr>
        <w:t xml:space="preserve">jejich specifických rizicích. Výdaje na tyto programy byly </w:t>
      </w:r>
      <w:r w:rsidRPr="00EB6A26">
        <w:rPr>
          <w:rFonts w:cs="Arial"/>
          <w:b/>
          <w:szCs w:val="20"/>
        </w:rPr>
        <w:t>v roce 2019</w:t>
      </w:r>
      <w:r>
        <w:rPr>
          <w:rFonts w:cs="Arial"/>
          <w:szCs w:val="20"/>
        </w:rPr>
        <w:t xml:space="preserve"> nejmenší za celou sledovanou dobu (od roku 2010) a konkrétně </w:t>
      </w:r>
      <w:r w:rsidRPr="00EB6A26">
        <w:rPr>
          <w:rFonts w:cs="Arial"/>
          <w:b/>
          <w:szCs w:val="20"/>
        </w:rPr>
        <w:t>429 mil. Kč</w:t>
      </w:r>
      <w:r>
        <w:rPr>
          <w:rFonts w:cs="Arial"/>
          <w:szCs w:val="20"/>
        </w:rPr>
        <w:t xml:space="preserve">. Meziročně došlo ke snížení výdajů o 36 %. </w:t>
      </w:r>
    </w:p>
    <w:p w:rsidR="00CB1092" w:rsidRPr="00012061" w:rsidRDefault="00CB1092" w:rsidP="00012061">
      <w:pPr>
        <w:rPr>
          <w:b/>
          <w:i/>
        </w:rPr>
      </w:pPr>
      <w:r w:rsidRPr="00012061">
        <w:rPr>
          <w:b/>
          <w:i/>
        </w:rPr>
        <w:t>Výdaje za přepravu pacientů přesáhly v roce 2019 hranici 10 mld. Kč</w:t>
      </w:r>
    </w:p>
    <w:p w:rsidR="00CB1092" w:rsidRPr="00CB1092" w:rsidRDefault="00CB1092" w:rsidP="00CB1092">
      <w:pPr>
        <w:widowControl w:val="0"/>
        <w:spacing w:before="240" w:after="120" w:line="240" w:lineRule="auto"/>
        <w:rPr>
          <w:b/>
          <w:bCs/>
          <w:sz w:val="18"/>
          <w:szCs w:val="18"/>
        </w:rPr>
      </w:pPr>
      <w:r w:rsidRPr="00CB1092">
        <w:rPr>
          <w:b/>
          <w:bCs/>
          <w:sz w:val="18"/>
          <w:szCs w:val="18"/>
        </w:rPr>
        <w:t>Graf č. 1.12. Výdaje na doplňkové služby v oblasti zdravotní péče v Česku, 2015–2019</w:t>
      </w:r>
    </w:p>
    <w:p w:rsidR="00CB1092" w:rsidRPr="00CB1092" w:rsidRDefault="00CB1092" w:rsidP="0070129F">
      <w:pPr>
        <w:widowControl w:val="0"/>
        <w:tabs>
          <w:tab w:val="left" w:pos="142"/>
          <w:tab w:val="left" w:pos="5245"/>
        </w:tabs>
        <w:spacing w:after="120"/>
        <w:rPr>
          <w:b/>
          <w:i/>
          <w:sz w:val="18"/>
        </w:rPr>
      </w:pPr>
      <w:r w:rsidRPr="00CB1092">
        <w:rPr>
          <w:b/>
          <w:i/>
          <w:sz w:val="18"/>
        </w:rPr>
        <w:tab/>
        <w:t xml:space="preserve">a) v mld. Kč </w:t>
      </w:r>
      <w:r w:rsidRPr="00CB1092">
        <w:rPr>
          <w:b/>
          <w:i/>
          <w:sz w:val="18"/>
        </w:rPr>
        <w:tab/>
        <w:t>b) struktura v %</w:t>
      </w:r>
    </w:p>
    <w:p w:rsidR="00CB1092" w:rsidRPr="00CB1092" w:rsidRDefault="004418C4" w:rsidP="004418C4">
      <w:pPr>
        <w:widowControl w:val="0"/>
        <w:tabs>
          <w:tab w:val="left" w:pos="142"/>
          <w:tab w:val="left" w:pos="5812"/>
        </w:tabs>
        <w:spacing w:after="120"/>
        <w:rPr>
          <w:noProof/>
        </w:rPr>
      </w:pPr>
      <w:r w:rsidRPr="00CB1092">
        <w:rPr>
          <w:noProof/>
        </w:rPr>
        <w:drawing>
          <wp:anchor distT="0" distB="0" distL="114300" distR="114300" simplePos="0" relativeHeight="251670528" behindDoc="0" locked="0" layoutInCell="1" allowOverlap="1" wp14:anchorId="23203634" wp14:editId="25CC3DC9">
            <wp:simplePos x="0" y="0"/>
            <wp:positionH relativeFrom="column">
              <wp:posOffset>3189758</wp:posOffset>
            </wp:positionH>
            <wp:positionV relativeFrom="paragraph">
              <wp:posOffset>12591</wp:posOffset>
            </wp:positionV>
            <wp:extent cx="2900855" cy="2375184"/>
            <wp:effectExtent l="0" t="0" r="13970" b="6350"/>
            <wp:wrapNone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BD548225-42E2-4BCF-88A9-D358A51EC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92" w:rsidRPr="00CB1092">
        <w:rPr>
          <w:noProof/>
        </w:rPr>
        <w:t xml:space="preserve"> </w:t>
      </w:r>
      <w:r w:rsidR="005C1851">
        <w:rPr>
          <w:noProof/>
        </w:rPr>
        <w:drawing>
          <wp:inline distT="0" distB="0" distL="0" distR="0" wp14:anchorId="7B58718F" wp14:editId="19681C8F">
            <wp:extent cx="2848303" cy="2385848"/>
            <wp:effectExtent l="0" t="0" r="9525" b="14605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71A974C9-26FB-47CC-9D55-E442DB4717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CB1092" w:rsidRPr="00CB1092">
        <w:rPr>
          <w:noProof/>
        </w:rPr>
        <w:t xml:space="preserve"> </w:t>
      </w:r>
    </w:p>
    <w:p w:rsidR="00CB1092" w:rsidRPr="00CB1092" w:rsidRDefault="00CB1092" w:rsidP="004418C4">
      <w:pPr>
        <w:widowControl w:val="0"/>
        <w:spacing w:after="60" w:line="240" w:lineRule="auto"/>
        <w:rPr>
          <w:sz w:val="16"/>
          <w:szCs w:val="16"/>
        </w:rPr>
      </w:pPr>
      <w:r w:rsidRPr="00CB1092">
        <w:rPr>
          <w:bCs/>
          <w:sz w:val="16"/>
          <w:szCs w:val="16"/>
        </w:rPr>
        <w:t xml:space="preserve">(1) do </w:t>
      </w:r>
      <w:r w:rsidRPr="00CB1092">
        <w:rPr>
          <w:sz w:val="16"/>
          <w:szCs w:val="16"/>
        </w:rPr>
        <w:t xml:space="preserve">kategorie zobrazovací metody patří např. klasické, ale i kontrastní RTG snímkování, ultrazvuková diagnostika, vyšetření pomocí </w:t>
      </w:r>
    </w:p>
    <w:p w:rsidR="00CB1092" w:rsidRPr="00CB1092" w:rsidRDefault="00CB1092" w:rsidP="004418C4">
      <w:pPr>
        <w:widowControl w:val="0"/>
        <w:spacing w:after="60" w:line="240" w:lineRule="auto"/>
        <w:rPr>
          <w:sz w:val="16"/>
          <w:szCs w:val="16"/>
        </w:rPr>
      </w:pPr>
      <w:r w:rsidRPr="00CB1092">
        <w:rPr>
          <w:sz w:val="16"/>
          <w:szCs w:val="16"/>
        </w:rPr>
        <w:t xml:space="preserve"> počítačové tomografie (CT), zobrazování magnetickou rezonancí</w:t>
      </w:r>
    </w:p>
    <w:p w:rsidR="00CB1092" w:rsidRPr="00CB1092" w:rsidRDefault="00CB1092" w:rsidP="004418C4">
      <w:pPr>
        <w:widowControl w:val="0"/>
        <w:tabs>
          <w:tab w:val="left" w:pos="142"/>
          <w:tab w:val="left" w:pos="5812"/>
        </w:tabs>
        <w:spacing w:before="60" w:after="60"/>
        <w:rPr>
          <w:sz w:val="16"/>
          <w:szCs w:val="16"/>
        </w:rPr>
      </w:pPr>
      <w:r w:rsidRPr="00CB1092">
        <w:rPr>
          <w:bCs/>
          <w:sz w:val="16"/>
          <w:szCs w:val="16"/>
        </w:rPr>
        <w:t>(2)</w:t>
      </w:r>
      <w:r w:rsidRPr="00CB1092">
        <w:rPr>
          <w:sz w:val="16"/>
          <w:szCs w:val="16"/>
        </w:rPr>
        <w:t xml:space="preserve"> laboratorní služby zahrnují především testy z klinické biochemie a mikrobiologie, testy krevní srážlivosti, genetiky, ale také </w:t>
      </w:r>
    </w:p>
    <w:p w:rsidR="00CB1092" w:rsidRPr="00CB1092" w:rsidRDefault="00CB1092" w:rsidP="004418C4">
      <w:pPr>
        <w:widowControl w:val="0"/>
        <w:spacing w:after="60" w:line="240" w:lineRule="auto"/>
        <w:rPr>
          <w:bCs/>
          <w:i/>
          <w:sz w:val="16"/>
          <w:szCs w:val="16"/>
        </w:rPr>
      </w:pPr>
      <w:r w:rsidRPr="00CB1092">
        <w:rPr>
          <w:sz w:val="16"/>
          <w:szCs w:val="16"/>
        </w:rPr>
        <w:t xml:space="preserve">  z cytologie, která je nezbytnou součástí gynekologických prohlídek</w:t>
      </w:r>
    </w:p>
    <w:p w:rsidR="00CB1092" w:rsidRPr="005C1851" w:rsidRDefault="00CB1092" w:rsidP="0070129F">
      <w:pPr>
        <w:widowControl w:val="0"/>
        <w:spacing w:line="240" w:lineRule="auto"/>
        <w:jc w:val="right"/>
        <w:rPr>
          <w:b/>
          <w:bCs/>
          <w:i/>
          <w:sz w:val="16"/>
          <w:szCs w:val="16"/>
        </w:rPr>
      </w:pPr>
      <w:r w:rsidRPr="00CB1092">
        <w:rPr>
          <w:b/>
          <w:bCs/>
          <w:i/>
          <w:sz w:val="16"/>
          <w:szCs w:val="16"/>
        </w:rPr>
        <w:t>Zdroj: ČSÚ 2021, Zdravotnické účty ČR 2010</w:t>
      </w:r>
      <w:r w:rsidRPr="00CB1092">
        <w:rPr>
          <w:b/>
          <w:sz w:val="16"/>
          <w:szCs w:val="16"/>
        </w:rPr>
        <w:t>–</w:t>
      </w:r>
      <w:r w:rsidRPr="00CB1092">
        <w:rPr>
          <w:b/>
          <w:bCs/>
          <w:i/>
          <w:sz w:val="16"/>
          <w:szCs w:val="16"/>
        </w:rPr>
        <w:t>2019</w:t>
      </w:r>
    </w:p>
    <w:p w:rsidR="00CB1092" w:rsidRDefault="00CB1092" w:rsidP="00CB1092">
      <w:pPr>
        <w:widowControl w:val="0"/>
      </w:pPr>
      <w:r w:rsidRPr="00240B6D">
        <w:rPr>
          <w:b/>
          <w:szCs w:val="20"/>
        </w:rPr>
        <w:t>Doplňkové služby</w:t>
      </w:r>
      <w:r w:rsidRPr="00240B6D">
        <w:rPr>
          <w:szCs w:val="20"/>
        </w:rPr>
        <w:t xml:space="preserve"> tvoří </w:t>
      </w:r>
      <w:r>
        <w:rPr>
          <w:szCs w:val="20"/>
        </w:rPr>
        <w:t>stabilně</w:t>
      </w:r>
      <w:r w:rsidR="003A606B">
        <w:rPr>
          <w:szCs w:val="20"/>
        </w:rPr>
        <w:t xml:space="preserve"> alespoň</w:t>
      </w:r>
      <w:r w:rsidRPr="00240B6D">
        <w:rPr>
          <w:szCs w:val="20"/>
        </w:rPr>
        <w:t xml:space="preserve"> 11 % cel</w:t>
      </w:r>
      <w:r>
        <w:rPr>
          <w:szCs w:val="20"/>
        </w:rPr>
        <w:t xml:space="preserve">kových výdajů na zdravotnictví, v roce 2019 to bylo přesně </w:t>
      </w:r>
      <w:r w:rsidR="003A606B">
        <w:rPr>
          <w:b/>
          <w:szCs w:val="20"/>
        </w:rPr>
        <w:t>11,7</w:t>
      </w:r>
      <w:r w:rsidRPr="00876C51">
        <w:rPr>
          <w:b/>
          <w:szCs w:val="20"/>
        </w:rPr>
        <w:t> % (55,</w:t>
      </w:r>
      <w:r>
        <w:rPr>
          <w:b/>
          <w:szCs w:val="20"/>
        </w:rPr>
        <w:t>9</w:t>
      </w:r>
      <w:r w:rsidRPr="00876C51">
        <w:rPr>
          <w:b/>
          <w:szCs w:val="20"/>
        </w:rPr>
        <w:t> mld. Kč)</w:t>
      </w:r>
      <w:r>
        <w:rPr>
          <w:szCs w:val="20"/>
        </w:rPr>
        <w:t>. Struktura výdajů na jednotlivé druhy doplňkových služeb se dlouho</w:t>
      </w:r>
      <w:r w:rsidR="002737A4">
        <w:rPr>
          <w:szCs w:val="20"/>
        </w:rPr>
        <w:t>době nemění. Více </w:t>
      </w:r>
      <w:r>
        <w:rPr>
          <w:szCs w:val="20"/>
        </w:rPr>
        <w:t xml:space="preserve">než polovina těchto výdajů byla vydána za </w:t>
      </w:r>
      <w:r w:rsidRPr="00876C51">
        <w:rPr>
          <w:b/>
          <w:szCs w:val="20"/>
        </w:rPr>
        <w:t>laboratorní služby</w:t>
      </w:r>
      <w:r>
        <w:rPr>
          <w:szCs w:val="20"/>
        </w:rPr>
        <w:t xml:space="preserve"> (56 % z celkových výdajů na doplňkové služby). Meziročně došlo ke zvýšení těchto výdajů o 9,6 % na </w:t>
      </w:r>
      <w:r w:rsidRPr="00EB6A26">
        <w:rPr>
          <w:b/>
          <w:szCs w:val="20"/>
        </w:rPr>
        <w:t>31,1 mld. Kč</w:t>
      </w:r>
      <w:r>
        <w:rPr>
          <w:szCs w:val="20"/>
        </w:rPr>
        <w:t>.</w:t>
      </w:r>
      <w:r w:rsidRPr="00240B6D">
        <w:rPr>
          <w:szCs w:val="20"/>
        </w:rPr>
        <w:t xml:space="preserve"> Výdaje za </w:t>
      </w:r>
      <w:r w:rsidRPr="00240B6D">
        <w:rPr>
          <w:b/>
          <w:szCs w:val="20"/>
        </w:rPr>
        <w:t>zobrazovací metody</w:t>
      </w:r>
      <w:r w:rsidRPr="00240B6D">
        <w:rPr>
          <w:szCs w:val="20"/>
        </w:rPr>
        <w:t xml:space="preserve"> dosáhly </w:t>
      </w:r>
      <w:r w:rsidRPr="00EB6A26">
        <w:rPr>
          <w:b/>
          <w:szCs w:val="20"/>
        </w:rPr>
        <w:t>v roce 2019 celkem 14,8 mld. Kč</w:t>
      </w:r>
      <w:r w:rsidRPr="00240B6D">
        <w:rPr>
          <w:szCs w:val="20"/>
        </w:rPr>
        <w:t xml:space="preserve">. </w:t>
      </w:r>
      <w:r>
        <w:rPr>
          <w:szCs w:val="20"/>
        </w:rPr>
        <w:t>Celkem 18 % z výdajů na doplňkové služby šlo</w:t>
      </w:r>
      <w:r w:rsidRPr="00240B6D">
        <w:rPr>
          <w:szCs w:val="20"/>
        </w:rPr>
        <w:t xml:space="preserve"> na</w:t>
      </w:r>
      <w:r w:rsidRPr="00240B6D">
        <w:rPr>
          <w:b/>
          <w:szCs w:val="20"/>
        </w:rPr>
        <w:t xml:space="preserve"> dopravu pacientů</w:t>
      </w:r>
      <w:r>
        <w:rPr>
          <w:b/>
          <w:szCs w:val="20"/>
        </w:rPr>
        <w:t>.</w:t>
      </w:r>
      <w:r w:rsidRPr="00240B6D">
        <w:rPr>
          <w:szCs w:val="20"/>
        </w:rPr>
        <w:t xml:space="preserve"> </w:t>
      </w:r>
      <w:r>
        <w:rPr>
          <w:szCs w:val="20"/>
        </w:rPr>
        <w:t xml:space="preserve">Meziročně došlo ke zvýšení o 8,6 %. </w:t>
      </w:r>
      <w:r w:rsidRPr="00240B6D">
        <w:rPr>
          <w:szCs w:val="20"/>
        </w:rPr>
        <w:t>Podle metodiky SHA se výdaje</w:t>
      </w:r>
      <w:r w:rsidR="002737A4">
        <w:rPr>
          <w:szCs w:val="20"/>
        </w:rPr>
        <w:t xml:space="preserve"> na ZZS nerozlišují zvlášť, ale </w:t>
      </w:r>
      <w:r w:rsidRPr="00240B6D">
        <w:rPr>
          <w:szCs w:val="20"/>
        </w:rPr>
        <w:t xml:space="preserve">jsou </w:t>
      </w:r>
      <w:r>
        <w:rPr>
          <w:szCs w:val="20"/>
        </w:rPr>
        <w:t>zahrnuty</w:t>
      </w:r>
      <w:r w:rsidRPr="00240B6D">
        <w:rPr>
          <w:szCs w:val="20"/>
        </w:rPr>
        <w:t xml:space="preserve"> </w:t>
      </w:r>
      <w:r>
        <w:rPr>
          <w:szCs w:val="20"/>
        </w:rPr>
        <w:t>v</w:t>
      </w:r>
      <w:r w:rsidRPr="00240B6D">
        <w:rPr>
          <w:szCs w:val="20"/>
        </w:rPr>
        <w:t> celkový</w:t>
      </w:r>
      <w:r>
        <w:rPr>
          <w:szCs w:val="20"/>
        </w:rPr>
        <w:t>ch</w:t>
      </w:r>
      <w:r w:rsidRPr="00240B6D">
        <w:rPr>
          <w:szCs w:val="20"/>
        </w:rPr>
        <w:t xml:space="preserve"> výdaj</w:t>
      </w:r>
      <w:r>
        <w:rPr>
          <w:szCs w:val="20"/>
        </w:rPr>
        <w:t>ích</w:t>
      </w:r>
      <w:r w:rsidRPr="00240B6D">
        <w:rPr>
          <w:szCs w:val="20"/>
        </w:rPr>
        <w:t xml:space="preserve"> na dopravu.</w:t>
      </w:r>
      <w:r>
        <w:rPr>
          <w:szCs w:val="20"/>
        </w:rPr>
        <w:t xml:space="preserve"> </w:t>
      </w:r>
      <w:r>
        <w:t>Zatímco</w:t>
      </w:r>
      <w:r w:rsidRPr="00240B6D">
        <w:t xml:space="preserve"> doprav</w:t>
      </w:r>
      <w:r>
        <w:t>a</w:t>
      </w:r>
      <w:r w:rsidRPr="00240B6D">
        <w:t xml:space="preserve"> pacientů je z poloviny hr</w:t>
      </w:r>
      <w:r w:rsidR="002737A4">
        <w:t>azena přímo ze </w:t>
      </w:r>
      <w:r w:rsidRPr="00240B6D">
        <w:t xml:space="preserve">státního rozpočtu či místních rozpočtů, výše uvedená laboratorní vyšetření a zobrazovací metody </w:t>
      </w:r>
      <w:r>
        <w:t xml:space="preserve">jsou </w:t>
      </w:r>
      <w:r w:rsidRPr="00240B6D">
        <w:t xml:space="preserve">plně hrazeny z veřejného pojištění.  </w:t>
      </w:r>
    </w:p>
    <w:p w:rsidR="00CB1092" w:rsidRDefault="005C1851" w:rsidP="005C1851">
      <w:pPr>
        <w:pStyle w:val="Nadpis3"/>
      </w:pPr>
      <w:r>
        <w:lastRenderedPageBreak/>
        <w:t xml:space="preserve">1.4. </w:t>
      </w:r>
      <w:r w:rsidRPr="00240B6D">
        <w:t>Výdaje na zdravotní péči podle typu poskytovatele</w:t>
      </w:r>
    </w:p>
    <w:p w:rsidR="005C1851" w:rsidRDefault="005C1851" w:rsidP="005C1851">
      <w:pPr>
        <w:keepNext/>
      </w:pPr>
      <w:r>
        <w:t>T</w:t>
      </w:r>
      <w:r w:rsidRPr="00240B6D">
        <w:t xml:space="preserve">řetí pohled na problematiku zdravotní péče nám dává odpověď na otázku, </w:t>
      </w:r>
      <w:r>
        <w:t>kde je tato péče poskytována</w:t>
      </w:r>
      <w:r w:rsidRPr="00240B6D">
        <w:t xml:space="preserve">. </w:t>
      </w:r>
      <w:r w:rsidRPr="00421DEB">
        <w:t xml:space="preserve">Bude-li například lékárna, specializovaná ambulance nebo léčebna dlouhodobě nemocných </w:t>
      </w:r>
      <w:r>
        <w:t>součástí širšího subjektu nemocnice</w:t>
      </w:r>
      <w:r w:rsidRPr="00421DEB">
        <w:t>, pak se veškeré výdaje na t</w:t>
      </w:r>
      <w:r>
        <w:t>ato</w:t>
      </w:r>
      <w:r w:rsidRPr="00421DEB">
        <w:t xml:space="preserve"> zařízení objeví ve výdajích nemocnice. Podle druhu péče pak poznáme, za jakou péči byly peníze vydány, což v případě lékárny v nemocnici mohou být například léky na předpis, u ambulance ambulantní léčebná péče a u léčebny dlouhodobě nemocných dlouhodobá lůžková péče.</w:t>
      </w:r>
      <w:r w:rsidRPr="00240B6D">
        <w:t xml:space="preserve"> </w:t>
      </w:r>
    </w:p>
    <w:p w:rsidR="005C1851" w:rsidRPr="00240B6D" w:rsidRDefault="005C1851" w:rsidP="005C1851">
      <w:pPr>
        <w:keepNext/>
        <w:spacing w:before="240" w:after="120" w:line="240" w:lineRule="auto"/>
        <w:rPr>
          <w:b/>
          <w:bCs/>
          <w:sz w:val="18"/>
          <w:szCs w:val="18"/>
        </w:rPr>
      </w:pPr>
      <w:r w:rsidRPr="00CE1031">
        <w:rPr>
          <w:b/>
          <w:bCs/>
          <w:sz w:val="18"/>
          <w:szCs w:val="18"/>
        </w:rPr>
        <w:t xml:space="preserve">Tabulka č. </w:t>
      </w:r>
      <w:r>
        <w:rPr>
          <w:b/>
          <w:bCs/>
          <w:sz w:val="18"/>
          <w:szCs w:val="18"/>
        </w:rPr>
        <w:t>1</w:t>
      </w:r>
      <w:r w:rsidRPr="00CE1031">
        <w:rPr>
          <w:b/>
          <w:bCs/>
          <w:sz w:val="18"/>
          <w:szCs w:val="18"/>
        </w:rPr>
        <w:t>.3 Výdaje na zdravotní péči v Česku podle typu poskytovatele</w:t>
      </w:r>
      <w:r w:rsidRPr="00240B6D">
        <w:rPr>
          <w:b/>
          <w:bCs/>
          <w:sz w:val="18"/>
          <w:szCs w:val="18"/>
        </w:rPr>
        <w:t>, 2010</w:t>
      </w:r>
      <w:r>
        <w:rPr>
          <w:b/>
          <w:bCs/>
          <w:sz w:val="18"/>
          <w:szCs w:val="18"/>
        </w:rPr>
        <w:t>, 2015 až</w:t>
      </w:r>
      <w:r w:rsidRPr="00240B6D">
        <w:rPr>
          <w:b/>
          <w:bCs/>
          <w:sz w:val="18"/>
          <w:szCs w:val="18"/>
        </w:rPr>
        <w:t xml:space="preserve"> 201</w:t>
      </w:r>
      <w:r>
        <w:rPr>
          <w:b/>
          <w:bCs/>
          <w:sz w:val="18"/>
          <w:szCs w:val="18"/>
        </w:rPr>
        <w:t>9</w:t>
      </w:r>
      <w:r w:rsidRPr="00240B6D">
        <w:rPr>
          <w:b/>
          <w:bCs/>
          <w:sz w:val="18"/>
          <w:szCs w:val="18"/>
        </w:rPr>
        <w:t xml:space="preserve"> (mil. Kč)</w:t>
      </w: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902"/>
        <w:gridCol w:w="902"/>
        <w:gridCol w:w="902"/>
        <w:gridCol w:w="902"/>
        <w:gridCol w:w="902"/>
        <w:gridCol w:w="902"/>
        <w:gridCol w:w="902"/>
      </w:tblGrid>
      <w:tr w:rsidR="005C1851" w:rsidRPr="005C1851" w:rsidTr="004418C4">
        <w:trPr>
          <w:trHeight w:val="399"/>
        </w:trPr>
        <w:tc>
          <w:tcPr>
            <w:tcW w:w="31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6B8B7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Typ poskytovatele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Struktura 2019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 Nemocnice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127 967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137 367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139 360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150 181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174 133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187 966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39,35</w:t>
            </w:r>
            <w:r w:rsidR="005C1851"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1.1 Všeobecné nemocnice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110 657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122 560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122 701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132 738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154 235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162 946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34,11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1.2 Psychiatrické nemocnice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8 757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4 825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5 550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5 450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color w:val="000000"/>
                <w:sz w:val="16"/>
                <w:szCs w:val="16"/>
              </w:rPr>
              <w:t>5 952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color w:val="000000"/>
                <w:sz w:val="16"/>
                <w:szCs w:val="16"/>
              </w:rPr>
              <w:t>6 512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color w:val="000000"/>
                <w:sz w:val="16"/>
                <w:szCs w:val="16"/>
              </w:rPr>
              <w:t>1,3</w:t>
            </w:r>
            <w:r w:rsidR="003A606B">
              <w:rPr>
                <w:rFonts w:cs="Arial"/>
                <w:color w:val="000000"/>
                <w:sz w:val="16"/>
                <w:szCs w:val="16"/>
              </w:rPr>
              <w:t>6</w:t>
            </w:r>
            <w:r w:rsidRPr="005C1851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1.3 Specializované nemocnice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8 552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9 982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11 108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11 993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color w:val="000000"/>
                <w:sz w:val="16"/>
                <w:szCs w:val="16"/>
              </w:rPr>
              <w:t>13 946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18 508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3,87</w:t>
            </w:r>
            <w:r w:rsidR="005C1851" w:rsidRPr="005C1851">
              <w:rPr>
                <w:rFonts w:cs="Arial"/>
                <w:color w:val="000000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 Lůžková zařízení dlouhodobé péče (1)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20 742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24 430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26 026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28 456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32 352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36 039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7,54</w:t>
            </w:r>
            <w:r w:rsidR="005C1851"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2.1 Zařízení ošetřovatelské dlouhodobé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C1851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11 507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12 901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13 785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15 069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16 716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18 649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3,9</w:t>
            </w:r>
            <w:r w:rsidR="003A606B">
              <w:rPr>
                <w:rFonts w:cs="Arial"/>
                <w:sz w:val="16"/>
                <w:szCs w:val="16"/>
              </w:rPr>
              <w:t>0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43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2.2 Léčebny pro mentálně postižené, psychiatrické a závislé pacienty 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8 005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10 606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11 648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13 377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15 628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17 382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3,6</w:t>
            </w:r>
            <w:r w:rsidR="003A606B">
              <w:rPr>
                <w:rFonts w:cs="Arial"/>
                <w:sz w:val="16"/>
                <w:szCs w:val="16"/>
              </w:rPr>
              <w:t>4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2.9 Ostatní lůžková zařízení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1 230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924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0,0</w:t>
            </w:r>
            <w:r w:rsidR="003A606B">
              <w:rPr>
                <w:rFonts w:cs="Arial"/>
                <w:sz w:val="16"/>
                <w:szCs w:val="16"/>
              </w:rPr>
              <w:t>0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 Poskytovatelé ambulantní péče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67 857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74 025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75 584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78 992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87 490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96 965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20,30</w:t>
            </w:r>
            <w:r w:rsidR="005C1851"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3.1 Samostatné ordinace lékaře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37 842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40 667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41 802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43 179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48 791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53 032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11,10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3.2 Samostatné ordinace zubních lékařů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17 239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17 850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18 350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19 540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19 891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21 505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4,50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3.3 Ostatní poskytovatelé zdravotní péče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3 742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4 164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3 864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5 291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6 835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7 684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1,61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3.4 Ambulantní centra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7 578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9 813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9 784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9 059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10 008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12 317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2,5</w:t>
            </w:r>
            <w:r w:rsidR="003A606B">
              <w:rPr>
                <w:rFonts w:cs="Arial"/>
                <w:sz w:val="16"/>
                <w:szCs w:val="16"/>
              </w:rPr>
              <w:t>8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3.5 Poskytovatelé služeb domácí péče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1 456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1 530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1 784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1 922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1 965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2 426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0,5</w:t>
            </w:r>
            <w:r w:rsidR="003A606B">
              <w:rPr>
                <w:rFonts w:cs="Arial"/>
                <w:sz w:val="16"/>
                <w:szCs w:val="16"/>
              </w:rPr>
              <w:t>1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4 Poskytovatelé doplňkových služeb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11 116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11 960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12 989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15 295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16 888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17 780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3,71</w:t>
            </w:r>
            <w:r w:rsidR="005C1851"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4.1 Doprava pacientů a záchranná služba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6 670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7 093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7 660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8 044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9 127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9 422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1,97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4.2 Laboratoře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4 446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4 867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5 329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6 943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7 761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8 358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1,7</w:t>
            </w:r>
            <w:r w:rsidR="003A606B">
              <w:rPr>
                <w:rFonts w:cs="Arial"/>
                <w:sz w:val="16"/>
                <w:szCs w:val="16"/>
              </w:rPr>
              <w:t>5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4.9. Ostatní poskytovatelé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0,0</w:t>
            </w:r>
            <w:r w:rsidR="003A606B">
              <w:rPr>
                <w:rFonts w:cs="Arial"/>
                <w:sz w:val="16"/>
                <w:szCs w:val="16"/>
              </w:rPr>
              <w:t>0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5 Lékárny a výdejny PZT*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60 738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56 523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58 240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59 731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61 281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67 389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14,11</w:t>
            </w:r>
            <w:r w:rsidR="005C1851"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5.1 Lékárny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51 469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48 616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50 057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51 960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53 172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58 487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12,24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43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5.2 Prodejci a dodavatelé zdravotnického zboží a přístrojů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7 341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5 883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6 441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7 772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8 110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8 901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1,8</w:t>
            </w:r>
            <w:r w:rsidR="003A606B">
              <w:rPr>
                <w:rFonts w:cs="Arial"/>
                <w:sz w:val="16"/>
                <w:szCs w:val="16"/>
              </w:rPr>
              <w:t>6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5.9 Ostatní prodejci (2)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1 928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2 024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1 741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0,0</w:t>
            </w:r>
            <w:r w:rsidR="003A606B">
              <w:rPr>
                <w:rFonts w:cs="Arial"/>
                <w:sz w:val="16"/>
                <w:szCs w:val="16"/>
              </w:rPr>
              <w:t>0</w:t>
            </w:r>
            <w:r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 xml:space="preserve">6 Poskytovatelé preventivní péče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3 124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1 943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3 417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0,7</w:t>
            </w:r>
            <w:r w:rsidR="003A606B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7 Správa systému zdravotní péče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10 807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10 858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11 081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10 590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12 346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12 656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2,6</w:t>
            </w:r>
            <w:r w:rsidR="003A606B">
              <w:rPr>
                <w:rFonts w:cs="Arial"/>
                <w:b/>
                <w:bCs/>
                <w:sz w:val="16"/>
                <w:szCs w:val="16"/>
              </w:rPr>
              <w:t>5</w:t>
            </w:r>
            <w:r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8 Ostatní odvětví ekonomiky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20 167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23 525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25 587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26 922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29 080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33 495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7,01</w:t>
            </w:r>
            <w:r w:rsidR="005C1851" w:rsidRPr="005C1851">
              <w:rPr>
                <w:rFonts w:cs="Arial"/>
                <w:b/>
                <w:bCs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435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8.1 Domácnosti jako poskytovatelé zdravotní péče (3)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13 788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15 991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17 393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18 855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19 706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23 029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4,82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 xml:space="preserve">   8.2 Ostatní poskytovatelé zdravotní péče (4)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6 379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7 534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8 194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8 067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9 374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5C1851">
              <w:rPr>
                <w:rFonts w:cs="Arial"/>
                <w:sz w:val="16"/>
                <w:szCs w:val="16"/>
              </w:rPr>
              <w:t>10 466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2,19</w:t>
            </w:r>
            <w:r w:rsidR="005C1851" w:rsidRPr="005C1851">
              <w:rPr>
                <w:rFonts w:cs="Arial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9 Nerozlišeno (5)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14 203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13 853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13 689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14 916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18 607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22 017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4,61</w:t>
            </w:r>
            <w:r w:rsidR="005C1851"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 %</w:t>
            </w:r>
          </w:p>
        </w:tc>
      </w:tr>
      <w:tr w:rsidR="005C1851" w:rsidRPr="005C1851" w:rsidTr="004418C4">
        <w:trPr>
          <w:trHeight w:val="289"/>
        </w:trPr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334 488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353 316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363 386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388 207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sz w:val="16"/>
                <w:szCs w:val="16"/>
              </w:rPr>
              <w:t>434 120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3A606B" w:rsidP="005C1851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477 724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:rsidR="005C1851" w:rsidRPr="005C1851" w:rsidRDefault="005C1851" w:rsidP="005C1851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C1851">
              <w:rPr>
                <w:rFonts w:cs="Arial"/>
                <w:b/>
                <w:bCs/>
                <w:color w:val="000000"/>
                <w:sz w:val="16"/>
                <w:szCs w:val="16"/>
              </w:rPr>
              <w:t>100,0 %</w:t>
            </w:r>
          </w:p>
        </w:tc>
      </w:tr>
    </w:tbl>
    <w:p w:rsidR="00853D35" w:rsidRDefault="00853D35" w:rsidP="00853D35">
      <w:pPr>
        <w:keepNext/>
        <w:spacing w:before="120" w:after="60" w:line="240" w:lineRule="auto"/>
        <w:rPr>
          <w:sz w:val="16"/>
          <w:szCs w:val="18"/>
        </w:rPr>
      </w:pPr>
      <w:r>
        <w:rPr>
          <w:sz w:val="16"/>
          <w:szCs w:val="18"/>
        </w:rPr>
        <w:t>*PZT – prostředky zdravotnické techniky</w:t>
      </w:r>
    </w:p>
    <w:p w:rsidR="005C1851" w:rsidRPr="00865CBC" w:rsidRDefault="005C1851" w:rsidP="00853D35">
      <w:pPr>
        <w:keepNext/>
        <w:spacing w:before="60" w:after="60"/>
        <w:rPr>
          <w:sz w:val="16"/>
          <w:szCs w:val="18"/>
        </w:rPr>
      </w:pPr>
      <w:r w:rsidRPr="00865CBC">
        <w:rPr>
          <w:sz w:val="16"/>
          <w:szCs w:val="18"/>
        </w:rPr>
        <w:t>(1</w:t>
      </w:r>
      <w:r>
        <w:rPr>
          <w:sz w:val="16"/>
          <w:szCs w:val="18"/>
        </w:rPr>
        <w:t xml:space="preserve">) </w:t>
      </w:r>
      <w:r w:rsidRPr="00865CBC">
        <w:rPr>
          <w:sz w:val="16"/>
          <w:szCs w:val="18"/>
        </w:rPr>
        <w:t>zahrnují mj. domovy pro seniory s ošetřovatelskou péčí, léčebny pro dlouhodobě nemocné, zařízení hospicového typu</w:t>
      </w:r>
    </w:p>
    <w:p w:rsidR="005C1851" w:rsidRPr="00865CBC" w:rsidRDefault="005C1851" w:rsidP="004418C4">
      <w:pPr>
        <w:keepNext/>
        <w:spacing w:before="60" w:after="60" w:line="240" w:lineRule="auto"/>
        <w:rPr>
          <w:sz w:val="16"/>
          <w:szCs w:val="18"/>
        </w:rPr>
      </w:pPr>
      <w:r w:rsidRPr="00BC2F06">
        <w:rPr>
          <w:sz w:val="16"/>
          <w:szCs w:val="18"/>
        </w:rPr>
        <w:t>(</w:t>
      </w:r>
      <w:r>
        <w:rPr>
          <w:sz w:val="16"/>
          <w:szCs w:val="18"/>
        </w:rPr>
        <w:t>2</w:t>
      </w:r>
      <w:r w:rsidRPr="00BC2F06">
        <w:rPr>
          <w:sz w:val="16"/>
          <w:szCs w:val="18"/>
        </w:rPr>
        <w:t xml:space="preserve">) </w:t>
      </w:r>
      <w:r>
        <w:rPr>
          <w:sz w:val="16"/>
          <w:szCs w:val="18"/>
        </w:rPr>
        <w:t xml:space="preserve">např. </w:t>
      </w:r>
      <w:r w:rsidRPr="00BC2F06">
        <w:rPr>
          <w:sz w:val="16"/>
          <w:szCs w:val="18"/>
        </w:rPr>
        <w:t>e-</w:t>
      </w:r>
      <w:proofErr w:type="spellStart"/>
      <w:r w:rsidRPr="00BC2F06">
        <w:rPr>
          <w:sz w:val="16"/>
          <w:szCs w:val="18"/>
        </w:rPr>
        <w:t>shopy</w:t>
      </w:r>
      <w:proofErr w:type="spellEnd"/>
      <w:r w:rsidRPr="00BC2F06">
        <w:rPr>
          <w:sz w:val="16"/>
          <w:szCs w:val="18"/>
        </w:rPr>
        <w:t xml:space="preserve"> se zaměřením na prodej léků, zdravotnického materiálu a terapeutických pomůcek</w:t>
      </w:r>
    </w:p>
    <w:p w:rsidR="005C1851" w:rsidRPr="00240B6D" w:rsidRDefault="005C1851" w:rsidP="004418C4">
      <w:pPr>
        <w:keepNext/>
        <w:spacing w:before="60" w:after="60" w:line="240" w:lineRule="auto"/>
        <w:rPr>
          <w:sz w:val="16"/>
          <w:szCs w:val="18"/>
        </w:rPr>
      </w:pPr>
      <w:r>
        <w:rPr>
          <w:sz w:val="16"/>
          <w:szCs w:val="18"/>
        </w:rPr>
        <w:t>(3</w:t>
      </w:r>
      <w:r w:rsidRPr="00240B6D">
        <w:rPr>
          <w:sz w:val="16"/>
          <w:szCs w:val="18"/>
        </w:rPr>
        <w:t>) ve skupině domácnosti jako poskytovatelé zdravotní péče je zahrnuto ošetřovné a příspěvek na péči zajišťovanou osobou blízkou</w:t>
      </w:r>
    </w:p>
    <w:p w:rsidR="005C1851" w:rsidRPr="00240B6D" w:rsidRDefault="005C1851" w:rsidP="004418C4">
      <w:pPr>
        <w:keepNext/>
        <w:spacing w:before="60" w:after="60" w:line="240" w:lineRule="auto"/>
        <w:rPr>
          <w:sz w:val="16"/>
          <w:szCs w:val="18"/>
        </w:rPr>
      </w:pPr>
      <w:r w:rsidRPr="00240B6D">
        <w:rPr>
          <w:sz w:val="16"/>
          <w:szCs w:val="18"/>
        </w:rPr>
        <w:t>(</w:t>
      </w:r>
      <w:r>
        <w:rPr>
          <w:sz w:val="16"/>
          <w:szCs w:val="18"/>
        </w:rPr>
        <w:t>4</w:t>
      </w:r>
      <w:r w:rsidRPr="00240B6D">
        <w:rPr>
          <w:sz w:val="16"/>
          <w:szCs w:val="18"/>
        </w:rPr>
        <w:t xml:space="preserve">) zahrnuje poskytovatele, kteří poskytují zdravotní péči jako sekundární produkt své činnosti např. závodní preventivní péče, školní </w:t>
      </w:r>
      <w:r>
        <w:rPr>
          <w:sz w:val="16"/>
          <w:szCs w:val="18"/>
        </w:rPr>
        <w:t xml:space="preserve">zdravotní </w:t>
      </w:r>
      <w:r w:rsidRPr="00240B6D">
        <w:rPr>
          <w:sz w:val="16"/>
          <w:szCs w:val="18"/>
        </w:rPr>
        <w:t>péče, lékařsk</w:t>
      </w:r>
      <w:r>
        <w:rPr>
          <w:sz w:val="16"/>
          <w:szCs w:val="18"/>
        </w:rPr>
        <w:t>á</w:t>
      </w:r>
      <w:r w:rsidRPr="00240B6D">
        <w:rPr>
          <w:sz w:val="16"/>
          <w:szCs w:val="18"/>
        </w:rPr>
        <w:t xml:space="preserve"> péč</w:t>
      </w:r>
      <w:r>
        <w:rPr>
          <w:sz w:val="16"/>
          <w:szCs w:val="18"/>
        </w:rPr>
        <w:t>e</w:t>
      </w:r>
      <w:r w:rsidRPr="00240B6D">
        <w:rPr>
          <w:sz w:val="16"/>
          <w:szCs w:val="18"/>
        </w:rPr>
        <w:t xml:space="preserve"> v zařízeních vězeňské služby</w:t>
      </w:r>
    </w:p>
    <w:p w:rsidR="005C1851" w:rsidRDefault="005C1851" w:rsidP="004418C4">
      <w:pPr>
        <w:keepNext/>
        <w:spacing w:before="60" w:after="60" w:line="240" w:lineRule="auto"/>
        <w:rPr>
          <w:sz w:val="16"/>
          <w:szCs w:val="18"/>
        </w:rPr>
      </w:pPr>
      <w:r w:rsidRPr="00240B6D">
        <w:rPr>
          <w:sz w:val="16"/>
          <w:szCs w:val="18"/>
        </w:rPr>
        <w:t xml:space="preserve"> (</w:t>
      </w:r>
      <w:r>
        <w:rPr>
          <w:sz w:val="16"/>
          <w:szCs w:val="18"/>
        </w:rPr>
        <w:t>5</w:t>
      </w:r>
      <w:r w:rsidRPr="00240B6D">
        <w:rPr>
          <w:sz w:val="16"/>
          <w:szCs w:val="18"/>
        </w:rPr>
        <w:t xml:space="preserve">) </w:t>
      </w:r>
      <w:r>
        <w:rPr>
          <w:sz w:val="16"/>
          <w:szCs w:val="18"/>
        </w:rPr>
        <w:t xml:space="preserve">blíže </w:t>
      </w:r>
      <w:r w:rsidRPr="00240B6D">
        <w:rPr>
          <w:sz w:val="16"/>
          <w:szCs w:val="18"/>
        </w:rPr>
        <w:t>ne</w:t>
      </w:r>
      <w:r>
        <w:rPr>
          <w:sz w:val="16"/>
          <w:szCs w:val="18"/>
        </w:rPr>
        <w:t xml:space="preserve">určené či nespecifikované </w:t>
      </w:r>
      <w:r w:rsidRPr="00240B6D">
        <w:rPr>
          <w:sz w:val="16"/>
          <w:szCs w:val="18"/>
        </w:rPr>
        <w:t>typy poskytovatelů</w:t>
      </w:r>
    </w:p>
    <w:p w:rsidR="005C1851" w:rsidRDefault="005C1851" w:rsidP="007B6ED4">
      <w:pPr>
        <w:widowControl w:val="0"/>
        <w:spacing w:before="60"/>
        <w:jc w:val="righ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  <w:r w:rsidR="004418C4">
        <w:rPr>
          <w:b/>
          <w:bCs/>
          <w:i/>
          <w:sz w:val="16"/>
          <w:szCs w:val="16"/>
        </w:rPr>
        <w:br w:type="page"/>
      </w:r>
    </w:p>
    <w:p w:rsidR="0070129F" w:rsidRPr="00240B6D" w:rsidRDefault="00DC137C" w:rsidP="0070129F">
      <w:pPr>
        <w:pStyle w:val="Box"/>
        <w:jc w:val="both"/>
      </w:pPr>
      <w:r w:rsidRPr="004640BC">
        <w:lastRenderedPageBreak/>
        <w:t xml:space="preserve"> </w:t>
      </w:r>
      <w:r w:rsidR="0070129F" w:rsidRPr="004640BC">
        <w:t>V České republice je zřízen Národní registr poskytovatelů zdravotních služeb (NRPZS), který nabízí kompletní přehled o všech poskytovatelích zdravotních služeb, bez ohledu na jejich zřizovatele. Poskytuje údaje o profilu a rozsahu péče poskytované jednotlivými zdravotnickými zařízeními, obsahuje kontaktní údaje na daná zdravotnická zařízení a další podrobnější informace. Správcem a provozovatelem registru je Ústav zdravotnických informací a statistiky ČR (ÚZIS ČR).</w:t>
      </w:r>
    </w:p>
    <w:p w:rsidR="0070129F" w:rsidRPr="005C1851" w:rsidRDefault="0070129F" w:rsidP="005C1851">
      <w:pPr>
        <w:widowControl w:val="0"/>
        <w:spacing w:after="0"/>
        <w:jc w:val="right"/>
        <w:rPr>
          <w:b/>
          <w:i/>
          <w:szCs w:val="20"/>
        </w:rPr>
      </w:pPr>
    </w:p>
    <w:p w:rsidR="005C1851" w:rsidRPr="00012061" w:rsidRDefault="005C1851" w:rsidP="00012061">
      <w:pPr>
        <w:rPr>
          <w:b/>
          <w:i/>
        </w:rPr>
      </w:pPr>
      <w:r w:rsidRPr="00012061">
        <w:rPr>
          <w:b/>
          <w:i/>
        </w:rPr>
        <w:t>Struktura výdajů na zdravotní péči podle typu poskytovatele se dlouhodobě nemění</w:t>
      </w:r>
    </w:p>
    <w:p w:rsidR="005C1851" w:rsidRPr="005C1851" w:rsidRDefault="005C1851" w:rsidP="007B6ED4">
      <w:pPr>
        <w:spacing w:before="240" w:after="120" w:line="240" w:lineRule="auto"/>
        <w:jc w:val="left"/>
        <w:rPr>
          <w:b/>
          <w:bCs/>
          <w:noProof/>
          <w:sz w:val="18"/>
          <w:szCs w:val="18"/>
        </w:rPr>
      </w:pPr>
      <w:r w:rsidRPr="005C1851">
        <w:rPr>
          <w:b/>
          <w:bCs/>
          <w:noProof/>
          <w:sz w:val="18"/>
          <w:szCs w:val="18"/>
        </w:rPr>
        <w:t xml:space="preserve">Graf č. 1.13. Výdaje na zdravotní péči v Česku podle typu poskytovatele, 2015–2019 </w:t>
      </w:r>
    </w:p>
    <w:p w:rsidR="005C1851" w:rsidRPr="005C1851" w:rsidRDefault="00DC137C" w:rsidP="0070129F">
      <w:pPr>
        <w:keepNext/>
        <w:tabs>
          <w:tab w:val="left" w:pos="142"/>
          <w:tab w:val="left" w:pos="4395"/>
        </w:tabs>
        <w:spacing w:after="120"/>
        <w:rPr>
          <w:b/>
          <w:i/>
          <w:sz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2800876</wp:posOffset>
            </wp:positionH>
            <wp:positionV relativeFrom="paragraph">
              <wp:posOffset>215528</wp:posOffset>
            </wp:positionV>
            <wp:extent cx="3268410" cy="5623034"/>
            <wp:effectExtent l="0" t="0" r="8255" b="15875"/>
            <wp:wrapNone/>
            <wp:docPr id="39" name="Graf 39">
              <a:extLst xmlns:a="http://schemas.openxmlformats.org/drawingml/2006/main">
                <a:ext uri="{FF2B5EF4-FFF2-40B4-BE49-F238E27FC236}">
                  <a16:creationId xmlns:a16="http://schemas.microsoft.com/office/drawing/2014/main" id="{25A3461D-A3A8-478E-9358-266161901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851" w:rsidRPr="005C1851">
        <w:rPr>
          <w:b/>
          <w:i/>
          <w:sz w:val="18"/>
        </w:rPr>
        <w:tab/>
        <w:t xml:space="preserve">a) v mld. Kč </w:t>
      </w:r>
      <w:r w:rsidR="005C1851" w:rsidRPr="005C1851">
        <w:rPr>
          <w:b/>
          <w:i/>
          <w:sz w:val="18"/>
        </w:rPr>
        <w:tab/>
        <w:t>b) struktura v %</w:t>
      </w:r>
    </w:p>
    <w:p w:rsidR="005C1851" w:rsidRPr="005C1851" w:rsidRDefault="005C1851" w:rsidP="005C1851">
      <w:pPr>
        <w:keepNext/>
        <w:spacing w:after="0"/>
        <w:rPr>
          <w:noProof/>
        </w:rPr>
      </w:pPr>
      <w:r w:rsidRPr="005C1851">
        <w:rPr>
          <w:noProof/>
        </w:rPr>
        <w:t xml:space="preserve"> </w:t>
      </w:r>
      <w:r w:rsidR="00DC137C">
        <w:rPr>
          <w:noProof/>
        </w:rPr>
        <w:drawing>
          <wp:inline distT="0" distB="0" distL="0" distR="0" wp14:anchorId="5BBACD9B" wp14:editId="34E773F1">
            <wp:extent cx="2690648" cy="5623034"/>
            <wp:effectExtent l="0" t="0" r="14605" b="15875"/>
            <wp:docPr id="35" name="Graf 35">
              <a:extLst xmlns:a="http://schemas.openxmlformats.org/drawingml/2006/main">
                <a:ext uri="{FF2B5EF4-FFF2-40B4-BE49-F238E27FC236}">
                  <a16:creationId xmlns:a16="http://schemas.microsoft.com/office/drawing/2014/main" id="{FECAD484-1477-472A-B360-D7DCF99A8B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C137C" w:rsidRPr="00DC137C">
        <w:rPr>
          <w:noProof/>
        </w:rPr>
        <w:t xml:space="preserve"> </w:t>
      </w:r>
    </w:p>
    <w:p w:rsidR="005C1851" w:rsidRPr="005C1851" w:rsidRDefault="005C1851" w:rsidP="0070129F">
      <w:pPr>
        <w:keepNext/>
        <w:spacing w:before="120"/>
        <w:jc w:val="right"/>
        <w:rPr>
          <w:b/>
          <w:i/>
          <w:szCs w:val="20"/>
        </w:rPr>
      </w:pPr>
      <w:r w:rsidRPr="005C1851">
        <w:rPr>
          <w:b/>
          <w:bCs/>
          <w:i/>
          <w:sz w:val="16"/>
          <w:szCs w:val="16"/>
        </w:rPr>
        <w:t xml:space="preserve">       Zdroj: ČSÚ 2021, Zdravotnické účty ČR 2010</w:t>
      </w:r>
      <w:r w:rsidRPr="005C1851">
        <w:rPr>
          <w:b/>
          <w:sz w:val="16"/>
          <w:szCs w:val="16"/>
        </w:rPr>
        <w:t>–</w:t>
      </w:r>
      <w:r w:rsidRPr="005C1851">
        <w:rPr>
          <w:b/>
          <w:bCs/>
          <w:i/>
          <w:sz w:val="16"/>
          <w:szCs w:val="16"/>
        </w:rPr>
        <w:t>2019</w:t>
      </w:r>
      <w:r w:rsidRPr="005C1851">
        <w:rPr>
          <w:b/>
          <w:bCs/>
          <w:i/>
          <w:sz w:val="16"/>
          <w:szCs w:val="16"/>
        </w:rPr>
        <w:tab/>
        <w:t xml:space="preserve"> </w:t>
      </w:r>
    </w:p>
    <w:p w:rsidR="0070129F" w:rsidRPr="005C1851" w:rsidRDefault="0070129F" w:rsidP="0070129F">
      <w:pPr>
        <w:widowControl w:val="0"/>
        <w:spacing w:after="0"/>
        <w:rPr>
          <w:i/>
          <w:szCs w:val="20"/>
        </w:rPr>
      </w:pPr>
      <w:r w:rsidRPr="005C1851">
        <w:rPr>
          <w:szCs w:val="20"/>
        </w:rPr>
        <w:t xml:space="preserve">V období od 2010 </w:t>
      </w:r>
      <w:r w:rsidR="00DC137C">
        <w:rPr>
          <w:szCs w:val="20"/>
        </w:rPr>
        <w:t>do 2019 směřovalo v průměru 38,7</w:t>
      </w:r>
      <w:r w:rsidRPr="005C1851">
        <w:rPr>
          <w:szCs w:val="20"/>
        </w:rPr>
        <w:t xml:space="preserve"> % z výdajů na zdravotní péči do </w:t>
      </w:r>
      <w:r w:rsidRPr="005C1851">
        <w:rPr>
          <w:b/>
          <w:szCs w:val="20"/>
        </w:rPr>
        <w:t>nemocnic</w:t>
      </w:r>
      <w:r w:rsidRPr="005C1851">
        <w:rPr>
          <w:szCs w:val="20"/>
        </w:rPr>
        <w:t xml:space="preserve">, </w:t>
      </w:r>
      <w:r w:rsidRPr="005C1851">
        <w:rPr>
          <w:b/>
          <w:szCs w:val="20"/>
        </w:rPr>
        <w:t>v roce 2019</w:t>
      </w:r>
      <w:r w:rsidRPr="005C1851">
        <w:rPr>
          <w:szCs w:val="20"/>
        </w:rPr>
        <w:t xml:space="preserve"> to bylo konkrétně </w:t>
      </w:r>
      <w:r w:rsidR="00DC137C">
        <w:rPr>
          <w:b/>
          <w:szCs w:val="20"/>
        </w:rPr>
        <w:t>39,4 % (188</w:t>
      </w:r>
      <w:r w:rsidRPr="005C1851">
        <w:rPr>
          <w:b/>
          <w:szCs w:val="20"/>
        </w:rPr>
        <w:t xml:space="preserve"> mld. Kč)</w:t>
      </w:r>
      <w:r w:rsidRPr="005C1851">
        <w:rPr>
          <w:szCs w:val="20"/>
        </w:rPr>
        <w:t xml:space="preserve">. Přitom celkem </w:t>
      </w:r>
      <w:r w:rsidR="00DC137C">
        <w:rPr>
          <w:b/>
          <w:szCs w:val="20"/>
        </w:rPr>
        <w:t>162,9</w:t>
      </w:r>
      <w:r w:rsidRPr="005C1851">
        <w:rPr>
          <w:b/>
          <w:szCs w:val="20"/>
        </w:rPr>
        <w:t> mld. Kč</w:t>
      </w:r>
      <w:r w:rsidRPr="005C1851">
        <w:rPr>
          <w:szCs w:val="20"/>
        </w:rPr>
        <w:t xml:space="preserve"> připadalo v roce 2019 na </w:t>
      </w:r>
      <w:r w:rsidRPr="005C1851">
        <w:rPr>
          <w:b/>
          <w:szCs w:val="20"/>
        </w:rPr>
        <w:t>všeobecné nemocnice</w:t>
      </w:r>
      <w:r w:rsidRPr="005C1851">
        <w:rPr>
          <w:szCs w:val="20"/>
        </w:rPr>
        <w:t xml:space="preserve">, poté </w:t>
      </w:r>
      <w:r w:rsidR="00DC137C">
        <w:rPr>
          <w:b/>
          <w:szCs w:val="20"/>
        </w:rPr>
        <w:t>18,5</w:t>
      </w:r>
      <w:r w:rsidRPr="005C1851">
        <w:rPr>
          <w:b/>
          <w:szCs w:val="20"/>
        </w:rPr>
        <w:t xml:space="preserve"> mld. Kč na specializované nemocnice </w:t>
      </w:r>
      <w:r w:rsidRPr="005C1851">
        <w:rPr>
          <w:szCs w:val="20"/>
        </w:rPr>
        <w:t>(podle ma</w:t>
      </w:r>
      <w:r w:rsidR="002737A4">
        <w:rPr>
          <w:szCs w:val="20"/>
        </w:rPr>
        <w:t>nuálu SHA sem lze zařadit např. </w:t>
      </w:r>
      <w:r w:rsidRPr="005C1851">
        <w:rPr>
          <w:szCs w:val="20"/>
        </w:rPr>
        <w:t xml:space="preserve">specializované nemocnice zaměřené na konkrétní obory, porodnice nebo speciální sanatoria) a zbývajících </w:t>
      </w:r>
      <w:r w:rsidR="00DC137C">
        <w:rPr>
          <w:b/>
          <w:szCs w:val="20"/>
        </w:rPr>
        <w:t>6,5</w:t>
      </w:r>
      <w:r w:rsidRPr="005C1851">
        <w:rPr>
          <w:b/>
          <w:szCs w:val="20"/>
        </w:rPr>
        <w:t> mld. Kč</w:t>
      </w:r>
      <w:r w:rsidRPr="005C1851">
        <w:rPr>
          <w:szCs w:val="20"/>
        </w:rPr>
        <w:t xml:space="preserve"> náleželo </w:t>
      </w:r>
      <w:r w:rsidRPr="005C1851">
        <w:rPr>
          <w:b/>
          <w:szCs w:val="20"/>
        </w:rPr>
        <w:t>psychiatrickým nemocnicím</w:t>
      </w:r>
      <w:r w:rsidRPr="005C1851">
        <w:rPr>
          <w:szCs w:val="20"/>
        </w:rPr>
        <w:t xml:space="preserve">. </w:t>
      </w:r>
    </w:p>
    <w:p w:rsidR="00CB1092" w:rsidRPr="0070129F" w:rsidRDefault="0070129F" w:rsidP="0070129F">
      <w:pPr>
        <w:rPr>
          <w:szCs w:val="20"/>
        </w:rPr>
      </w:pPr>
      <w:r w:rsidRPr="005C1851">
        <w:rPr>
          <w:szCs w:val="20"/>
        </w:rPr>
        <w:t xml:space="preserve">Druhé nejvyšší výdaje byly zaznamenány u </w:t>
      </w:r>
      <w:r w:rsidRPr="005C1851">
        <w:rPr>
          <w:b/>
          <w:szCs w:val="20"/>
        </w:rPr>
        <w:t>poskytovatelů ambulantní péče</w:t>
      </w:r>
      <w:r w:rsidRPr="005C1851">
        <w:rPr>
          <w:szCs w:val="20"/>
        </w:rPr>
        <w:t xml:space="preserve">. Dlouhodobě je podíl těchto výdajů na celkových výdajích za zdravotní péči v průměru 20,6 %. </w:t>
      </w:r>
      <w:r w:rsidRPr="005C1851">
        <w:rPr>
          <w:b/>
          <w:szCs w:val="20"/>
        </w:rPr>
        <w:t xml:space="preserve">V roce 2019 </w:t>
      </w:r>
      <w:r w:rsidRPr="005C1851">
        <w:rPr>
          <w:szCs w:val="20"/>
        </w:rPr>
        <w:t xml:space="preserve">byl tento </w:t>
      </w:r>
      <w:r w:rsidRPr="005C1851">
        <w:rPr>
          <w:szCs w:val="20"/>
        </w:rPr>
        <w:lastRenderedPageBreak/>
        <w:t>podíl</w:t>
      </w:r>
      <w:r w:rsidR="002737A4">
        <w:rPr>
          <w:szCs w:val="20"/>
        </w:rPr>
        <w:t> </w:t>
      </w:r>
      <w:r w:rsidR="00DC137C">
        <w:rPr>
          <w:b/>
          <w:szCs w:val="20"/>
        </w:rPr>
        <w:t>20,3 % (97</w:t>
      </w:r>
      <w:r w:rsidRPr="005C1851">
        <w:rPr>
          <w:b/>
          <w:szCs w:val="20"/>
        </w:rPr>
        <w:t> mld. Kč</w:t>
      </w:r>
      <w:r w:rsidRPr="005C1851">
        <w:rPr>
          <w:szCs w:val="20"/>
        </w:rPr>
        <w:t>). Z to</w:t>
      </w:r>
      <w:r w:rsidR="00DC137C">
        <w:rPr>
          <w:szCs w:val="20"/>
        </w:rPr>
        <w:t>ho 54,7</w:t>
      </w:r>
      <w:r w:rsidRPr="005C1851">
        <w:rPr>
          <w:szCs w:val="20"/>
        </w:rPr>
        <w:t> % výdajů u poskytovatelů ambulantní péče připadalo n</w:t>
      </w:r>
      <w:r w:rsidR="00DC137C">
        <w:rPr>
          <w:szCs w:val="20"/>
        </w:rPr>
        <w:t>a samostatné ordinace lékařů, 22,2</w:t>
      </w:r>
      <w:r w:rsidRPr="005C1851">
        <w:rPr>
          <w:szCs w:val="20"/>
        </w:rPr>
        <w:t> % na samostatné ordinace zubních léka</w:t>
      </w:r>
      <w:r w:rsidR="00DC137C">
        <w:rPr>
          <w:szCs w:val="20"/>
        </w:rPr>
        <w:t>řů, 12,7 % na ambulantní centra, 2,5</w:t>
      </w:r>
      <w:r w:rsidR="002737A4">
        <w:rPr>
          <w:szCs w:val="20"/>
        </w:rPr>
        <w:t> % na </w:t>
      </w:r>
      <w:r w:rsidRPr="005C1851">
        <w:rPr>
          <w:szCs w:val="20"/>
        </w:rPr>
        <w:t>posk</w:t>
      </w:r>
      <w:r w:rsidR="00DC137C">
        <w:rPr>
          <w:szCs w:val="20"/>
        </w:rPr>
        <w:t>ytovatele služeb domácí péče a 7,9</w:t>
      </w:r>
      <w:r w:rsidRPr="005C1851">
        <w:rPr>
          <w:szCs w:val="20"/>
        </w:rPr>
        <w:t> % na ostatní poskytovatele ambulantní péče.</w:t>
      </w:r>
    </w:p>
    <w:p w:rsidR="005C1851" w:rsidRPr="003909ED" w:rsidRDefault="005C1851" w:rsidP="005C1851">
      <w:pPr>
        <w:rPr>
          <w:i/>
          <w:szCs w:val="20"/>
        </w:rPr>
      </w:pPr>
      <w:r w:rsidRPr="00240B6D">
        <w:rPr>
          <w:szCs w:val="20"/>
        </w:rPr>
        <w:t xml:space="preserve">Kategorie poskytovatelů </w:t>
      </w:r>
      <w:r w:rsidRPr="005B2486">
        <w:rPr>
          <w:b/>
          <w:szCs w:val="20"/>
        </w:rPr>
        <w:t xml:space="preserve">lékárny a ostatní prodejci zdravotnického </w:t>
      </w:r>
      <w:r w:rsidRPr="00D51522">
        <w:rPr>
          <w:b/>
          <w:szCs w:val="20"/>
        </w:rPr>
        <w:t>zboží</w:t>
      </w:r>
      <w:r>
        <w:rPr>
          <w:szCs w:val="20"/>
        </w:rPr>
        <w:t xml:space="preserve"> </w:t>
      </w:r>
      <w:r w:rsidRPr="00D51522">
        <w:rPr>
          <w:szCs w:val="20"/>
        </w:rPr>
        <w:t>se v roce 201</w:t>
      </w:r>
      <w:r>
        <w:rPr>
          <w:szCs w:val="20"/>
        </w:rPr>
        <w:t>9</w:t>
      </w:r>
      <w:r w:rsidRPr="00D51522">
        <w:rPr>
          <w:szCs w:val="20"/>
        </w:rPr>
        <w:t xml:space="preserve"> podílela </w:t>
      </w:r>
      <w:r>
        <w:rPr>
          <w:szCs w:val="20"/>
        </w:rPr>
        <w:t>z</w:t>
      </w:r>
      <w:r w:rsidR="00DC137C">
        <w:rPr>
          <w:szCs w:val="20"/>
        </w:rPr>
        <w:t> </w:t>
      </w:r>
      <w:r w:rsidRPr="00D51522">
        <w:rPr>
          <w:szCs w:val="20"/>
        </w:rPr>
        <w:t>1</w:t>
      </w:r>
      <w:r>
        <w:rPr>
          <w:szCs w:val="20"/>
        </w:rPr>
        <w:t>4</w:t>
      </w:r>
      <w:r w:rsidR="00DC137C">
        <w:rPr>
          <w:szCs w:val="20"/>
        </w:rPr>
        <w:t>,1</w:t>
      </w:r>
      <w:r w:rsidR="002737A4">
        <w:rPr>
          <w:szCs w:val="20"/>
        </w:rPr>
        <w:t> % </w:t>
      </w:r>
      <w:r w:rsidRPr="00D51522">
        <w:rPr>
          <w:szCs w:val="20"/>
        </w:rPr>
        <w:t>na celkových výdajích na zdravotní péči</w:t>
      </w:r>
      <w:r>
        <w:rPr>
          <w:szCs w:val="20"/>
        </w:rPr>
        <w:t xml:space="preserve"> (</w:t>
      </w:r>
      <w:r w:rsidRPr="00882444">
        <w:rPr>
          <w:b/>
          <w:szCs w:val="20"/>
        </w:rPr>
        <w:t>67,4 mld. Kč</w:t>
      </w:r>
      <w:r>
        <w:rPr>
          <w:szCs w:val="20"/>
        </w:rPr>
        <w:t>)</w:t>
      </w:r>
      <w:r>
        <w:rPr>
          <w:b/>
          <w:szCs w:val="20"/>
        </w:rPr>
        <w:t xml:space="preserve">. </w:t>
      </w:r>
      <w:r>
        <w:rPr>
          <w:bCs/>
          <w:szCs w:val="20"/>
        </w:rPr>
        <w:t>Z</w:t>
      </w:r>
      <w:r w:rsidRPr="00D51522">
        <w:rPr>
          <w:szCs w:val="20"/>
        </w:rPr>
        <w:t>ahrnuje</w:t>
      </w:r>
      <w:r w:rsidRPr="00240B6D">
        <w:rPr>
          <w:szCs w:val="20"/>
        </w:rPr>
        <w:t xml:space="preserve"> specializované provozovny, které se zaměřují na </w:t>
      </w:r>
      <w:r w:rsidRPr="00E65D1A">
        <w:rPr>
          <w:b/>
          <w:i/>
          <w:szCs w:val="20"/>
        </w:rPr>
        <w:t>maloobchodní prodej</w:t>
      </w:r>
      <w:r w:rsidRPr="00240B6D">
        <w:rPr>
          <w:szCs w:val="20"/>
        </w:rPr>
        <w:t xml:space="preserve"> farmaceutických výrobků a lékařských nástrojů nebo zdravotnických prostředků</w:t>
      </w:r>
      <w:r>
        <w:rPr>
          <w:szCs w:val="20"/>
        </w:rPr>
        <w:t>,</w:t>
      </w:r>
      <w:r w:rsidRPr="00240B6D">
        <w:rPr>
          <w:szCs w:val="20"/>
        </w:rPr>
        <w:t xml:space="preserve"> jako jsou </w:t>
      </w:r>
      <w:r>
        <w:rPr>
          <w:szCs w:val="20"/>
        </w:rPr>
        <w:t>dioptrické</w:t>
      </w:r>
      <w:r w:rsidRPr="00240B6D">
        <w:rPr>
          <w:szCs w:val="20"/>
        </w:rPr>
        <w:t xml:space="preserve"> brýle, naslouchátka, ortopedické a protetické pomůcky. </w:t>
      </w:r>
      <w:r>
        <w:rPr>
          <w:szCs w:val="20"/>
        </w:rPr>
        <w:t>Provozovny rovněž zajišťují</w:t>
      </w:r>
      <w:r w:rsidRPr="00240B6D">
        <w:rPr>
          <w:szCs w:val="20"/>
        </w:rPr>
        <w:t xml:space="preserve"> montáž a opravy </w:t>
      </w:r>
      <w:r>
        <w:rPr>
          <w:szCs w:val="20"/>
        </w:rPr>
        <w:t xml:space="preserve">těchto </w:t>
      </w:r>
      <w:r w:rsidRPr="00240B6D">
        <w:rPr>
          <w:szCs w:val="20"/>
        </w:rPr>
        <w:t>výrobků</w:t>
      </w:r>
      <w:r w:rsidRPr="00D51522">
        <w:rPr>
          <w:szCs w:val="20"/>
        </w:rPr>
        <w:t xml:space="preserve">. </w:t>
      </w:r>
      <w:r>
        <w:rPr>
          <w:szCs w:val="20"/>
        </w:rPr>
        <w:t xml:space="preserve">Přičemž </w:t>
      </w:r>
      <w:r>
        <w:rPr>
          <w:b/>
          <w:szCs w:val="20"/>
        </w:rPr>
        <w:t>s</w:t>
      </w:r>
      <w:r w:rsidRPr="00D51522">
        <w:rPr>
          <w:b/>
          <w:szCs w:val="20"/>
        </w:rPr>
        <w:t>amostatné lékárny</w:t>
      </w:r>
      <w:r w:rsidRPr="00D51522">
        <w:rPr>
          <w:szCs w:val="20"/>
        </w:rPr>
        <w:t xml:space="preserve"> se v roce 201</w:t>
      </w:r>
      <w:r>
        <w:rPr>
          <w:szCs w:val="20"/>
        </w:rPr>
        <w:t>9</w:t>
      </w:r>
      <w:r w:rsidRPr="00D51522">
        <w:rPr>
          <w:szCs w:val="20"/>
        </w:rPr>
        <w:t xml:space="preserve"> podílely </w:t>
      </w:r>
      <w:r>
        <w:rPr>
          <w:szCs w:val="20"/>
        </w:rPr>
        <w:t xml:space="preserve">na výdajích kategorie poskytovatelů </w:t>
      </w:r>
      <w:r w:rsidRPr="004E3B6C">
        <w:rPr>
          <w:bCs/>
          <w:szCs w:val="20"/>
        </w:rPr>
        <w:t>lékárny a ostatní prodejci zdravotnického zboží</w:t>
      </w:r>
      <w:r>
        <w:rPr>
          <w:szCs w:val="20"/>
        </w:rPr>
        <w:t xml:space="preserve"> </w:t>
      </w:r>
      <w:r w:rsidRPr="00D51522">
        <w:rPr>
          <w:szCs w:val="20"/>
        </w:rPr>
        <w:t>z</w:t>
      </w:r>
      <w:r>
        <w:rPr>
          <w:szCs w:val="20"/>
        </w:rPr>
        <w:t> </w:t>
      </w:r>
      <w:r w:rsidRPr="00882444">
        <w:rPr>
          <w:b/>
          <w:szCs w:val="20"/>
        </w:rPr>
        <w:t>86,8 % (58,5 mld. Kč</w:t>
      </w:r>
      <w:r>
        <w:rPr>
          <w:szCs w:val="20"/>
        </w:rPr>
        <w:t xml:space="preserve">). </w:t>
      </w:r>
      <w:r w:rsidRPr="00752F72">
        <w:rPr>
          <w:rFonts w:ascii="ArialNarrow" w:eastAsia="Calibri" w:hAnsi="ArialNarrow" w:cs="ArialNarrow"/>
          <w:sz w:val="23"/>
          <w:szCs w:val="23"/>
        </w:rPr>
        <w:t xml:space="preserve"> </w:t>
      </w:r>
    </w:p>
    <w:p w:rsidR="005C1851" w:rsidRDefault="005C1851" w:rsidP="005C1851">
      <w:pPr>
        <w:rPr>
          <w:szCs w:val="20"/>
        </w:rPr>
      </w:pPr>
      <w:r w:rsidRPr="00240B6D">
        <w:rPr>
          <w:szCs w:val="20"/>
        </w:rPr>
        <w:t>Výdaje v</w:t>
      </w:r>
      <w:r>
        <w:rPr>
          <w:szCs w:val="20"/>
        </w:rPr>
        <w:t> </w:t>
      </w:r>
      <w:r w:rsidRPr="00276016">
        <w:rPr>
          <w:b/>
          <w:szCs w:val="20"/>
        </w:rPr>
        <w:t>lůžkových z</w:t>
      </w:r>
      <w:r w:rsidRPr="00240B6D">
        <w:rPr>
          <w:b/>
          <w:szCs w:val="20"/>
        </w:rPr>
        <w:t>ařízeních dlouhodobé péče</w:t>
      </w:r>
      <w:r>
        <w:rPr>
          <w:szCs w:val="20"/>
        </w:rPr>
        <w:t xml:space="preserve"> byly</w:t>
      </w:r>
      <w:r w:rsidRPr="00240B6D">
        <w:rPr>
          <w:szCs w:val="20"/>
        </w:rPr>
        <w:t xml:space="preserve"> v roce 201</w:t>
      </w:r>
      <w:r>
        <w:rPr>
          <w:szCs w:val="20"/>
        </w:rPr>
        <w:t>9</w:t>
      </w:r>
      <w:r w:rsidRPr="00240B6D">
        <w:rPr>
          <w:szCs w:val="20"/>
        </w:rPr>
        <w:t xml:space="preserve"> </w:t>
      </w:r>
      <w:r>
        <w:rPr>
          <w:szCs w:val="20"/>
        </w:rPr>
        <w:t>celkem</w:t>
      </w:r>
      <w:r w:rsidRPr="00240B6D">
        <w:rPr>
          <w:szCs w:val="20"/>
        </w:rPr>
        <w:t xml:space="preserve"> </w:t>
      </w:r>
      <w:r w:rsidR="00DC137C">
        <w:rPr>
          <w:b/>
          <w:szCs w:val="20"/>
        </w:rPr>
        <w:t>36</w:t>
      </w:r>
      <w:r w:rsidRPr="00882444">
        <w:rPr>
          <w:b/>
          <w:szCs w:val="20"/>
        </w:rPr>
        <w:t xml:space="preserve"> mld. Kč</w:t>
      </w:r>
      <w:r>
        <w:rPr>
          <w:szCs w:val="20"/>
        </w:rPr>
        <w:t xml:space="preserve"> (7</w:t>
      </w:r>
      <w:r w:rsidR="0066467E">
        <w:rPr>
          <w:szCs w:val="20"/>
        </w:rPr>
        <w:t>,5</w:t>
      </w:r>
      <w:r>
        <w:rPr>
          <w:szCs w:val="20"/>
        </w:rPr>
        <w:t xml:space="preserve"> % z celkových výdajů na zdravotní péči). Z největší části byly tyto výdaje spotřebovány v zařízeních </w:t>
      </w:r>
      <w:r w:rsidRPr="002C2E0F">
        <w:rPr>
          <w:b/>
          <w:szCs w:val="20"/>
        </w:rPr>
        <w:t>ošetřovatelské dlouhodobé péče nebo léčebnách pro mentálně postižené, psychiatrické a závislé</w:t>
      </w:r>
      <w:r>
        <w:rPr>
          <w:b/>
          <w:szCs w:val="20"/>
        </w:rPr>
        <w:t xml:space="preserve"> pacienty</w:t>
      </w:r>
      <w:r>
        <w:rPr>
          <w:szCs w:val="20"/>
        </w:rPr>
        <w:t xml:space="preserve">. </w:t>
      </w:r>
    </w:p>
    <w:p w:rsidR="005C1851" w:rsidRPr="00DB13C3" w:rsidRDefault="005C1851" w:rsidP="005C1851">
      <w:pPr>
        <w:rPr>
          <w:szCs w:val="20"/>
        </w:rPr>
      </w:pPr>
      <w:r w:rsidRPr="00240B6D">
        <w:rPr>
          <w:b/>
          <w:szCs w:val="20"/>
        </w:rPr>
        <w:t>Ostatní odvětví</w:t>
      </w:r>
      <w:r w:rsidRPr="00240B6D">
        <w:rPr>
          <w:szCs w:val="20"/>
        </w:rPr>
        <w:t xml:space="preserve"> </w:t>
      </w:r>
      <w:r>
        <w:rPr>
          <w:b/>
          <w:szCs w:val="20"/>
        </w:rPr>
        <w:t xml:space="preserve">ekonomiky </w:t>
      </w:r>
      <w:r w:rsidRPr="00240B6D">
        <w:rPr>
          <w:szCs w:val="20"/>
        </w:rPr>
        <w:t>jako poskytovatelé zdravotní péče</w:t>
      </w:r>
      <w:r w:rsidRPr="00240B6D" w:rsidDel="003E7082">
        <w:rPr>
          <w:szCs w:val="20"/>
        </w:rPr>
        <w:t xml:space="preserve"> </w:t>
      </w:r>
      <w:r w:rsidRPr="00240B6D">
        <w:rPr>
          <w:szCs w:val="20"/>
        </w:rPr>
        <w:t>(</w:t>
      </w:r>
      <w:r w:rsidRPr="00882444">
        <w:rPr>
          <w:b/>
          <w:szCs w:val="20"/>
        </w:rPr>
        <w:t>33,5 mld. Kč za rok 2019</w:t>
      </w:r>
      <w:r w:rsidRPr="00240B6D">
        <w:rPr>
          <w:szCs w:val="20"/>
        </w:rPr>
        <w:t>) zahrnují širokou škálu poskytovatelů zdravotní péče</w:t>
      </w:r>
      <w:r>
        <w:rPr>
          <w:szCs w:val="20"/>
        </w:rPr>
        <w:t>,</w:t>
      </w:r>
      <w:r w:rsidRPr="00240B6D">
        <w:rPr>
          <w:szCs w:val="20"/>
        </w:rPr>
        <w:t xml:space="preserve"> např. závodní preventivní péči, </w:t>
      </w:r>
      <w:r>
        <w:rPr>
          <w:szCs w:val="20"/>
        </w:rPr>
        <w:t>školní zdravotní péči</w:t>
      </w:r>
      <w:r w:rsidRPr="00240B6D">
        <w:rPr>
          <w:szCs w:val="20"/>
        </w:rPr>
        <w:t>, poskytovatele domácí péče zaměřené na sebeobsluhu a soběstačnost klienta, školy s pracovník</w:t>
      </w:r>
      <w:r>
        <w:rPr>
          <w:szCs w:val="20"/>
        </w:rPr>
        <w:t xml:space="preserve">y v oblasti zdravotnictví. Mezi ostatní odvětví ekonomiky patří i </w:t>
      </w:r>
      <w:r>
        <w:rPr>
          <w:b/>
          <w:szCs w:val="20"/>
        </w:rPr>
        <w:t xml:space="preserve">domácnosti jako poskytovatelé zdravotní péče, které zastupují výdaje na péči zajišťovanou </w:t>
      </w:r>
      <w:r w:rsidRPr="00240B6D">
        <w:rPr>
          <w:szCs w:val="20"/>
        </w:rPr>
        <w:t>osobou blízkou v souvislosti s pobíráním ošetřovného</w:t>
      </w:r>
      <w:r w:rsidRPr="00240B6D" w:rsidDel="003E7082">
        <w:rPr>
          <w:szCs w:val="20"/>
        </w:rPr>
        <w:t xml:space="preserve"> </w:t>
      </w:r>
      <w:r w:rsidRPr="00240B6D">
        <w:rPr>
          <w:szCs w:val="20"/>
        </w:rPr>
        <w:t>a příspěvku na péči.</w:t>
      </w:r>
      <w:r w:rsidR="002737A4">
        <w:rPr>
          <w:szCs w:val="20"/>
        </w:rPr>
        <w:t xml:space="preserve"> Tyto </w:t>
      </w:r>
      <w:r w:rsidRPr="00254D45">
        <w:rPr>
          <w:szCs w:val="20"/>
        </w:rPr>
        <w:t xml:space="preserve">výdaje </w:t>
      </w:r>
      <w:r>
        <w:rPr>
          <w:szCs w:val="20"/>
        </w:rPr>
        <w:t xml:space="preserve">dosáhly </w:t>
      </w:r>
      <w:r w:rsidRPr="00882444">
        <w:rPr>
          <w:b/>
          <w:szCs w:val="20"/>
        </w:rPr>
        <w:t>v roce 2019 částky 23 mld. Kč</w:t>
      </w:r>
      <w:r>
        <w:rPr>
          <w:szCs w:val="20"/>
        </w:rPr>
        <w:t xml:space="preserve">, což bylo téměř o 17 % více než v roce předchozím. </w:t>
      </w:r>
    </w:p>
    <w:p w:rsidR="005C1851" w:rsidRPr="00240B6D" w:rsidRDefault="005C1851" w:rsidP="005C1851">
      <w:pPr>
        <w:rPr>
          <w:szCs w:val="20"/>
        </w:rPr>
      </w:pPr>
      <w:r w:rsidRPr="00240B6D">
        <w:rPr>
          <w:szCs w:val="20"/>
        </w:rPr>
        <w:t xml:space="preserve">Výdaje </w:t>
      </w:r>
      <w:r>
        <w:rPr>
          <w:szCs w:val="20"/>
        </w:rPr>
        <w:t xml:space="preserve">na poskytovatele doplňkových služeb činily </w:t>
      </w:r>
      <w:r w:rsidR="0066467E">
        <w:rPr>
          <w:b/>
          <w:szCs w:val="20"/>
        </w:rPr>
        <w:t>v roce 2019 celkem 17,8</w:t>
      </w:r>
      <w:r w:rsidRPr="00882444">
        <w:rPr>
          <w:b/>
          <w:szCs w:val="20"/>
        </w:rPr>
        <w:t xml:space="preserve"> mld. Kč</w:t>
      </w:r>
      <w:r w:rsidR="0066467E">
        <w:rPr>
          <w:szCs w:val="20"/>
        </w:rPr>
        <w:t>. Z toho celkem 53</w:t>
      </w:r>
      <w:r w:rsidR="002737A4">
        <w:rPr>
          <w:szCs w:val="20"/>
        </w:rPr>
        <w:t> % </w:t>
      </w:r>
      <w:r>
        <w:rPr>
          <w:szCs w:val="20"/>
        </w:rPr>
        <w:t xml:space="preserve">připadalo na </w:t>
      </w:r>
      <w:r w:rsidRPr="00240B6D">
        <w:rPr>
          <w:szCs w:val="20"/>
        </w:rPr>
        <w:t>p</w:t>
      </w:r>
      <w:r>
        <w:rPr>
          <w:szCs w:val="20"/>
        </w:rPr>
        <w:t>oskytovatele</w:t>
      </w:r>
      <w:r>
        <w:rPr>
          <w:b/>
          <w:szCs w:val="20"/>
        </w:rPr>
        <w:t xml:space="preserve"> </w:t>
      </w:r>
      <w:r w:rsidRPr="00882444">
        <w:rPr>
          <w:b/>
          <w:szCs w:val="20"/>
        </w:rPr>
        <w:t>dopravy pacientů a záchranné služby</w:t>
      </w:r>
      <w:r w:rsidR="0066467E">
        <w:rPr>
          <w:szCs w:val="20"/>
        </w:rPr>
        <w:t xml:space="preserve"> (9,4 mld. Kč) a 47</w:t>
      </w:r>
      <w:r>
        <w:rPr>
          <w:szCs w:val="20"/>
        </w:rPr>
        <w:t xml:space="preserve"> % na </w:t>
      </w:r>
      <w:r w:rsidRPr="00882444">
        <w:rPr>
          <w:b/>
          <w:szCs w:val="20"/>
        </w:rPr>
        <w:t>služby v laboratoři</w:t>
      </w:r>
      <w:r>
        <w:rPr>
          <w:szCs w:val="20"/>
        </w:rPr>
        <w:t xml:space="preserve"> (8,4 mld. Kč). </w:t>
      </w:r>
    </w:p>
    <w:p w:rsidR="005C1851" w:rsidRDefault="005C1851" w:rsidP="005C1851">
      <w:pPr>
        <w:rPr>
          <w:rFonts w:cs="Arial"/>
          <w:szCs w:val="20"/>
        </w:rPr>
      </w:pPr>
      <w:r w:rsidRPr="00240B6D">
        <w:rPr>
          <w:b/>
          <w:szCs w:val="20"/>
        </w:rPr>
        <w:t>Správa systému zdravotní péče</w:t>
      </w:r>
      <w:r w:rsidRPr="00240B6D">
        <w:rPr>
          <w:szCs w:val="20"/>
        </w:rPr>
        <w:t xml:space="preserve"> zahrnuje vládní instituce, které </w:t>
      </w:r>
      <w:r>
        <w:rPr>
          <w:rFonts w:cs="Arial"/>
          <w:szCs w:val="20"/>
        </w:rPr>
        <w:t>spravují</w:t>
      </w:r>
      <w:r w:rsidRPr="00240B6D">
        <w:rPr>
          <w:rFonts w:cs="Arial"/>
          <w:szCs w:val="20"/>
        </w:rPr>
        <w:t xml:space="preserve"> v rámci své činnosti množství strategických dokumentů z oblasti zdravotnictví, normy pro lékaře a ostatní zdravotnický personál a</w:t>
      </w:r>
      <w:r>
        <w:rPr>
          <w:rFonts w:cs="Arial"/>
          <w:szCs w:val="20"/>
        </w:rPr>
        <w:t> </w:t>
      </w:r>
      <w:r w:rsidRPr="00240B6D">
        <w:rPr>
          <w:rFonts w:cs="Arial"/>
          <w:szCs w:val="20"/>
        </w:rPr>
        <w:t xml:space="preserve">přidělování licencí poskytovatelům zdravotní péče (např. Ministerstvo zdravotnictví, </w:t>
      </w:r>
      <w:r>
        <w:rPr>
          <w:rFonts w:cs="Arial"/>
          <w:szCs w:val="20"/>
        </w:rPr>
        <w:t xml:space="preserve">zdravotní odbory krajských úřadů, </w:t>
      </w:r>
      <w:r w:rsidRPr="00240B6D">
        <w:rPr>
          <w:rFonts w:cs="Arial"/>
          <w:szCs w:val="20"/>
        </w:rPr>
        <w:t>Ústav zdravotnických informací a statistik</w:t>
      </w:r>
      <w:r>
        <w:rPr>
          <w:rFonts w:cs="Arial"/>
          <w:szCs w:val="20"/>
        </w:rPr>
        <w:t>y</w:t>
      </w:r>
      <w:r w:rsidRPr="00240B6D">
        <w:rPr>
          <w:rFonts w:cs="Arial"/>
          <w:szCs w:val="20"/>
        </w:rPr>
        <w:t xml:space="preserve">) a v neposlední řadě zdravotní pojišťovny. Výdaje na zdravotní péči z hlediska tohoto typu poskytovatelů </w:t>
      </w:r>
      <w:r>
        <w:rPr>
          <w:rFonts w:cs="Arial"/>
          <w:szCs w:val="20"/>
        </w:rPr>
        <w:t xml:space="preserve">byly </w:t>
      </w:r>
      <w:r w:rsidR="0066467E">
        <w:rPr>
          <w:rFonts w:cs="Arial"/>
          <w:b/>
          <w:szCs w:val="20"/>
        </w:rPr>
        <w:t>v roce 2019 celkem 12,7</w:t>
      </w:r>
      <w:r w:rsidRPr="00882444">
        <w:rPr>
          <w:rFonts w:cs="Arial"/>
          <w:b/>
          <w:szCs w:val="20"/>
        </w:rPr>
        <w:t xml:space="preserve"> mld. Kč</w:t>
      </w:r>
      <w:r w:rsidR="0066467E">
        <w:rPr>
          <w:rFonts w:cs="Arial"/>
          <w:szCs w:val="20"/>
        </w:rPr>
        <w:t>, což je 2,7</w:t>
      </w:r>
      <w:r w:rsidR="002737A4">
        <w:rPr>
          <w:rFonts w:cs="Arial"/>
          <w:szCs w:val="20"/>
        </w:rPr>
        <w:t> % </w:t>
      </w:r>
      <w:r>
        <w:rPr>
          <w:rFonts w:cs="Arial"/>
          <w:szCs w:val="20"/>
        </w:rPr>
        <w:t>z celkových výdajů na zdravotní péči.</w:t>
      </w:r>
    </w:p>
    <w:p w:rsidR="005C1851" w:rsidRPr="00A30BCF" w:rsidRDefault="005C1851" w:rsidP="005C1851">
      <w:pPr>
        <w:rPr>
          <w:rFonts w:cs="Arial"/>
          <w:szCs w:val="20"/>
        </w:rPr>
      </w:pPr>
      <w:r>
        <w:rPr>
          <w:rFonts w:cs="Arial"/>
          <w:szCs w:val="20"/>
        </w:rPr>
        <w:t xml:space="preserve">Mezi </w:t>
      </w:r>
      <w:r>
        <w:rPr>
          <w:rFonts w:cs="Arial"/>
          <w:b/>
          <w:szCs w:val="20"/>
        </w:rPr>
        <w:t xml:space="preserve">poskytovatele preventivní péče </w:t>
      </w:r>
      <w:r>
        <w:rPr>
          <w:rFonts w:cs="Arial"/>
          <w:szCs w:val="20"/>
        </w:rPr>
        <w:t xml:space="preserve">se řadí organizace uskutečňující především kolektivní preventivní programy a kampaně v oblasti veřejného zdraví zaměřené na konkrétní skupiny fyzických osob nebo na celou populaci. </w:t>
      </w:r>
      <w:r w:rsidRPr="00882444">
        <w:rPr>
          <w:rFonts w:cs="Arial"/>
          <w:b/>
          <w:szCs w:val="20"/>
        </w:rPr>
        <w:t>V roce 2019</w:t>
      </w:r>
      <w:r>
        <w:rPr>
          <w:rFonts w:cs="Arial"/>
          <w:szCs w:val="20"/>
        </w:rPr>
        <w:t xml:space="preserve"> činily výdaje této kategorie poskytovatelů </w:t>
      </w:r>
      <w:r w:rsidRPr="00882444">
        <w:rPr>
          <w:rFonts w:cs="Arial"/>
          <w:b/>
          <w:szCs w:val="20"/>
        </w:rPr>
        <w:t>celkem 3,4 mld. Kč</w:t>
      </w:r>
      <w:r>
        <w:rPr>
          <w:rFonts w:cs="Arial"/>
          <w:szCs w:val="20"/>
        </w:rPr>
        <w:t>.</w:t>
      </w:r>
    </w:p>
    <w:p w:rsidR="005C1851" w:rsidRPr="00012061" w:rsidRDefault="005C1851" w:rsidP="00012061">
      <w:pPr>
        <w:rPr>
          <w:b/>
          <w:i/>
        </w:rPr>
      </w:pPr>
      <w:r w:rsidRPr="00012061">
        <w:rPr>
          <w:b/>
          <w:i/>
        </w:rPr>
        <w:t>Více než polovina výdajů na zdravotní péči poskytnutou v nemocnicíc</w:t>
      </w:r>
      <w:r w:rsidR="002737A4">
        <w:rPr>
          <w:b/>
          <w:i/>
        </w:rPr>
        <w:t>h v roce 2019 šla na lůžkovou a </w:t>
      </w:r>
      <w:r w:rsidRPr="00012061">
        <w:rPr>
          <w:b/>
          <w:i/>
        </w:rPr>
        <w:t>ambulantní léčebnou péči</w:t>
      </w:r>
    </w:p>
    <w:p w:rsidR="005C1851" w:rsidRDefault="005C1851" w:rsidP="005C1851">
      <w:pPr>
        <w:rPr>
          <w:szCs w:val="20"/>
        </w:rPr>
      </w:pPr>
      <w:r>
        <w:rPr>
          <w:szCs w:val="20"/>
        </w:rPr>
        <w:t>Jak už bylo výše uvedeno, největší část výdajů za zdravotní péči byla za péči poskytnutou v nemocnicích (</w:t>
      </w:r>
      <w:r w:rsidR="00E63141">
        <w:rPr>
          <w:szCs w:val="20"/>
        </w:rPr>
        <w:t>187,97</w:t>
      </w:r>
      <w:r>
        <w:rPr>
          <w:szCs w:val="20"/>
        </w:rPr>
        <w:t xml:space="preserve"> mld. Kč). Celkem 33 % z celkových výdajů v nemocnicích bylo vynaloženo na </w:t>
      </w:r>
      <w:r w:rsidRPr="00343233">
        <w:rPr>
          <w:b/>
          <w:szCs w:val="20"/>
        </w:rPr>
        <w:t>lůžkovou léčebnou péči (62,9 mld. Kč)</w:t>
      </w:r>
      <w:r>
        <w:rPr>
          <w:szCs w:val="20"/>
        </w:rPr>
        <w:t>. Meziročně došlo ze zvýšení těchto výdajů o 5 %. Další významná část výdajů za zdravotní péči poskytn</w:t>
      </w:r>
      <w:r w:rsidR="00E63141">
        <w:rPr>
          <w:szCs w:val="20"/>
        </w:rPr>
        <w:t>utou v nemocnicích (konkrétně 24</w:t>
      </w:r>
      <w:r>
        <w:rPr>
          <w:szCs w:val="20"/>
        </w:rPr>
        <w:t xml:space="preserve"> %) byla </w:t>
      </w:r>
      <w:r w:rsidRPr="00F61BA7">
        <w:rPr>
          <w:b/>
          <w:szCs w:val="20"/>
        </w:rPr>
        <w:t>za ambulantní léčebnou péči</w:t>
      </w:r>
      <w:r>
        <w:rPr>
          <w:b/>
          <w:szCs w:val="20"/>
        </w:rPr>
        <w:t>,</w:t>
      </w:r>
      <w:r>
        <w:rPr>
          <w:szCs w:val="20"/>
        </w:rPr>
        <w:t xml:space="preserve"> a to </w:t>
      </w:r>
      <w:r w:rsidR="00E63141">
        <w:rPr>
          <w:b/>
          <w:szCs w:val="20"/>
        </w:rPr>
        <w:t>celkem 45,3 </w:t>
      </w:r>
      <w:r w:rsidRPr="00F61BA7">
        <w:rPr>
          <w:b/>
          <w:szCs w:val="20"/>
        </w:rPr>
        <w:t>mld. Kč</w:t>
      </w:r>
      <w:r>
        <w:rPr>
          <w:szCs w:val="20"/>
        </w:rPr>
        <w:t xml:space="preserve">. Z toho bylo </w:t>
      </w:r>
      <w:r w:rsidRPr="00F61BA7">
        <w:rPr>
          <w:b/>
          <w:szCs w:val="20"/>
        </w:rPr>
        <w:t>88 %</w:t>
      </w:r>
      <w:r>
        <w:rPr>
          <w:szCs w:val="20"/>
        </w:rPr>
        <w:t xml:space="preserve"> vydáno za </w:t>
      </w:r>
      <w:r w:rsidRPr="00F61BA7">
        <w:rPr>
          <w:b/>
          <w:szCs w:val="20"/>
        </w:rPr>
        <w:t>specializovanou ambulantní léčebnou péči</w:t>
      </w:r>
      <w:r>
        <w:rPr>
          <w:szCs w:val="20"/>
        </w:rPr>
        <w:t xml:space="preserve">. Meziročně zde došlo ke zvýšení výdajů o 10 %, oproti roku 2017 se výdaje v roce 2019 zvýšily o 48 %. Výdaje za </w:t>
      </w:r>
      <w:r>
        <w:rPr>
          <w:b/>
          <w:szCs w:val="20"/>
        </w:rPr>
        <w:t>d</w:t>
      </w:r>
      <w:r w:rsidRPr="00F61BA7">
        <w:rPr>
          <w:b/>
          <w:szCs w:val="20"/>
        </w:rPr>
        <w:t>oplňkové služby</w:t>
      </w:r>
      <w:r>
        <w:rPr>
          <w:szCs w:val="20"/>
        </w:rPr>
        <w:t xml:space="preserve"> v roce 2019 činily </w:t>
      </w:r>
      <w:r w:rsidRPr="00F61BA7">
        <w:rPr>
          <w:b/>
          <w:szCs w:val="20"/>
        </w:rPr>
        <w:t>celkem 34,8 mld. Kč</w:t>
      </w:r>
      <w:r w:rsidR="00E63141">
        <w:rPr>
          <w:szCs w:val="20"/>
        </w:rPr>
        <w:t>, což je 19</w:t>
      </w:r>
      <w:r>
        <w:rPr>
          <w:szCs w:val="20"/>
        </w:rPr>
        <w:t xml:space="preserve"> % z celkových výdajů na zdravotní péči poskytnutou v nemocnicích. Z toho bylo 21,3 mld. Kč vydáno za </w:t>
      </w:r>
      <w:r w:rsidRPr="00882444">
        <w:rPr>
          <w:b/>
          <w:szCs w:val="20"/>
        </w:rPr>
        <w:t>laboratorní služby</w:t>
      </w:r>
      <w:r>
        <w:rPr>
          <w:szCs w:val="20"/>
        </w:rPr>
        <w:t xml:space="preserve">. </w:t>
      </w:r>
    </w:p>
    <w:p w:rsidR="005C1851" w:rsidRDefault="005C1851" w:rsidP="005C1851">
      <w:pPr>
        <w:rPr>
          <w:szCs w:val="20"/>
        </w:rPr>
      </w:pPr>
    </w:p>
    <w:p w:rsidR="005C1851" w:rsidRPr="00882444" w:rsidRDefault="005C1851" w:rsidP="005C1851">
      <w:pPr>
        <w:keepNext/>
        <w:spacing w:before="240" w:after="12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Graf č. 1</w:t>
      </w:r>
      <w:r w:rsidRPr="00BC2F06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14.</w:t>
      </w:r>
      <w:r w:rsidRPr="00BC2F0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Struktura v</w:t>
      </w:r>
      <w:r w:rsidRPr="00BC2F06">
        <w:rPr>
          <w:b/>
          <w:bCs/>
          <w:sz w:val="18"/>
          <w:szCs w:val="18"/>
        </w:rPr>
        <w:t>ýdaj</w:t>
      </w:r>
      <w:r>
        <w:rPr>
          <w:b/>
          <w:bCs/>
          <w:sz w:val="18"/>
          <w:szCs w:val="18"/>
        </w:rPr>
        <w:t>ů</w:t>
      </w:r>
      <w:r w:rsidRPr="00BC2F06">
        <w:rPr>
          <w:b/>
          <w:bCs/>
          <w:sz w:val="18"/>
          <w:szCs w:val="18"/>
        </w:rPr>
        <w:t xml:space="preserve"> na zdravotní péči v</w:t>
      </w:r>
      <w:r>
        <w:rPr>
          <w:b/>
          <w:bCs/>
          <w:sz w:val="18"/>
          <w:szCs w:val="18"/>
        </w:rPr>
        <w:t xml:space="preserve"> </w:t>
      </w:r>
      <w:r w:rsidRPr="00BC2F06">
        <w:rPr>
          <w:b/>
          <w:bCs/>
          <w:sz w:val="18"/>
          <w:szCs w:val="18"/>
        </w:rPr>
        <w:t xml:space="preserve">nemocnicích v Česku, </w:t>
      </w:r>
      <w:r>
        <w:rPr>
          <w:b/>
          <w:bCs/>
          <w:sz w:val="18"/>
          <w:szCs w:val="18"/>
        </w:rPr>
        <w:t>2019</w:t>
      </w:r>
    </w:p>
    <w:p w:rsidR="005C1851" w:rsidRPr="005C1851" w:rsidRDefault="00E63141" w:rsidP="005C1851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7D8AC0B" wp14:editId="58E68277">
            <wp:extent cx="6085489" cy="3857297"/>
            <wp:effectExtent l="0" t="0" r="10795" b="10160"/>
            <wp:docPr id="41" name="Graf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C1851" w:rsidRPr="007F5BA1" w:rsidRDefault="005C1851" w:rsidP="0070129F">
      <w:pPr>
        <w:keepNext/>
        <w:spacing w:before="120" w:after="60" w:line="240" w:lineRule="auto"/>
        <w:rPr>
          <w:bCs/>
          <w:sz w:val="16"/>
          <w:szCs w:val="16"/>
        </w:rPr>
      </w:pPr>
      <w:r w:rsidRPr="002F2CBA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1</w:t>
      </w:r>
      <w:r w:rsidRPr="002F2CBA">
        <w:rPr>
          <w:bCs/>
          <w:sz w:val="16"/>
          <w:szCs w:val="16"/>
        </w:rPr>
        <w:t>)</w:t>
      </w:r>
      <w:r w:rsidRPr="002F2CBA">
        <w:rPr>
          <w:rFonts w:eastAsia="Calibri" w:cs="Arial"/>
          <w:sz w:val="16"/>
          <w:szCs w:val="16"/>
          <w:lang w:eastAsia="en-US"/>
        </w:rPr>
        <w:t xml:space="preserve"> </w:t>
      </w:r>
      <w:r>
        <w:rPr>
          <w:b/>
          <w:bCs/>
          <w:sz w:val="16"/>
          <w:szCs w:val="16"/>
        </w:rPr>
        <w:t>n</w:t>
      </w:r>
      <w:r w:rsidRPr="002F2CBA">
        <w:rPr>
          <w:b/>
          <w:bCs/>
          <w:sz w:val="16"/>
          <w:szCs w:val="16"/>
        </w:rPr>
        <w:t>ezahrnuje</w:t>
      </w:r>
      <w:r w:rsidRPr="002F2CBA">
        <w:rPr>
          <w:bCs/>
          <w:sz w:val="16"/>
          <w:szCs w:val="16"/>
        </w:rPr>
        <w:t xml:space="preserve">, dle manuálu SHA, výdaje na léky </w:t>
      </w:r>
      <w:r w:rsidRPr="002F2CBA">
        <w:rPr>
          <w:b/>
          <w:bCs/>
          <w:sz w:val="16"/>
          <w:szCs w:val="16"/>
        </w:rPr>
        <w:t>spotřebované přímo ve zdravotnických zařízeních</w:t>
      </w:r>
      <w:r w:rsidRPr="002F2CBA">
        <w:rPr>
          <w:bCs/>
          <w:sz w:val="16"/>
          <w:szCs w:val="16"/>
        </w:rPr>
        <w:t xml:space="preserve"> </w:t>
      </w:r>
    </w:p>
    <w:p w:rsidR="005C1851" w:rsidRPr="00882444" w:rsidRDefault="005C1851" w:rsidP="007B6ED4">
      <w:pPr>
        <w:widowControl w:val="0"/>
        <w:spacing w:before="60"/>
        <w:jc w:val="right"/>
        <w:rPr>
          <w:b/>
          <w:i/>
          <w:szCs w:val="20"/>
        </w:rPr>
      </w:pPr>
      <w:r>
        <w:rPr>
          <w:b/>
          <w:bCs/>
          <w:i/>
          <w:sz w:val="16"/>
          <w:szCs w:val="16"/>
        </w:rPr>
        <w:t xml:space="preserve">      Z</w:t>
      </w:r>
      <w:r w:rsidRPr="00240B6D">
        <w:rPr>
          <w:b/>
          <w:bCs/>
          <w:i/>
          <w:sz w:val="16"/>
          <w:szCs w:val="16"/>
        </w:rPr>
        <w:t>droj: ČSÚ 20</w:t>
      </w:r>
      <w:r>
        <w:rPr>
          <w:b/>
          <w:bCs/>
          <w:i/>
          <w:sz w:val="16"/>
          <w:szCs w:val="16"/>
        </w:rPr>
        <w:t>21, Zdravotnické účty ČR 2010</w:t>
      </w:r>
      <w:r>
        <w:rPr>
          <w:b/>
          <w:sz w:val="16"/>
          <w:szCs w:val="16"/>
        </w:rPr>
        <w:t>–</w:t>
      </w:r>
      <w:r w:rsidRPr="00240B6D">
        <w:rPr>
          <w:b/>
          <w:bCs/>
          <w:i/>
          <w:sz w:val="16"/>
          <w:szCs w:val="16"/>
        </w:rPr>
        <w:t>201</w:t>
      </w:r>
      <w:r>
        <w:rPr>
          <w:b/>
          <w:bCs/>
          <w:i/>
          <w:sz w:val="16"/>
          <w:szCs w:val="16"/>
        </w:rPr>
        <w:t>9</w:t>
      </w:r>
    </w:p>
    <w:p w:rsidR="00CB1092" w:rsidRDefault="00CB1092" w:rsidP="00FE5105"/>
    <w:sectPr w:rsidR="00CB1092" w:rsidSect="00691101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3" w:rsidRDefault="00981913" w:rsidP="00E71A58">
      <w:r>
        <w:separator/>
      </w:r>
    </w:p>
  </w:endnote>
  <w:endnote w:type="continuationSeparator" w:id="0">
    <w:p w:rsidR="00981913" w:rsidRDefault="0098191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13" w:rsidRPr="00932443" w:rsidRDefault="0098191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E1435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13" w:rsidRPr="00932443" w:rsidRDefault="0098191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E1435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3" w:rsidRDefault="00981913" w:rsidP="00E71A58">
      <w:r>
        <w:separator/>
      </w:r>
    </w:p>
  </w:footnote>
  <w:footnote w:type="continuationSeparator" w:id="0">
    <w:p w:rsidR="00981913" w:rsidRDefault="00981913" w:rsidP="00E71A58">
      <w:r>
        <w:continuationSeparator/>
      </w:r>
    </w:p>
  </w:footnote>
  <w:footnote w:id="1">
    <w:p w:rsidR="00981913" w:rsidRDefault="00981913" w:rsidP="009A7C8A">
      <w:pPr>
        <w:pStyle w:val="Textpoznpodarou"/>
      </w:pPr>
      <w:r>
        <w:rPr>
          <w:vertAlign w:val="superscript"/>
        </w:rPr>
        <w:t>1</w:t>
      </w:r>
      <w:r w:rsidRPr="0096414A">
        <w:rPr>
          <w:rStyle w:val="Znakapoznpodarou"/>
        </w:rPr>
        <w:t xml:space="preserve"> </w:t>
      </w:r>
      <w:r w:rsidRPr="0096414A">
        <w:t>Zahrnují pouze běžné (provozní/neinvestiční) výdaje na zdravotní péči.</w:t>
      </w:r>
    </w:p>
  </w:footnote>
  <w:footnote w:id="2">
    <w:p w:rsidR="00981913" w:rsidRDefault="00981913" w:rsidP="00B651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248D">
        <w:t xml:space="preserve">V rámci zdravotnických účtů a celkových běžných nákladů na zdravotní péči se zde nezahrnují např. investiční výdaje na nákup a modernizaci přístrojového vybavení a výstavbu a rekonstrukci zdravotnických zařízení, výdaje na zdravotnický výzkum a vývoj a vzdělávání zdravotnického personálu, které jsou financované ze státního rozpočtu. </w:t>
      </w:r>
    </w:p>
  </w:footnote>
  <w:footnote w:id="3">
    <w:p w:rsidR="00981913" w:rsidRDefault="00981913" w:rsidP="00B651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4248D">
        <w:t>Ze státního rozpočtu jsou rovněž hrazeny platby na zdravotní pojištění za nevýdělečně činné skupiny obyvatelstva (děti do ukončení jejich povinné školní docházky, studenty do 26 let, osoby na mateřské a rodičovské dovolené, osoby, které pobírají některý z důchodů, uchazeče o zaměstnání, pokud jsou v evidenci úřadu práce atd</w:t>
      </w:r>
      <w:r>
        <w:t>.</w:t>
      </w:r>
      <w:r w:rsidRPr="0014248D">
        <w:t xml:space="preserve"> Platba po</w:t>
      </w:r>
      <w:r>
        <w:t>jistného od státu se v roce 2019 v porovnání s rokem 2018</w:t>
      </w:r>
      <w:r w:rsidRPr="0014248D">
        <w:t xml:space="preserve"> zvýšila o </w:t>
      </w:r>
      <w:r>
        <w:t>49</w:t>
      </w:r>
      <w:r w:rsidRPr="0014248D">
        <w:t xml:space="preserve"> Kč na stávajících</w:t>
      </w:r>
      <w:r>
        <w:t xml:space="preserve"> 1 018</w:t>
      </w:r>
      <w:r w:rsidRPr="0014248D">
        <w:t xml:space="preserve"> Kč za osobu a měsíc. Z</w:t>
      </w:r>
      <w:r>
        <w:t> kapitoly státního rozpočtu bylo na tuto platbu za rok 2019 vydáno celkem 71,9 mld. Kč.</w:t>
      </w:r>
    </w:p>
  </w:footnote>
  <w:footnote w:id="4">
    <w:p w:rsidR="00981913" w:rsidRDefault="00981913" w:rsidP="00B651E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0026A">
        <w:t xml:space="preserve">V České republice mají klíčové postavení z hlediska financování zdravotní péče zdravotní pojišťovny, jejichž příjmy plynou z veřejného zdravotního pojištění, kterého je povinně účastna každá osoba s trvalým pobytem na našem území. V případě zaměstnaneckého poměru odvádí zaměstnavatel na zdravotní pojištění 13,5 % z vyměřovacího základu, z toho 1/3 hradí zaměstnanec a 2/3 zaměstnavatel. V některých případech je plátcem pojistného tohoto pojištění stát (například za nezaopatřené děti, důchodce aj.). </w:t>
      </w:r>
    </w:p>
  </w:footnote>
  <w:footnote w:id="5">
    <w:p w:rsidR="00981913" w:rsidRDefault="00981913" w:rsidP="003D2F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2607">
        <w:t>Úloha státního rozpočtu v oblasti přímého financování zdravotní péče spočívá především v podpoře zařízení dlouhodobé sociálně-zdravotní péče (</w:t>
      </w:r>
      <w:r>
        <w:t xml:space="preserve">např. </w:t>
      </w:r>
      <w:r w:rsidRPr="00762607">
        <w:t>domovy pro seniory) a poskytování peněžitých dávek pro osoby dlouhodobě</w:t>
      </w:r>
      <w:r>
        <w:t xml:space="preserve"> nemocné či zdravotně postižené</w:t>
      </w:r>
      <w:r w:rsidRPr="00762607">
        <w:t xml:space="preserve"> </w:t>
      </w:r>
      <w:r>
        <w:t>(</w:t>
      </w:r>
      <w:proofErr w:type="spellStart"/>
      <w:r>
        <w:t>viz.kapitola</w:t>
      </w:r>
      <w:proofErr w:type="spellEnd"/>
      <w:r w:rsidRPr="00762607">
        <w:t xml:space="preserve"> </w:t>
      </w:r>
      <w:proofErr w:type="gramStart"/>
      <w:r w:rsidRPr="00762607">
        <w:t>č.4</w:t>
      </w:r>
      <w:r>
        <w:rPr>
          <w:i/>
        </w:rPr>
        <w:t>)</w:t>
      </w:r>
      <w:r w:rsidRPr="00762607">
        <w:t>.</w:t>
      </w:r>
      <w:proofErr w:type="gramEnd"/>
      <w:r w:rsidRPr="00762607">
        <w:t xml:space="preserve"> Ze státního rozpočtu je navíc hrazena i správa rezortu zdravotnictví, tj. provoz Ministerstva zdravotnictví, Státního zdravotního ústavu, Státního ústavu pro kontrolu léčiv a Ústavu zdravotnických informací a statistiky.</w:t>
      </w:r>
    </w:p>
  </w:footnote>
  <w:footnote w:id="6">
    <w:p w:rsidR="00981913" w:rsidRDefault="00981913" w:rsidP="003D2F60">
      <w:pPr>
        <w:pStyle w:val="Textpoznpodarou"/>
      </w:pPr>
      <w:r w:rsidRPr="00226EF8">
        <w:rPr>
          <w:rStyle w:val="Znakapoznpodarou"/>
        </w:rPr>
        <w:footnoteRef/>
      </w:r>
      <w:r w:rsidRPr="00226EF8">
        <w:t xml:space="preserve"> </w:t>
      </w:r>
      <w:r>
        <w:t>Obyvatelé v Česku nemohou k hrazení zdravotní péče s výjimkou cestovního připojištění využívat dobrovolné zdravotní připojištění.</w:t>
      </w:r>
    </w:p>
  </w:footnote>
  <w:footnote w:id="7">
    <w:p w:rsidR="00981913" w:rsidRPr="00DA0B2A" w:rsidRDefault="00981913" w:rsidP="00CB1092">
      <w:pPr>
        <w:pStyle w:val="Textpoznpodarou"/>
        <w:rPr>
          <w:szCs w:val="16"/>
        </w:rPr>
      </w:pPr>
      <w:r w:rsidRPr="00DA0B2A">
        <w:rPr>
          <w:rStyle w:val="Znakapoznpodarou"/>
          <w:szCs w:val="16"/>
        </w:rPr>
        <w:footnoteRef/>
      </w:r>
      <w:r>
        <w:rPr>
          <w:szCs w:val="16"/>
        </w:rPr>
        <w:t xml:space="preserve"> Z</w:t>
      </w:r>
      <w:r w:rsidRPr="006374C2">
        <w:rPr>
          <w:szCs w:val="16"/>
        </w:rPr>
        <w:t>ahrnuje léky na předpis a volně prodejné léky, n</w:t>
      </w:r>
      <w:r w:rsidRPr="006374C2">
        <w:rPr>
          <w:bCs/>
          <w:szCs w:val="16"/>
        </w:rPr>
        <w:t>ezahrnuje léky spotřebované přímo ve zdravotnických zařízeních</w:t>
      </w:r>
      <w:r>
        <w:rPr>
          <w:bCs/>
          <w:szCs w:val="16"/>
        </w:rPr>
        <w:t>.</w:t>
      </w:r>
      <w:r>
        <w:rPr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13" w:rsidRPr="009A7C8A" w:rsidRDefault="00981913" w:rsidP="009A7C8A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13" w:rsidRPr="009A7C8A" w:rsidRDefault="00981913" w:rsidP="009A7C8A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44B66"/>
    <w:multiLevelType w:val="multilevel"/>
    <w:tmpl w:val="995A7D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C63"/>
    <w:multiLevelType w:val="hybridMultilevel"/>
    <w:tmpl w:val="B0D8B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835A7"/>
    <w:multiLevelType w:val="multilevel"/>
    <w:tmpl w:val="E7DC7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0"/>
    <w:rsid w:val="0000209D"/>
    <w:rsid w:val="00004D5A"/>
    <w:rsid w:val="000056D5"/>
    <w:rsid w:val="0000767A"/>
    <w:rsid w:val="00010702"/>
    <w:rsid w:val="00012061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4E7C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23E1"/>
    <w:rsid w:val="000E6FBD"/>
    <w:rsid w:val="000F70FE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5C8C"/>
    <w:rsid w:val="00236443"/>
    <w:rsid w:val="002436BA"/>
    <w:rsid w:val="00244A15"/>
    <w:rsid w:val="00247319"/>
    <w:rsid w:val="0024799E"/>
    <w:rsid w:val="00253C0F"/>
    <w:rsid w:val="00271465"/>
    <w:rsid w:val="002737A4"/>
    <w:rsid w:val="00285412"/>
    <w:rsid w:val="002A00BE"/>
    <w:rsid w:val="002A16D4"/>
    <w:rsid w:val="002A230C"/>
    <w:rsid w:val="002C43BD"/>
    <w:rsid w:val="002D0E59"/>
    <w:rsid w:val="002E02A1"/>
    <w:rsid w:val="002E4E4C"/>
    <w:rsid w:val="002E4F81"/>
    <w:rsid w:val="00304771"/>
    <w:rsid w:val="003052D4"/>
    <w:rsid w:val="00306C5B"/>
    <w:rsid w:val="003209D6"/>
    <w:rsid w:val="00321924"/>
    <w:rsid w:val="0032656E"/>
    <w:rsid w:val="00332190"/>
    <w:rsid w:val="0033652E"/>
    <w:rsid w:val="00344668"/>
    <w:rsid w:val="003462D9"/>
    <w:rsid w:val="00360C86"/>
    <w:rsid w:val="003657F3"/>
    <w:rsid w:val="003818DC"/>
    <w:rsid w:val="00384327"/>
    <w:rsid w:val="00385D98"/>
    <w:rsid w:val="003872E9"/>
    <w:rsid w:val="003A0EF4"/>
    <w:rsid w:val="003A2B4D"/>
    <w:rsid w:val="003A478C"/>
    <w:rsid w:val="003A5525"/>
    <w:rsid w:val="003A606B"/>
    <w:rsid w:val="003A6B38"/>
    <w:rsid w:val="003B5A32"/>
    <w:rsid w:val="003C3490"/>
    <w:rsid w:val="003D2F60"/>
    <w:rsid w:val="003D6920"/>
    <w:rsid w:val="003E4C91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18C4"/>
    <w:rsid w:val="004441A0"/>
    <w:rsid w:val="0045477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20A3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0DC4"/>
    <w:rsid w:val="0052337A"/>
    <w:rsid w:val="00525137"/>
    <w:rsid w:val="005251DD"/>
    <w:rsid w:val="00532CE7"/>
    <w:rsid w:val="0053324C"/>
    <w:rsid w:val="00533699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851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67E"/>
    <w:rsid w:val="00664803"/>
    <w:rsid w:val="00665BA4"/>
    <w:rsid w:val="00667AF2"/>
    <w:rsid w:val="006710C9"/>
    <w:rsid w:val="00674D89"/>
    <w:rsid w:val="00675E37"/>
    <w:rsid w:val="006769A4"/>
    <w:rsid w:val="0068174E"/>
    <w:rsid w:val="00681DCE"/>
    <w:rsid w:val="0068260E"/>
    <w:rsid w:val="00691101"/>
    <w:rsid w:val="00693FB4"/>
    <w:rsid w:val="00695BEF"/>
    <w:rsid w:val="006977F6"/>
    <w:rsid w:val="00697A13"/>
    <w:rsid w:val="006A109C"/>
    <w:rsid w:val="006A2DB0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6465"/>
    <w:rsid w:val="006F7137"/>
    <w:rsid w:val="0070129F"/>
    <w:rsid w:val="007018F4"/>
    <w:rsid w:val="00706AD4"/>
    <w:rsid w:val="007140BE"/>
    <w:rsid w:val="00720F75"/>
    <w:rsid w:val="007211F5"/>
    <w:rsid w:val="00725BB5"/>
    <w:rsid w:val="00730AE8"/>
    <w:rsid w:val="00733ADA"/>
    <w:rsid w:val="00741493"/>
    <w:rsid w:val="0074391E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B6ED4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D35"/>
    <w:rsid w:val="00855408"/>
    <w:rsid w:val="00856D65"/>
    <w:rsid w:val="00861B41"/>
    <w:rsid w:val="00863434"/>
    <w:rsid w:val="00865E4C"/>
    <w:rsid w:val="008701E4"/>
    <w:rsid w:val="008714C9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8F6122"/>
    <w:rsid w:val="008F6D6A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1913"/>
    <w:rsid w:val="00987A30"/>
    <w:rsid w:val="00992CF3"/>
    <w:rsid w:val="009968D6"/>
    <w:rsid w:val="009A1CAB"/>
    <w:rsid w:val="009A60D1"/>
    <w:rsid w:val="009A7C8A"/>
    <w:rsid w:val="009B6FD3"/>
    <w:rsid w:val="009C1750"/>
    <w:rsid w:val="009C2E29"/>
    <w:rsid w:val="009C554B"/>
    <w:rsid w:val="009C719E"/>
    <w:rsid w:val="009D3ACD"/>
    <w:rsid w:val="009E0B7F"/>
    <w:rsid w:val="009E5273"/>
    <w:rsid w:val="009E5DDB"/>
    <w:rsid w:val="009F4CA7"/>
    <w:rsid w:val="00A05CF9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088A"/>
    <w:rsid w:val="00A62CE1"/>
    <w:rsid w:val="00A6741E"/>
    <w:rsid w:val="00A75E40"/>
    <w:rsid w:val="00A77D1D"/>
    <w:rsid w:val="00A857C0"/>
    <w:rsid w:val="00A9095C"/>
    <w:rsid w:val="00AA2996"/>
    <w:rsid w:val="00AA52BF"/>
    <w:rsid w:val="00AA559A"/>
    <w:rsid w:val="00AB2AF1"/>
    <w:rsid w:val="00AD306C"/>
    <w:rsid w:val="00AE09B3"/>
    <w:rsid w:val="00AE1A83"/>
    <w:rsid w:val="00AF72B7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51E6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27D"/>
    <w:rsid w:val="00BD6D50"/>
    <w:rsid w:val="00BE18B9"/>
    <w:rsid w:val="00BE2495"/>
    <w:rsid w:val="00BE6701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75248"/>
    <w:rsid w:val="00C82191"/>
    <w:rsid w:val="00C90CF4"/>
    <w:rsid w:val="00C92EB6"/>
    <w:rsid w:val="00C93389"/>
    <w:rsid w:val="00CB1092"/>
    <w:rsid w:val="00CB4930"/>
    <w:rsid w:val="00CC2E7D"/>
    <w:rsid w:val="00CC687B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0053"/>
    <w:rsid w:val="00D66223"/>
    <w:rsid w:val="00D8084C"/>
    <w:rsid w:val="00D87502"/>
    <w:rsid w:val="00DA7C0C"/>
    <w:rsid w:val="00DB2EC8"/>
    <w:rsid w:val="00DC137C"/>
    <w:rsid w:val="00DC5B3B"/>
    <w:rsid w:val="00DD129F"/>
    <w:rsid w:val="00DE1435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5C08"/>
    <w:rsid w:val="00E63141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22FB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E5105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C527D93"/>
  <w15:docId w15:val="{CDCB32CA-7EE6-4068-9C90-F97C8420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06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70129F"/>
    <w:pPr>
      <w:keepNext/>
      <w:keepLines/>
      <w:spacing w:after="10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70129F"/>
    <w:rPr>
      <w:rFonts w:ascii="Arial" w:eastAsia="MS Gothic" w:hAnsi="Arial"/>
      <w:b/>
      <w:bCs/>
      <w:color w:val="BC091B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semiHidden/>
    <w:rsid w:val="009A7C8A"/>
    <w:pPr>
      <w:spacing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7C8A"/>
    <w:rPr>
      <w:rFonts w:ascii="Arial" w:eastAsia="Times New Roman" w:hAnsi="Arial"/>
      <w:sz w:val="16"/>
      <w:lang w:eastAsia="cs-CZ"/>
    </w:rPr>
  </w:style>
  <w:style w:type="character" w:styleId="Znakapoznpodarou">
    <w:name w:val="footnote reference"/>
    <w:basedOn w:val="Standardnpsmoodstavce"/>
    <w:semiHidden/>
    <w:rsid w:val="009A7C8A"/>
    <w:rPr>
      <w:vertAlign w:val="superscript"/>
    </w:rPr>
  </w:style>
  <w:style w:type="paragraph" w:styleId="Odstavecseseznamem">
    <w:name w:val="List Paragraph"/>
    <w:basedOn w:val="Normln"/>
    <w:uiPriority w:val="34"/>
    <w:rsid w:val="00FE5105"/>
    <w:pPr>
      <w:ind w:left="720"/>
      <w:contextualSpacing/>
    </w:pPr>
  </w:style>
  <w:style w:type="paragraph" w:customStyle="1" w:styleId="Box">
    <w:name w:val="Box"/>
    <w:next w:val="Normln"/>
    <w:link w:val="BoxChar"/>
    <w:qFormat/>
    <w:rsid w:val="005C1851"/>
    <w:pPr>
      <w:shd w:val="clear" w:color="auto" w:fill="F5DADD"/>
      <w:spacing w:before="240" w:line="288" w:lineRule="auto"/>
      <w:ind w:left="709"/>
    </w:pPr>
    <w:rPr>
      <w:rFonts w:ascii="Arial" w:hAnsi="Arial"/>
      <w:color w:val="000000"/>
      <w:szCs w:val="24"/>
      <w:lang w:eastAsia="cs-CZ"/>
    </w:rPr>
  </w:style>
  <w:style w:type="character" w:customStyle="1" w:styleId="BoxChar">
    <w:name w:val="Box Char"/>
    <w:link w:val="Box"/>
    <w:rsid w:val="005C1851"/>
    <w:rPr>
      <w:rFonts w:ascii="Arial" w:hAnsi="Arial"/>
      <w:color w:val="000000"/>
      <w:szCs w:val="24"/>
      <w:shd w:val="clear" w:color="auto" w:fill="F5DADD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Relationship Id="rId8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rmakova38818\Nikola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F:\&#269;s&#250;\3.3.2021\kapitola1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celkov&#225;%20data\kapitola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D:\cermakova38818\Nikola\celkov&#225;%20data\kapitola1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celkov&#225;%20data\kapitola1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celkov&#225;%20data\kapitola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D:\cermakova38818\Nikola\celkov&#225;%20data\kapitola1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D:\cermakova38818\Nikola\celkov&#225;%20data\kapitola1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F:\&#269;s&#250;\3.3.2021\kapitola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1\1_Zdravotnictv&#237;\SHA%20zdravotnick&#233;%20&#250;&#269;ty\ANAL&#221;ZA%20SHA%202010-2019\1.Souhrnn&#233;%20v&#253;sledky%20Z&#218;_grafy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J&#233;&#269;ko\ANAL&#221;ZA%20SHA%202010-2019\1.Souhrnn&#233;%20v&#253;sledky%20Z&#218;_graf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Oprava%20-%20publikace\1.Souhrnn&#233;%20v&#253;sledky%20Z&#218;_graf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ermakova38818\Nikola\celkov&#225;%20data\kapitola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'celkové výdaje'!$A$2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'celkové výdaje'!$B$1:$K$1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'celkové výdaje'!$B$3:$K$3</c:f>
              <c:numCache>
                <c:formatCode>#\ ##0.0</c:formatCode>
                <c:ptCount val="10"/>
                <c:pt idx="0">
                  <c:v>334.48800000103506</c:v>
                </c:pt>
                <c:pt idx="1">
                  <c:v>338.53800000122698</c:v>
                </c:pt>
                <c:pt idx="2">
                  <c:v>342.83800000158175</c:v>
                </c:pt>
                <c:pt idx="3">
                  <c:v>346.612000001561</c:v>
                </c:pt>
                <c:pt idx="4">
                  <c:v>350.42400000179083</c:v>
                </c:pt>
                <c:pt idx="5">
                  <c:v>353.31500000190897</c:v>
                </c:pt>
                <c:pt idx="6">
                  <c:v>363.38600000206509</c:v>
                </c:pt>
                <c:pt idx="7">
                  <c:v>388.20600000232031</c:v>
                </c:pt>
                <c:pt idx="8">
                  <c:v>434.12023255946247</c:v>
                </c:pt>
                <c:pt idx="9">
                  <c:v>477.72402597900168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4-4DDC-BA38-0FFE58005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27"/>
        <c:axId val="1862509199"/>
        <c:axId val="1862521679"/>
      </c:barChart>
      <c:lineChart>
        <c:grouping val="stacked"/>
        <c:varyColors val="0"/>
        <c:ser>
          <c:idx val="1"/>
          <c:order val="1"/>
          <c:tx>
            <c:strRef>
              <c:f>'celkové výdaje'!$A$4</c:f>
              <c:strCache>
                <c:ptCount val="1"/>
                <c:pt idx="0">
                  <c:v>% HDP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'celkové výdaje'!$B$1:$K$1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'celkové výdaje'!$B$4:$K$4</c:f>
              <c:numCache>
                <c:formatCode>0.00%</c:formatCode>
                <c:ptCount val="10"/>
                <c:pt idx="0">
                  <c:v>8.3771290520107206E-2</c:v>
                </c:pt>
                <c:pt idx="1">
                  <c:v>8.3336121690989903E-2</c:v>
                </c:pt>
                <c:pt idx="2">
                  <c:v>8.384574298543826E-2</c:v>
                </c:pt>
                <c:pt idx="3">
                  <c:v>8.3665970810884643E-2</c:v>
                </c:pt>
                <c:pt idx="4">
                  <c:v>8.063575894778402E-2</c:v>
                </c:pt>
                <c:pt idx="5">
                  <c:v>7.6386321354187117E-2</c:v>
                </c:pt>
                <c:pt idx="6">
                  <c:v>7.57547238479854E-2</c:v>
                </c:pt>
                <c:pt idx="7">
                  <c:v>7.5958917183090183E-2</c:v>
                </c:pt>
                <c:pt idx="8">
                  <c:v>8.0262343122158089E-2</c:v>
                </c:pt>
                <c:pt idx="9">
                  <c:v>8.3101689987837471E-2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54-4DDC-BA38-0FFE58005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2507535"/>
        <c:axId val="1862522095"/>
      </c:lineChart>
      <c:valAx>
        <c:axId val="1862522095"/>
        <c:scaling>
          <c:orientation val="minMax"/>
          <c:max val="0.1"/>
          <c:min val="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62507535"/>
        <c:crosses val="max"/>
        <c:crossBetween val="between"/>
        <c:majorUnit val="1.0000000000000002E-2"/>
        <c:minorUnit val="5.000000000000001E-3"/>
      </c:valAx>
      <c:catAx>
        <c:axId val="18625075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62522095"/>
        <c:crosses val="autoZero"/>
        <c:auto val="1"/>
        <c:lblAlgn val="ctr"/>
        <c:lblOffset val="100"/>
        <c:noMultiLvlLbl val="0"/>
      </c:catAx>
      <c:valAx>
        <c:axId val="186252167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62509199"/>
        <c:crosses val="autoZero"/>
        <c:crossBetween val="between"/>
      </c:valAx>
      <c:catAx>
        <c:axId val="186250919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6252167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08049243946592"/>
          <c:y val="4.0167975168888079E-2"/>
          <c:w val="0.8000032151963038"/>
          <c:h val="0.7034919110553941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'soukromé zdroje'!$A$12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zdroje'!$G$12:$K$12</c:f>
              <c:numCache>
                <c:formatCode>0.0</c:formatCode>
                <c:ptCount val="5"/>
                <c:pt idx="0">
                  <c:v>50.634000001908987</c:v>
                </c:pt>
                <c:pt idx="1">
                  <c:v>52.954000002065108</c:v>
                </c:pt>
                <c:pt idx="2">
                  <c:v>54.870000002320317</c:v>
                </c:pt>
                <c:pt idx="3">
                  <c:v>57.344000002848837</c:v>
                </c:pt>
                <c:pt idx="4">
                  <c:v>63.731999999999999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C-4425-B3C2-8F4E2F8E0845}"/>
            </c:ext>
          </c:extLst>
        </c:ser>
        <c:ser>
          <c:idx val="1"/>
          <c:order val="1"/>
          <c:tx>
            <c:strRef>
              <c:f>'soukromé zdroje'!$A$10</c:f>
              <c:strCache>
                <c:ptCount val="1"/>
                <c:pt idx="0">
                  <c:v>Neziskové organizace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zdroje'!$G$10:$K$10</c:f>
              <c:numCache>
                <c:formatCode>0.0</c:formatCode>
                <c:ptCount val="5"/>
                <c:pt idx="0">
                  <c:v>7.9290000000000003</c:v>
                </c:pt>
                <c:pt idx="1">
                  <c:v>8.4789999999999992</c:v>
                </c:pt>
                <c:pt idx="2">
                  <c:v>8.9949999999999992</c:v>
                </c:pt>
                <c:pt idx="3">
                  <c:v>13.163</c:v>
                </c:pt>
                <c:pt idx="4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BC-4425-B3C2-8F4E2F8E0845}"/>
            </c:ext>
          </c:extLst>
        </c:ser>
        <c:ser>
          <c:idx val="2"/>
          <c:order val="2"/>
          <c:tx>
            <c:strRef>
              <c:f>'soukromé zdroje'!$A$11</c:f>
              <c:strCache>
                <c:ptCount val="1"/>
                <c:pt idx="0">
                  <c:v>Podniky - závodní preventivní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zdroje'!$G$11:$K$11</c:f>
              <c:numCache>
                <c:formatCode>0.0</c:formatCode>
                <c:ptCount val="5"/>
                <c:pt idx="0">
                  <c:v>0.91500000000000004</c:v>
                </c:pt>
                <c:pt idx="1">
                  <c:v>1.2589999999999999</c:v>
                </c:pt>
                <c:pt idx="2">
                  <c:v>1.7689999999999999</c:v>
                </c:pt>
                <c:pt idx="3">
                  <c:v>1.1970000000000001</c:v>
                </c:pt>
                <c:pt idx="4">
                  <c:v>1.251266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BC-4425-B3C2-8F4E2F8E0845}"/>
            </c:ext>
          </c:extLst>
        </c:ser>
        <c:ser>
          <c:idx val="0"/>
          <c:order val="3"/>
          <c:tx>
            <c:strRef>
              <c:f>'soukromé zdroje'!$A$9</c:f>
              <c:strCache>
                <c:ptCount val="1"/>
                <c:pt idx="0">
                  <c:v>Soukromé zdravotní pojištění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zdroje'!$G$9:$K$9</c:f>
              <c:numCache>
                <c:formatCode>0.0</c:formatCode>
                <c:ptCount val="5"/>
                <c:pt idx="0">
                  <c:v>0.47799999999999998</c:v>
                </c:pt>
                <c:pt idx="1">
                  <c:v>0.48399999999999999</c:v>
                </c:pt>
                <c:pt idx="2">
                  <c:v>0.53900000000000003</c:v>
                </c:pt>
                <c:pt idx="3">
                  <c:v>0.56440776546799998</c:v>
                </c:pt>
                <c:pt idx="4">
                  <c:v>0.68418795919999997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BC-4425-B3C2-8F4E2F8E08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864373983"/>
        <c:axId val="864375231"/>
      </c:barChart>
      <c:catAx>
        <c:axId val="86437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64375231"/>
        <c:crosses val="autoZero"/>
        <c:auto val="1"/>
        <c:lblAlgn val="ctr"/>
        <c:lblOffset val="100"/>
        <c:noMultiLvlLbl val="0"/>
      </c:catAx>
      <c:valAx>
        <c:axId val="864375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6437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952543702555767E-2"/>
          <c:y val="0.81011330129287962"/>
          <c:w val="0.94784501467737114"/>
          <c:h val="0.167976894069544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245203655892819"/>
          <c:y val="0"/>
          <c:w val="0.61593213504731259"/>
          <c:h val="0.811764979377577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'HC_10,18,19'!$B$1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accen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'HC_10,18,19'!$A$7:$A$15</c:f>
              <c:strCache>
                <c:ptCount val="9"/>
                <c:pt idx="0">
                  <c:v>Ostatní (2)</c:v>
                </c:pt>
                <c:pt idx="1">
                  <c:v>Správa systému zdravotní péče</c:v>
                </c:pt>
                <c:pt idx="2">
                  <c:v>Preventivní péče</c:v>
                </c:pt>
                <c:pt idx="3">
                  <c:v>Rehabilitační péče</c:v>
                </c:pt>
                <c:pt idx="4">
                  <c:v>Dlouhodobá sociální péče</c:v>
                </c:pt>
                <c:pt idx="5">
                  <c:v>Doplňkové služby</c:v>
                </c:pt>
                <c:pt idx="6">
                  <c:v>Dlouhodobá zdravotní péče</c:v>
                </c:pt>
                <c:pt idx="7">
                  <c:v>Léčiva a ostatní zdravotnický materiál (1)</c:v>
                </c:pt>
                <c:pt idx="8">
                  <c:v>Léčebná péče</c:v>
                </c:pt>
              </c:strCache>
            </c:strRef>
          </c:cat>
          <c:val>
            <c:numRef>
              <c:f>'HC_10,18,19'!$B$7:$B$15</c:f>
              <c:numCache>
                <c:formatCode>0.0</c:formatCode>
                <c:ptCount val="9"/>
                <c:pt idx="0">
                  <c:v>9.3070000000000004</c:v>
                </c:pt>
                <c:pt idx="1">
                  <c:v>8.6489999999999991</c:v>
                </c:pt>
                <c:pt idx="2">
                  <c:v>9.99</c:v>
                </c:pt>
                <c:pt idx="3">
                  <c:v>12.493</c:v>
                </c:pt>
                <c:pt idx="4">
                  <c:v>16.998999999999999</c:v>
                </c:pt>
                <c:pt idx="5">
                  <c:v>37.039000000000001</c:v>
                </c:pt>
                <c:pt idx="6">
                  <c:v>35.747999999999998</c:v>
                </c:pt>
                <c:pt idx="7">
                  <c:v>66.230999999999995</c:v>
                </c:pt>
                <c:pt idx="8">
                  <c:v>138.03100000000001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6-4D1D-8FFA-2DF37423FBEB}"/>
            </c:ext>
          </c:extLst>
        </c:ser>
        <c:ser>
          <c:idx val="1"/>
          <c:order val="1"/>
          <c:tx>
            <c:strRef>
              <c:f>'HC_10,18,19'!$C$1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'HC_10,18,19'!$A$7:$A$15</c:f>
              <c:strCache>
                <c:ptCount val="9"/>
                <c:pt idx="0">
                  <c:v>Ostatní (2)</c:v>
                </c:pt>
                <c:pt idx="1">
                  <c:v>Správa systému zdravotní péče</c:v>
                </c:pt>
                <c:pt idx="2">
                  <c:v>Preventivní péče</c:v>
                </c:pt>
                <c:pt idx="3">
                  <c:v>Rehabilitační péče</c:v>
                </c:pt>
                <c:pt idx="4">
                  <c:v>Dlouhodobá sociální péče</c:v>
                </c:pt>
                <c:pt idx="5">
                  <c:v>Doplňkové služby</c:v>
                </c:pt>
                <c:pt idx="6">
                  <c:v>Dlouhodobá zdravotní péče</c:v>
                </c:pt>
                <c:pt idx="7">
                  <c:v>Léčiva a ostatní zdravotnický materiál (1)</c:v>
                </c:pt>
                <c:pt idx="8">
                  <c:v>Léčebná péče</c:v>
                </c:pt>
              </c:strCache>
            </c:strRef>
          </c:cat>
          <c:val>
            <c:numRef>
              <c:f>'HC_10,18,19'!$C$7:$C$15</c:f>
              <c:numCache>
                <c:formatCode>0.0</c:formatCode>
                <c:ptCount val="9"/>
                <c:pt idx="0">
                  <c:v>15.06620645358</c:v>
                </c:pt>
                <c:pt idx="1">
                  <c:v>9.1878340489799992</c:v>
                </c:pt>
                <c:pt idx="2">
                  <c:v>10.787218047619984</c:v>
                </c:pt>
                <c:pt idx="3">
                  <c:v>19.931326712440661</c:v>
                </c:pt>
                <c:pt idx="4">
                  <c:v>23.535843238609999</c:v>
                </c:pt>
                <c:pt idx="5">
                  <c:v>51.018050407709893</c:v>
                </c:pt>
                <c:pt idx="6">
                  <c:v>55.090636937620758</c:v>
                </c:pt>
                <c:pt idx="7">
                  <c:v>73.542781264890067</c:v>
                </c:pt>
                <c:pt idx="8">
                  <c:v>175.96033544801111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26-4D1D-8FFA-2DF37423FBEB}"/>
            </c:ext>
          </c:extLst>
        </c:ser>
        <c:ser>
          <c:idx val="2"/>
          <c:order val="2"/>
          <c:tx>
            <c:strRef>
              <c:f>'HC_10,18,19'!$D$1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accent3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'HC_10,18,19'!$A$7:$A$15</c:f>
              <c:strCache>
                <c:ptCount val="9"/>
                <c:pt idx="0">
                  <c:v>Ostatní (2)</c:v>
                </c:pt>
                <c:pt idx="1">
                  <c:v>Správa systému zdravotní péče</c:v>
                </c:pt>
                <c:pt idx="2">
                  <c:v>Preventivní péče</c:v>
                </c:pt>
                <c:pt idx="3">
                  <c:v>Rehabilitační péče</c:v>
                </c:pt>
                <c:pt idx="4">
                  <c:v>Dlouhodobá sociální péče</c:v>
                </c:pt>
                <c:pt idx="5">
                  <c:v>Doplňkové služby</c:v>
                </c:pt>
                <c:pt idx="6">
                  <c:v>Dlouhodobá zdravotní péče</c:v>
                </c:pt>
                <c:pt idx="7">
                  <c:v>Léčiva a ostatní zdravotnický materiál (1)</c:v>
                </c:pt>
                <c:pt idx="8">
                  <c:v>Léčebná péče</c:v>
                </c:pt>
              </c:strCache>
            </c:strRef>
          </c:cat>
          <c:val>
            <c:numRef>
              <c:f>'HC_10,18,19'!$D$7:$D$15</c:f>
              <c:numCache>
                <c:formatCode>0.0</c:formatCode>
                <c:ptCount val="9"/>
                <c:pt idx="0">
                  <c:v>18.860999999999997</c:v>
                </c:pt>
                <c:pt idx="1">
                  <c:v>10.001474</c:v>
                </c:pt>
                <c:pt idx="2">
                  <c:v>11.292</c:v>
                </c:pt>
                <c:pt idx="3">
                  <c:v>22.753807301999974</c:v>
                </c:pt>
                <c:pt idx="4">
                  <c:v>26.989000000000001</c:v>
                </c:pt>
                <c:pt idx="5">
                  <c:v>55.868592768000056</c:v>
                </c:pt>
                <c:pt idx="6">
                  <c:v>61.549988649000021</c:v>
                </c:pt>
                <c:pt idx="7">
                  <c:v>80.031517666000056</c:v>
                </c:pt>
                <c:pt idx="8">
                  <c:v>190.37647740420141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26-4D1D-8FFA-2DF37423FB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854201359"/>
        <c:axId val="854198447"/>
      </c:barChart>
      <c:catAx>
        <c:axId val="8542013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4198447"/>
        <c:crosses val="autoZero"/>
        <c:auto val="1"/>
        <c:lblAlgn val="ctr"/>
        <c:lblOffset val="100"/>
        <c:noMultiLvlLbl val="0"/>
      </c:catAx>
      <c:valAx>
        <c:axId val="854198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4201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'HC_10,18,19'!$A$20</c:f>
              <c:strCache>
                <c:ptCount val="1"/>
                <c:pt idx="0">
                  <c:v>Léčebná péče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'HC_10,18,19'!$B$20:$F$20</c:f>
              <c:numCache>
                <c:formatCode>#\ ##0.0</c:formatCode>
                <c:ptCount val="5"/>
                <c:pt idx="0">
                  <c:v>13.636228390487346</c:v>
                </c:pt>
                <c:pt idx="1">
                  <c:v>13.708127958058439</c:v>
                </c:pt>
                <c:pt idx="2">
                  <c:v>14.530069408403108</c:v>
                </c:pt>
                <c:pt idx="3">
                  <c:v>16.558744135896166</c:v>
                </c:pt>
                <c:pt idx="4">
                  <c:v>17.843349532191674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3-48FA-B11F-4B3611BF5C22}"/>
            </c:ext>
          </c:extLst>
        </c:ser>
        <c:ser>
          <c:idx val="1"/>
          <c:order val="1"/>
          <c:tx>
            <c:strRef>
              <c:f>'HC_10,18,19'!$A$21</c:f>
              <c:strCache>
                <c:ptCount val="1"/>
                <c:pt idx="0">
                  <c:v>Léčiva a ostatní zdravotnický materiál (1)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'HC_10,18,19'!$B$21:$F$21</c:f>
              <c:numCache>
                <c:formatCode>#\ ##0.0</c:formatCode>
                <c:ptCount val="5"/>
                <c:pt idx="0">
                  <c:v>6.4271480613551706</c:v>
                </c:pt>
                <c:pt idx="1">
                  <c:v>6.563601891962394</c:v>
                </c:pt>
                <c:pt idx="2">
                  <c:v>6.7899687276843181</c:v>
                </c:pt>
                <c:pt idx="3">
                  <c:v>6.9207420803496635</c:v>
                </c:pt>
                <c:pt idx="4">
                  <c:v>7.5010860731195397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93-48FA-B11F-4B3611BF5C22}"/>
            </c:ext>
          </c:extLst>
        </c:ser>
        <c:ser>
          <c:idx val="2"/>
          <c:order val="2"/>
          <c:tx>
            <c:strRef>
              <c:f>'HC_10,18,19'!$A$22</c:f>
              <c:strCache>
                <c:ptCount val="1"/>
                <c:pt idx="0">
                  <c:v>Dlouhodobá zdravotní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'HC_10,18,19'!$B$22:$F$22</c:f>
              <c:numCache>
                <c:formatCode>#\ ##0.0</c:formatCode>
                <c:ptCount val="5"/>
                <c:pt idx="0">
                  <c:v>3.9183247026956316</c:v>
                </c:pt>
                <c:pt idx="1">
                  <c:v>4.1596238420565168</c:v>
                </c:pt>
                <c:pt idx="2">
                  <c:v>4.6277056662828562</c:v>
                </c:pt>
                <c:pt idx="3">
                  <c:v>5.1843033772979972</c:v>
                </c:pt>
                <c:pt idx="4">
                  <c:v>5.7688742650424736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93-48FA-B11F-4B3611BF5C22}"/>
            </c:ext>
          </c:extLst>
        </c:ser>
        <c:ser>
          <c:idx val="3"/>
          <c:order val="3"/>
          <c:tx>
            <c:strRef>
              <c:f>'HC_10,18,19'!$A$23</c:f>
              <c:strCache>
                <c:ptCount val="1"/>
                <c:pt idx="0">
                  <c:v>Doplňkové služby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'HC_10,18,19'!$B$23:$F$23</c:f>
              <c:numCache>
                <c:formatCode>#\ ##0.0</c:formatCode>
                <c:ptCount val="5"/>
                <c:pt idx="0">
                  <c:v>3.7959010929672239</c:v>
                </c:pt>
                <c:pt idx="1">
                  <c:v>3.888263988288414</c:v>
                </c:pt>
                <c:pt idx="2">
                  <c:v>4.1101412310711565</c:v>
                </c:pt>
                <c:pt idx="3">
                  <c:v>4.8010526966921052</c:v>
                </c:pt>
                <c:pt idx="4">
                  <c:v>5.2363760598141038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93-48FA-B11F-4B3611BF5C22}"/>
            </c:ext>
          </c:extLst>
        </c:ser>
        <c:ser>
          <c:idx val="4"/>
          <c:order val="4"/>
          <c:tx>
            <c:strRef>
              <c:f>'HC_10,18,19'!$A$24</c:f>
              <c:strCache>
                <c:ptCount val="1"/>
                <c:pt idx="0">
                  <c:v>Dlouhodobá sociální péče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'HC_10,18,19'!$B$24:$F$24</c:f>
              <c:numCache>
                <c:formatCode>#\ ##0.0</c:formatCode>
                <c:ptCount val="5"/>
                <c:pt idx="0">
                  <c:v>1.7652850069430337</c:v>
                </c:pt>
                <c:pt idx="1">
                  <c:v>1.9069814589082508</c:v>
                </c:pt>
                <c:pt idx="2">
                  <c:v>2.0585865051108048</c:v>
                </c:pt>
                <c:pt idx="3">
                  <c:v>2.2148400957433494</c:v>
                </c:pt>
                <c:pt idx="4">
                  <c:v>2.5295885662484334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93-48FA-B11F-4B3611BF5C22}"/>
            </c:ext>
          </c:extLst>
        </c:ser>
        <c:ser>
          <c:idx val="5"/>
          <c:order val="5"/>
          <c:tx>
            <c:strRef>
              <c:f>'HC_10,18,19'!$A$25</c:f>
              <c:strCache>
                <c:ptCount val="1"/>
                <c:pt idx="0">
                  <c:v>Rehabilitační péče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'HC_10,18,19'!$B$25:$F$25</c:f>
              <c:numCache>
                <c:formatCode>#\ ##0.0</c:formatCode>
                <c:ptCount val="5"/>
                <c:pt idx="0">
                  <c:v>1.426394775832811</c:v>
                </c:pt>
                <c:pt idx="1">
                  <c:v>1.4643389839924592</c:v>
                </c:pt>
                <c:pt idx="2">
                  <c:v>1.7020684285027305</c:v>
                </c:pt>
                <c:pt idx="3">
                  <c:v>1.8756371342436418</c:v>
                </c:pt>
                <c:pt idx="4">
                  <c:v>2.1326381410855997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93-48FA-B11F-4B3611BF5C22}"/>
            </c:ext>
          </c:extLst>
        </c:ser>
        <c:ser>
          <c:idx val="6"/>
          <c:order val="6"/>
          <c:tx>
            <c:strRef>
              <c:f>'HC_10,18,19'!$A$26</c:f>
              <c:strCache>
                <c:ptCount val="1"/>
                <c:pt idx="0">
                  <c:v>Preventivní péče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'HC_10,18,19'!$B$26:$F$26</c:f>
              <c:numCache>
                <c:formatCode>#\ ##0.0</c:formatCode>
                <c:ptCount val="5"/>
                <c:pt idx="0">
                  <c:v>0.85622834877778764</c:v>
                </c:pt>
                <c:pt idx="1">
                  <c:v>0.92179221575207848</c:v>
                </c:pt>
                <c:pt idx="2">
                  <c:v>0.99533464843846442</c:v>
                </c:pt>
                <c:pt idx="3">
                  <c:v>1.0151309562684725</c:v>
                </c:pt>
                <c:pt idx="4">
                  <c:v>1.0583613357322357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93-48FA-B11F-4B3611BF5C22}"/>
            </c:ext>
          </c:extLst>
        </c:ser>
        <c:ser>
          <c:idx val="7"/>
          <c:order val="7"/>
          <c:tx>
            <c:strRef>
              <c:f>'HC_10,18,19'!$A$27</c:f>
              <c:strCache>
                <c:ptCount val="1"/>
                <c:pt idx="0">
                  <c:v>Správa systému zdravotní péče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'HC_10,18,19'!$B$27:$F$27</c:f>
              <c:numCache>
                <c:formatCode>#\ ##0.0</c:formatCode>
                <c:ptCount val="5"/>
                <c:pt idx="0">
                  <c:v>0.80964035592342232</c:v>
                </c:pt>
                <c:pt idx="1">
                  <c:v>0.81239861032604532</c:v>
                </c:pt>
                <c:pt idx="2">
                  <c:v>0.81529025467995453</c:v>
                </c:pt>
                <c:pt idx="3">
                  <c:v>0.86462095444848364</c:v>
                </c:pt>
                <c:pt idx="4">
                  <c:v>0.93740465656493321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93-48FA-B11F-4B3611BF5C22}"/>
            </c:ext>
          </c:extLst>
        </c:ser>
        <c:ser>
          <c:idx val="8"/>
          <c:order val="8"/>
          <c:tx>
            <c:strRef>
              <c:f>'HC_10,18,19'!$A$28</c:f>
              <c:strCache>
                <c:ptCount val="1"/>
                <c:pt idx="0">
                  <c:v>Ostatní (2)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'HC_10,18,19'!$B$19:$F$19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'HC_10,18,19'!$B$28:$F$28</c:f>
              <c:numCache>
                <c:formatCode>#\ ##0.0</c:formatCode>
                <c:ptCount val="5"/>
                <c:pt idx="0">
                  <c:v>0.87690029333463082</c:v>
                </c:pt>
                <c:pt idx="1">
                  <c:v>0.96919395279956522</c:v>
                </c:pt>
                <c:pt idx="2">
                  <c:v>1.006405469241022</c:v>
                </c:pt>
                <c:pt idx="3">
                  <c:v>1.4178050816294843</c:v>
                </c:pt>
                <c:pt idx="4">
                  <c:v>1.7677783522180037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493-48FA-B11F-4B3611BF5C2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49794639"/>
        <c:axId val="1149798799"/>
      </c:barChart>
      <c:catAx>
        <c:axId val="114979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49798799"/>
        <c:crosses val="autoZero"/>
        <c:auto val="1"/>
        <c:lblAlgn val="ctr"/>
        <c:lblOffset val="100"/>
        <c:noMultiLvlLbl val="0"/>
      </c:catAx>
      <c:valAx>
        <c:axId val="1149798799"/>
        <c:scaling>
          <c:orientation val="minMax"/>
          <c:max val="4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tis.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497946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List4!$A$45</c:f>
              <c:strCache>
                <c:ptCount val="1"/>
                <c:pt idx="0">
                  <c:v>Lůžková léčebná péče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List4!$G$45:$K$45</c:f>
              <c:numCache>
                <c:formatCode>0.0%</c:formatCode>
                <c:ptCount val="5"/>
                <c:pt idx="0">
                  <c:v>0.35802102164816091</c:v>
                </c:pt>
                <c:pt idx="1">
                  <c:v>0.35239345890894208</c:v>
                </c:pt>
                <c:pt idx="2">
                  <c:v>0.36741616470190558</c:v>
                </c:pt>
                <c:pt idx="3">
                  <c:v>0.34193017686946231</c:v>
                </c:pt>
                <c:pt idx="4">
                  <c:v>0.33318917229844452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34-4DB8-ACE8-C9B9B22F23FF}"/>
            </c:ext>
          </c:extLst>
        </c:ser>
        <c:ser>
          <c:idx val="4"/>
          <c:order val="1"/>
          <c:tx>
            <c:strRef>
              <c:f>List4!$A$49</c:f>
              <c:strCache>
                <c:ptCount val="1"/>
                <c:pt idx="0">
                  <c:v>Specializovaná ambulantní léčebná péče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List4!$G$49:$K$49</c:f>
              <c:numCache>
                <c:formatCode>0.0%</c:formatCode>
                <c:ptCount val="5"/>
                <c:pt idx="0">
                  <c:v>0.30842123013751849</c:v>
                </c:pt>
                <c:pt idx="1">
                  <c:v>0.30862554068309439</c:v>
                </c:pt>
                <c:pt idx="2">
                  <c:v>0.29692265962305564</c:v>
                </c:pt>
                <c:pt idx="3">
                  <c:v>0.33842887777705011</c:v>
                </c:pt>
                <c:pt idx="4">
                  <c:v>0.3461916752880731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34-4DB8-ACE8-C9B9B22F23FF}"/>
            </c:ext>
          </c:extLst>
        </c:ser>
        <c:ser>
          <c:idx val="2"/>
          <c:order val="2"/>
          <c:tx>
            <c:strRef>
              <c:f>List4!$A$47</c:f>
              <c:strCache>
                <c:ptCount val="1"/>
                <c:pt idx="0">
                  <c:v>Všeobecná ambulantní léčebná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List4!$G$47:$K$47</c:f>
              <c:numCache>
                <c:formatCode>0.0%</c:formatCode>
                <c:ptCount val="5"/>
                <c:pt idx="0">
                  <c:v>0.15035646526066238</c:v>
                </c:pt>
                <c:pt idx="1">
                  <c:v>0.15310351137550587</c:v>
                </c:pt>
                <c:pt idx="2">
                  <c:v>0.14739763907561104</c:v>
                </c:pt>
                <c:pt idx="3">
                  <c:v>0.14830372174194145</c:v>
                </c:pt>
                <c:pt idx="4">
                  <c:v>0.14685714640805961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34-4DB8-ACE8-C9B9B22F23FF}"/>
            </c:ext>
          </c:extLst>
        </c:ser>
        <c:ser>
          <c:idx val="3"/>
          <c:order val="3"/>
          <c:tx>
            <c:strRef>
              <c:f>List4!$A$48</c:f>
              <c:strCache>
                <c:ptCount val="1"/>
                <c:pt idx="0">
                  <c:v>Stomatologická ambulantní léčebná péče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List4!$G$48:$K$48</c:f>
              <c:numCache>
                <c:formatCode>0.0%</c:formatCode>
                <c:ptCount val="5"/>
                <c:pt idx="0">
                  <c:v>0.12615489042592595</c:v>
                </c:pt>
                <c:pt idx="1">
                  <c:v>0.12808335091442832</c:v>
                </c:pt>
                <c:pt idx="2">
                  <c:v>0.12827250026394293</c:v>
                </c:pt>
                <c:pt idx="3">
                  <c:v>0.11277905536060145</c:v>
                </c:pt>
                <c:pt idx="4">
                  <c:v>0.11367068106872365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34-4DB8-ACE8-C9B9B22F23FF}"/>
            </c:ext>
          </c:extLst>
        </c:ser>
        <c:ser>
          <c:idx val="1"/>
          <c:order val="4"/>
          <c:tx>
            <c:strRef>
              <c:f>List4!$A$46</c:f>
              <c:strCache>
                <c:ptCount val="1"/>
                <c:pt idx="0">
                  <c:v>Denní léčebná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List4!$G$46:$K$46</c:f>
              <c:numCache>
                <c:formatCode>0.0%</c:formatCode>
                <c:ptCount val="5"/>
                <c:pt idx="0">
                  <c:v>3.9892564573372112E-2</c:v>
                </c:pt>
                <c:pt idx="1">
                  <c:v>3.9494978584644784E-2</c:v>
                </c:pt>
                <c:pt idx="2">
                  <c:v>4.1506142803987664E-2</c:v>
                </c:pt>
                <c:pt idx="3">
                  <c:v>3.8161725242811868E-2</c:v>
                </c:pt>
                <c:pt idx="4">
                  <c:v>3.8381710091662517E-2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34-4DB8-ACE8-C9B9B22F23FF}"/>
            </c:ext>
          </c:extLst>
        </c:ser>
        <c:ser>
          <c:idx val="6"/>
          <c:order val="5"/>
          <c:tx>
            <c:strRef>
              <c:f>List4!$A$51</c:f>
              <c:strCache>
                <c:ptCount val="1"/>
                <c:pt idx="0">
                  <c:v>Domácí léčebná péče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List4!$G$51:$K$51</c:f>
              <c:numCache>
                <c:formatCode>0.0%</c:formatCode>
                <c:ptCount val="5"/>
                <c:pt idx="0">
                  <c:v>8.9837434946676408E-3</c:v>
                </c:pt>
                <c:pt idx="1">
                  <c:v>9.4415090115279043E-3</c:v>
                </c:pt>
                <c:pt idx="2">
                  <c:v>1.0340607961474055E-2</c:v>
                </c:pt>
                <c:pt idx="3">
                  <c:v>1.0502707898883405E-2</c:v>
                </c:pt>
                <c:pt idx="4">
                  <c:v>1.0321653319742718E-2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134-4DB8-ACE8-C9B9B22F23FF}"/>
            </c:ext>
          </c:extLst>
        </c:ser>
        <c:ser>
          <c:idx val="5"/>
          <c:order val="6"/>
          <c:tx>
            <c:strRef>
              <c:f>List4!$A$50</c:f>
              <c:strCache>
                <c:ptCount val="1"/>
                <c:pt idx="0">
                  <c:v>Ostatní ambulantní péče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List4!$G$50:$K$50</c:f>
              <c:numCache>
                <c:formatCode>0.0%</c:formatCode>
                <c:ptCount val="5"/>
                <c:pt idx="0">
                  <c:v>8.1700844596924397E-3</c:v>
                </c:pt>
                <c:pt idx="1">
                  <c:v>8.8576505218567053E-3</c:v>
                </c:pt>
                <c:pt idx="2">
                  <c:v>8.1442855700231357E-3</c:v>
                </c:pt>
                <c:pt idx="3">
                  <c:v>9.8937351092494973E-3</c:v>
                </c:pt>
                <c:pt idx="4">
                  <c:v>1.1387961525293748E-2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34-4DB8-ACE8-C9B9B22F23F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100"/>
        <c:axId val="854431231"/>
        <c:axId val="854438719"/>
      </c:barChart>
      <c:catAx>
        <c:axId val="854431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4438719"/>
        <c:crosses val="autoZero"/>
        <c:auto val="1"/>
        <c:lblAlgn val="ctr"/>
        <c:lblOffset val="100"/>
        <c:noMultiLvlLbl val="0"/>
      </c:catAx>
      <c:valAx>
        <c:axId val="854438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4431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826308107667925"/>
          <c:y val="0.24338734937138382"/>
          <c:w val="0.78474539297363555"/>
          <c:h val="0.698689259146474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List4!$A$3</c:f>
              <c:strCache>
                <c:ptCount val="1"/>
                <c:pt idx="0">
                  <c:v>Lůžková léčebná péče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List4!$G$3:$K$3</c:f>
              <c:numCache>
                <c:formatCode>0.0</c:formatCode>
                <c:ptCount val="5"/>
                <c:pt idx="0">
                  <c:v>51.471237674572954</c:v>
                </c:pt>
                <c:pt idx="1">
                  <c:v>51.037238032842971</c:v>
                </c:pt>
                <c:pt idx="2">
                  <c:v>56.533056862017759</c:v>
                </c:pt>
                <c:pt idx="3">
                  <c:v>60.166148621748356</c:v>
                </c:pt>
                <c:pt idx="4">
                  <c:v>63.431380931399396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8-4CE2-8AB6-EAE09B65DF58}"/>
            </c:ext>
          </c:extLst>
        </c:ser>
        <c:ser>
          <c:idx val="5"/>
          <c:order val="1"/>
          <c:tx>
            <c:strRef>
              <c:f>List4!$A$8</c:f>
              <c:strCache>
                <c:ptCount val="1"/>
                <c:pt idx="0">
                  <c:v>Specializovaná ambulantní léčebná péče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List4!$G$8:$K$8</c:f>
              <c:numCache>
                <c:formatCode>0.0</c:formatCode>
                <c:ptCount val="5"/>
                <c:pt idx="0">
                  <c:v>44.340475783271437</c:v>
                </c:pt>
                <c:pt idx="1">
                  <c:v>44.698318838341677</c:v>
                </c:pt>
                <c:pt idx="2">
                  <c:v>45.686464594475936</c:v>
                </c:pt>
                <c:pt idx="3">
                  <c:v>59.550058858943686</c:v>
                </c:pt>
                <c:pt idx="4">
                  <c:v>65.906751648002484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E8-4CE2-8AB6-EAE09B65DF58}"/>
            </c:ext>
          </c:extLst>
        </c:ser>
        <c:ser>
          <c:idx val="2"/>
          <c:order val="2"/>
          <c:tx>
            <c:strRef>
              <c:f>List4!$A$6</c:f>
              <c:strCache>
                <c:ptCount val="1"/>
                <c:pt idx="0">
                  <c:v>Všeobecná ambulantní léčebná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List4!$G$6:$K$6</c:f>
              <c:numCache>
                <c:formatCode>0.0</c:formatCode>
                <c:ptCount val="5"/>
                <c:pt idx="0">
                  <c:v>21.616142325144331</c:v>
                </c:pt>
                <c:pt idx="1">
                  <c:v>22.174022122683311</c:v>
                </c:pt>
                <c:pt idx="2">
                  <c:v>22.679565875794665</c:v>
                </c:pt>
                <c:pt idx="3">
                  <c:v>26.095572625900516</c:v>
                </c:pt>
                <c:pt idx="4">
                  <c:v>27.958146214799456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E8-4CE2-8AB6-EAE09B65DF58}"/>
            </c:ext>
          </c:extLst>
        </c:ser>
        <c:ser>
          <c:idx val="4"/>
          <c:order val="3"/>
          <c:tx>
            <c:strRef>
              <c:f>List4!$A$7</c:f>
              <c:strCache>
                <c:ptCount val="1"/>
                <c:pt idx="0">
                  <c:v>Stomatologická ambulantní léčebná péče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List4!$G$7:$K$7</c:f>
              <c:numCache>
                <c:formatCode>0.0</c:formatCode>
                <c:ptCount val="5"/>
                <c:pt idx="0">
                  <c:v>18.136779564032892</c:v>
                </c:pt>
                <c:pt idx="1">
                  <c:v>18.550345653132538</c:v>
                </c:pt>
                <c:pt idx="2">
                  <c:v>19.73684679099004</c:v>
                </c:pt>
                <c:pt idx="3">
                  <c:v>19.844640412761247</c:v>
                </c:pt>
                <c:pt idx="4">
                  <c:v>21.640223846000051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E8-4CE2-8AB6-EAE09B65DF58}"/>
            </c:ext>
          </c:extLst>
        </c:ser>
        <c:ser>
          <c:idx val="1"/>
          <c:order val="4"/>
          <c:tx>
            <c:strRef>
              <c:f>List4!$A$4</c:f>
              <c:strCache>
                <c:ptCount val="1"/>
                <c:pt idx="0">
                  <c:v>Denní léčebná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List4!$G$4:$K$4</c:f>
              <c:numCache>
                <c:formatCode>0.0</c:formatCode>
                <c:ptCount val="5"/>
                <c:pt idx="0">
                  <c:v>5.7351930430000007</c:v>
                </c:pt>
                <c:pt idx="1">
                  <c:v>5.7200682139999905</c:v>
                </c:pt>
                <c:pt idx="2">
                  <c:v>6.3864069049999905</c:v>
                </c:pt>
                <c:pt idx="3">
                  <c:v>6.7149499750000095</c:v>
                </c:pt>
                <c:pt idx="4">
                  <c:v>7.3069747639999987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E8-4CE2-8AB6-EAE09B65DF58}"/>
            </c:ext>
          </c:extLst>
        </c:ser>
        <c:ser>
          <c:idx val="3"/>
          <c:order val="5"/>
          <c:tx>
            <c:strRef>
              <c:f>List4!$A$10</c:f>
              <c:strCache>
                <c:ptCount val="1"/>
                <c:pt idx="0">
                  <c:v>Domácí léčebná péče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List4!$G$1:$K$1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List4!$G$10:$K$10</c:f>
              <c:numCache>
                <c:formatCode>0.0</c:formatCode>
                <c:ptCount val="5"/>
                <c:pt idx="0">
                  <c:v>1.2915565529999991</c:v>
                </c:pt>
                <c:pt idx="1">
                  <c:v>1.3674162519999999</c:v>
                </c:pt>
                <c:pt idx="2">
                  <c:v>1.591073649000001</c:v>
                </c:pt>
                <c:pt idx="3">
                  <c:v>1.8480600049999998</c:v>
                </c:pt>
                <c:pt idx="4">
                  <c:v>1.9650000000000001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E8-4CE2-8AB6-EAE09B65DF58}"/>
            </c:ext>
          </c:extLst>
        </c:ser>
        <c:ser>
          <c:idx val="6"/>
          <c:order val="6"/>
          <c:tx>
            <c:strRef>
              <c:f>List4!$A$9</c:f>
              <c:strCache>
                <c:ptCount val="1"/>
                <c:pt idx="0">
                  <c:v>Ostatní ambulantní péče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List4!$G$9:$K$9</c:f>
              <c:numCache>
                <c:formatCode>0.0</c:formatCode>
                <c:ptCount val="5"/>
                <c:pt idx="0">
                  <c:v>1.1745800766398229</c:v>
                </c:pt>
                <c:pt idx="1">
                  <c:v>1.2828558722270456</c:v>
                </c:pt>
                <c:pt idx="2">
                  <c:v>1.2531331048109453</c:v>
                </c:pt>
                <c:pt idx="3">
                  <c:v>1.7409049486573065</c:v>
                </c:pt>
                <c:pt idx="4">
                  <c:v>2.1680000000000001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E8-4CE2-8AB6-EAE09B65DF5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023634975"/>
        <c:axId val="1023642879"/>
      </c:barChart>
      <c:catAx>
        <c:axId val="102363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23642879"/>
        <c:crosses val="autoZero"/>
        <c:auto val="1"/>
        <c:lblAlgn val="ctr"/>
        <c:lblOffset val="100"/>
        <c:noMultiLvlLbl val="0"/>
      </c:catAx>
      <c:valAx>
        <c:axId val="1023642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2363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0741928127808556E-3"/>
          <c:y val="6.8412257716340373E-3"/>
          <c:w val="0.99103351937809681"/>
          <c:h val="0.242483533488949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20442727677912"/>
          <c:y val="9.810226253363899E-2"/>
          <c:w val="0.79579557272322088"/>
          <c:h val="0.76960770745469953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List4!$A$55</c:f>
              <c:strCache>
                <c:ptCount val="1"/>
                <c:pt idx="0">
                  <c:v>Ambulantní rehabilitační 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List4!$G$55:$K$55</c:f>
              <c:numCache>
                <c:formatCode>0%</c:formatCode>
                <c:ptCount val="5"/>
                <c:pt idx="0">
                  <c:v>0.53170027533016051</c:v>
                </c:pt>
                <c:pt idx="1">
                  <c:v>0.49528788400875134</c:v>
                </c:pt>
                <c:pt idx="2">
                  <c:v>0.5125626407425371</c:v>
                </c:pt>
                <c:pt idx="3">
                  <c:v>0.51598890640405015</c:v>
                </c:pt>
                <c:pt idx="4">
                  <c:v>0.5203664968174021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B8-490C-856C-1D4C8337D235}"/>
            </c:ext>
          </c:extLst>
        </c:ser>
        <c:ser>
          <c:idx val="0"/>
          <c:order val="1"/>
          <c:tx>
            <c:strRef>
              <c:f>List4!$A$54</c:f>
              <c:strCache>
                <c:ptCount val="1"/>
                <c:pt idx="0">
                  <c:v>Lůžková rehabilitační péče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List4!$G$43:$K$43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List4!$G$54:$K$54</c:f>
              <c:numCache>
                <c:formatCode>0%</c:formatCode>
                <c:ptCount val="5"/>
                <c:pt idx="0">
                  <c:v>0.46829972466983955</c:v>
                </c:pt>
                <c:pt idx="1">
                  <c:v>0.50471211599124866</c:v>
                </c:pt>
                <c:pt idx="2">
                  <c:v>0.48743735925746279</c:v>
                </c:pt>
                <c:pt idx="3">
                  <c:v>0.4840110935959499</c:v>
                </c:pt>
                <c:pt idx="4">
                  <c:v>0.47963350318259773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B8-490C-856C-1D4C8337D2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023641631"/>
        <c:axId val="1023644127"/>
      </c:barChart>
      <c:catAx>
        <c:axId val="10236416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23644127"/>
        <c:crosses val="autoZero"/>
        <c:auto val="1"/>
        <c:lblAlgn val="ctr"/>
        <c:lblOffset val="100"/>
        <c:noMultiLvlLbl val="0"/>
      </c:catAx>
      <c:valAx>
        <c:axId val="1023644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23641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List4!$A$13</c:f>
              <c:strCache>
                <c:ptCount val="1"/>
                <c:pt idx="0">
                  <c:v>Ambulantní rehabilitační 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List4!$G$13:$K$13</c:f>
              <c:numCache>
                <c:formatCode>0.0</c:formatCode>
                <c:ptCount val="5"/>
                <c:pt idx="0">
                  <c:v>7.9959200331639853</c:v>
                </c:pt>
                <c:pt idx="1">
                  <c:v>7.6626767316508753</c:v>
                </c:pt>
                <c:pt idx="2">
                  <c:v>9.238479205046616</c:v>
                </c:pt>
                <c:pt idx="3">
                  <c:v>10.28434347353409</c:v>
                </c:pt>
                <c:pt idx="4">
                  <c:v>11.840318994999951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4-471F-B823-5B7E14D22F33}"/>
            </c:ext>
          </c:extLst>
        </c:ser>
        <c:ser>
          <c:idx val="0"/>
          <c:order val="1"/>
          <c:tx>
            <c:strRef>
              <c:f>List4!$A$12</c:f>
              <c:strCache>
                <c:ptCount val="1"/>
                <c:pt idx="0">
                  <c:v>Lůžková rehabilitační péče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List4!$G$1:$K$1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List4!$G$12:$K$12</c:f>
              <c:numCache>
                <c:formatCode>0.0</c:formatCode>
                <c:ptCount val="5"/>
                <c:pt idx="0">
                  <c:v>7.0424773575443433</c:v>
                </c:pt>
                <c:pt idx="1">
                  <c:v>7.8084805065009109</c:v>
                </c:pt>
                <c:pt idx="2">
                  <c:v>8.7856186723621885</c:v>
                </c:pt>
                <c:pt idx="3">
                  <c:v>9.6469832389065733</c:v>
                </c:pt>
                <c:pt idx="4">
                  <c:v>10.913488307000019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F4-471F-B823-5B7E14D22F3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023629567"/>
        <c:axId val="1023636223"/>
      </c:barChart>
      <c:catAx>
        <c:axId val="1023629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23636223"/>
        <c:crosses val="autoZero"/>
        <c:auto val="1"/>
        <c:lblAlgn val="ctr"/>
        <c:lblOffset val="100"/>
        <c:noMultiLvlLbl val="0"/>
      </c:catAx>
      <c:valAx>
        <c:axId val="1023636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23629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48609433409715"/>
          <c:y val="3.8749454955769591E-2"/>
          <c:w val="0.86624908450901883"/>
          <c:h val="0.72453104006088964"/>
        </c:manualLayout>
      </c:layout>
      <c:barChart>
        <c:barDir val="col"/>
        <c:grouping val="percentStacked"/>
        <c:varyColors val="0"/>
        <c:ser>
          <c:idx val="3"/>
          <c:order val="0"/>
          <c:tx>
            <c:strRef>
              <c:f>'preventivní péče'!$A$12</c:f>
              <c:strCache>
                <c:ptCount val="1"/>
                <c:pt idx="0">
                  <c:v>Programy pro sledování zdravotního stavu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péče'!$G$18:$K$18</c:f>
              <c:numCache>
                <c:formatCode>0%</c:formatCode>
                <c:ptCount val="5"/>
                <c:pt idx="0">
                  <c:v>0.60433670875543311</c:v>
                </c:pt>
                <c:pt idx="1">
                  <c:v>0.62850085237983866</c:v>
                </c:pt>
                <c:pt idx="2">
                  <c:v>0.65342993464444643</c:v>
                </c:pt>
                <c:pt idx="3">
                  <c:v>0.60709277854496269</c:v>
                </c:pt>
                <c:pt idx="4">
                  <c:v>0.66755224938009217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F2-474A-B937-CB6B05442C5D}"/>
            </c:ext>
          </c:extLst>
        </c:ser>
        <c:ser>
          <c:idx val="2"/>
          <c:order val="1"/>
          <c:tx>
            <c:strRef>
              <c:f>'preventivní péče'!$A$11</c:f>
              <c:strCache>
                <c:ptCount val="1"/>
                <c:pt idx="0">
                  <c:v>Programy pro včasné odhalení nemoci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péče'!$G$17:$K$17</c:f>
              <c:numCache>
                <c:formatCode>0%</c:formatCode>
                <c:ptCount val="5"/>
                <c:pt idx="0">
                  <c:v>0.18129261413351391</c:v>
                </c:pt>
                <c:pt idx="1">
                  <c:v>0.17925998511777153</c:v>
                </c:pt>
                <c:pt idx="2">
                  <c:v>0.16963909590725185</c:v>
                </c:pt>
                <c:pt idx="3">
                  <c:v>0.16565301168212282</c:v>
                </c:pt>
                <c:pt idx="4">
                  <c:v>0.14488133191640098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F2-474A-B937-CB6B05442C5D}"/>
            </c:ext>
          </c:extLst>
        </c:ser>
        <c:ser>
          <c:idx val="1"/>
          <c:order val="2"/>
          <c:tx>
            <c:strRef>
              <c:f>'preventivní péče'!$A$10</c:f>
              <c:strCache>
                <c:ptCount val="1"/>
                <c:pt idx="0">
                  <c:v>Imunizační programy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péče'!$G$16:$K$16</c:f>
              <c:numCache>
                <c:formatCode>0%</c:formatCode>
                <c:ptCount val="5"/>
                <c:pt idx="0">
                  <c:v>0.14038893478764447</c:v>
                </c:pt>
                <c:pt idx="1">
                  <c:v>0.1203232652507014</c:v>
                </c:pt>
                <c:pt idx="2">
                  <c:v>0.11016471780685416</c:v>
                </c:pt>
                <c:pt idx="3">
                  <c:v>0.16490546813897747</c:v>
                </c:pt>
                <c:pt idx="4">
                  <c:v>0.14957492029755579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F2-474A-B937-CB6B05442C5D}"/>
            </c:ext>
          </c:extLst>
        </c:ser>
        <c:ser>
          <c:idx val="0"/>
          <c:order val="3"/>
          <c:tx>
            <c:strRef>
              <c:f>'preventivní péče'!$A$9</c:f>
              <c:strCache>
                <c:ptCount val="1"/>
                <c:pt idx="0">
                  <c:v>Informační a poradenské programy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péče'!$G$15:$K$15</c:f>
              <c:numCache>
                <c:formatCode>0%</c:formatCode>
                <c:ptCount val="5"/>
                <c:pt idx="0">
                  <c:v>7.39817423234084E-2</c:v>
                </c:pt>
                <c:pt idx="1">
                  <c:v>7.1915897251688399E-2</c:v>
                </c:pt>
                <c:pt idx="2">
                  <c:v>6.676625164144763E-2</c:v>
                </c:pt>
                <c:pt idx="3">
                  <c:v>6.2348741633936937E-2</c:v>
                </c:pt>
                <c:pt idx="4">
                  <c:v>3.7991498405951118E-2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F2-474A-B937-CB6B05442C5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65331680"/>
        <c:axId val="277283776"/>
      </c:barChart>
      <c:catAx>
        <c:axId val="2653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283776"/>
        <c:crosses val="autoZero"/>
        <c:auto val="1"/>
        <c:lblAlgn val="ctr"/>
        <c:lblOffset val="100"/>
        <c:noMultiLvlLbl val="0"/>
      </c:catAx>
      <c:valAx>
        <c:axId val="27728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653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85040723002409"/>
          <c:y val="3.8749454955769591E-2"/>
          <c:w val="0.83188469031577228"/>
          <c:h val="0.69691960387142127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'preventivní péče'!$A$12</c:f>
              <c:strCache>
                <c:ptCount val="1"/>
                <c:pt idx="0">
                  <c:v>Programy pro sledování zdravotního stavu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péče'!$G$12:$K$12</c:f>
              <c:numCache>
                <c:formatCode>0.0</c:formatCode>
                <c:ptCount val="5"/>
                <c:pt idx="0">
                  <c:v>5.4554476809999857</c:v>
                </c:pt>
                <c:pt idx="1">
                  <c:v>6.1209676319999806</c:v>
                </c:pt>
                <c:pt idx="2">
                  <c:v>6.8872313199999757</c:v>
                </c:pt>
                <c:pt idx="3">
                  <c:v>6.5488421772999832</c:v>
                </c:pt>
                <c:pt idx="4">
                  <c:v>7.5380000000000003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7B-47E7-97EB-481C070F28E0}"/>
            </c:ext>
          </c:extLst>
        </c:ser>
        <c:ser>
          <c:idx val="2"/>
          <c:order val="1"/>
          <c:tx>
            <c:strRef>
              <c:f>'preventivní péče'!$A$11</c:f>
              <c:strCache>
                <c:ptCount val="1"/>
                <c:pt idx="0">
                  <c:v>Programy pro včasné odhalení nemoci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péče'!$G$11:$K$11</c:f>
              <c:numCache>
                <c:formatCode>0.0</c:formatCode>
                <c:ptCount val="5"/>
                <c:pt idx="0">
                  <c:v>1.6365584897099998</c:v>
                </c:pt>
                <c:pt idx="1">
                  <c:v>1.7458123763300017</c:v>
                </c:pt>
                <c:pt idx="2">
                  <c:v>1.7880167903000042</c:v>
                </c:pt>
                <c:pt idx="3">
                  <c:v>1.7869351572599992</c:v>
                </c:pt>
                <c:pt idx="4">
                  <c:v>1.6359999999999999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7B-47E7-97EB-481C070F28E0}"/>
            </c:ext>
          </c:extLst>
        </c:ser>
        <c:ser>
          <c:idx val="1"/>
          <c:order val="2"/>
          <c:tx>
            <c:strRef>
              <c:f>'preventivní péče'!$A$10</c:f>
              <c:strCache>
                <c:ptCount val="1"/>
                <c:pt idx="0">
                  <c:v>Imunizační programy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péče'!$G$10:$K$10</c:f>
              <c:numCache>
                <c:formatCode>0.0</c:formatCode>
                <c:ptCount val="5"/>
                <c:pt idx="0">
                  <c:v>1.2673141936100001</c:v>
                </c:pt>
                <c:pt idx="1">
                  <c:v>1.1718278649699998</c:v>
                </c:pt>
                <c:pt idx="2">
                  <c:v>1.1611495810200001</c:v>
                </c:pt>
                <c:pt idx="3">
                  <c:v>1.7788712420599999</c:v>
                </c:pt>
                <c:pt idx="4">
                  <c:v>1.6890000000000001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7B-47E7-97EB-481C070F28E0}"/>
            </c:ext>
          </c:extLst>
        </c:ser>
        <c:ser>
          <c:idx val="0"/>
          <c:order val="3"/>
          <c:tx>
            <c:strRef>
              <c:f>'preventivní péče'!$A$9</c:f>
              <c:strCache>
                <c:ptCount val="1"/>
                <c:pt idx="0">
                  <c:v>Informační a poradenské programy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'preventivní péče'!$G$1:$K$1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'preventivní péče'!$G$9:$K$9</c:f>
              <c:numCache>
                <c:formatCode>0.0</c:formatCode>
                <c:ptCount val="5"/>
                <c:pt idx="0">
                  <c:v>0.66784545560000008</c:v>
                </c:pt>
                <c:pt idx="1">
                  <c:v>0.70038867511000025</c:v>
                </c:pt>
                <c:pt idx="2">
                  <c:v>0.70372444702000014</c:v>
                </c:pt>
                <c:pt idx="3">
                  <c:v>0.67256947099999997</c:v>
                </c:pt>
                <c:pt idx="4">
                  <c:v>0.42899999999999999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7B-47E7-97EB-481C070F28E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265331680"/>
        <c:axId val="277283776"/>
      </c:barChart>
      <c:catAx>
        <c:axId val="2653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77283776"/>
        <c:crosses val="autoZero"/>
        <c:auto val="1"/>
        <c:lblAlgn val="ctr"/>
        <c:lblOffset val="100"/>
        <c:noMultiLvlLbl val="0"/>
      </c:catAx>
      <c:valAx>
        <c:axId val="27728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6533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095665232567577E-2"/>
          <c:y val="0.82393744592774298"/>
          <c:w val="0.93890447557081325"/>
          <c:h val="0.176062537199701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doplň.služby!$A$13</c:f>
              <c:strCache>
                <c:ptCount val="1"/>
                <c:pt idx="0">
                  <c:v>Laboratorní služby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doplň.služby!$G$1:$K$1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doplň.služby!$G$13:$K$13</c:f>
              <c:numCache>
                <c:formatCode>0%</c:formatCode>
                <c:ptCount val="5"/>
                <c:pt idx="0">
                  <c:v>0.55065036904632203</c:v>
                </c:pt>
                <c:pt idx="1">
                  <c:v>0.5483618476607155</c:v>
                </c:pt>
                <c:pt idx="2">
                  <c:v>0.54666343491693614</c:v>
                </c:pt>
                <c:pt idx="3">
                  <c:v>0.55538934746745672</c:v>
                </c:pt>
                <c:pt idx="4">
                  <c:v>0.55605326219696249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CA-4234-92EB-967E42A95F2F}"/>
            </c:ext>
          </c:extLst>
        </c:ser>
        <c:ser>
          <c:idx val="1"/>
          <c:order val="1"/>
          <c:tx>
            <c:strRef>
              <c:f>doplň.služby!$A$14</c:f>
              <c:strCache>
                <c:ptCount val="1"/>
                <c:pt idx="0">
                  <c:v>Zobrazovací metody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doplň.služby!$G$1:$K$1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doplň.služby!$G$14:$K$14</c:f>
              <c:numCache>
                <c:formatCode>0%</c:formatCode>
                <c:ptCount val="5"/>
                <c:pt idx="0">
                  <c:v>0.26196517423363519</c:v>
                </c:pt>
                <c:pt idx="1">
                  <c:v>0.26040847272735823</c:v>
                </c:pt>
                <c:pt idx="2">
                  <c:v>0.25627396715175882</c:v>
                </c:pt>
                <c:pt idx="3">
                  <c:v>0.2632452834765811</c:v>
                </c:pt>
                <c:pt idx="4">
                  <c:v>0.26415205566897426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CA-4234-92EB-967E42A95F2F}"/>
            </c:ext>
          </c:extLst>
        </c:ser>
        <c:ser>
          <c:idx val="2"/>
          <c:order val="2"/>
          <c:tx>
            <c:strRef>
              <c:f>doplň.služby!$A$15</c:f>
              <c:strCache>
                <c:ptCount val="1"/>
                <c:pt idx="0">
                  <c:v>Doprava pacientů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doplň.služby!$G$1:$K$1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doplň.služby!$G$15:$K$15</c:f>
              <c:numCache>
                <c:formatCode>0%</c:formatCode>
                <c:ptCount val="5"/>
                <c:pt idx="0">
                  <c:v>0.18738445672004289</c:v>
                </c:pt>
                <c:pt idx="1">
                  <c:v>0.19122967961192636</c:v>
                </c:pt>
                <c:pt idx="2">
                  <c:v>0.19706259793130507</c:v>
                </c:pt>
                <c:pt idx="3">
                  <c:v>0.18136536905596223</c:v>
                </c:pt>
                <c:pt idx="4">
                  <c:v>0.17979468213406319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CA-4234-92EB-967E42A95F2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174533391"/>
        <c:axId val="1174511343"/>
      </c:barChart>
      <c:catAx>
        <c:axId val="1174533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4511343"/>
        <c:crosses val="autoZero"/>
        <c:auto val="1"/>
        <c:lblAlgn val="ctr"/>
        <c:lblOffset val="100"/>
        <c:noMultiLvlLbl val="0"/>
      </c:catAx>
      <c:valAx>
        <c:axId val="1174511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45333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'celkové výdaje'!$A$6</c:f>
              <c:strCache>
                <c:ptCount val="1"/>
                <c:pt idx="0">
                  <c:v>1 oby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'celkové výdaje'!$B$1:$K$1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'celkové výdaje'!$B$6:$K$6</c:f>
              <c:numCache>
                <c:formatCode>#,##0</c:formatCode>
                <c:ptCount val="10"/>
                <c:pt idx="0">
                  <c:v>31803.747956002218</c:v>
                </c:pt>
                <c:pt idx="1">
                  <c:v>32251.959847474245</c:v>
                </c:pt>
                <c:pt idx="2">
                  <c:v>32622.3745972918</c:v>
                </c:pt>
                <c:pt idx="3">
                  <c:v>32977.030800748442</c:v>
                </c:pt>
                <c:pt idx="4">
                  <c:v>33295.141535884926</c:v>
                </c:pt>
                <c:pt idx="5">
                  <c:v>33512.051028317081</c:v>
                </c:pt>
                <c:pt idx="6">
                  <c:v>34394.322902144158</c:v>
                </c:pt>
                <c:pt idx="7">
                  <c:v>36659.478836074239</c:v>
                </c:pt>
                <c:pt idx="8">
                  <c:v>40852.876512569361</c:v>
                </c:pt>
                <c:pt idx="9">
                  <c:v>44775.466245479234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CA-4F97-8B26-DB3B4484519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7"/>
        <c:axId val="1862511695"/>
        <c:axId val="1862529167"/>
      </c:barChart>
      <c:catAx>
        <c:axId val="186251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62529167"/>
        <c:crosses val="autoZero"/>
        <c:auto val="1"/>
        <c:lblAlgn val="ctr"/>
        <c:lblOffset val="100"/>
        <c:noMultiLvlLbl val="0"/>
      </c:catAx>
      <c:valAx>
        <c:axId val="1862529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  <a:p>
                <a:pPr>
                  <a:defRPr/>
                </a:pPr>
                <a:r>
                  <a:rPr lang="cs-CZ"/>
                  <a:t>tis.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862511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doplň.služby!$A$8</c:f>
              <c:strCache>
                <c:ptCount val="1"/>
                <c:pt idx="0">
                  <c:v>Laboratorní služby (2)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doplň.služby!$G$1:$K$1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doplň.služby!$G$8:$K$8</c:f>
              <c:numCache>
                <c:formatCode>0.0</c:formatCode>
                <c:ptCount val="5"/>
                <c:pt idx="0">
                  <c:v>22.037008530000023</c:v>
                </c:pt>
                <c:pt idx="1">
                  <c:v>22.527041013999931</c:v>
                </c:pt>
                <c:pt idx="2">
                  <c:v>23.793223935000093</c:v>
                </c:pt>
                <c:pt idx="3">
                  <c:v>28.334881724999814</c:v>
                </c:pt>
                <c:pt idx="4">
                  <c:v>31.065913263000056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5E-48BB-8FEB-3E57687FA404}"/>
            </c:ext>
          </c:extLst>
        </c:ser>
        <c:ser>
          <c:idx val="1"/>
          <c:order val="1"/>
          <c:tx>
            <c:strRef>
              <c:f>doplň.služby!$A$9</c:f>
              <c:strCache>
                <c:ptCount val="1"/>
                <c:pt idx="0">
                  <c:v>Zobrazovací metody (1)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doplň.služby!$G$1:$K$1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doplň.služby!$G$9:$K$9</c:f>
              <c:numCache>
                <c:formatCode>0.0</c:formatCode>
                <c:ptCount val="5"/>
                <c:pt idx="0">
                  <c:v>10.483837120000057</c:v>
                </c:pt>
                <c:pt idx="1">
                  <c:v>10.697739768999863</c:v>
                </c:pt>
                <c:pt idx="2">
                  <c:v>11.154182810999908</c:v>
                </c:pt>
                <c:pt idx="3">
                  <c:v>13.430261142000095</c:v>
                </c:pt>
                <c:pt idx="4">
                  <c:v>14.757803627000003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5E-48BB-8FEB-3E57687FA404}"/>
            </c:ext>
          </c:extLst>
        </c:ser>
        <c:ser>
          <c:idx val="2"/>
          <c:order val="2"/>
          <c:tx>
            <c:strRef>
              <c:f>doplň.služby!$A$10</c:f>
              <c:strCache>
                <c:ptCount val="1"/>
                <c:pt idx="0">
                  <c:v>Doprava pacientů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doplň.služby!$G$1:$K$1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doplň.služby!$G$10:$K$10</c:f>
              <c:numCache>
                <c:formatCode>0.0</c:formatCode>
                <c:ptCount val="5"/>
                <c:pt idx="0">
                  <c:v>7.4991194108899819</c:v>
                </c:pt>
                <c:pt idx="1">
                  <c:v>7.8558325202399812</c:v>
                </c:pt>
                <c:pt idx="2">
                  <c:v>8.5770406841000248</c:v>
                </c:pt>
                <c:pt idx="3">
                  <c:v>9.2529075407099892</c:v>
                </c:pt>
                <c:pt idx="4">
                  <c:v>10.044875877999992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5E-48BB-8FEB-3E57687FA40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1174533391"/>
        <c:axId val="1174511343"/>
      </c:barChart>
      <c:catAx>
        <c:axId val="1174533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4511343"/>
        <c:crosses val="autoZero"/>
        <c:auto val="1"/>
        <c:lblAlgn val="ctr"/>
        <c:lblOffset val="100"/>
        <c:noMultiLvlLbl val="0"/>
      </c:catAx>
      <c:valAx>
        <c:axId val="1174511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74533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990119836527092"/>
          <c:y val="2.4707996406109614E-2"/>
          <c:w val="0.51760314778114591"/>
          <c:h val="0.9219451931716082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HP_grafy!$A$14</c:f>
              <c:strCache>
                <c:ptCount val="1"/>
                <c:pt idx="0">
                  <c:v>Nemocnice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HP_grafy!$B$14:$F$14</c:f>
              <c:numCache>
                <c:formatCode>0%</c:formatCode>
                <c:ptCount val="5"/>
                <c:pt idx="0">
                  <c:v>0.38879421737471898</c:v>
                </c:pt>
                <c:pt idx="1">
                  <c:v>0.38350293330387319</c:v>
                </c:pt>
                <c:pt idx="2">
                  <c:v>0.38685846365232618</c:v>
                </c:pt>
                <c:pt idx="3">
                  <c:v>0.40111773076727564</c:v>
                </c:pt>
                <c:pt idx="4">
                  <c:v>0.3934623696900173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A-4249-8BC1-5E00C95B70F7}"/>
            </c:ext>
          </c:extLst>
        </c:ser>
        <c:ser>
          <c:idx val="2"/>
          <c:order val="1"/>
          <c:tx>
            <c:strRef>
              <c:f>HP_grafy!$A$16</c:f>
              <c:strCache>
                <c:ptCount val="1"/>
                <c:pt idx="0">
                  <c:v>Poskytovatelé ambulantní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HP_grafy!$B$16:$F$16</c:f>
              <c:numCache>
                <c:formatCode>0%</c:formatCode>
                <c:ptCount val="5"/>
                <c:pt idx="0">
                  <c:v>0.20951439439667563</c:v>
                </c:pt>
                <c:pt idx="1">
                  <c:v>0.20799902451687755</c:v>
                </c:pt>
                <c:pt idx="2">
                  <c:v>0.20347873786101892</c:v>
                </c:pt>
                <c:pt idx="3">
                  <c:v>0.2015337259810773</c:v>
                </c:pt>
                <c:pt idx="4">
                  <c:v>0.20297183731210727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7A-4249-8BC1-5E00C95B70F7}"/>
            </c:ext>
          </c:extLst>
        </c:ser>
        <c:ser>
          <c:idx val="4"/>
          <c:order val="2"/>
          <c:tx>
            <c:strRef>
              <c:f>HP_grafy!$A$18</c:f>
              <c:strCache>
                <c:ptCount val="1"/>
                <c:pt idx="0">
                  <c:v>Lékárny a ostatní prodejci zdravotnického zboží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HP_grafy!$B$18:$F$18</c:f>
              <c:numCache>
                <c:formatCode>0%</c:formatCode>
                <c:ptCount val="5"/>
                <c:pt idx="0">
                  <c:v>0.15997983221404219</c:v>
                </c:pt>
                <c:pt idx="1">
                  <c:v>0.16027004420522792</c:v>
                </c:pt>
                <c:pt idx="2">
                  <c:v>0.15386438267854269</c:v>
                </c:pt>
                <c:pt idx="3">
                  <c:v>0.14116144995012694</c:v>
                </c:pt>
                <c:pt idx="4">
                  <c:v>0.14106302055525383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7A-4249-8BC1-5E00C95B70F7}"/>
            </c:ext>
          </c:extLst>
        </c:ser>
        <c:ser>
          <c:idx val="1"/>
          <c:order val="3"/>
          <c:tx>
            <c:strRef>
              <c:f>HP_grafy!$A$15</c:f>
              <c:strCache>
                <c:ptCount val="1"/>
                <c:pt idx="0">
                  <c:v>Lůžková zařízení dlouhodobé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HP_grafy!$B$15:$F$15</c:f>
              <c:numCache>
                <c:formatCode>0%</c:formatCode>
                <c:ptCount val="5"/>
                <c:pt idx="0">
                  <c:v>6.9146277877096804E-2</c:v>
                </c:pt>
                <c:pt idx="1">
                  <c:v>7.1619599649097115E-2</c:v>
                </c:pt>
                <c:pt idx="2">
                  <c:v>7.3301100284625262E-2</c:v>
                </c:pt>
                <c:pt idx="3">
                  <c:v>7.4524150946752604E-2</c:v>
                </c:pt>
                <c:pt idx="4">
                  <c:v>7.5439324803128996E-2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7A-4249-8BC1-5E00C95B70F7}"/>
            </c:ext>
          </c:extLst>
        </c:ser>
        <c:ser>
          <c:idx val="7"/>
          <c:order val="4"/>
          <c:tx>
            <c:strRef>
              <c:f>HP_grafy!$A$21</c:f>
              <c:strCache>
                <c:ptCount val="1"/>
                <c:pt idx="0">
                  <c:v>Ostatní odvětví ekonomiky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HP_grafy!$B$21:$F$21</c:f>
              <c:numCache>
                <c:formatCode>0%</c:formatCode>
                <c:ptCount val="5"/>
                <c:pt idx="0">
                  <c:v>6.6583290731249023E-2</c:v>
                </c:pt>
                <c:pt idx="1">
                  <c:v>7.041253019224375E-2</c:v>
                </c:pt>
                <c:pt idx="2">
                  <c:v>6.9349064851084788E-2</c:v>
                </c:pt>
                <c:pt idx="3">
                  <c:v>6.6986366289704849E-2</c:v>
                </c:pt>
                <c:pt idx="4">
                  <c:v>7.0113712187888116E-2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7A-4249-8BC1-5E00C95B70F7}"/>
            </c:ext>
          </c:extLst>
        </c:ser>
        <c:ser>
          <c:idx val="3"/>
          <c:order val="5"/>
          <c:tx>
            <c:strRef>
              <c:f>HP_grafy!$A$17</c:f>
              <c:strCache>
                <c:ptCount val="1"/>
                <c:pt idx="0">
                  <c:v>Poskytovatelé doplňkových služeb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HP_grafy!$B$17:$F$17</c:f>
              <c:numCache>
                <c:formatCode>0%</c:formatCode>
                <c:ptCount val="5"/>
                <c:pt idx="0">
                  <c:v>3.3851610114468099E-2</c:v>
                </c:pt>
                <c:pt idx="1">
                  <c:v>3.574419953366953E-2</c:v>
                </c:pt>
                <c:pt idx="2">
                  <c:v>3.9399335145777287E-2</c:v>
                </c:pt>
                <c:pt idx="3">
                  <c:v>3.8900923275965421E-2</c:v>
                </c:pt>
                <c:pt idx="4">
                  <c:v>3.721724967624078E-2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47A-4249-8BC1-5E00C95B70F7}"/>
            </c:ext>
          </c:extLst>
        </c:ser>
        <c:ser>
          <c:idx val="6"/>
          <c:order val="6"/>
          <c:tx>
            <c:strRef>
              <c:f>HP_grafy!$A$20</c:f>
              <c:strCache>
                <c:ptCount val="1"/>
                <c:pt idx="0">
                  <c:v>Správa systému zdravotní péče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HP_grafy!$B$20:$F$20</c:f>
              <c:numCache>
                <c:formatCode>0%</c:formatCode>
                <c:ptCount val="5"/>
                <c:pt idx="0">
                  <c:v>3.0731457465036353E-2</c:v>
                </c:pt>
                <c:pt idx="1">
                  <c:v>3.0493307928981386E-2</c:v>
                </c:pt>
                <c:pt idx="2">
                  <c:v>2.7278103876933697E-2</c:v>
                </c:pt>
                <c:pt idx="3">
                  <c:v>2.8438262375755533E-2</c:v>
                </c:pt>
                <c:pt idx="4">
                  <c:v>2.6491792644091232E-2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7A-4249-8BC1-5E00C95B70F7}"/>
            </c:ext>
          </c:extLst>
        </c:ser>
        <c:ser>
          <c:idx val="5"/>
          <c:order val="7"/>
          <c:tx>
            <c:strRef>
              <c:f>HP_grafy!$A$19</c:f>
              <c:strCache>
                <c:ptCount val="1"/>
                <c:pt idx="0">
                  <c:v>Poskytovatelé preventivní péče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HP_grafy!$B$19:$F$19</c:f>
              <c:numCache>
                <c:formatCode>0%</c:formatCode>
                <c:ptCount val="5"/>
                <c:pt idx="0">
                  <c:v>2.1899428135350547E-3</c:v>
                </c:pt>
                <c:pt idx="1">
                  <c:v>2.2870669934575514E-3</c:v>
                </c:pt>
                <c:pt idx="2">
                  <c:v>8.0484748064084729E-3</c:v>
                </c:pt>
                <c:pt idx="3">
                  <c:v>4.4754944320497094E-3</c:v>
                </c:pt>
                <c:pt idx="4">
                  <c:v>7.153668949387005E-3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47A-4249-8BC1-5E00C95B70F7}"/>
            </c:ext>
          </c:extLst>
        </c:ser>
        <c:ser>
          <c:idx val="8"/>
          <c:order val="8"/>
          <c:tx>
            <c:strRef>
              <c:f>HP_grafy!$A$22</c:f>
              <c:strCache>
                <c:ptCount val="1"/>
                <c:pt idx="0">
                  <c:v>Ostatní nerozlišeno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HP_grafy!$B$13:$F$13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HP_grafy!$B$22:$F$22</c:f>
              <c:numCache>
                <c:formatCode>0%</c:formatCode>
                <c:ptCount val="5"/>
                <c:pt idx="0">
                  <c:v>3.9208977013178069E-2</c:v>
                </c:pt>
                <c:pt idx="1">
                  <c:v>3.7671293676572015E-2</c:v>
                </c:pt>
                <c:pt idx="2">
                  <c:v>3.8422336843282973E-2</c:v>
                </c:pt>
                <c:pt idx="3">
                  <c:v>4.2861895981292066E-2</c:v>
                </c:pt>
                <c:pt idx="4">
                  <c:v>4.6087024181885393E-2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7A-4249-8BC1-5E00C95B70F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0"/>
        <c:overlap val="100"/>
        <c:axId val="1188503439"/>
        <c:axId val="1188497615"/>
      </c:barChart>
      <c:catAx>
        <c:axId val="1188503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88497615"/>
        <c:crosses val="autoZero"/>
        <c:auto val="1"/>
        <c:lblAlgn val="ctr"/>
        <c:lblOffset val="100"/>
        <c:noMultiLvlLbl val="0"/>
      </c:catAx>
      <c:valAx>
        <c:axId val="1188497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88503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2.3179447556499904E-2"/>
          <c:y val="5.2262453042426299E-2"/>
          <c:w val="0.29083757808234179"/>
          <c:h val="0.89322891242368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550898626460929"/>
          <c:y val="2.4844720496894408E-2"/>
          <c:w val="0.76256748293529619"/>
          <c:h val="0.926030491247882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HP_grafy!$H$2</c:f>
              <c:strCache>
                <c:ptCount val="1"/>
                <c:pt idx="0">
                  <c:v>Nemocnice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HP_grafy!$I$2:$M$2</c:f>
              <c:numCache>
                <c:formatCode>0.0</c:formatCode>
                <c:ptCount val="5"/>
                <c:pt idx="0">
                  <c:v>137.36706618997758</c:v>
                </c:pt>
                <c:pt idx="1">
                  <c:v>139.35951617458045</c:v>
                </c:pt>
                <c:pt idx="2">
                  <c:v>150.18097182601019</c:v>
                </c:pt>
                <c:pt idx="3">
                  <c:v>174.1333225644135</c:v>
                </c:pt>
                <c:pt idx="4">
                  <c:v>187.96640003100214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8-4F1E-8C18-1FFC69BD97A7}"/>
            </c:ext>
          </c:extLst>
        </c:ser>
        <c:ser>
          <c:idx val="2"/>
          <c:order val="1"/>
          <c:tx>
            <c:strRef>
              <c:f>HP_grafy!$H$4</c:f>
              <c:strCache>
                <c:ptCount val="1"/>
                <c:pt idx="0">
                  <c:v>Poskytovatelé ambulantní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HP_grafy!$I$4:$M$4</c:f>
              <c:numCache>
                <c:formatCode>0.0</c:formatCode>
                <c:ptCount val="5"/>
                <c:pt idx="0">
                  <c:v>74.024706121343229</c:v>
                </c:pt>
                <c:pt idx="1">
                  <c:v>75.58388972865778</c:v>
                </c:pt>
                <c:pt idx="2">
                  <c:v>78.991769520547876</c:v>
                </c:pt>
                <c:pt idx="3">
                  <c:v>87.489867991480239</c:v>
                </c:pt>
                <c:pt idx="4">
                  <c:v>96.964509203999256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F8-4F1E-8C18-1FFC69BD97A7}"/>
            </c:ext>
          </c:extLst>
        </c:ser>
        <c:ser>
          <c:idx val="4"/>
          <c:order val="2"/>
          <c:tx>
            <c:strRef>
              <c:f>HP_grafy!$H$6</c:f>
              <c:strCache>
                <c:ptCount val="1"/>
                <c:pt idx="0">
                  <c:v>lékárny a ostatní prodejci zdravotnického zboží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HP_grafy!$I$6:$M$6</c:f>
              <c:numCache>
                <c:formatCode>0.0</c:formatCode>
                <c:ptCount val="5"/>
                <c:pt idx="0">
                  <c:v>56.523372053209997</c:v>
                </c:pt>
                <c:pt idx="1">
                  <c:v>58.239856538520009</c:v>
                </c:pt>
                <c:pt idx="2">
                  <c:v>59.731154132999997</c:v>
                </c:pt>
                <c:pt idx="3">
                  <c:v>61.281041480780011</c:v>
                </c:pt>
                <c:pt idx="4">
                  <c:v>67.389184313000001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F8-4F1E-8C18-1FFC69BD97A7}"/>
            </c:ext>
          </c:extLst>
        </c:ser>
        <c:ser>
          <c:idx val="1"/>
          <c:order val="3"/>
          <c:tx>
            <c:strRef>
              <c:f>HP_grafy!$H$3</c:f>
              <c:strCache>
                <c:ptCount val="1"/>
                <c:pt idx="0">
                  <c:v>Lůžková zařízení dlouhodobé péče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HP_grafy!$I$3:$M$3</c:f>
              <c:numCache>
                <c:formatCode>0.0</c:formatCode>
                <c:ptCount val="5"/>
                <c:pt idx="0">
                  <c:v>24.430459367607266</c:v>
                </c:pt>
                <c:pt idx="1">
                  <c:v>26.02554475849826</c:v>
                </c:pt>
                <c:pt idx="2">
                  <c:v>28.455963901449621</c:v>
                </c:pt>
                <c:pt idx="3">
                  <c:v>32.352441740300719</c:v>
                </c:pt>
                <c:pt idx="4">
                  <c:v>36.03917272999999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F8-4F1E-8C18-1FFC69BD97A7}"/>
            </c:ext>
          </c:extLst>
        </c:ser>
        <c:ser>
          <c:idx val="7"/>
          <c:order val="4"/>
          <c:tx>
            <c:strRef>
              <c:f>HP_grafy!$H$9</c:f>
              <c:strCache>
                <c:ptCount val="1"/>
                <c:pt idx="0">
                  <c:v>Ostatní odvětví ekonomiky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HP_grafy!$I$9:$M$9</c:f>
              <c:numCache>
                <c:formatCode>0.0</c:formatCode>
                <c:ptCount val="5"/>
                <c:pt idx="0">
                  <c:v>23.524916000000001</c:v>
                </c:pt>
                <c:pt idx="1">
                  <c:v>25.586912870999999</c:v>
                </c:pt>
                <c:pt idx="2">
                  <c:v>26.921758041</c:v>
                </c:pt>
                <c:pt idx="3">
                  <c:v>29.080136912</c:v>
                </c:pt>
                <c:pt idx="4">
                  <c:v>33.494999999999997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F8-4F1E-8C18-1FFC69BD97A7}"/>
            </c:ext>
          </c:extLst>
        </c:ser>
        <c:ser>
          <c:idx val="3"/>
          <c:order val="5"/>
          <c:tx>
            <c:strRef>
              <c:f>HP_grafy!$H$5</c:f>
              <c:strCache>
                <c:ptCount val="1"/>
                <c:pt idx="0">
                  <c:v>Poskytovatelé doplňkových služeb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HP_grafy!$I$5:$M$5</c:f>
              <c:numCache>
                <c:formatCode>0.0</c:formatCode>
                <c:ptCount val="5"/>
                <c:pt idx="0">
                  <c:v>11.96030228698001</c:v>
                </c:pt>
                <c:pt idx="1">
                  <c:v>12.98893416575998</c:v>
                </c:pt>
                <c:pt idx="2">
                  <c:v>15.295078167940021</c:v>
                </c:pt>
                <c:pt idx="3">
                  <c:v>16.88767785933991</c:v>
                </c:pt>
                <c:pt idx="4">
                  <c:v>17.779571770000061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F8-4F1E-8C18-1FFC69BD97A7}"/>
            </c:ext>
          </c:extLst>
        </c:ser>
        <c:ser>
          <c:idx val="6"/>
          <c:order val="6"/>
          <c:tx>
            <c:strRef>
              <c:f>HP_grafy!$H$8</c:f>
              <c:strCache>
                <c:ptCount val="1"/>
                <c:pt idx="0">
                  <c:v>Správa systému zdravotní péče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HP_grafy!$I$8:$M$8</c:f>
              <c:numCache>
                <c:formatCode>0.0</c:formatCode>
                <c:ptCount val="5"/>
                <c:pt idx="0">
                  <c:v>10.857903649439999</c:v>
                </c:pt>
                <c:pt idx="1">
                  <c:v>11.080834774680001</c:v>
                </c:pt>
                <c:pt idx="2">
                  <c:v>10.58953734948</c:v>
                </c:pt>
                <c:pt idx="3">
                  <c:v>12.34562507615</c:v>
                </c:pt>
                <c:pt idx="4">
                  <c:v>12.655764000000001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F8-4F1E-8C18-1FFC69BD97A7}"/>
            </c:ext>
          </c:extLst>
        </c:ser>
        <c:ser>
          <c:idx val="5"/>
          <c:order val="7"/>
          <c:tx>
            <c:strRef>
              <c:f>HP_grafy!$H$7</c:f>
              <c:strCache>
                <c:ptCount val="1"/>
                <c:pt idx="0">
                  <c:v>Poskytovatelé preventivní péče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HP_grafy!$I$7:$M$7</c:f>
              <c:numCache>
                <c:formatCode>0.0</c:formatCode>
                <c:ptCount val="5"/>
                <c:pt idx="0">
                  <c:v>0.77374098167000305</c:v>
                </c:pt>
                <c:pt idx="1">
                  <c:v>0.83108764493999698</c:v>
                </c:pt>
                <c:pt idx="2">
                  <c:v>3.1244702693899966</c:v>
                </c:pt>
                <c:pt idx="3">
                  <c:v>1.9429026836599987</c:v>
                </c:pt>
                <c:pt idx="4">
                  <c:v>3.4174790348799964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F8-4F1E-8C18-1FFC69BD97A7}"/>
            </c:ext>
          </c:extLst>
        </c:ser>
        <c:ser>
          <c:idx val="8"/>
          <c:order val="8"/>
          <c:tx>
            <c:strRef>
              <c:f>HP_grafy!$H$10</c:f>
              <c:strCache>
                <c:ptCount val="1"/>
                <c:pt idx="0">
                  <c:v>Ostatní nerozlišeno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HP_grafy!$I$1:$M$1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HP_grafy!$I$10:$M$10</c:f>
              <c:numCache>
                <c:formatCode>0.0</c:formatCode>
                <c:ptCount val="5"/>
                <c:pt idx="0">
                  <c:v>13.853143642359028</c:v>
                </c:pt>
                <c:pt idx="1">
                  <c:v>13.689212792220868</c:v>
                </c:pt>
                <c:pt idx="2">
                  <c:v>14.915801072240175</c:v>
                </c:pt>
                <c:pt idx="3">
                  <c:v>18.607216251337995</c:v>
                </c:pt>
                <c:pt idx="4">
                  <c:v>22.016875541200012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F8-4F1E-8C18-1FFC69BD97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165653759"/>
        <c:axId val="1165661247"/>
      </c:barChart>
      <c:catAx>
        <c:axId val="1165653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65661247"/>
        <c:crosses val="autoZero"/>
        <c:auto val="1"/>
        <c:lblAlgn val="ctr"/>
        <c:lblOffset val="100"/>
        <c:noMultiLvlLbl val="0"/>
      </c:catAx>
      <c:valAx>
        <c:axId val="1165661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656537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672088664783266"/>
          <c:y val="9.8736938340597852E-2"/>
          <c:w val="0.35618263010753037"/>
          <c:h val="0.5613880930460143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AD8-4563-8A04-D0421DD5FC2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AD8-4563-8A04-D0421DD5FC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AD8-4563-8A04-D0421DD5FC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AD8-4563-8A04-D0421DD5FC2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AD8-4563-8A04-D0421DD5FC2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AD8-4563-8A04-D0421DD5FC2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CAD8-4563-8A04-D0421DD5FC2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CAD8-4563-8A04-D0421DD5FC2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CAD8-4563-8A04-D0421DD5FC2F}"/>
              </c:ext>
            </c:extLst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CAD8-4563-8A04-D0421DD5FC2F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CAD8-4563-8A04-D0421DD5FC2F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CAD8-4563-8A04-D0421DD5FC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nemocnice!$A$19:$A$27</c:f>
              <c:strCache>
                <c:ptCount val="9"/>
                <c:pt idx="0">
                  <c:v> Lůžková léčebná péče</c:v>
                </c:pt>
                <c:pt idx="1">
                  <c:v> Ambulantní léčebná péče</c:v>
                </c:pt>
                <c:pt idx="2">
                  <c:v>Doplňkové služby</c:v>
                </c:pt>
                <c:pt idx="3">
                  <c:v>Dlouhodobá zdravotní péče</c:v>
                </c:pt>
                <c:pt idx="4">
                  <c:v> Lůžková rehabilitační péče</c:v>
                </c:pt>
                <c:pt idx="5">
                  <c:v>Léčiva a ostatní zdravotnický materiál (1)</c:v>
                </c:pt>
                <c:pt idx="6">
                  <c:v> Denní léčebná péče</c:v>
                </c:pt>
                <c:pt idx="7">
                  <c:v> Ambulantní rehabilitační péče</c:v>
                </c:pt>
                <c:pt idx="8">
                  <c:v>Ostatní</c:v>
                </c:pt>
              </c:strCache>
            </c:strRef>
          </c:cat>
          <c:val>
            <c:numRef>
              <c:f>nemocnice!$B$19:$B$27</c:f>
              <c:numCache>
                <c:formatCode>0%</c:formatCode>
                <c:ptCount val="9"/>
                <c:pt idx="0">
                  <c:v>0.33469684096531649</c:v>
                </c:pt>
                <c:pt idx="1">
                  <c:v>0.24096360667934441</c:v>
                </c:pt>
                <c:pt idx="2">
                  <c:v>0.18506411020939173</c:v>
                </c:pt>
                <c:pt idx="3">
                  <c:v>8.6182162308413551E-2</c:v>
                </c:pt>
                <c:pt idx="4">
                  <c:v>5.7614523410640647E-2</c:v>
                </c:pt>
                <c:pt idx="5">
                  <c:v>5.0167580585917242E-2</c:v>
                </c:pt>
                <c:pt idx="6">
                  <c:v>2.1778629235463441E-2</c:v>
                </c:pt>
                <c:pt idx="7">
                  <c:v>1.7756594430969979E-2</c:v>
                </c:pt>
                <c:pt idx="8">
                  <c:v>5.7759521745425297E-3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AD8-4563-8A04-D0421DD5FC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D9D9D9"/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HF!$A$21</c:f>
              <c:strCache>
                <c:ptCount val="1"/>
                <c:pt idx="0">
                  <c:v>veřejné zdravotní pojišťovny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HF!$B$21:$F$21</c:f>
              <c:numCache>
                <c:formatCode>0%</c:formatCode>
                <c:ptCount val="5"/>
                <c:pt idx="0">
                  <c:v>0.66360071456782832</c:v>
                </c:pt>
                <c:pt idx="1">
                  <c:v>0.65412702196037609</c:v>
                </c:pt>
                <c:pt idx="2">
                  <c:v>0.64957334333437566</c:v>
                </c:pt>
                <c:pt idx="3">
                  <c:v>0.65399695350989517</c:v>
                </c:pt>
                <c:pt idx="4">
                  <c:v>0.64841570265217796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BE-4CA6-A307-1B66ABE6A37D}"/>
            </c:ext>
          </c:extLst>
        </c:ser>
        <c:ser>
          <c:idx val="1"/>
          <c:order val="1"/>
          <c:tx>
            <c:strRef>
              <c:f>HF!$A$22</c:f>
              <c:strCache>
                <c:ptCount val="1"/>
                <c:pt idx="0">
                  <c:v>veřejné rozpočty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HF!$B$22:$F$22</c:f>
              <c:numCache>
                <c:formatCode>0%</c:formatCode>
                <c:ptCount val="5"/>
                <c:pt idx="0">
                  <c:v>0.16670280982081395</c:v>
                </c:pt>
                <c:pt idx="1">
                  <c:v>0.17201937234275794</c:v>
                </c:pt>
                <c:pt idx="2">
                  <c:v>0.17996741997413504</c:v>
                </c:pt>
                <c:pt idx="3">
                  <c:v>0.1795320959374419</c:v>
                </c:pt>
                <c:pt idx="4">
                  <c:v>0.18000560014492514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BE-4CA6-A307-1B66ABE6A37D}"/>
            </c:ext>
          </c:extLst>
        </c:ser>
        <c:ser>
          <c:idx val="2"/>
          <c:order val="2"/>
          <c:tx>
            <c:strRef>
              <c:f>HF!$A$23</c:f>
              <c:strCache>
                <c:ptCount val="1"/>
                <c:pt idx="0">
                  <c:v>přímé platby domácností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HF!$B$23:$F$23</c:f>
              <c:numCache>
                <c:formatCode>0%</c:formatCode>
                <c:ptCount val="5"/>
                <c:pt idx="0">
                  <c:v>0.1433109620035696</c:v>
                </c:pt>
                <c:pt idx="1">
                  <c:v>0.14572391529778803</c:v>
                </c:pt>
                <c:pt idx="2">
                  <c:v>0.14134229951643199</c:v>
                </c:pt>
                <c:pt idx="3">
                  <c:v>0.13209243822791486</c:v>
                </c:pt>
                <c:pt idx="4">
                  <c:v>0.13117655195783903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BE-4CA6-A307-1B66ABE6A37D}"/>
            </c:ext>
          </c:extLst>
        </c:ser>
        <c:ser>
          <c:idx val="3"/>
          <c:order val="3"/>
          <c:tx>
            <c:strRef>
              <c:f>HF!$A$24</c:f>
              <c:strCache>
                <c:ptCount val="1"/>
                <c:pt idx="0">
                  <c:v>ostatní soukromé zdroje (1)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HF!$B$24:$F$24</c:f>
              <c:numCache>
                <c:formatCode>0%</c:formatCode>
                <c:ptCount val="5"/>
                <c:pt idx="0">
                  <c:v>2.6385513607788156E-2</c:v>
                </c:pt>
                <c:pt idx="1">
                  <c:v>2.8129690399077915E-2</c:v>
                </c:pt>
                <c:pt idx="2">
                  <c:v>2.9116937175057273E-2</c:v>
                </c:pt>
                <c:pt idx="3">
                  <c:v>3.4378512324748117E-2</c:v>
                </c:pt>
                <c:pt idx="4">
                  <c:v>3.7532782870677454E-2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BE-4CA6-A307-1B66ABE6A37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100"/>
        <c:axId val="281270672"/>
        <c:axId val="280918784"/>
      </c:barChart>
      <c:catAx>
        <c:axId val="28127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0918784"/>
        <c:crosses val="autoZero"/>
        <c:auto val="1"/>
        <c:lblAlgn val="ctr"/>
        <c:lblOffset val="100"/>
        <c:noMultiLvlLbl val="0"/>
      </c:catAx>
      <c:valAx>
        <c:axId val="2809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7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86094849926953"/>
          <c:y val="3.292181069958848E-2"/>
          <c:w val="0.75491226449714044"/>
          <c:h val="0.761486406791743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HF!$A$16</c:f>
              <c:strCache>
                <c:ptCount val="1"/>
                <c:pt idx="0">
                  <c:v>Veřejné zdravotní pojišťovny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HF!$B$16:$F$16</c:f>
              <c:numCache>
                <c:formatCode>#\ ##0.0</c:formatCode>
                <c:ptCount val="5"/>
                <c:pt idx="0">
                  <c:v>234.46</c:v>
                </c:pt>
                <c:pt idx="1">
                  <c:v>237.7</c:v>
                </c:pt>
                <c:pt idx="2">
                  <c:v>252.17</c:v>
                </c:pt>
                <c:pt idx="3">
                  <c:v>283.98</c:v>
                </c:pt>
                <c:pt idx="4">
                  <c:v>309.76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88-4F35-8298-1658171BC9DD}"/>
            </c:ext>
          </c:extLst>
        </c:ser>
        <c:ser>
          <c:idx val="1"/>
          <c:order val="1"/>
          <c:tx>
            <c:strRef>
              <c:f>HF!$A$17</c:f>
              <c:strCache>
                <c:ptCount val="1"/>
                <c:pt idx="0">
                  <c:v>Veřejné rozpočty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HF!$B$17:$F$17</c:f>
              <c:numCache>
                <c:formatCode>#\ ##0.0</c:formatCode>
                <c:ptCount val="5"/>
                <c:pt idx="0">
                  <c:v>58.9</c:v>
                </c:pt>
                <c:pt idx="1">
                  <c:v>62.51</c:v>
                </c:pt>
                <c:pt idx="2">
                  <c:v>69.87</c:v>
                </c:pt>
                <c:pt idx="3">
                  <c:v>77.94</c:v>
                </c:pt>
                <c:pt idx="4">
                  <c:v>85.992999999999995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88-4F35-8298-1658171BC9DD}"/>
            </c:ext>
          </c:extLst>
        </c:ser>
        <c:ser>
          <c:idx val="2"/>
          <c:order val="2"/>
          <c:tx>
            <c:strRef>
              <c:f>HF!$A$18</c:f>
              <c:strCache>
                <c:ptCount val="1"/>
                <c:pt idx="0">
                  <c:v>Přímé platby domácností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HF!$B$18:$F$18</c:f>
              <c:numCache>
                <c:formatCode>#\ ##0.0</c:formatCode>
                <c:ptCount val="5"/>
                <c:pt idx="0">
                  <c:v>50.63</c:v>
                </c:pt>
                <c:pt idx="1">
                  <c:v>52.95</c:v>
                </c:pt>
                <c:pt idx="2">
                  <c:v>54.87</c:v>
                </c:pt>
                <c:pt idx="3">
                  <c:v>57.34</c:v>
                </c:pt>
                <c:pt idx="4">
                  <c:v>63.73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88-4F35-8298-1658171BC9DD}"/>
            </c:ext>
          </c:extLst>
        </c:ser>
        <c:ser>
          <c:idx val="3"/>
          <c:order val="3"/>
          <c:tx>
            <c:strRef>
              <c:f>HF!$A$19</c:f>
              <c:strCache>
                <c:ptCount val="1"/>
                <c:pt idx="0">
                  <c:v>Ostatní soukromé zdroje (1)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HF!$B$15:$F$15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HF!$B$19:$F$19</c:f>
              <c:numCache>
                <c:formatCode>#\ ##0.0</c:formatCode>
                <c:ptCount val="5"/>
                <c:pt idx="0">
                  <c:v>9.32</c:v>
                </c:pt>
                <c:pt idx="1">
                  <c:v>10.220000000000001</c:v>
                </c:pt>
                <c:pt idx="2">
                  <c:v>11.3</c:v>
                </c:pt>
                <c:pt idx="3">
                  <c:v>14.92</c:v>
                </c:pt>
                <c:pt idx="4">
                  <c:v>18.239999999999998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88-4F35-8298-1658171BC9D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281270672"/>
        <c:axId val="280918784"/>
      </c:barChart>
      <c:catAx>
        <c:axId val="28127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0918784"/>
        <c:crosses val="autoZero"/>
        <c:auto val="1"/>
        <c:lblAlgn val="ctr"/>
        <c:lblOffset val="100"/>
        <c:noMultiLvlLbl val="0"/>
      </c:catAx>
      <c:valAx>
        <c:axId val="2809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7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2"/>
          <c:order val="0"/>
          <c:tx>
            <c:strRef>
              <c:f>HF!$A$45</c:f>
              <c:strCache>
                <c:ptCount val="1"/>
                <c:pt idx="0">
                  <c:v>Veřejné zdravotní pojištění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HF!$S$1:$W$1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HF!$B$45:$F$45</c:f>
              <c:numCache>
                <c:formatCode>0%</c:formatCode>
                <c:ptCount val="5"/>
                <c:pt idx="0">
                  <c:v>0.7992255223122523</c:v>
                </c:pt>
                <c:pt idx="1">
                  <c:v>0.79177908797175311</c:v>
                </c:pt>
                <c:pt idx="2">
                  <c:v>0.78305328956970244</c:v>
                </c:pt>
                <c:pt idx="3">
                  <c:v>0.78461207074129113</c:v>
                </c:pt>
                <c:pt idx="4">
                  <c:v>0.78271249237899898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D-45DF-82BA-12170A11A8E9}"/>
            </c:ext>
          </c:extLst>
        </c:ser>
        <c:ser>
          <c:idx val="0"/>
          <c:order val="1"/>
          <c:tx>
            <c:strRef>
              <c:f>HF!$M$4</c:f>
              <c:strCache>
                <c:ptCount val="1"/>
                <c:pt idx="0">
                  <c:v>Státní rozpočet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HF!$S$1:$W$1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HF!$B$43:$F$43</c:f>
              <c:numCache>
                <c:formatCode>0%</c:formatCode>
                <c:ptCount val="5"/>
                <c:pt idx="0">
                  <c:v>0.1793774862881316</c:v>
                </c:pt>
                <c:pt idx="1">
                  <c:v>0.18618633623130479</c:v>
                </c:pt>
                <c:pt idx="2">
                  <c:v>0.19280632730186037</c:v>
                </c:pt>
                <c:pt idx="3">
                  <c:v>0.19207546725059574</c:v>
                </c:pt>
                <c:pt idx="4">
                  <c:v>0.19395246717724463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D-45DF-82BA-12170A11A8E9}"/>
            </c:ext>
          </c:extLst>
        </c:ser>
        <c:ser>
          <c:idx val="1"/>
          <c:order val="2"/>
          <c:tx>
            <c:strRef>
              <c:f>HF!$M$5</c:f>
              <c:strCache>
                <c:ptCount val="1"/>
                <c:pt idx="0">
                  <c:v>Krajské a obecní rozpočty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HF!$S$1:$W$1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HF!$B$44:$F$44</c:f>
              <c:numCache>
                <c:formatCode>0%</c:formatCode>
                <c:ptCount val="5"/>
                <c:pt idx="0">
                  <c:v>2.1396991399616171E-2</c:v>
                </c:pt>
                <c:pt idx="1">
                  <c:v>2.2031244795309952E-2</c:v>
                </c:pt>
                <c:pt idx="2">
                  <c:v>2.4140383128437148E-2</c:v>
                </c:pt>
                <c:pt idx="3">
                  <c:v>2.3312462008113148E-2</c:v>
                </c:pt>
                <c:pt idx="4">
                  <c:v>2.3335040443756404E-2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7D-45DF-82BA-12170A11A8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616580896"/>
        <c:axId val="616586304"/>
      </c:barChart>
      <c:catAx>
        <c:axId val="61658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6586304"/>
        <c:crosses val="autoZero"/>
        <c:auto val="1"/>
        <c:lblAlgn val="ctr"/>
        <c:lblOffset val="100"/>
        <c:noMultiLvlLbl val="0"/>
      </c:catAx>
      <c:valAx>
        <c:axId val="61658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1658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2"/>
          <c:order val="0"/>
          <c:tx>
            <c:strRef>
              <c:f>HF!$A$6</c:f>
              <c:strCache>
                <c:ptCount val="1"/>
                <c:pt idx="0">
                  <c:v>Veřejné zdravotní pojištění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HF!$B$33:$F$33</c:f>
              <c:numCache>
                <c:formatCode>0.0</c:formatCode>
                <c:ptCount val="5"/>
                <c:pt idx="0">
                  <c:v>234.46</c:v>
                </c:pt>
                <c:pt idx="1">
                  <c:v>237.7</c:v>
                </c:pt>
                <c:pt idx="2">
                  <c:v>252.16900000000001</c:v>
                </c:pt>
                <c:pt idx="3">
                  <c:v>283.91330955089563</c:v>
                </c:pt>
                <c:pt idx="4">
                  <c:v>309.76375997900163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3-4DAA-9EAB-7E2D90004533}"/>
            </c:ext>
          </c:extLst>
        </c:ser>
        <c:ser>
          <c:idx val="0"/>
          <c:order val="1"/>
          <c:tx>
            <c:strRef>
              <c:f>HF!$A$4</c:f>
              <c:strCache>
                <c:ptCount val="1"/>
                <c:pt idx="0">
                  <c:v>Státní rozpočet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HF!$B$28:$F$28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HF!$B$31:$F$31</c:f>
              <c:numCache>
                <c:formatCode>0.0</c:formatCode>
                <c:ptCount val="5"/>
                <c:pt idx="0">
                  <c:v>52.622</c:v>
                </c:pt>
                <c:pt idx="1">
                  <c:v>55.895000000000003</c:v>
                </c:pt>
                <c:pt idx="2">
                  <c:v>62.09</c:v>
                </c:pt>
                <c:pt idx="3">
                  <c:v>69.502858322240002</c:v>
                </c:pt>
                <c:pt idx="4">
                  <c:v>76.757999999999996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23-4DAA-9EAB-7E2D90004533}"/>
            </c:ext>
          </c:extLst>
        </c:ser>
        <c:ser>
          <c:idx val="1"/>
          <c:order val="2"/>
          <c:tx>
            <c:strRef>
              <c:f>HF!$A$5</c:f>
              <c:strCache>
                <c:ptCount val="1"/>
                <c:pt idx="0">
                  <c:v>Krajské a obecní rozpočty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HF!$B$28:$F$28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HF!$B$32:$F$32</c:f>
              <c:numCache>
                <c:formatCode>0.0</c:formatCode>
                <c:ptCount val="5"/>
                <c:pt idx="0">
                  <c:v>6.2770000000000001</c:v>
                </c:pt>
                <c:pt idx="1">
                  <c:v>6.6139999999999999</c:v>
                </c:pt>
                <c:pt idx="2">
                  <c:v>7.774</c:v>
                </c:pt>
                <c:pt idx="3">
                  <c:v>8.4356569180099985</c:v>
                </c:pt>
                <c:pt idx="4">
                  <c:v>9.2349999999999994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23-4DAA-9EAB-7E2D9000453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556722704"/>
        <c:axId val="556711056"/>
      </c:barChart>
      <c:catAx>
        <c:axId val="55672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56711056"/>
        <c:crosses val="autoZero"/>
        <c:auto val="1"/>
        <c:lblAlgn val="ctr"/>
        <c:lblOffset val="100"/>
        <c:noMultiLvlLbl val="0"/>
      </c:catAx>
      <c:valAx>
        <c:axId val="55671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5672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64563606764345"/>
          <c:y val="0.87229823358915415"/>
          <c:w val="0.73172716701551543"/>
          <c:h val="0.11716703721969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stát.rozpočet!$A$8</c:f>
              <c:strCache>
                <c:ptCount val="1"/>
                <c:pt idx="0">
                  <c:v>  dlouhodobá 
  zdravotní péče (1)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stát.rozpočet!$G$7:$K$7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stát.rozpočet!$G$8:$K$8</c:f>
              <c:numCache>
                <c:formatCode>0%</c:formatCode>
                <c:ptCount val="5"/>
                <c:pt idx="0">
                  <c:v>0.53654469824766604</c:v>
                </c:pt>
                <c:pt idx="1">
                  <c:v>0.53467569085795874</c:v>
                </c:pt>
                <c:pt idx="2">
                  <c:v>0.54504096401873114</c:v>
                </c:pt>
                <c:pt idx="3">
                  <c:v>0.55666384046043171</c:v>
                </c:pt>
                <c:pt idx="4">
                  <c:v>0.51444448625798123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8-44F4-B398-AB983FC1A9FB}"/>
            </c:ext>
          </c:extLst>
        </c:ser>
        <c:ser>
          <c:idx val="1"/>
          <c:order val="1"/>
          <c:tx>
            <c:strRef>
              <c:f>stát.rozpočet!$A$9</c:f>
              <c:strCache>
                <c:ptCount val="1"/>
                <c:pt idx="0">
                  <c:v>  dlouhodobá 
  sociální péče (2)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stát.rozpočet!$G$7:$K$7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stát.rozpočet!$G$9:$K$9</c:f>
              <c:numCache>
                <c:formatCode>0%</c:formatCode>
                <c:ptCount val="5"/>
                <c:pt idx="0">
                  <c:v>0.35326192629126141</c:v>
                </c:pt>
                <c:pt idx="1">
                  <c:v>0.36003427946353816</c:v>
                </c:pt>
                <c:pt idx="2">
                  <c:v>0.35078456295220456</c:v>
                </c:pt>
                <c:pt idx="3">
                  <c:v>0.33814093228705033</c:v>
                </c:pt>
                <c:pt idx="4">
                  <c:v>0.33855166271528747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8-44F4-B398-AB983FC1A9FB}"/>
            </c:ext>
          </c:extLst>
        </c:ser>
        <c:ser>
          <c:idx val="2"/>
          <c:order val="2"/>
          <c:tx>
            <c:strRef>
              <c:f>stát.rozpočet!$A$10</c:f>
              <c:strCache>
                <c:ptCount val="1"/>
                <c:pt idx="0">
                  <c:v>  ostatní 
  výdaje (3)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stát.rozpočet!$G$7:$K$7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stát.rozpočet!$G$10:$K$10</c:f>
              <c:numCache>
                <c:formatCode>0%</c:formatCode>
                <c:ptCount val="5"/>
                <c:pt idx="0">
                  <c:v>0.11019337546107257</c:v>
                </c:pt>
                <c:pt idx="1">
                  <c:v>0.10529002967850301</c:v>
                </c:pt>
                <c:pt idx="2">
                  <c:v>0.10417447302906427</c:v>
                </c:pt>
                <c:pt idx="3">
                  <c:v>0.10523635419122303</c:v>
                </c:pt>
                <c:pt idx="4">
                  <c:v>0.14700385102673139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68-44F4-B398-AB983FC1A9F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864363167"/>
        <c:axId val="864363583"/>
      </c:barChart>
      <c:catAx>
        <c:axId val="864363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64363583"/>
        <c:crosses val="autoZero"/>
        <c:auto val="1"/>
        <c:lblAlgn val="ctr"/>
        <c:lblOffset val="100"/>
        <c:noMultiLvlLbl val="0"/>
      </c:catAx>
      <c:valAx>
        <c:axId val="864363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643631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stát.rozpočet!$A$2</c:f>
              <c:strCache>
                <c:ptCount val="1"/>
                <c:pt idx="0">
                  <c:v>  dlouhodobá 
  zdravotní péče (1)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stát.rozpočet!$G$1:$K$1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stát.rozpočet!$G$2:$K$2</c:f>
              <c:numCache>
                <c:formatCode>#\ ##0.0</c:formatCode>
                <c:ptCount val="5"/>
                <c:pt idx="0">
                  <c:v>28.234000000000002</c:v>
                </c:pt>
                <c:pt idx="1">
                  <c:v>29.885919000000001</c:v>
                </c:pt>
                <c:pt idx="2" formatCode="0.0">
                  <c:v>33.841758040999999</c:v>
                </c:pt>
                <c:pt idx="3" formatCode="0.0">
                  <c:v>38.688136912000004</c:v>
                </c:pt>
                <c:pt idx="4">
                  <c:v>41.122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F5-411A-9A95-2774535C8C0D}"/>
            </c:ext>
          </c:extLst>
        </c:ser>
        <c:ser>
          <c:idx val="1"/>
          <c:order val="1"/>
          <c:tx>
            <c:strRef>
              <c:f>stát.rozpočet!$A$3</c:f>
              <c:strCache>
                <c:ptCount val="1"/>
                <c:pt idx="0">
                  <c:v>  dlouhodobá 
  sociální péče (2)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stát.rozpočet!$G$1:$K$1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stát.rozpočet!$G$3:$K$3</c:f>
              <c:numCache>
                <c:formatCode>#\ ##0.0</c:formatCode>
                <c:ptCount val="5"/>
                <c:pt idx="0">
                  <c:v>18.589312799999998</c:v>
                </c:pt>
                <c:pt idx="1">
                  <c:v>20.124265039999997</c:v>
                </c:pt>
                <c:pt idx="2" formatCode="0.0">
                  <c:v>21.780319439509999</c:v>
                </c:pt>
                <c:pt idx="3" formatCode="0.0">
                  <c:v>23.50079479395</c:v>
                </c:pt>
                <c:pt idx="4">
                  <c:v>26.989000000000001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F5-411A-9A95-2774535C8C0D}"/>
            </c:ext>
          </c:extLst>
        </c:ser>
        <c:ser>
          <c:idx val="2"/>
          <c:order val="2"/>
          <c:tx>
            <c:strRef>
              <c:f>stát.rozpočet!$A$4</c:f>
              <c:strCache>
                <c:ptCount val="1"/>
                <c:pt idx="0">
                  <c:v>  ostatní 
  výdaje (3)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stát.rozpočet!$G$1:$K$1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stát.rozpočet!$G$4:$K$4</c:f>
              <c:numCache>
                <c:formatCode>#\ ##0.0</c:formatCode>
                <c:ptCount val="5"/>
                <c:pt idx="0">
                  <c:v>5.7985844849999992</c:v>
                </c:pt>
                <c:pt idx="1">
                  <c:v>5.8852297800000084</c:v>
                </c:pt>
                <c:pt idx="2" formatCode="0.0">
                  <c:v>6.4682244877599988</c:v>
                </c:pt>
                <c:pt idx="3" formatCode="0.0">
                  <c:v>7.3139266162900007</c:v>
                </c:pt>
                <c:pt idx="4">
                  <c:v>8.6470000000000002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F5-411A-9A95-2774535C8C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856450383"/>
        <c:axId val="856447055"/>
      </c:barChart>
      <c:catAx>
        <c:axId val="85645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6447055"/>
        <c:crosses val="autoZero"/>
        <c:auto val="1"/>
        <c:lblAlgn val="ctr"/>
        <c:lblOffset val="100"/>
        <c:noMultiLvlLbl val="0"/>
      </c:catAx>
      <c:valAx>
        <c:axId val="856447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6450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3"/>
          <c:order val="0"/>
          <c:tx>
            <c:strRef>
              <c:f>'soukromé zdroje'!$A$18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zdroje'!$G$18:$K$18</c:f>
              <c:numCache>
                <c:formatCode>0%</c:formatCode>
                <c:ptCount val="5"/>
                <c:pt idx="0">
                  <c:v>0.84451931416867054</c:v>
                </c:pt>
                <c:pt idx="1">
                  <c:v>0.83819804989765323</c:v>
                </c:pt>
                <c:pt idx="2">
                  <c:v>0.82919015308957333</c:v>
                </c:pt>
                <c:pt idx="3">
                  <c:v>0.79348641783677154</c:v>
                </c:pt>
                <c:pt idx="4">
                  <c:v>0.77752811538739686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3-453E-AFED-6ABA01936A41}"/>
            </c:ext>
          </c:extLst>
        </c:ser>
        <c:ser>
          <c:idx val="1"/>
          <c:order val="1"/>
          <c:tx>
            <c:strRef>
              <c:f>'soukromé zdroje'!$A$16</c:f>
              <c:strCache>
                <c:ptCount val="1"/>
                <c:pt idx="0">
                  <c:v>Neziskové organizace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zdroje'!$G$16:$K$16</c:f>
              <c:numCache>
                <c:formatCode>0%</c:formatCode>
                <c:ptCount val="5"/>
                <c:pt idx="0">
                  <c:v>0.13224698111527691</c:v>
                </c:pt>
                <c:pt idx="1">
                  <c:v>0.13421235911933072</c:v>
                </c:pt>
                <c:pt idx="2">
                  <c:v>0.13593157329552227</c:v>
                </c:pt>
                <c:pt idx="3">
                  <c:v>0.18214044568684667</c:v>
                </c:pt>
                <c:pt idx="4">
                  <c:v>0.19885941569093341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D3-453E-AFED-6ABA01936A41}"/>
            </c:ext>
          </c:extLst>
        </c:ser>
        <c:ser>
          <c:idx val="2"/>
          <c:order val="2"/>
          <c:tx>
            <c:strRef>
              <c:f>'soukromé zdroje'!$A$17</c:f>
              <c:strCache>
                <c:ptCount val="1"/>
                <c:pt idx="0">
                  <c:v>Podniky - závodní preventivní péče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zdroje'!$G$17:$K$17</c:f>
              <c:numCache>
                <c:formatCode>0%</c:formatCode>
                <c:ptCount val="5"/>
                <c:pt idx="0">
                  <c:v>1.5261191539977093E-2</c:v>
                </c:pt>
                <c:pt idx="1">
                  <c:v>1.9928453842580181E-2</c:v>
                </c:pt>
                <c:pt idx="2">
                  <c:v>2.6732957549725281E-2</c:v>
                </c:pt>
                <c:pt idx="3">
                  <c:v>1.6563254082439829E-2</c:v>
                </c:pt>
                <c:pt idx="4">
                  <c:v>1.526540034563997E-2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D3-453E-AFED-6ABA01936A41}"/>
            </c:ext>
          </c:extLst>
        </c:ser>
        <c:ser>
          <c:idx val="0"/>
          <c:order val="3"/>
          <c:tx>
            <c:strRef>
              <c:f>'soukromé zdroje'!$A$15</c:f>
              <c:strCache>
                <c:ptCount val="1"/>
                <c:pt idx="0">
                  <c:v>Soukromé zdravotní pojištění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'soukromé zdroje'!$G$1:$K$1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'soukromé zdroje'!$G$15:$K$15</c:f>
              <c:numCache>
                <c:formatCode>0%</c:formatCode>
                <c:ptCount val="5"/>
                <c:pt idx="0">
                  <c:v>7.9725131760754655E-3</c:v>
                </c:pt>
                <c:pt idx="1">
                  <c:v>7.6611371404359078E-3</c:v>
                </c:pt>
                <c:pt idx="2">
                  <c:v>8.1453160651791551E-3</c:v>
                </c:pt>
                <c:pt idx="3">
                  <c:v>7.8098823939420151E-3</c:v>
                </c:pt>
                <c:pt idx="4">
                  <c:v>8.3470685760297057E-3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D3-453E-AFED-6ABA01936A4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100"/>
        <c:axId val="602042447"/>
        <c:axId val="864359423"/>
      </c:barChart>
      <c:catAx>
        <c:axId val="60204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64359423"/>
        <c:crosses val="autoZero"/>
        <c:auto val="1"/>
        <c:lblAlgn val="ctr"/>
        <c:lblOffset val="100"/>
        <c:noMultiLvlLbl val="0"/>
      </c:catAx>
      <c:valAx>
        <c:axId val="864359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02042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A302-6760-4F28-8385-2D714E31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445</TotalTime>
  <Pages>17</Pages>
  <Words>5471</Words>
  <Characters>32284</Characters>
  <Application>Microsoft Office Word</Application>
  <DocSecurity>0</DocSecurity>
  <Lines>269</Lines>
  <Paragraphs>75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37680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cermakova38818</dc:creator>
  <cp:keywords/>
  <dc:description/>
  <cp:lastModifiedBy>cermakova38818</cp:lastModifiedBy>
  <cp:revision>30</cp:revision>
  <cp:lastPrinted>2014-07-17T14:07:00Z</cp:lastPrinted>
  <dcterms:created xsi:type="dcterms:W3CDTF">2021-03-23T06:23:00Z</dcterms:created>
  <dcterms:modified xsi:type="dcterms:W3CDTF">2021-03-26T08:01:00Z</dcterms:modified>
  <cp:category/>
</cp:coreProperties>
</file>