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91C85" w14:textId="77777777" w:rsidR="00C371A5" w:rsidRPr="00D92E20" w:rsidRDefault="00C371A5" w:rsidP="00151F4E">
      <w:pPr>
        <w:pStyle w:val="Nadpis2"/>
        <w:numPr>
          <w:ilvl w:val="0"/>
          <w:numId w:val="18"/>
        </w:numPr>
        <w:spacing w:after="100"/>
        <w:ind w:left="426"/>
      </w:pPr>
      <w:bookmarkStart w:id="0" w:name="_Toc54262797"/>
      <w:bookmarkStart w:id="1" w:name="_Toc86233475"/>
      <w:bookmarkStart w:id="2" w:name="_GoBack"/>
      <w:bookmarkEnd w:id="2"/>
      <w:r w:rsidRPr="00D92E20">
        <w:t>Analytická část</w:t>
      </w:r>
      <w:bookmarkEnd w:id="0"/>
      <w:bookmarkEnd w:id="1"/>
    </w:p>
    <w:p w14:paraId="5EC7EA6A" w14:textId="77777777" w:rsidR="00C371A5" w:rsidRPr="00D92E20" w:rsidRDefault="00C371A5" w:rsidP="00155829">
      <w:pPr>
        <w:pStyle w:val="Nadpis3"/>
        <w:numPr>
          <w:ilvl w:val="1"/>
          <w:numId w:val="20"/>
        </w:numPr>
        <w:spacing w:after="120"/>
        <w:ind w:left="425" w:hanging="357"/>
      </w:pPr>
      <w:bookmarkStart w:id="3" w:name="_Toc54262798"/>
      <w:bookmarkStart w:id="4" w:name="_Toc86233476"/>
      <w:r w:rsidRPr="00D92E20">
        <w:t>Nemocensky pojištěné osoby</w:t>
      </w:r>
      <w:bookmarkEnd w:id="3"/>
      <w:bookmarkEnd w:id="4"/>
    </w:p>
    <w:p w14:paraId="3678C504" w14:textId="77777777" w:rsidR="00184B5C" w:rsidRPr="00D92E20" w:rsidRDefault="00184B5C" w:rsidP="00155829">
      <w:pPr>
        <w:spacing w:after="120"/>
        <w:jc w:val="both"/>
      </w:pPr>
      <w:r w:rsidRPr="00D92E20">
        <w:t>Základním ukazatelem, ke kterému se vztahují údaje o pracovní neschopnosti, je ukazatel průměrného počtu nemocensky pojištěných osob.</w:t>
      </w:r>
    </w:p>
    <w:p w14:paraId="522B027E" w14:textId="77777777" w:rsidR="00184B5C" w:rsidRPr="00D92E20" w:rsidRDefault="00184B5C" w:rsidP="00155829">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570B8605" w14:textId="77777777" w:rsidR="00184B5C" w:rsidRPr="00D92E20" w:rsidRDefault="00184B5C" w:rsidP="00184B5C">
      <w:pPr>
        <w:pStyle w:val="Box1"/>
        <w:ind w:left="0"/>
        <w:jc w:val="both"/>
        <w:rPr>
          <w:i/>
          <w:u w:val="single"/>
        </w:rPr>
      </w:pPr>
      <w:r w:rsidRPr="00D92E20">
        <w:rPr>
          <w:i/>
          <w:u w:val="single"/>
        </w:rPr>
        <w:t>Poznámka:</w:t>
      </w:r>
    </w:p>
    <w:p w14:paraId="70215D62" w14:textId="77777777" w:rsidR="00184B5C" w:rsidRPr="00D92E20" w:rsidRDefault="00184B5C" w:rsidP="00184B5C">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4B086433" w14:textId="77777777" w:rsidR="00184B5C" w:rsidRPr="00D92E20" w:rsidRDefault="00184B5C" w:rsidP="00184B5C">
      <w:pPr>
        <w:pStyle w:val="Box1"/>
        <w:ind w:left="0"/>
        <w:jc w:val="both"/>
        <w:rPr>
          <w:i/>
          <w:u w:val="single"/>
        </w:rPr>
      </w:pPr>
      <w:r w:rsidRPr="00D92E20">
        <w:rPr>
          <w:i/>
          <w:u w:val="single"/>
        </w:rPr>
        <w:t>Způsob výpočtu:</w:t>
      </w:r>
    </w:p>
    <w:p w14:paraId="1BF8CC13" w14:textId="77777777" w:rsidR="00184B5C" w:rsidRPr="00D92E20" w:rsidRDefault="00184B5C" w:rsidP="00155829">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4071AFDF" w14:textId="1790E01E" w:rsidR="009B330C" w:rsidRDefault="00184B5C" w:rsidP="00184B5C">
      <w:pPr>
        <w:spacing w:after="120"/>
        <w:jc w:val="both"/>
        <w:rPr>
          <w:rFonts w:cs="Arial"/>
          <w:bCs/>
          <w:color w:val="000000"/>
          <w:szCs w:val="20"/>
        </w:rPr>
      </w:pPr>
      <w:r w:rsidRPr="00D92E20">
        <w:rPr>
          <w:rFonts w:cs="Arial"/>
          <w:bCs/>
          <w:color w:val="000000"/>
          <w:szCs w:val="20"/>
        </w:rPr>
        <w:t>V</w:t>
      </w:r>
      <w:r w:rsidR="009B330C">
        <w:rPr>
          <w:rFonts w:cs="Arial"/>
          <w:bCs/>
          <w:color w:val="000000"/>
          <w:szCs w:val="20"/>
        </w:rPr>
        <w:t> 1. pol. 2021</w:t>
      </w:r>
      <w:r w:rsidRPr="00D92E20">
        <w:rPr>
          <w:rFonts w:cs="Arial"/>
          <w:bCs/>
          <w:color w:val="000000"/>
          <w:szCs w:val="20"/>
        </w:rPr>
        <w:t xml:space="preserve"> činil průměrný počet nemocensky pojištěných </w:t>
      </w:r>
      <w:r w:rsidRPr="00D92E20">
        <w:rPr>
          <w:rFonts w:cs="Arial"/>
          <w:b/>
          <w:bCs/>
          <w:color w:val="000000"/>
          <w:szCs w:val="20"/>
        </w:rPr>
        <w:t>celkem</w:t>
      </w:r>
      <w:r w:rsidRPr="00D92E20">
        <w:rPr>
          <w:rFonts w:cs="Arial"/>
          <w:bCs/>
          <w:color w:val="000000"/>
          <w:szCs w:val="20"/>
        </w:rPr>
        <w:t xml:space="preserve"> </w:t>
      </w:r>
      <w:r w:rsidRPr="00D92E20">
        <w:rPr>
          <w:rFonts w:cs="Arial"/>
          <w:b/>
          <w:bCs/>
          <w:color w:val="000000"/>
          <w:szCs w:val="20"/>
        </w:rPr>
        <w:t>4 6</w:t>
      </w:r>
      <w:r w:rsidR="009B330C">
        <w:rPr>
          <w:rFonts w:cs="Arial"/>
          <w:b/>
          <w:bCs/>
          <w:color w:val="000000"/>
          <w:szCs w:val="20"/>
        </w:rPr>
        <w:t>89</w:t>
      </w:r>
      <w:r w:rsidRPr="00D92E20">
        <w:rPr>
          <w:rFonts w:cs="Arial"/>
          <w:b/>
          <w:bCs/>
          <w:color w:val="000000"/>
          <w:szCs w:val="20"/>
        </w:rPr>
        <w:t xml:space="preserve"> tis. osob</w:t>
      </w:r>
      <w:r w:rsidRPr="00D92E20">
        <w:rPr>
          <w:rFonts w:cs="Arial"/>
          <w:bCs/>
          <w:color w:val="000000"/>
          <w:szCs w:val="20"/>
        </w:rPr>
        <w:t xml:space="preserve">, tedy </w:t>
      </w:r>
      <w:r w:rsidR="001706EA">
        <w:rPr>
          <w:rFonts w:cs="Arial"/>
          <w:bCs/>
          <w:color w:val="000000"/>
          <w:szCs w:val="20"/>
        </w:rPr>
        <w:t xml:space="preserve">pouze o 1,3 tis. </w:t>
      </w:r>
      <w:r w:rsidR="00B15EBE">
        <w:rPr>
          <w:rFonts w:cs="Arial"/>
          <w:bCs/>
          <w:color w:val="000000"/>
          <w:szCs w:val="20"/>
        </w:rPr>
        <w:t>více</w:t>
      </w:r>
      <w:r w:rsidR="001706EA" w:rsidRPr="00D92E20">
        <w:rPr>
          <w:rFonts w:cs="Arial"/>
          <w:bCs/>
          <w:color w:val="000000"/>
          <w:szCs w:val="20"/>
        </w:rPr>
        <w:t xml:space="preserve"> </w:t>
      </w:r>
      <w:r w:rsidRPr="00D92E20">
        <w:rPr>
          <w:rFonts w:cs="Arial"/>
          <w:bCs/>
          <w:color w:val="000000"/>
          <w:szCs w:val="20"/>
        </w:rPr>
        <w:t xml:space="preserve">než před rokem. </w:t>
      </w:r>
      <w:r w:rsidR="009B330C">
        <w:rPr>
          <w:rFonts w:cs="Arial"/>
          <w:bCs/>
          <w:color w:val="000000"/>
          <w:szCs w:val="20"/>
        </w:rPr>
        <w:t xml:space="preserve">Větší </w:t>
      </w:r>
      <w:r w:rsidR="00B15EBE">
        <w:rPr>
          <w:rFonts w:cs="Arial"/>
          <w:bCs/>
          <w:color w:val="000000"/>
          <w:szCs w:val="20"/>
        </w:rPr>
        <w:t>rozdíl</w:t>
      </w:r>
      <w:r w:rsidR="009B330C">
        <w:rPr>
          <w:rFonts w:cs="Arial"/>
          <w:bCs/>
          <w:color w:val="000000"/>
          <w:szCs w:val="20"/>
        </w:rPr>
        <w:t xml:space="preserve"> je patrný při srovnání s 1. pol. roku 2019, kdy bylo nemocensky pojištěných 4 7</w:t>
      </w:r>
      <w:r w:rsidR="00853033">
        <w:rPr>
          <w:rFonts w:cs="Arial"/>
          <w:bCs/>
          <w:color w:val="000000"/>
          <w:szCs w:val="20"/>
        </w:rPr>
        <w:t>37</w:t>
      </w:r>
      <w:r w:rsidR="009B330C">
        <w:rPr>
          <w:rFonts w:cs="Arial"/>
          <w:bCs/>
          <w:color w:val="000000"/>
          <w:szCs w:val="20"/>
        </w:rPr>
        <w:t xml:space="preserve"> tis. osob. </w:t>
      </w:r>
      <w:r w:rsidRPr="00D92E20">
        <w:rPr>
          <w:rFonts w:cs="Arial"/>
          <w:bCs/>
          <w:color w:val="000000"/>
          <w:szCs w:val="20"/>
        </w:rPr>
        <w:t xml:space="preserve">Dá se předpokládat, že za poklesem stojí zejména krize způsobená epidemií nemoci </w:t>
      </w:r>
      <w:r w:rsidR="00A101F1">
        <w:rPr>
          <w:rFonts w:cs="Arial"/>
          <w:bCs/>
          <w:color w:val="000000"/>
          <w:szCs w:val="20"/>
        </w:rPr>
        <w:br/>
        <w:t>c</w:t>
      </w:r>
      <w:r w:rsidRPr="00D92E20">
        <w:rPr>
          <w:rFonts w:cs="Arial"/>
          <w:bCs/>
          <w:color w:val="000000"/>
          <w:szCs w:val="20"/>
        </w:rPr>
        <w:t xml:space="preserve">ovid-19, která zapříčinila, zvláště v některých odvětvích, propouštění ze zaměstnání. </w:t>
      </w:r>
    </w:p>
    <w:p w14:paraId="32B9BCAF" w14:textId="65AAC4A0" w:rsidR="00184B5C" w:rsidRPr="00D92E20" w:rsidRDefault="00184B5C" w:rsidP="00184B5C">
      <w:pPr>
        <w:spacing w:after="120"/>
        <w:jc w:val="both"/>
        <w:rPr>
          <w:rFonts w:cs="Arial"/>
          <w:bCs/>
          <w:color w:val="000000"/>
          <w:szCs w:val="20"/>
        </w:rPr>
      </w:pPr>
      <w:r w:rsidRPr="00D92E20">
        <w:rPr>
          <w:rFonts w:cs="Arial"/>
          <w:bCs/>
          <w:color w:val="000000"/>
          <w:szCs w:val="20"/>
        </w:rPr>
        <w:t>Mezi pojištěnci bylo 50,</w:t>
      </w:r>
      <w:r w:rsidR="009B330C">
        <w:rPr>
          <w:rFonts w:cs="Arial"/>
          <w:bCs/>
          <w:color w:val="000000"/>
          <w:szCs w:val="20"/>
        </w:rPr>
        <w:t>1</w:t>
      </w:r>
      <w:r w:rsidRPr="00D92E20">
        <w:rPr>
          <w:rFonts w:cs="Arial"/>
          <w:bCs/>
          <w:color w:val="000000"/>
          <w:szCs w:val="20"/>
        </w:rPr>
        <w:t> % mužů a 49,</w:t>
      </w:r>
      <w:r w:rsidR="009B330C">
        <w:rPr>
          <w:rFonts w:cs="Arial"/>
          <w:bCs/>
          <w:color w:val="000000"/>
          <w:szCs w:val="20"/>
        </w:rPr>
        <w:t>9</w:t>
      </w:r>
      <w:r w:rsidRPr="00D92E20">
        <w:rPr>
          <w:rFonts w:cs="Arial"/>
          <w:bCs/>
          <w:color w:val="000000"/>
          <w:szCs w:val="20"/>
        </w:rPr>
        <w:t xml:space="preserve"> % žen. </w:t>
      </w:r>
      <w:r w:rsidR="005D14C3" w:rsidRPr="00D92E20">
        <w:rPr>
          <w:rFonts w:cs="Arial"/>
          <w:bCs/>
          <w:color w:val="000000"/>
          <w:szCs w:val="20"/>
        </w:rPr>
        <w:t>V</w:t>
      </w:r>
      <w:r w:rsidR="009B330C">
        <w:rPr>
          <w:rFonts w:cs="Arial"/>
          <w:bCs/>
          <w:color w:val="000000"/>
          <w:szCs w:val="20"/>
        </w:rPr>
        <w:t> 1. pol. 2021</w:t>
      </w:r>
      <w:r w:rsidRPr="00D92E20">
        <w:rPr>
          <w:rFonts w:cs="Arial"/>
          <w:bCs/>
          <w:color w:val="000000"/>
          <w:szCs w:val="20"/>
        </w:rPr>
        <w:t xml:space="preserve"> bylo nemocensky pojištěných 2</w:t>
      </w:r>
      <w:r w:rsidR="00C02C40" w:rsidRPr="00D92E20">
        <w:rPr>
          <w:rFonts w:cs="Arial"/>
          <w:bCs/>
          <w:color w:val="000000"/>
          <w:szCs w:val="20"/>
        </w:rPr>
        <w:t> </w:t>
      </w:r>
      <w:r w:rsidRPr="00D92E20">
        <w:rPr>
          <w:rFonts w:cs="Arial"/>
          <w:bCs/>
          <w:color w:val="000000"/>
          <w:szCs w:val="20"/>
        </w:rPr>
        <w:t>3</w:t>
      </w:r>
      <w:r w:rsidR="009B330C">
        <w:rPr>
          <w:rFonts w:cs="Arial"/>
          <w:bCs/>
          <w:color w:val="000000"/>
          <w:szCs w:val="20"/>
        </w:rPr>
        <w:t>48</w:t>
      </w:r>
      <w:r w:rsidR="00C02C40" w:rsidRPr="00D92E20">
        <w:rPr>
          <w:rFonts w:cs="Arial"/>
          <w:bCs/>
          <w:color w:val="000000"/>
          <w:szCs w:val="20"/>
        </w:rPr>
        <w:t> </w:t>
      </w:r>
      <w:r w:rsidRPr="00D92E20">
        <w:rPr>
          <w:rFonts w:cs="Arial"/>
          <w:bCs/>
          <w:color w:val="000000"/>
          <w:szCs w:val="20"/>
        </w:rPr>
        <w:t>tis. mužů a 2 3</w:t>
      </w:r>
      <w:r w:rsidR="009B330C">
        <w:rPr>
          <w:rFonts w:cs="Arial"/>
          <w:bCs/>
          <w:color w:val="000000"/>
          <w:szCs w:val="20"/>
        </w:rPr>
        <w:t>41</w:t>
      </w:r>
      <w:r w:rsidRPr="00D92E20">
        <w:rPr>
          <w:rFonts w:cs="Arial"/>
          <w:bCs/>
          <w:color w:val="000000"/>
          <w:szCs w:val="20"/>
        </w:rPr>
        <w:t xml:space="preserve"> tis. žen. Počty nemocensky pojištěných </w:t>
      </w:r>
      <w:r w:rsidRPr="00D92E20">
        <w:rPr>
          <w:rFonts w:cs="Arial"/>
          <w:b/>
          <w:bCs/>
          <w:color w:val="000000"/>
          <w:szCs w:val="20"/>
        </w:rPr>
        <w:t>podle pohlaví</w:t>
      </w:r>
      <w:r w:rsidRPr="00D92E20">
        <w:rPr>
          <w:rFonts w:cs="Arial"/>
          <w:bCs/>
          <w:color w:val="000000"/>
          <w:szCs w:val="20"/>
        </w:rPr>
        <w:t xml:space="preserve"> se k sobě již od roku 2016 neustále při</w:t>
      </w:r>
      <w:r w:rsidR="005D14C3" w:rsidRPr="00D92E20">
        <w:rPr>
          <w:rFonts w:cs="Arial"/>
          <w:bCs/>
          <w:color w:val="000000"/>
          <w:szCs w:val="20"/>
        </w:rPr>
        <w:t xml:space="preserve">bližují. Zatímco </w:t>
      </w:r>
      <w:r w:rsidR="009B330C">
        <w:rPr>
          <w:rFonts w:cs="Arial"/>
          <w:bCs/>
          <w:color w:val="000000"/>
          <w:szCs w:val="20"/>
        </w:rPr>
        <w:t>v 1. pol. 2016</w:t>
      </w:r>
      <w:r w:rsidR="005D14C3" w:rsidRPr="00D92E20">
        <w:rPr>
          <w:rFonts w:cs="Arial"/>
          <w:bCs/>
          <w:color w:val="000000"/>
          <w:szCs w:val="20"/>
        </w:rPr>
        <w:t xml:space="preserve"> bylo o 8</w:t>
      </w:r>
      <w:r w:rsidR="009B330C">
        <w:rPr>
          <w:rFonts w:cs="Arial"/>
          <w:bCs/>
          <w:color w:val="000000"/>
          <w:szCs w:val="20"/>
        </w:rPr>
        <w:t>5</w:t>
      </w:r>
      <w:r w:rsidRPr="00D92E20">
        <w:rPr>
          <w:rFonts w:cs="Arial"/>
          <w:bCs/>
          <w:color w:val="000000"/>
          <w:szCs w:val="20"/>
        </w:rPr>
        <w:t xml:space="preserve"> tis. více mužů než žen, </w:t>
      </w:r>
      <w:r w:rsidR="00853033">
        <w:rPr>
          <w:rFonts w:cs="Arial"/>
          <w:bCs/>
          <w:color w:val="000000"/>
          <w:szCs w:val="20"/>
        </w:rPr>
        <w:t>v</w:t>
      </w:r>
      <w:r w:rsidR="009B330C">
        <w:rPr>
          <w:rFonts w:cs="Arial"/>
          <w:bCs/>
          <w:color w:val="000000"/>
          <w:szCs w:val="20"/>
        </w:rPr>
        <w:t xml:space="preserve"> 1. pol. 2021</w:t>
      </w:r>
      <w:r w:rsidRPr="00D92E20">
        <w:rPr>
          <w:rFonts w:cs="Arial"/>
          <w:bCs/>
          <w:color w:val="000000"/>
          <w:szCs w:val="20"/>
        </w:rPr>
        <w:t xml:space="preserve"> </w:t>
      </w:r>
      <w:r w:rsidR="005D14C3" w:rsidRPr="00D92E20">
        <w:rPr>
          <w:rFonts w:cs="Arial"/>
          <w:bCs/>
          <w:color w:val="000000"/>
          <w:szCs w:val="20"/>
        </w:rPr>
        <w:t>byl rozdíl jen</w:t>
      </w:r>
      <w:r w:rsidRPr="00D92E20">
        <w:rPr>
          <w:rFonts w:cs="Arial"/>
          <w:bCs/>
          <w:color w:val="000000"/>
          <w:szCs w:val="20"/>
        </w:rPr>
        <w:t xml:space="preserve"> </w:t>
      </w:r>
      <w:r w:rsidR="009B330C">
        <w:rPr>
          <w:rFonts w:cs="Arial"/>
          <w:bCs/>
          <w:color w:val="000000"/>
          <w:szCs w:val="20"/>
        </w:rPr>
        <w:t>6</w:t>
      </w:r>
      <w:r w:rsidRPr="00D92E20">
        <w:rPr>
          <w:rFonts w:cs="Arial"/>
          <w:bCs/>
          <w:color w:val="000000"/>
          <w:szCs w:val="20"/>
        </w:rPr>
        <w:t xml:space="preserve"> tis. Meziročně klesl počet pojištěných mužů o </w:t>
      </w:r>
      <w:r w:rsidR="009B330C">
        <w:rPr>
          <w:rFonts w:cs="Arial"/>
          <w:bCs/>
          <w:color w:val="000000"/>
          <w:szCs w:val="20"/>
        </w:rPr>
        <w:t>7</w:t>
      </w:r>
      <w:r w:rsidRPr="00D92E20">
        <w:rPr>
          <w:rFonts w:cs="Arial"/>
          <w:bCs/>
          <w:color w:val="000000"/>
          <w:szCs w:val="20"/>
        </w:rPr>
        <w:t xml:space="preserve"> tis. (v relativním vyjádření o </w:t>
      </w:r>
      <w:r w:rsidR="009B330C">
        <w:rPr>
          <w:rFonts w:cs="Arial"/>
          <w:bCs/>
          <w:color w:val="000000"/>
          <w:szCs w:val="20"/>
        </w:rPr>
        <w:t>0</w:t>
      </w:r>
      <w:r w:rsidRPr="00D92E20">
        <w:rPr>
          <w:rFonts w:cs="Arial"/>
          <w:bCs/>
          <w:color w:val="000000"/>
          <w:szCs w:val="20"/>
        </w:rPr>
        <w:t xml:space="preserve">,3 %), počet žen </w:t>
      </w:r>
      <w:r w:rsidR="009B330C">
        <w:rPr>
          <w:rFonts w:cs="Arial"/>
          <w:bCs/>
          <w:color w:val="000000"/>
          <w:szCs w:val="20"/>
        </w:rPr>
        <w:t xml:space="preserve">se naopak </w:t>
      </w:r>
      <w:r w:rsidRPr="00D92E20">
        <w:rPr>
          <w:rFonts w:cs="Arial"/>
          <w:bCs/>
          <w:color w:val="000000"/>
          <w:szCs w:val="20"/>
        </w:rPr>
        <w:t xml:space="preserve">o </w:t>
      </w:r>
      <w:r w:rsidR="009B330C">
        <w:rPr>
          <w:rFonts w:cs="Arial"/>
          <w:bCs/>
          <w:color w:val="000000"/>
          <w:szCs w:val="20"/>
        </w:rPr>
        <w:t>8</w:t>
      </w:r>
      <w:r w:rsidR="005D14C3" w:rsidRPr="00D92E20">
        <w:rPr>
          <w:rFonts w:cs="Arial"/>
          <w:bCs/>
          <w:color w:val="000000"/>
          <w:szCs w:val="20"/>
        </w:rPr>
        <w:t xml:space="preserve"> tis. </w:t>
      </w:r>
      <w:r w:rsidR="009B330C">
        <w:rPr>
          <w:rFonts w:cs="Arial"/>
          <w:bCs/>
          <w:color w:val="000000"/>
          <w:szCs w:val="20"/>
        </w:rPr>
        <w:t>zvýšil (taktéž o</w:t>
      </w:r>
      <w:r w:rsidR="001706EA">
        <w:rPr>
          <w:rFonts w:cs="Arial"/>
          <w:bCs/>
          <w:color w:val="000000"/>
          <w:szCs w:val="20"/>
        </w:rPr>
        <w:t> </w:t>
      </w:r>
      <w:r w:rsidR="005D14C3" w:rsidRPr="00D92E20">
        <w:rPr>
          <w:rFonts w:cs="Arial"/>
          <w:bCs/>
          <w:color w:val="000000"/>
          <w:szCs w:val="20"/>
        </w:rPr>
        <w:t>0,</w:t>
      </w:r>
      <w:r w:rsidR="009B330C">
        <w:rPr>
          <w:rFonts w:cs="Arial"/>
          <w:bCs/>
          <w:color w:val="000000"/>
          <w:szCs w:val="20"/>
        </w:rPr>
        <w:t>3</w:t>
      </w:r>
      <w:r w:rsidRPr="00D92E20">
        <w:rPr>
          <w:rFonts w:cs="Arial"/>
          <w:bCs/>
          <w:color w:val="000000"/>
          <w:szCs w:val="20"/>
        </w:rPr>
        <w:t xml:space="preserve"> %).</w:t>
      </w:r>
      <w:r w:rsidR="00CA23A5">
        <w:rPr>
          <w:rFonts w:cs="Arial"/>
          <w:bCs/>
          <w:color w:val="000000"/>
          <w:szCs w:val="20"/>
        </w:rPr>
        <w:t xml:space="preserve"> </w:t>
      </w:r>
    </w:p>
    <w:p w14:paraId="1A885FDE" w14:textId="100FAC01" w:rsidR="00184B5C" w:rsidRPr="00D92E20" w:rsidRDefault="00184B5C" w:rsidP="00184B5C">
      <w:pPr>
        <w:spacing w:after="120"/>
        <w:jc w:val="both"/>
        <w:rPr>
          <w:rFonts w:cs="Arial"/>
          <w:b/>
          <w:bCs/>
          <w:color w:val="000000"/>
          <w:szCs w:val="20"/>
        </w:rPr>
      </w:pPr>
      <w:r w:rsidRPr="00D92E20">
        <w:rPr>
          <w:rFonts w:cs="Arial"/>
          <w:b/>
          <w:bCs/>
          <w:color w:val="000000"/>
          <w:szCs w:val="20"/>
        </w:rPr>
        <w:t xml:space="preserve">Tab. 1.1: Průměrný počet nemocensky pojištěných osob, </w:t>
      </w:r>
      <w:r w:rsidR="009B330C" w:rsidRPr="009B330C">
        <w:rPr>
          <w:rFonts w:cs="Arial"/>
          <w:b/>
          <w:bCs/>
          <w:color w:val="000000"/>
          <w:szCs w:val="20"/>
        </w:rPr>
        <w:t xml:space="preserve">1. pol. 2011–1. pol. 2021 </w:t>
      </w:r>
      <w:r w:rsidRPr="00D92E20">
        <w:rPr>
          <w:rFonts w:cs="Arial"/>
          <w:b/>
          <w:bCs/>
          <w:color w:val="000000"/>
          <w:szCs w:val="20"/>
        </w:rPr>
        <w:t>(v tis.)</w:t>
      </w:r>
    </w:p>
    <w:tbl>
      <w:tblPr>
        <w:tblW w:w="9573" w:type="dxa"/>
        <w:tblCellMar>
          <w:left w:w="70" w:type="dxa"/>
          <w:right w:w="70" w:type="dxa"/>
        </w:tblCellMar>
        <w:tblLook w:val="04A0" w:firstRow="1" w:lastRow="0" w:firstColumn="1" w:lastColumn="0" w:noHBand="0" w:noVBand="1"/>
      </w:tblPr>
      <w:tblGrid>
        <w:gridCol w:w="1304"/>
        <w:gridCol w:w="898"/>
        <w:gridCol w:w="890"/>
        <w:gridCol w:w="890"/>
        <w:gridCol w:w="1056"/>
        <w:gridCol w:w="907"/>
        <w:gridCol w:w="907"/>
        <w:gridCol w:w="907"/>
        <w:gridCol w:w="907"/>
        <w:gridCol w:w="907"/>
      </w:tblGrid>
      <w:tr w:rsidR="009B330C" w:rsidRPr="00D92E20" w14:paraId="0ABDDBC9" w14:textId="77777777" w:rsidTr="009B330C">
        <w:trPr>
          <w:trHeight w:val="315"/>
        </w:trPr>
        <w:tc>
          <w:tcPr>
            <w:tcW w:w="130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7CD27666" w14:textId="618C69F4" w:rsidR="009B330C" w:rsidRPr="00D92E20" w:rsidRDefault="009B330C" w:rsidP="00184B5C">
            <w:pPr>
              <w:spacing w:after="0" w:line="240" w:lineRule="auto"/>
              <w:jc w:val="center"/>
              <w:rPr>
                <w:rFonts w:cs="Arial"/>
                <w:color w:val="000000"/>
                <w:sz w:val="16"/>
                <w:szCs w:val="16"/>
              </w:rPr>
            </w:pPr>
            <w:r>
              <w:rPr>
                <w:rFonts w:cs="Arial"/>
                <w:color w:val="000000"/>
                <w:sz w:val="16"/>
                <w:szCs w:val="16"/>
              </w:rPr>
              <w:t>Období</w:t>
            </w:r>
          </w:p>
        </w:tc>
        <w:tc>
          <w:tcPr>
            <w:tcW w:w="898" w:type="dxa"/>
            <w:vMerge w:val="restart"/>
            <w:tcBorders>
              <w:top w:val="single" w:sz="4" w:space="0" w:color="auto"/>
              <w:left w:val="nil"/>
              <w:bottom w:val="nil"/>
              <w:right w:val="nil"/>
            </w:tcBorders>
            <w:shd w:val="clear" w:color="000000" w:fill="F2DBDB"/>
            <w:vAlign w:val="center"/>
            <w:hideMark/>
          </w:tcPr>
          <w:p w14:paraId="31153472" w14:textId="77777777" w:rsidR="009B330C" w:rsidRPr="00D92E20" w:rsidRDefault="009B330C" w:rsidP="00184B5C">
            <w:pPr>
              <w:spacing w:after="0" w:line="240" w:lineRule="auto"/>
              <w:jc w:val="center"/>
              <w:rPr>
                <w:rFonts w:cs="Arial"/>
                <w:b/>
                <w:bCs/>
                <w:color w:val="000000"/>
                <w:sz w:val="16"/>
                <w:szCs w:val="16"/>
              </w:rPr>
            </w:pPr>
            <w:r w:rsidRPr="00D92E20">
              <w:rPr>
                <w:rFonts w:cs="Arial"/>
                <w:b/>
                <w:bCs/>
                <w:color w:val="000000"/>
                <w:sz w:val="16"/>
                <w:szCs w:val="16"/>
              </w:rPr>
              <w:t>Celkem</w:t>
            </w:r>
          </w:p>
        </w:tc>
        <w:tc>
          <w:tcPr>
            <w:tcW w:w="178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589C9F7"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podle pohlaví</w:t>
            </w:r>
          </w:p>
        </w:tc>
        <w:tc>
          <w:tcPr>
            <w:tcW w:w="1056" w:type="dxa"/>
            <w:vMerge w:val="restart"/>
            <w:tcBorders>
              <w:top w:val="single" w:sz="4" w:space="0" w:color="auto"/>
              <w:left w:val="nil"/>
              <w:right w:val="nil"/>
            </w:tcBorders>
            <w:shd w:val="clear" w:color="000000" w:fill="F2DBDB"/>
            <w:vAlign w:val="center"/>
            <w:hideMark/>
          </w:tcPr>
          <w:p w14:paraId="6215C652"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Zaměstnanci</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8661D77"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podle pohlaví</w:t>
            </w:r>
          </w:p>
        </w:tc>
        <w:tc>
          <w:tcPr>
            <w:tcW w:w="907" w:type="dxa"/>
            <w:vMerge w:val="restart"/>
            <w:tcBorders>
              <w:top w:val="single" w:sz="4" w:space="0" w:color="auto"/>
              <w:left w:val="nil"/>
              <w:right w:val="nil"/>
            </w:tcBorders>
            <w:shd w:val="clear" w:color="000000" w:fill="F2DBDB"/>
            <w:vAlign w:val="center"/>
            <w:hideMark/>
          </w:tcPr>
          <w:p w14:paraId="00854ABB"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OSVČ</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14909C03"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podle pohlaví</w:t>
            </w:r>
          </w:p>
        </w:tc>
      </w:tr>
      <w:tr w:rsidR="009B330C" w:rsidRPr="00D92E20" w14:paraId="57075004" w14:textId="77777777" w:rsidTr="009B330C">
        <w:trPr>
          <w:trHeight w:val="300"/>
        </w:trPr>
        <w:tc>
          <w:tcPr>
            <w:tcW w:w="1304" w:type="dxa"/>
            <w:vMerge/>
            <w:tcBorders>
              <w:top w:val="single" w:sz="4" w:space="0" w:color="auto"/>
              <w:left w:val="nil"/>
              <w:bottom w:val="single" w:sz="4" w:space="0" w:color="000000"/>
              <w:right w:val="single" w:sz="4" w:space="0" w:color="auto"/>
            </w:tcBorders>
            <w:vAlign w:val="center"/>
            <w:hideMark/>
          </w:tcPr>
          <w:p w14:paraId="30A571F1" w14:textId="77777777" w:rsidR="009B330C" w:rsidRPr="00D92E20" w:rsidRDefault="009B330C" w:rsidP="00184B5C">
            <w:pPr>
              <w:spacing w:after="0" w:line="240" w:lineRule="auto"/>
              <w:rPr>
                <w:rFonts w:cs="Arial"/>
                <w:color w:val="000000"/>
                <w:sz w:val="16"/>
                <w:szCs w:val="16"/>
              </w:rPr>
            </w:pPr>
          </w:p>
        </w:tc>
        <w:tc>
          <w:tcPr>
            <w:tcW w:w="898" w:type="dxa"/>
            <w:vMerge/>
            <w:tcBorders>
              <w:top w:val="single" w:sz="4" w:space="0" w:color="auto"/>
              <w:left w:val="nil"/>
              <w:bottom w:val="nil"/>
              <w:right w:val="nil"/>
            </w:tcBorders>
            <w:vAlign w:val="center"/>
            <w:hideMark/>
          </w:tcPr>
          <w:p w14:paraId="56110A6C" w14:textId="77777777" w:rsidR="009B330C" w:rsidRPr="00D92E20" w:rsidRDefault="009B330C" w:rsidP="00184B5C">
            <w:pPr>
              <w:spacing w:after="0" w:line="240" w:lineRule="auto"/>
              <w:rPr>
                <w:rFonts w:cs="Arial"/>
                <w:b/>
                <w:bCs/>
                <w:color w:val="000000"/>
                <w:sz w:val="16"/>
                <w:szCs w:val="16"/>
              </w:rPr>
            </w:pPr>
          </w:p>
        </w:tc>
        <w:tc>
          <w:tcPr>
            <w:tcW w:w="890" w:type="dxa"/>
            <w:tcBorders>
              <w:top w:val="nil"/>
              <w:left w:val="single" w:sz="4" w:space="0" w:color="auto"/>
              <w:bottom w:val="single" w:sz="4" w:space="0" w:color="auto"/>
              <w:right w:val="single" w:sz="4" w:space="0" w:color="auto"/>
            </w:tcBorders>
            <w:shd w:val="clear" w:color="000000" w:fill="F2DBDB"/>
            <w:vAlign w:val="center"/>
            <w:hideMark/>
          </w:tcPr>
          <w:p w14:paraId="66C9A796"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muži</w:t>
            </w:r>
          </w:p>
        </w:tc>
        <w:tc>
          <w:tcPr>
            <w:tcW w:w="890" w:type="dxa"/>
            <w:tcBorders>
              <w:top w:val="nil"/>
              <w:left w:val="nil"/>
              <w:bottom w:val="single" w:sz="4" w:space="0" w:color="auto"/>
              <w:right w:val="single" w:sz="4" w:space="0" w:color="auto"/>
            </w:tcBorders>
            <w:shd w:val="clear" w:color="000000" w:fill="F2DBDB"/>
            <w:vAlign w:val="center"/>
            <w:hideMark/>
          </w:tcPr>
          <w:p w14:paraId="612F1FA0"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ženy</w:t>
            </w:r>
          </w:p>
        </w:tc>
        <w:tc>
          <w:tcPr>
            <w:tcW w:w="1056" w:type="dxa"/>
            <w:vMerge/>
            <w:tcBorders>
              <w:left w:val="nil"/>
              <w:bottom w:val="nil"/>
              <w:right w:val="nil"/>
            </w:tcBorders>
            <w:vAlign w:val="center"/>
            <w:hideMark/>
          </w:tcPr>
          <w:p w14:paraId="67DD19CF" w14:textId="77777777" w:rsidR="009B330C" w:rsidRPr="00D92E20" w:rsidRDefault="009B330C" w:rsidP="00184B5C">
            <w:pPr>
              <w:spacing w:after="0" w:line="240" w:lineRule="auto"/>
              <w:rPr>
                <w:rFonts w:cs="Arial"/>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8340E7D"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701CA7A6"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nil"/>
              <w:bottom w:val="nil"/>
              <w:right w:val="nil"/>
            </w:tcBorders>
            <w:vAlign w:val="center"/>
            <w:hideMark/>
          </w:tcPr>
          <w:p w14:paraId="16588E22" w14:textId="77777777" w:rsidR="009B330C" w:rsidRPr="00D92E20" w:rsidRDefault="009B330C" w:rsidP="00184B5C">
            <w:pPr>
              <w:spacing w:after="0" w:line="240" w:lineRule="auto"/>
              <w:rPr>
                <w:rFonts w:cs="Arial"/>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5E516785"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73FD49DB" w14:textId="77777777" w:rsidR="009B330C" w:rsidRPr="00D92E20" w:rsidRDefault="009B330C" w:rsidP="00184B5C">
            <w:pPr>
              <w:spacing w:after="0" w:line="240" w:lineRule="auto"/>
              <w:jc w:val="center"/>
              <w:rPr>
                <w:rFonts w:cs="Arial"/>
                <w:color w:val="000000"/>
                <w:sz w:val="16"/>
                <w:szCs w:val="16"/>
              </w:rPr>
            </w:pPr>
            <w:r w:rsidRPr="00D92E20">
              <w:rPr>
                <w:rFonts w:cs="Arial"/>
                <w:color w:val="000000"/>
                <w:sz w:val="16"/>
                <w:szCs w:val="16"/>
              </w:rPr>
              <w:t>ženy</w:t>
            </w:r>
          </w:p>
        </w:tc>
      </w:tr>
      <w:tr w:rsidR="009B330C" w:rsidRPr="00D92E20" w14:paraId="0CFFBCC5" w14:textId="77777777" w:rsidTr="009B330C">
        <w:trPr>
          <w:trHeight w:val="300"/>
        </w:trPr>
        <w:tc>
          <w:tcPr>
            <w:tcW w:w="1304" w:type="dxa"/>
            <w:tcBorders>
              <w:top w:val="nil"/>
              <w:left w:val="nil"/>
              <w:bottom w:val="nil"/>
              <w:right w:val="nil"/>
            </w:tcBorders>
            <w:shd w:val="clear" w:color="auto" w:fill="auto"/>
            <w:vAlign w:val="center"/>
            <w:hideMark/>
          </w:tcPr>
          <w:p w14:paraId="4E95943A" w14:textId="66B1B4B7" w:rsidR="009B330C" w:rsidRPr="00D92E20" w:rsidRDefault="009B330C" w:rsidP="009B330C">
            <w:pPr>
              <w:spacing w:after="0" w:line="240" w:lineRule="auto"/>
              <w:jc w:val="center"/>
              <w:rPr>
                <w:rFonts w:cs="Arial"/>
                <w:color w:val="000000"/>
                <w:sz w:val="16"/>
                <w:szCs w:val="16"/>
              </w:rPr>
            </w:pPr>
            <w:r>
              <w:rPr>
                <w:rFonts w:cs="Arial"/>
                <w:sz w:val="16"/>
                <w:szCs w:val="16"/>
              </w:rPr>
              <w:t>1. pol. 2011</w:t>
            </w:r>
          </w:p>
        </w:tc>
        <w:tc>
          <w:tcPr>
            <w:tcW w:w="898" w:type="dxa"/>
            <w:tcBorders>
              <w:top w:val="single" w:sz="4" w:space="0" w:color="auto"/>
              <w:left w:val="single" w:sz="4" w:space="0" w:color="auto"/>
              <w:bottom w:val="nil"/>
              <w:right w:val="nil"/>
            </w:tcBorders>
            <w:shd w:val="clear" w:color="auto" w:fill="auto"/>
            <w:vAlign w:val="center"/>
            <w:hideMark/>
          </w:tcPr>
          <w:p w14:paraId="5B6448B0" w14:textId="13FBACC8" w:rsidR="009B330C" w:rsidRPr="00D92E20" w:rsidRDefault="009B330C" w:rsidP="009B330C">
            <w:pPr>
              <w:spacing w:after="0" w:line="240" w:lineRule="auto"/>
              <w:jc w:val="right"/>
              <w:rPr>
                <w:rFonts w:cs="Arial"/>
                <w:color w:val="000000"/>
                <w:sz w:val="16"/>
                <w:szCs w:val="16"/>
              </w:rPr>
            </w:pPr>
            <w:r>
              <w:rPr>
                <w:rFonts w:cs="Arial"/>
                <w:sz w:val="16"/>
                <w:szCs w:val="16"/>
              </w:rPr>
              <w:t>4 181,1</w:t>
            </w:r>
          </w:p>
        </w:tc>
        <w:tc>
          <w:tcPr>
            <w:tcW w:w="890" w:type="dxa"/>
            <w:tcBorders>
              <w:top w:val="nil"/>
              <w:left w:val="nil"/>
              <w:bottom w:val="nil"/>
              <w:right w:val="nil"/>
            </w:tcBorders>
            <w:shd w:val="clear" w:color="auto" w:fill="auto"/>
            <w:vAlign w:val="center"/>
            <w:hideMark/>
          </w:tcPr>
          <w:p w14:paraId="31457D0D" w14:textId="2271095C" w:rsidR="009B330C" w:rsidRPr="00D92E20" w:rsidRDefault="009B330C" w:rsidP="009B330C">
            <w:pPr>
              <w:spacing w:after="0" w:line="240" w:lineRule="auto"/>
              <w:jc w:val="right"/>
              <w:rPr>
                <w:rFonts w:cs="Arial"/>
                <w:color w:val="000000"/>
                <w:sz w:val="16"/>
                <w:szCs w:val="16"/>
              </w:rPr>
            </w:pPr>
            <w:r>
              <w:rPr>
                <w:rFonts w:cs="Arial"/>
                <w:sz w:val="16"/>
                <w:szCs w:val="16"/>
              </w:rPr>
              <w:t>2 143,5</w:t>
            </w:r>
          </w:p>
        </w:tc>
        <w:tc>
          <w:tcPr>
            <w:tcW w:w="890" w:type="dxa"/>
            <w:tcBorders>
              <w:top w:val="nil"/>
              <w:left w:val="nil"/>
              <w:bottom w:val="nil"/>
              <w:right w:val="single" w:sz="4" w:space="0" w:color="auto"/>
            </w:tcBorders>
            <w:shd w:val="clear" w:color="auto" w:fill="auto"/>
            <w:vAlign w:val="center"/>
            <w:hideMark/>
          </w:tcPr>
          <w:p w14:paraId="51DB31E4" w14:textId="1C2791DA" w:rsidR="009B330C" w:rsidRPr="00D92E20" w:rsidRDefault="009B330C" w:rsidP="009B330C">
            <w:pPr>
              <w:spacing w:after="0" w:line="240" w:lineRule="auto"/>
              <w:jc w:val="right"/>
              <w:rPr>
                <w:rFonts w:cs="Arial"/>
                <w:color w:val="000000"/>
                <w:sz w:val="16"/>
                <w:szCs w:val="16"/>
              </w:rPr>
            </w:pPr>
            <w:r>
              <w:rPr>
                <w:rFonts w:cs="Arial"/>
                <w:sz w:val="16"/>
                <w:szCs w:val="16"/>
              </w:rPr>
              <w:t>2 037,6</w:t>
            </w:r>
          </w:p>
        </w:tc>
        <w:tc>
          <w:tcPr>
            <w:tcW w:w="1056" w:type="dxa"/>
            <w:tcBorders>
              <w:top w:val="single" w:sz="4" w:space="0" w:color="auto"/>
              <w:left w:val="nil"/>
              <w:bottom w:val="nil"/>
              <w:right w:val="nil"/>
            </w:tcBorders>
            <w:shd w:val="clear" w:color="auto" w:fill="auto"/>
            <w:vAlign w:val="center"/>
            <w:hideMark/>
          </w:tcPr>
          <w:p w14:paraId="6115CD52" w14:textId="39799737" w:rsidR="009B330C" w:rsidRPr="00D92E20" w:rsidRDefault="009B330C" w:rsidP="009B330C">
            <w:pPr>
              <w:spacing w:after="0" w:line="240" w:lineRule="auto"/>
              <w:jc w:val="right"/>
              <w:rPr>
                <w:rFonts w:cs="Arial"/>
                <w:color w:val="000000"/>
                <w:sz w:val="16"/>
                <w:szCs w:val="16"/>
              </w:rPr>
            </w:pPr>
            <w:r>
              <w:rPr>
                <w:rFonts w:cs="Arial"/>
                <w:sz w:val="16"/>
                <w:szCs w:val="16"/>
              </w:rPr>
              <w:t>4 038,0</w:t>
            </w:r>
          </w:p>
        </w:tc>
        <w:tc>
          <w:tcPr>
            <w:tcW w:w="907" w:type="dxa"/>
            <w:tcBorders>
              <w:top w:val="nil"/>
              <w:left w:val="nil"/>
              <w:bottom w:val="nil"/>
              <w:right w:val="nil"/>
            </w:tcBorders>
            <w:shd w:val="clear" w:color="auto" w:fill="auto"/>
            <w:vAlign w:val="center"/>
            <w:hideMark/>
          </w:tcPr>
          <w:p w14:paraId="1C72A64C" w14:textId="1E10380C" w:rsidR="009B330C" w:rsidRPr="00D92E20" w:rsidRDefault="009B330C" w:rsidP="009B330C">
            <w:pPr>
              <w:spacing w:after="0" w:line="240" w:lineRule="auto"/>
              <w:jc w:val="right"/>
              <w:rPr>
                <w:rFonts w:cs="Arial"/>
                <w:color w:val="000000"/>
                <w:sz w:val="16"/>
                <w:szCs w:val="16"/>
              </w:rPr>
            </w:pPr>
            <w:r>
              <w:rPr>
                <w:rFonts w:cs="Arial"/>
                <w:sz w:val="16"/>
                <w:szCs w:val="16"/>
              </w:rPr>
              <w:t>2 052,3</w:t>
            </w:r>
          </w:p>
        </w:tc>
        <w:tc>
          <w:tcPr>
            <w:tcW w:w="907" w:type="dxa"/>
            <w:tcBorders>
              <w:top w:val="nil"/>
              <w:left w:val="nil"/>
              <w:bottom w:val="nil"/>
              <w:right w:val="single" w:sz="4" w:space="0" w:color="auto"/>
            </w:tcBorders>
            <w:shd w:val="clear" w:color="auto" w:fill="auto"/>
            <w:vAlign w:val="center"/>
            <w:hideMark/>
          </w:tcPr>
          <w:p w14:paraId="75626D79" w14:textId="7222A121" w:rsidR="009B330C" w:rsidRPr="00D92E20" w:rsidRDefault="009B330C" w:rsidP="009B330C">
            <w:pPr>
              <w:spacing w:after="0" w:line="240" w:lineRule="auto"/>
              <w:jc w:val="right"/>
              <w:rPr>
                <w:rFonts w:cs="Arial"/>
                <w:color w:val="000000"/>
                <w:sz w:val="16"/>
                <w:szCs w:val="16"/>
              </w:rPr>
            </w:pPr>
            <w:r>
              <w:rPr>
                <w:rFonts w:cs="Arial"/>
                <w:sz w:val="16"/>
                <w:szCs w:val="16"/>
              </w:rPr>
              <w:t>1 985,8</w:t>
            </w:r>
          </w:p>
        </w:tc>
        <w:tc>
          <w:tcPr>
            <w:tcW w:w="907" w:type="dxa"/>
            <w:tcBorders>
              <w:top w:val="single" w:sz="4" w:space="0" w:color="auto"/>
              <w:left w:val="nil"/>
              <w:bottom w:val="nil"/>
              <w:right w:val="nil"/>
            </w:tcBorders>
            <w:shd w:val="clear" w:color="auto" w:fill="auto"/>
            <w:vAlign w:val="center"/>
            <w:hideMark/>
          </w:tcPr>
          <w:p w14:paraId="5C0EC02E" w14:textId="633CEE77" w:rsidR="009B330C" w:rsidRPr="00D92E20" w:rsidRDefault="009B330C" w:rsidP="009B330C">
            <w:pPr>
              <w:spacing w:after="0" w:line="240" w:lineRule="auto"/>
              <w:jc w:val="right"/>
              <w:rPr>
                <w:rFonts w:cs="Arial"/>
                <w:color w:val="000000"/>
                <w:sz w:val="16"/>
                <w:szCs w:val="16"/>
              </w:rPr>
            </w:pPr>
            <w:r>
              <w:rPr>
                <w:rFonts w:cs="Arial"/>
                <w:sz w:val="16"/>
                <w:szCs w:val="16"/>
              </w:rPr>
              <w:t>143,1</w:t>
            </w:r>
          </w:p>
        </w:tc>
        <w:tc>
          <w:tcPr>
            <w:tcW w:w="907" w:type="dxa"/>
            <w:tcBorders>
              <w:top w:val="nil"/>
              <w:left w:val="nil"/>
              <w:bottom w:val="nil"/>
              <w:right w:val="nil"/>
            </w:tcBorders>
            <w:shd w:val="clear" w:color="auto" w:fill="auto"/>
            <w:vAlign w:val="center"/>
            <w:hideMark/>
          </w:tcPr>
          <w:p w14:paraId="3CEF7D0D" w14:textId="7F622B2D" w:rsidR="009B330C" w:rsidRPr="00D92E20" w:rsidRDefault="009B330C" w:rsidP="009B330C">
            <w:pPr>
              <w:spacing w:after="0" w:line="240" w:lineRule="auto"/>
              <w:jc w:val="right"/>
              <w:rPr>
                <w:rFonts w:cs="Arial"/>
                <w:color w:val="000000"/>
                <w:sz w:val="16"/>
                <w:szCs w:val="16"/>
              </w:rPr>
            </w:pPr>
            <w:r>
              <w:rPr>
                <w:rFonts w:cs="Arial"/>
                <w:sz w:val="16"/>
                <w:szCs w:val="16"/>
              </w:rPr>
              <w:t>91,3</w:t>
            </w:r>
          </w:p>
        </w:tc>
        <w:tc>
          <w:tcPr>
            <w:tcW w:w="907" w:type="dxa"/>
            <w:tcBorders>
              <w:top w:val="nil"/>
              <w:left w:val="nil"/>
              <w:bottom w:val="nil"/>
              <w:right w:val="nil"/>
            </w:tcBorders>
            <w:shd w:val="clear" w:color="auto" w:fill="auto"/>
            <w:vAlign w:val="center"/>
            <w:hideMark/>
          </w:tcPr>
          <w:p w14:paraId="4A9D3B7B" w14:textId="72C4D6FF" w:rsidR="009B330C" w:rsidRPr="00D92E20" w:rsidRDefault="009B330C" w:rsidP="009B330C">
            <w:pPr>
              <w:spacing w:after="0" w:line="240" w:lineRule="auto"/>
              <w:jc w:val="right"/>
              <w:rPr>
                <w:rFonts w:cs="Arial"/>
                <w:color w:val="000000"/>
                <w:sz w:val="16"/>
                <w:szCs w:val="16"/>
              </w:rPr>
            </w:pPr>
            <w:r>
              <w:rPr>
                <w:rFonts w:cs="Arial"/>
                <w:sz w:val="16"/>
                <w:szCs w:val="16"/>
              </w:rPr>
              <w:t>51,8</w:t>
            </w:r>
          </w:p>
        </w:tc>
      </w:tr>
      <w:tr w:rsidR="009B330C" w:rsidRPr="00D92E20" w14:paraId="49F14855" w14:textId="77777777" w:rsidTr="009B330C">
        <w:trPr>
          <w:trHeight w:val="300"/>
        </w:trPr>
        <w:tc>
          <w:tcPr>
            <w:tcW w:w="1304" w:type="dxa"/>
            <w:tcBorders>
              <w:top w:val="nil"/>
              <w:left w:val="nil"/>
              <w:bottom w:val="nil"/>
              <w:right w:val="nil"/>
            </w:tcBorders>
            <w:shd w:val="clear" w:color="auto" w:fill="auto"/>
            <w:vAlign w:val="center"/>
            <w:hideMark/>
          </w:tcPr>
          <w:p w14:paraId="49F9984C" w14:textId="304722FD" w:rsidR="009B330C" w:rsidRPr="00D92E20" w:rsidRDefault="009B330C" w:rsidP="009B330C">
            <w:pPr>
              <w:spacing w:after="0" w:line="240" w:lineRule="auto"/>
              <w:jc w:val="center"/>
              <w:rPr>
                <w:rFonts w:cs="Arial"/>
                <w:color w:val="000000"/>
                <w:sz w:val="16"/>
                <w:szCs w:val="16"/>
              </w:rPr>
            </w:pPr>
            <w:r>
              <w:rPr>
                <w:rFonts w:cs="Arial"/>
                <w:sz w:val="16"/>
                <w:szCs w:val="16"/>
              </w:rPr>
              <w:t>1. pol. 2012</w:t>
            </w:r>
          </w:p>
        </w:tc>
        <w:tc>
          <w:tcPr>
            <w:tcW w:w="898" w:type="dxa"/>
            <w:tcBorders>
              <w:top w:val="nil"/>
              <w:left w:val="single" w:sz="4" w:space="0" w:color="auto"/>
              <w:bottom w:val="nil"/>
              <w:right w:val="nil"/>
            </w:tcBorders>
            <w:shd w:val="clear" w:color="auto" w:fill="auto"/>
            <w:vAlign w:val="center"/>
            <w:hideMark/>
          </w:tcPr>
          <w:p w14:paraId="0754876F" w14:textId="5057B6B9" w:rsidR="009B330C" w:rsidRPr="00D92E20" w:rsidRDefault="009B330C" w:rsidP="009B330C">
            <w:pPr>
              <w:spacing w:after="0" w:line="240" w:lineRule="auto"/>
              <w:jc w:val="right"/>
              <w:rPr>
                <w:rFonts w:cs="Arial"/>
                <w:color w:val="000000"/>
                <w:sz w:val="16"/>
                <w:szCs w:val="16"/>
              </w:rPr>
            </w:pPr>
            <w:r>
              <w:rPr>
                <w:rFonts w:cs="Arial"/>
                <w:sz w:val="16"/>
                <w:szCs w:val="16"/>
              </w:rPr>
              <w:t>4 459,0</w:t>
            </w:r>
          </w:p>
        </w:tc>
        <w:tc>
          <w:tcPr>
            <w:tcW w:w="890" w:type="dxa"/>
            <w:tcBorders>
              <w:top w:val="nil"/>
              <w:left w:val="nil"/>
              <w:bottom w:val="nil"/>
              <w:right w:val="nil"/>
            </w:tcBorders>
            <w:shd w:val="clear" w:color="auto" w:fill="auto"/>
            <w:vAlign w:val="center"/>
            <w:hideMark/>
          </w:tcPr>
          <w:p w14:paraId="50DC6F69" w14:textId="1E754F8F" w:rsidR="009B330C" w:rsidRPr="00D92E20" w:rsidRDefault="009B330C" w:rsidP="009B330C">
            <w:pPr>
              <w:spacing w:after="0" w:line="240" w:lineRule="auto"/>
              <w:jc w:val="right"/>
              <w:rPr>
                <w:rFonts w:cs="Arial"/>
                <w:color w:val="000000"/>
                <w:sz w:val="16"/>
                <w:szCs w:val="16"/>
              </w:rPr>
            </w:pPr>
            <w:r>
              <w:rPr>
                <w:rFonts w:cs="Arial"/>
                <w:sz w:val="16"/>
                <w:szCs w:val="16"/>
              </w:rPr>
              <w:t>2 269,1</w:t>
            </w:r>
          </w:p>
        </w:tc>
        <w:tc>
          <w:tcPr>
            <w:tcW w:w="890" w:type="dxa"/>
            <w:tcBorders>
              <w:top w:val="nil"/>
              <w:left w:val="nil"/>
              <w:bottom w:val="nil"/>
              <w:right w:val="single" w:sz="4" w:space="0" w:color="auto"/>
            </w:tcBorders>
            <w:shd w:val="clear" w:color="auto" w:fill="auto"/>
            <w:vAlign w:val="center"/>
            <w:hideMark/>
          </w:tcPr>
          <w:p w14:paraId="33AAF0ED" w14:textId="022419BE" w:rsidR="009B330C" w:rsidRPr="00D92E20" w:rsidRDefault="009B330C" w:rsidP="009B330C">
            <w:pPr>
              <w:spacing w:after="0" w:line="240" w:lineRule="auto"/>
              <w:jc w:val="right"/>
              <w:rPr>
                <w:rFonts w:cs="Arial"/>
                <w:color w:val="000000"/>
                <w:sz w:val="16"/>
                <w:szCs w:val="16"/>
              </w:rPr>
            </w:pPr>
            <w:r>
              <w:rPr>
                <w:rFonts w:cs="Arial"/>
                <w:sz w:val="16"/>
                <w:szCs w:val="16"/>
              </w:rPr>
              <w:t>2 189,9</w:t>
            </w:r>
          </w:p>
        </w:tc>
        <w:tc>
          <w:tcPr>
            <w:tcW w:w="1056" w:type="dxa"/>
            <w:tcBorders>
              <w:top w:val="nil"/>
              <w:left w:val="nil"/>
              <w:bottom w:val="nil"/>
              <w:right w:val="nil"/>
            </w:tcBorders>
            <w:shd w:val="clear" w:color="auto" w:fill="auto"/>
            <w:vAlign w:val="center"/>
            <w:hideMark/>
          </w:tcPr>
          <w:p w14:paraId="3FE98F83" w14:textId="10868765" w:rsidR="009B330C" w:rsidRPr="00D92E20" w:rsidRDefault="009B330C" w:rsidP="009B330C">
            <w:pPr>
              <w:spacing w:after="0" w:line="240" w:lineRule="auto"/>
              <w:jc w:val="right"/>
              <w:rPr>
                <w:rFonts w:cs="Arial"/>
                <w:color w:val="000000"/>
                <w:sz w:val="16"/>
                <w:szCs w:val="16"/>
              </w:rPr>
            </w:pPr>
            <w:r>
              <w:rPr>
                <w:rFonts w:cs="Arial"/>
                <w:sz w:val="16"/>
                <w:szCs w:val="16"/>
              </w:rPr>
              <w:t>4 344,5</w:t>
            </w:r>
          </w:p>
        </w:tc>
        <w:tc>
          <w:tcPr>
            <w:tcW w:w="907" w:type="dxa"/>
            <w:tcBorders>
              <w:top w:val="nil"/>
              <w:left w:val="nil"/>
              <w:bottom w:val="nil"/>
              <w:right w:val="nil"/>
            </w:tcBorders>
            <w:shd w:val="clear" w:color="auto" w:fill="auto"/>
            <w:vAlign w:val="center"/>
            <w:hideMark/>
          </w:tcPr>
          <w:p w14:paraId="7E335F24" w14:textId="1AAC3B62" w:rsidR="009B330C" w:rsidRPr="00D92E20" w:rsidRDefault="009B330C" w:rsidP="009B330C">
            <w:pPr>
              <w:spacing w:after="0" w:line="240" w:lineRule="auto"/>
              <w:jc w:val="right"/>
              <w:rPr>
                <w:rFonts w:cs="Arial"/>
                <w:color w:val="000000"/>
                <w:sz w:val="16"/>
                <w:szCs w:val="16"/>
              </w:rPr>
            </w:pPr>
            <w:r>
              <w:rPr>
                <w:rFonts w:cs="Arial"/>
                <w:sz w:val="16"/>
                <w:szCs w:val="16"/>
              </w:rPr>
              <w:t>2 196,1</w:t>
            </w:r>
          </w:p>
        </w:tc>
        <w:tc>
          <w:tcPr>
            <w:tcW w:w="907" w:type="dxa"/>
            <w:tcBorders>
              <w:top w:val="nil"/>
              <w:left w:val="nil"/>
              <w:bottom w:val="nil"/>
              <w:right w:val="single" w:sz="4" w:space="0" w:color="auto"/>
            </w:tcBorders>
            <w:shd w:val="clear" w:color="auto" w:fill="auto"/>
            <w:vAlign w:val="center"/>
            <w:hideMark/>
          </w:tcPr>
          <w:p w14:paraId="13D5DE05" w14:textId="21F42126" w:rsidR="009B330C" w:rsidRPr="00D92E20" w:rsidRDefault="009B330C" w:rsidP="009B330C">
            <w:pPr>
              <w:spacing w:after="0" w:line="240" w:lineRule="auto"/>
              <w:jc w:val="right"/>
              <w:rPr>
                <w:rFonts w:cs="Arial"/>
                <w:color w:val="000000"/>
                <w:sz w:val="16"/>
                <w:szCs w:val="16"/>
              </w:rPr>
            </w:pPr>
            <w:r>
              <w:rPr>
                <w:rFonts w:cs="Arial"/>
                <w:sz w:val="16"/>
                <w:szCs w:val="16"/>
              </w:rPr>
              <w:t>2 148,4</w:t>
            </w:r>
          </w:p>
        </w:tc>
        <w:tc>
          <w:tcPr>
            <w:tcW w:w="907" w:type="dxa"/>
            <w:tcBorders>
              <w:top w:val="nil"/>
              <w:left w:val="nil"/>
              <w:bottom w:val="nil"/>
              <w:right w:val="nil"/>
            </w:tcBorders>
            <w:shd w:val="clear" w:color="auto" w:fill="auto"/>
            <w:vAlign w:val="center"/>
            <w:hideMark/>
          </w:tcPr>
          <w:p w14:paraId="0EB315B3" w14:textId="30A3EC42" w:rsidR="009B330C" w:rsidRPr="00D92E20" w:rsidRDefault="009B330C" w:rsidP="009B330C">
            <w:pPr>
              <w:spacing w:after="0" w:line="240" w:lineRule="auto"/>
              <w:jc w:val="right"/>
              <w:rPr>
                <w:rFonts w:cs="Arial"/>
                <w:color w:val="000000"/>
                <w:sz w:val="16"/>
                <w:szCs w:val="16"/>
              </w:rPr>
            </w:pPr>
            <w:r>
              <w:rPr>
                <w:rFonts w:cs="Arial"/>
                <w:sz w:val="16"/>
                <w:szCs w:val="16"/>
              </w:rPr>
              <w:t>114,5</w:t>
            </w:r>
          </w:p>
        </w:tc>
        <w:tc>
          <w:tcPr>
            <w:tcW w:w="907" w:type="dxa"/>
            <w:tcBorders>
              <w:top w:val="nil"/>
              <w:left w:val="nil"/>
              <w:bottom w:val="nil"/>
              <w:right w:val="nil"/>
            </w:tcBorders>
            <w:shd w:val="clear" w:color="auto" w:fill="auto"/>
            <w:vAlign w:val="center"/>
            <w:hideMark/>
          </w:tcPr>
          <w:p w14:paraId="07542A21" w14:textId="1CA69603" w:rsidR="009B330C" w:rsidRPr="00D92E20" w:rsidRDefault="009B330C" w:rsidP="009B330C">
            <w:pPr>
              <w:spacing w:after="0" w:line="240" w:lineRule="auto"/>
              <w:jc w:val="right"/>
              <w:rPr>
                <w:rFonts w:cs="Arial"/>
                <w:color w:val="000000"/>
                <w:sz w:val="16"/>
                <w:szCs w:val="16"/>
              </w:rPr>
            </w:pPr>
            <w:r>
              <w:rPr>
                <w:rFonts w:cs="Arial"/>
                <w:sz w:val="16"/>
                <w:szCs w:val="16"/>
              </w:rPr>
              <w:t>73,1</w:t>
            </w:r>
          </w:p>
        </w:tc>
        <w:tc>
          <w:tcPr>
            <w:tcW w:w="907" w:type="dxa"/>
            <w:tcBorders>
              <w:top w:val="nil"/>
              <w:left w:val="nil"/>
              <w:bottom w:val="nil"/>
              <w:right w:val="nil"/>
            </w:tcBorders>
            <w:shd w:val="clear" w:color="auto" w:fill="auto"/>
            <w:vAlign w:val="center"/>
            <w:hideMark/>
          </w:tcPr>
          <w:p w14:paraId="42E0ED02" w14:textId="4CEB28BD" w:rsidR="009B330C" w:rsidRPr="00D92E20" w:rsidRDefault="009B330C" w:rsidP="009B330C">
            <w:pPr>
              <w:spacing w:after="0" w:line="240" w:lineRule="auto"/>
              <w:jc w:val="right"/>
              <w:rPr>
                <w:rFonts w:cs="Arial"/>
                <w:color w:val="000000"/>
                <w:sz w:val="16"/>
                <w:szCs w:val="16"/>
              </w:rPr>
            </w:pPr>
            <w:r>
              <w:rPr>
                <w:rFonts w:cs="Arial"/>
                <w:sz w:val="16"/>
                <w:szCs w:val="16"/>
              </w:rPr>
              <w:t>41,5</w:t>
            </w:r>
          </w:p>
        </w:tc>
      </w:tr>
      <w:tr w:rsidR="009B330C" w:rsidRPr="00D92E20" w14:paraId="6D2D206D" w14:textId="77777777" w:rsidTr="009B330C">
        <w:trPr>
          <w:trHeight w:val="300"/>
        </w:trPr>
        <w:tc>
          <w:tcPr>
            <w:tcW w:w="1304" w:type="dxa"/>
            <w:tcBorders>
              <w:top w:val="nil"/>
              <w:left w:val="nil"/>
              <w:bottom w:val="nil"/>
              <w:right w:val="nil"/>
            </w:tcBorders>
            <w:shd w:val="clear" w:color="auto" w:fill="auto"/>
            <w:vAlign w:val="center"/>
            <w:hideMark/>
          </w:tcPr>
          <w:p w14:paraId="4870C037" w14:textId="6D9C719F" w:rsidR="009B330C" w:rsidRPr="00D92E20" w:rsidRDefault="009B330C" w:rsidP="009B330C">
            <w:pPr>
              <w:spacing w:after="0" w:line="240" w:lineRule="auto"/>
              <w:jc w:val="center"/>
              <w:rPr>
                <w:rFonts w:cs="Arial"/>
                <w:color w:val="000000"/>
                <w:sz w:val="16"/>
                <w:szCs w:val="16"/>
              </w:rPr>
            </w:pPr>
            <w:r>
              <w:rPr>
                <w:rFonts w:cs="Arial"/>
                <w:sz w:val="16"/>
                <w:szCs w:val="16"/>
              </w:rPr>
              <w:t>1. pol. 2013</w:t>
            </w:r>
          </w:p>
        </w:tc>
        <w:tc>
          <w:tcPr>
            <w:tcW w:w="898" w:type="dxa"/>
            <w:tcBorders>
              <w:top w:val="nil"/>
              <w:left w:val="single" w:sz="4" w:space="0" w:color="auto"/>
              <w:bottom w:val="nil"/>
              <w:right w:val="nil"/>
            </w:tcBorders>
            <w:shd w:val="clear" w:color="auto" w:fill="auto"/>
            <w:vAlign w:val="center"/>
            <w:hideMark/>
          </w:tcPr>
          <w:p w14:paraId="288AE7EE" w14:textId="4857ECD4" w:rsidR="009B330C" w:rsidRPr="00D92E20" w:rsidRDefault="009B330C" w:rsidP="009B330C">
            <w:pPr>
              <w:spacing w:after="0" w:line="240" w:lineRule="auto"/>
              <w:jc w:val="right"/>
              <w:rPr>
                <w:rFonts w:cs="Arial"/>
                <w:color w:val="000000"/>
                <w:sz w:val="16"/>
                <w:szCs w:val="16"/>
              </w:rPr>
            </w:pPr>
            <w:r>
              <w:rPr>
                <w:rFonts w:cs="Arial"/>
                <w:sz w:val="16"/>
                <w:szCs w:val="16"/>
              </w:rPr>
              <w:t>4 415,4</w:t>
            </w:r>
          </w:p>
        </w:tc>
        <w:tc>
          <w:tcPr>
            <w:tcW w:w="890" w:type="dxa"/>
            <w:tcBorders>
              <w:top w:val="nil"/>
              <w:left w:val="nil"/>
              <w:bottom w:val="nil"/>
              <w:right w:val="nil"/>
            </w:tcBorders>
            <w:shd w:val="clear" w:color="auto" w:fill="auto"/>
            <w:vAlign w:val="center"/>
            <w:hideMark/>
          </w:tcPr>
          <w:p w14:paraId="73F06927" w14:textId="64F2EB87" w:rsidR="009B330C" w:rsidRPr="00D92E20" w:rsidRDefault="009B330C" w:rsidP="009B330C">
            <w:pPr>
              <w:spacing w:after="0" w:line="240" w:lineRule="auto"/>
              <w:jc w:val="right"/>
              <w:rPr>
                <w:rFonts w:cs="Arial"/>
                <w:color w:val="000000"/>
                <w:sz w:val="16"/>
                <w:szCs w:val="16"/>
              </w:rPr>
            </w:pPr>
            <w:r>
              <w:rPr>
                <w:rFonts w:cs="Arial"/>
                <w:sz w:val="16"/>
                <w:szCs w:val="16"/>
              </w:rPr>
              <w:t>2 248,2</w:t>
            </w:r>
          </w:p>
        </w:tc>
        <w:tc>
          <w:tcPr>
            <w:tcW w:w="890" w:type="dxa"/>
            <w:tcBorders>
              <w:top w:val="nil"/>
              <w:left w:val="nil"/>
              <w:bottom w:val="nil"/>
              <w:right w:val="single" w:sz="4" w:space="0" w:color="auto"/>
            </w:tcBorders>
            <w:shd w:val="clear" w:color="auto" w:fill="auto"/>
            <w:vAlign w:val="center"/>
            <w:hideMark/>
          </w:tcPr>
          <w:p w14:paraId="68FEF93F" w14:textId="53C278F4" w:rsidR="009B330C" w:rsidRPr="00D92E20" w:rsidRDefault="009B330C" w:rsidP="009B330C">
            <w:pPr>
              <w:spacing w:after="0" w:line="240" w:lineRule="auto"/>
              <w:jc w:val="right"/>
              <w:rPr>
                <w:rFonts w:cs="Arial"/>
                <w:color w:val="000000"/>
                <w:sz w:val="16"/>
                <w:szCs w:val="16"/>
              </w:rPr>
            </w:pPr>
            <w:r>
              <w:rPr>
                <w:rFonts w:cs="Arial"/>
                <w:sz w:val="16"/>
                <w:szCs w:val="16"/>
              </w:rPr>
              <w:t>2 167,3</w:t>
            </w:r>
          </w:p>
        </w:tc>
        <w:tc>
          <w:tcPr>
            <w:tcW w:w="1056" w:type="dxa"/>
            <w:tcBorders>
              <w:top w:val="nil"/>
              <w:left w:val="nil"/>
              <w:bottom w:val="nil"/>
              <w:right w:val="nil"/>
            </w:tcBorders>
            <w:shd w:val="clear" w:color="auto" w:fill="auto"/>
            <w:vAlign w:val="center"/>
            <w:hideMark/>
          </w:tcPr>
          <w:p w14:paraId="18ACDE4D" w14:textId="33C5CFF0" w:rsidR="009B330C" w:rsidRPr="00D92E20" w:rsidRDefault="009B330C" w:rsidP="009B330C">
            <w:pPr>
              <w:spacing w:after="0" w:line="240" w:lineRule="auto"/>
              <w:jc w:val="right"/>
              <w:rPr>
                <w:rFonts w:cs="Arial"/>
                <w:color w:val="000000"/>
                <w:sz w:val="16"/>
                <w:szCs w:val="16"/>
              </w:rPr>
            </w:pPr>
            <w:r>
              <w:rPr>
                <w:rFonts w:cs="Arial"/>
                <w:sz w:val="16"/>
                <w:szCs w:val="16"/>
              </w:rPr>
              <w:t>4 311,3</w:t>
            </w:r>
          </w:p>
        </w:tc>
        <w:tc>
          <w:tcPr>
            <w:tcW w:w="907" w:type="dxa"/>
            <w:tcBorders>
              <w:top w:val="nil"/>
              <w:left w:val="nil"/>
              <w:bottom w:val="nil"/>
              <w:right w:val="nil"/>
            </w:tcBorders>
            <w:shd w:val="clear" w:color="auto" w:fill="auto"/>
            <w:vAlign w:val="center"/>
            <w:hideMark/>
          </w:tcPr>
          <w:p w14:paraId="3AD8DF7A" w14:textId="5A882282" w:rsidR="009B330C" w:rsidRPr="00D92E20" w:rsidRDefault="009B330C" w:rsidP="009B330C">
            <w:pPr>
              <w:spacing w:after="0" w:line="240" w:lineRule="auto"/>
              <w:jc w:val="right"/>
              <w:rPr>
                <w:rFonts w:cs="Arial"/>
                <w:color w:val="000000"/>
                <w:sz w:val="16"/>
                <w:szCs w:val="16"/>
              </w:rPr>
            </w:pPr>
            <w:r>
              <w:rPr>
                <w:rFonts w:cs="Arial"/>
                <w:sz w:val="16"/>
                <w:szCs w:val="16"/>
              </w:rPr>
              <w:t>2 182,4</w:t>
            </w:r>
          </w:p>
        </w:tc>
        <w:tc>
          <w:tcPr>
            <w:tcW w:w="907" w:type="dxa"/>
            <w:tcBorders>
              <w:top w:val="nil"/>
              <w:left w:val="nil"/>
              <w:bottom w:val="nil"/>
              <w:right w:val="single" w:sz="4" w:space="0" w:color="auto"/>
            </w:tcBorders>
            <w:shd w:val="clear" w:color="auto" w:fill="auto"/>
            <w:vAlign w:val="center"/>
            <w:hideMark/>
          </w:tcPr>
          <w:p w14:paraId="2D022B4E" w14:textId="396B4E30" w:rsidR="009B330C" w:rsidRPr="00D92E20" w:rsidRDefault="009B330C" w:rsidP="009B330C">
            <w:pPr>
              <w:spacing w:after="0" w:line="240" w:lineRule="auto"/>
              <w:jc w:val="right"/>
              <w:rPr>
                <w:rFonts w:cs="Arial"/>
                <w:color w:val="000000"/>
                <w:sz w:val="16"/>
                <w:szCs w:val="16"/>
              </w:rPr>
            </w:pPr>
            <w:r>
              <w:rPr>
                <w:rFonts w:cs="Arial"/>
                <w:sz w:val="16"/>
                <w:szCs w:val="16"/>
              </w:rPr>
              <w:t>2 128,9</w:t>
            </w:r>
          </w:p>
        </w:tc>
        <w:tc>
          <w:tcPr>
            <w:tcW w:w="907" w:type="dxa"/>
            <w:tcBorders>
              <w:top w:val="nil"/>
              <w:left w:val="nil"/>
              <w:bottom w:val="nil"/>
              <w:right w:val="nil"/>
            </w:tcBorders>
            <w:shd w:val="clear" w:color="auto" w:fill="auto"/>
            <w:vAlign w:val="center"/>
            <w:hideMark/>
          </w:tcPr>
          <w:p w14:paraId="47441CF6" w14:textId="6BFCE545" w:rsidR="009B330C" w:rsidRPr="00D92E20" w:rsidRDefault="009B330C" w:rsidP="009B330C">
            <w:pPr>
              <w:spacing w:after="0" w:line="240" w:lineRule="auto"/>
              <w:jc w:val="right"/>
              <w:rPr>
                <w:rFonts w:cs="Arial"/>
                <w:color w:val="000000"/>
                <w:sz w:val="16"/>
                <w:szCs w:val="16"/>
              </w:rPr>
            </w:pPr>
            <w:r>
              <w:rPr>
                <w:rFonts w:cs="Arial"/>
                <w:sz w:val="16"/>
                <w:szCs w:val="16"/>
              </w:rPr>
              <w:t>104,1</w:t>
            </w:r>
          </w:p>
        </w:tc>
        <w:tc>
          <w:tcPr>
            <w:tcW w:w="907" w:type="dxa"/>
            <w:tcBorders>
              <w:top w:val="nil"/>
              <w:left w:val="nil"/>
              <w:bottom w:val="nil"/>
              <w:right w:val="nil"/>
            </w:tcBorders>
            <w:shd w:val="clear" w:color="auto" w:fill="auto"/>
            <w:vAlign w:val="center"/>
            <w:hideMark/>
          </w:tcPr>
          <w:p w14:paraId="1B17EA1A" w14:textId="434A8EBE" w:rsidR="009B330C" w:rsidRPr="00D92E20" w:rsidRDefault="009B330C" w:rsidP="009B330C">
            <w:pPr>
              <w:spacing w:after="0" w:line="240" w:lineRule="auto"/>
              <w:jc w:val="right"/>
              <w:rPr>
                <w:rFonts w:cs="Arial"/>
                <w:color w:val="000000"/>
                <w:sz w:val="16"/>
                <w:szCs w:val="16"/>
              </w:rPr>
            </w:pPr>
            <w:r>
              <w:rPr>
                <w:rFonts w:cs="Arial"/>
                <w:sz w:val="16"/>
                <w:szCs w:val="16"/>
              </w:rPr>
              <w:t>65,8</w:t>
            </w:r>
          </w:p>
        </w:tc>
        <w:tc>
          <w:tcPr>
            <w:tcW w:w="907" w:type="dxa"/>
            <w:tcBorders>
              <w:top w:val="nil"/>
              <w:left w:val="nil"/>
              <w:bottom w:val="nil"/>
              <w:right w:val="nil"/>
            </w:tcBorders>
            <w:shd w:val="clear" w:color="auto" w:fill="auto"/>
            <w:vAlign w:val="center"/>
            <w:hideMark/>
          </w:tcPr>
          <w:p w14:paraId="7F7CAE06" w14:textId="70543A15" w:rsidR="009B330C" w:rsidRPr="00D92E20" w:rsidRDefault="009B330C" w:rsidP="009B330C">
            <w:pPr>
              <w:spacing w:after="0" w:line="240" w:lineRule="auto"/>
              <w:jc w:val="right"/>
              <w:rPr>
                <w:rFonts w:cs="Arial"/>
                <w:color w:val="000000"/>
                <w:sz w:val="16"/>
                <w:szCs w:val="16"/>
              </w:rPr>
            </w:pPr>
            <w:r>
              <w:rPr>
                <w:rFonts w:cs="Arial"/>
                <w:sz w:val="16"/>
                <w:szCs w:val="16"/>
              </w:rPr>
              <w:t>38,3</w:t>
            </w:r>
          </w:p>
        </w:tc>
      </w:tr>
      <w:tr w:rsidR="009B330C" w:rsidRPr="00D92E20" w14:paraId="1DE374AB" w14:textId="77777777" w:rsidTr="009B330C">
        <w:trPr>
          <w:trHeight w:val="300"/>
        </w:trPr>
        <w:tc>
          <w:tcPr>
            <w:tcW w:w="1304" w:type="dxa"/>
            <w:tcBorders>
              <w:top w:val="nil"/>
              <w:left w:val="nil"/>
              <w:bottom w:val="nil"/>
              <w:right w:val="nil"/>
            </w:tcBorders>
            <w:shd w:val="clear" w:color="auto" w:fill="auto"/>
            <w:vAlign w:val="center"/>
            <w:hideMark/>
          </w:tcPr>
          <w:p w14:paraId="7741E65D" w14:textId="77BBCEC1" w:rsidR="009B330C" w:rsidRPr="00D92E20" w:rsidRDefault="009B330C" w:rsidP="009B330C">
            <w:pPr>
              <w:spacing w:after="0" w:line="240" w:lineRule="auto"/>
              <w:jc w:val="center"/>
              <w:rPr>
                <w:rFonts w:cs="Arial"/>
                <w:color w:val="000000"/>
                <w:sz w:val="16"/>
                <w:szCs w:val="16"/>
              </w:rPr>
            </w:pPr>
            <w:r>
              <w:rPr>
                <w:rFonts w:cs="Arial"/>
                <w:sz w:val="16"/>
                <w:szCs w:val="16"/>
              </w:rPr>
              <w:t>1. pol. 2014</w:t>
            </w:r>
          </w:p>
        </w:tc>
        <w:tc>
          <w:tcPr>
            <w:tcW w:w="898" w:type="dxa"/>
            <w:tcBorders>
              <w:top w:val="nil"/>
              <w:left w:val="single" w:sz="4" w:space="0" w:color="auto"/>
              <w:bottom w:val="nil"/>
              <w:right w:val="nil"/>
            </w:tcBorders>
            <w:shd w:val="clear" w:color="auto" w:fill="auto"/>
            <w:vAlign w:val="center"/>
            <w:hideMark/>
          </w:tcPr>
          <w:p w14:paraId="362F65DD" w14:textId="0A9C3525" w:rsidR="009B330C" w:rsidRPr="00D92E20" w:rsidRDefault="009B330C" w:rsidP="009B330C">
            <w:pPr>
              <w:spacing w:after="0" w:line="240" w:lineRule="auto"/>
              <w:jc w:val="right"/>
              <w:rPr>
                <w:rFonts w:cs="Arial"/>
                <w:color w:val="000000"/>
                <w:sz w:val="16"/>
                <w:szCs w:val="16"/>
              </w:rPr>
            </w:pPr>
            <w:r>
              <w:rPr>
                <w:rFonts w:cs="Arial"/>
                <w:sz w:val="16"/>
                <w:szCs w:val="16"/>
              </w:rPr>
              <w:t>4 413,5</w:t>
            </w:r>
          </w:p>
        </w:tc>
        <w:tc>
          <w:tcPr>
            <w:tcW w:w="890" w:type="dxa"/>
            <w:tcBorders>
              <w:top w:val="nil"/>
              <w:left w:val="nil"/>
              <w:bottom w:val="nil"/>
              <w:right w:val="nil"/>
            </w:tcBorders>
            <w:shd w:val="clear" w:color="auto" w:fill="auto"/>
            <w:vAlign w:val="center"/>
            <w:hideMark/>
          </w:tcPr>
          <w:p w14:paraId="53638E4D" w14:textId="57CE376C" w:rsidR="009B330C" w:rsidRPr="00D92E20" w:rsidRDefault="009B330C" w:rsidP="009B330C">
            <w:pPr>
              <w:spacing w:after="0" w:line="240" w:lineRule="auto"/>
              <w:jc w:val="right"/>
              <w:rPr>
                <w:rFonts w:cs="Arial"/>
                <w:color w:val="000000"/>
                <w:sz w:val="16"/>
                <w:szCs w:val="16"/>
              </w:rPr>
            </w:pPr>
            <w:r>
              <w:rPr>
                <w:rFonts w:cs="Arial"/>
                <w:sz w:val="16"/>
                <w:szCs w:val="16"/>
              </w:rPr>
              <w:t>2 247,8</w:t>
            </w:r>
          </w:p>
        </w:tc>
        <w:tc>
          <w:tcPr>
            <w:tcW w:w="890" w:type="dxa"/>
            <w:tcBorders>
              <w:top w:val="nil"/>
              <w:left w:val="nil"/>
              <w:bottom w:val="nil"/>
              <w:right w:val="single" w:sz="4" w:space="0" w:color="auto"/>
            </w:tcBorders>
            <w:shd w:val="clear" w:color="auto" w:fill="auto"/>
            <w:vAlign w:val="center"/>
            <w:hideMark/>
          </w:tcPr>
          <w:p w14:paraId="2D56F099" w14:textId="7EFFC158" w:rsidR="009B330C" w:rsidRPr="00D92E20" w:rsidRDefault="009B330C" w:rsidP="009B330C">
            <w:pPr>
              <w:spacing w:after="0" w:line="240" w:lineRule="auto"/>
              <w:jc w:val="right"/>
              <w:rPr>
                <w:rFonts w:cs="Arial"/>
                <w:color w:val="000000"/>
                <w:sz w:val="16"/>
                <w:szCs w:val="16"/>
              </w:rPr>
            </w:pPr>
            <w:r>
              <w:rPr>
                <w:rFonts w:cs="Arial"/>
                <w:sz w:val="16"/>
                <w:szCs w:val="16"/>
              </w:rPr>
              <w:t>2 165,7</w:t>
            </w:r>
          </w:p>
        </w:tc>
        <w:tc>
          <w:tcPr>
            <w:tcW w:w="1056" w:type="dxa"/>
            <w:tcBorders>
              <w:top w:val="nil"/>
              <w:left w:val="nil"/>
              <w:bottom w:val="nil"/>
              <w:right w:val="nil"/>
            </w:tcBorders>
            <w:shd w:val="clear" w:color="auto" w:fill="auto"/>
            <w:vAlign w:val="center"/>
            <w:hideMark/>
          </w:tcPr>
          <w:p w14:paraId="7B58E223" w14:textId="5C58F5DF" w:rsidR="009B330C" w:rsidRPr="00D92E20" w:rsidRDefault="009B330C" w:rsidP="009B330C">
            <w:pPr>
              <w:spacing w:after="0" w:line="240" w:lineRule="auto"/>
              <w:jc w:val="right"/>
              <w:rPr>
                <w:rFonts w:cs="Arial"/>
                <w:color w:val="000000"/>
                <w:sz w:val="16"/>
                <w:szCs w:val="16"/>
              </w:rPr>
            </w:pPr>
            <w:r>
              <w:rPr>
                <w:rFonts w:cs="Arial"/>
                <w:sz w:val="16"/>
                <w:szCs w:val="16"/>
              </w:rPr>
              <w:t>4 314,2</w:t>
            </w:r>
          </w:p>
        </w:tc>
        <w:tc>
          <w:tcPr>
            <w:tcW w:w="907" w:type="dxa"/>
            <w:tcBorders>
              <w:top w:val="nil"/>
              <w:left w:val="nil"/>
              <w:bottom w:val="nil"/>
              <w:right w:val="nil"/>
            </w:tcBorders>
            <w:shd w:val="clear" w:color="auto" w:fill="auto"/>
            <w:vAlign w:val="center"/>
            <w:hideMark/>
          </w:tcPr>
          <w:p w14:paraId="1BE860A3" w14:textId="53322957" w:rsidR="009B330C" w:rsidRPr="00D92E20" w:rsidRDefault="009B330C" w:rsidP="009B330C">
            <w:pPr>
              <w:spacing w:after="0" w:line="240" w:lineRule="auto"/>
              <w:jc w:val="right"/>
              <w:rPr>
                <w:rFonts w:cs="Arial"/>
                <w:color w:val="000000"/>
                <w:sz w:val="16"/>
                <w:szCs w:val="16"/>
              </w:rPr>
            </w:pPr>
            <w:r>
              <w:rPr>
                <w:rFonts w:cs="Arial"/>
                <w:sz w:val="16"/>
                <w:szCs w:val="16"/>
              </w:rPr>
              <w:t>2 185,7</w:t>
            </w:r>
          </w:p>
        </w:tc>
        <w:tc>
          <w:tcPr>
            <w:tcW w:w="907" w:type="dxa"/>
            <w:tcBorders>
              <w:top w:val="nil"/>
              <w:left w:val="nil"/>
              <w:bottom w:val="nil"/>
              <w:right w:val="single" w:sz="4" w:space="0" w:color="auto"/>
            </w:tcBorders>
            <w:shd w:val="clear" w:color="auto" w:fill="auto"/>
            <w:vAlign w:val="center"/>
            <w:hideMark/>
          </w:tcPr>
          <w:p w14:paraId="3CD013DF" w14:textId="3E2EDFF5" w:rsidR="009B330C" w:rsidRPr="00D92E20" w:rsidRDefault="009B330C" w:rsidP="009B330C">
            <w:pPr>
              <w:spacing w:after="0" w:line="240" w:lineRule="auto"/>
              <w:jc w:val="right"/>
              <w:rPr>
                <w:rFonts w:cs="Arial"/>
                <w:color w:val="000000"/>
                <w:sz w:val="16"/>
                <w:szCs w:val="16"/>
              </w:rPr>
            </w:pPr>
            <w:r>
              <w:rPr>
                <w:rFonts w:cs="Arial"/>
                <w:sz w:val="16"/>
                <w:szCs w:val="16"/>
              </w:rPr>
              <w:t>2 128,6</w:t>
            </w:r>
          </w:p>
        </w:tc>
        <w:tc>
          <w:tcPr>
            <w:tcW w:w="907" w:type="dxa"/>
            <w:tcBorders>
              <w:top w:val="nil"/>
              <w:left w:val="nil"/>
              <w:bottom w:val="nil"/>
              <w:right w:val="nil"/>
            </w:tcBorders>
            <w:shd w:val="clear" w:color="auto" w:fill="auto"/>
            <w:vAlign w:val="center"/>
            <w:hideMark/>
          </w:tcPr>
          <w:p w14:paraId="159736DE" w14:textId="22A8DD8D" w:rsidR="009B330C" w:rsidRPr="00D92E20" w:rsidRDefault="009B330C" w:rsidP="009B330C">
            <w:pPr>
              <w:spacing w:after="0" w:line="240" w:lineRule="auto"/>
              <w:jc w:val="right"/>
              <w:rPr>
                <w:rFonts w:cs="Arial"/>
                <w:color w:val="000000"/>
                <w:sz w:val="16"/>
                <w:szCs w:val="16"/>
              </w:rPr>
            </w:pPr>
            <w:r>
              <w:rPr>
                <w:rFonts w:cs="Arial"/>
                <w:sz w:val="16"/>
                <w:szCs w:val="16"/>
              </w:rPr>
              <w:t>99,3</w:t>
            </w:r>
          </w:p>
        </w:tc>
        <w:tc>
          <w:tcPr>
            <w:tcW w:w="907" w:type="dxa"/>
            <w:tcBorders>
              <w:top w:val="nil"/>
              <w:left w:val="nil"/>
              <w:bottom w:val="nil"/>
              <w:right w:val="nil"/>
            </w:tcBorders>
            <w:shd w:val="clear" w:color="auto" w:fill="auto"/>
            <w:vAlign w:val="center"/>
            <w:hideMark/>
          </w:tcPr>
          <w:p w14:paraId="6520A8DB" w14:textId="45C9D299" w:rsidR="009B330C" w:rsidRPr="00D92E20" w:rsidRDefault="009B330C" w:rsidP="009B330C">
            <w:pPr>
              <w:spacing w:after="0" w:line="240" w:lineRule="auto"/>
              <w:jc w:val="right"/>
              <w:rPr>
                <w:rFonts w:cs="Arial"/>
                <w:color w:val="000000"/>
                <w:sz w:val="16"/>
                <w:szCs w:val="16"/>
              </w:rPr>
            </w:pPr>
            <w:r>
              <w:rPr>
                <w:rFonts w:cs="Arial"/>
                <w:sz w:val="16"/>
                <w:szCs w:val="16"/>
              </w:rPr>
              <w:t>62,1</w:t>
            </w:r>
          </w:p>
        </w:tc>
        <w:tc>
          <w:tcPr>
            <w:tcW w:w="907" w:type="dxa"/>
            <w:tcBorders>
              <w:top w:val="nil"/>
              <w:left w:val="nil"/>
              <w:bottom w:val="nil"/>
              <w:right w:val="nil"/>
            </w:tcBorders>
            <w:shd w:val="clear" w:color="auto" w:fill="auto"/>
            <w:vAlign w:val="center"/>
            <w:hideMark/>
          </w:tcPr>
          <w:p w14:paraId="30FABAF7" w14:textId="3F8DD4C3" w:rsidR="009B330C" w:rsidRPr="00D92E20" w:rsidRDefault="009B330C" w:rsidP="009B330C">
            <w:pPr>
              <w:spacing w:after="0" w:line="240" w:lineRule="auto"/>
              <w:jc w:val="right"/>
              <w:rPr>
                <w:rFonts w:cs="Arial"/>
                <w:color w:val="000000"/>
                <w:sz w:val="16"/>
                <w:szCs w:val="16"/>
              </w:rPr>
            </w:pPr>
            <w:r>
              <w:rPr>
                <w:rFonts w:cs="Arial"/>
                <w:sz w:val="16"/>
                <w:szCs w:val="16"/>
              </w:rPr>
              <w:t>37,2</w:t>
            </w:r>
          </w:p>
        </w:tc>
      </w:tr>
      <w:tr w:rsidR="009B330C" w:rsidRPr="00D92E20" w14:paraId="66074306" w14:textId="77777777" w:rsidTr="009B330C">
        <w:trPr>
          <w:trHeight w:val="300"/>
        </w:trPr>
        <w:tc>
          <w:tcPr>
            <w:tcW w:w="1304" w:type="dxa"/>
            <w:tcBorders>
              <w:top w:val="nil"/>
              <w:left w:val="nil"/>
              <w:bottom w:val="nil"/>
              <w:right w:val="nil"/>
            </w:tcBorders>
            <w:shd w:val="clear" w:color="auto" w:fill="auto"/>
            <w:vAlign w:val="center"/>
            <w:hideMark/>
          </w:tcPr>
          <w:p w14:paraId="39FF7CEB" w14:textId="7E2657F6" w:rsidR="009B330C" w:rsidRPr="00D92E20" w:rsidRDefault="009B330C" w:rsidP="009B330C">
            <w:pPr>
              <w:spacing w:after="0" w:line="240" w:lineRule="auto"/>
              <w:jc w:val="center"/>
              <w:rPr>
                <w:rFonts w:cs="Arial"/>
                <w:color w:val="000000"/>
                <w:sz w:val="16"/>
                <w:szCs w:val="16"/>
              </w:rPr>
            </w:pPr>
            <w:r>
              <w:rPr>
                <w:rFonts w:cs="Arial"/>
                <w:sz w:val="16"/>
                <w:szCs w:val="16"/>
              </w:rPr>
              <w:t>1. pol. 2015</w:t>
            </w:r>
          </w:p>
        </w:tc>
        <w:tc>
          <w:tcPr>
            <w:tcW w:w="898" w:type="dxa"/>
            <w:tcBorders>
              <w:top w:val="nil"/>
              <w:left w:val="single" w:sz="4" w:space="0" w:color="auto"/>
              <w:bottom w:val="nil"/>
              <w:right w:val="nil"/>
            </w:tcBorders>
            <w:shd w:val="clear" w:color="auto" w:fill="auto"/>
            <w:vAlign w:val="center"/>
            <w:hideMark/>
          </w:tcPr>
          <w:p w14:paraId="19681113" w14:textId="23808C19" w:rsidR="009B330C" w:rsidRPr="00D92E20" w:rsidRDefault="009B330C" w:rsidP="009B330C">
            <w:pPr>
              <w:spacing w:after="0" w:line="240" w:lineRule="auto"/>
              <w:jc w:val="right"/>
              <w:rPr>
                <w:rFonts w:cs="Arial"/>
                <w:color w:val="000000"/>
                <w:sz w:val="16"/>
                <w:szCs w:val="16"/>
              </w:rPr>
            </w:pPr>
            <w:r>
              <w:rPr>
                <w:rFonts w:cs="Arial"/>
                <w:sz w:val="16"/>
                <w:szCs w:val="16"/>
              </w:rPr>
              <w:t>4 471,4</w:t>
            </w:r>
          </w:p>
        </w:tc>
        <w:tc>
          <w:tcPr>
            <w:tcW w:w="890" w:type="dxa"/>
            <w:tcBorders>
              <w:top w:val="nil"/>
              <w:left w:val="nil"/>
              <w:bottom w:val="nil"/>
              <w:right w:val="nil"/>
            </w:tcBorders>
            <w:shd w:val="clear" w:color="auto" w:fill="auto"/>
            <w:vAlign w:val="center"/>
            <w:hideMark/>
          </w:tcPr>
          <w:p w14:paraId="4863C73D" w14:textId="21D4F620" w:rsidR="009B330C" w:rsidRPr="00D92E20" w:rsidRDefault="009B330C" w:rsidP="009B330C">
            <w:pPr>
              <w:spacing w:after="0" w:line="240" w:lineRule="auto"/>
              <w:jc w:val="right"/>
              <w:rPr>
                <w:rFonts w:cs="Arial"/>
                <w:color w:val="000000"/>
                <w:sz w:val="16"/>
                <w:szCs w:val="16"/>
              </w:rPr>
            </w:pPr>
            <w:r>
              <w:rPr>
                <w:rFonts w:cs="Arial"/>
                <w:sz w:val="16"/>
                <w:szCs w:val="16"/>
              </w:rPr>
              <w:t>2 280,3</w:t>
            </w:r>
          </w:p>
        </w:tc>
        <w:tc>
          <w:tcPr>
            <w:tcW w:w="890" w:type="dxa"/>
            <w:tcBorders>
              <w:top w:val="nil"/>
              <w:left w:val="nil"/>
              <w:bottom w:val="nil"/>
              <w:right w:val="single" w:sz="4" w:space="0" w:color="auto"/>
            </w:tcBorders>
            <w:shd w:val="clear" w:color="auto" w:fill="auto"/>
            <w:vAlign w:val="center"/>
            <w:hideMark/>
          </w:tcPr>
          <w:p w14:paraId="36DF57FC" w14:textId="5E804FF3" w:rsidR="009B330C" w:rsidRPr="00D92E20" w:rsidRDefault="009B330C" w:rsidP="009B330C">
            <w:pPr>
              <w:spacing w:after="0" w:line="240" w:lineRule="auto"/>
              <w:jc w:val="right"/>
              <w:rPr>
                <w:rFonts w:cs="Arial"/>
                <w:color w:val="000000"/>
                <w:sz w:val="16"/>
                <w:szCs w:val="16"/>
              </w:rPr>
            </w:pPr>
            <w:r>
              <w:rPr>
                <w:rFonts w:cs="Arial"/>
                <w:sz w:val="16"/>
                <w:szCs w:val="16"/>
              </w:rPr>
              <w:t>2 191,1</w:t>
            </w:r>
          </w:p>
        </w:tc>
        <w:tc>
          <w:tcPr>
            <w:tcW w:w="1056" w:type="dxa"/>
            <w:tcBorders>
              <w:top w:val="nil"/>
              <w:left w:val="nil"/>
              <w:bottom w:val="nil"/>
              <w:right w:val="nil"/>
            </w:tcBorders>
            <w:shd w:val="clear" w:color="auto" w:fill="auto"/>
            <w:vAlign w:val="center"/>
            <w:hideMark/>
          </w:tcPr>
          <w:p w14:paraId="313F3CCF" w14:textId="2D591D75" w:rsidR="009B330C" w:rsidRPr="00D92E20" w:rsidRDefault="009B330C" w:rsidP="009B330C">
            <w:pPr>
              <w:spacing w:after="0" w:line="240" w:lineRule="auto"/>
              <w:jc w:val="right"/>
              <w:rPr>
                <w:rFonts w:cs="Arial"/>
                <w:color w:val="000000"/>
                <w:sz w:val="16"/>
                <w:szCs w:val="16"/>
              </w:rPr>
            </w:pPr>
            <w:r>
              <w:rPr>
                <w:rFonts w:cs="Arial"/>
                <w:sz w:val="16"/>
                <w:szCs w:val="16"/>
              </w:rPr>
              <w:t>4 382,9</w:t>
            </w:r>
          </w:p>
        </w:tc>
        <w:tc>
          <w:tcPr>
            <w:tcW w:w="907" w:type="dxa"/>
            <w:tcBorders>
              <w:top w:val="nil"/>
              <w:left w:val="nil"/>
              <w:bottom w:val="nil"/>
              <w:right w:val="nil"/>
            </w:tcBorders>
            <w:shd w:val="clear" w:color="auto" w:fill="auto"/>
            <w:vAlign w:val="center"/>
            <w:hideMark/>
          </w:tcPr>
          <w:p w14:paraId="620C9801" w14:textId="7F9D65CF" w:rsidR="009B330C" w:rsidRPr="00D92E20" w:rsidRDefault="009B330C" w:rsidP="009B330C">
            <w:pPr>
              <w:spacing w:after="0" w:line="240" w:lineRule="auto"/>
              <w:jc w:val="right"/>
              <w:rPr>
                <w:rFonts w:cs="Arial"/>
                <w:color w:val="000000"/>
                <w:sz w:val="16"/>
                <w:szCs w:val="16"/>
              </w:rPr>
            </w:pPr>
            <w:r>
              <w:rPr>
                <w:rFonts w:cs="Arial"/>
                <w:sz w:val="16"/>
                <w:szCs w:val="16"/>
              </w:rPr>
              <w:t>2 230,2</w:t>
            </w:r>
          </w:p>
        </w:tc>
        <w:tc>
          <w:tcPr>
            <w:tcW w:w="907" w:type="dxa"/>
            <w:tcBorders>
              <w:top w:val="nil"/>
              <w:left w:val="nil"/>
              <w:bottom w:val="nil"/>
              <w:right w:val="single" w:sz="4" w:space="0" w:color="auto"/>
            </w:tcBorders>
            <w:shd w:val="clear" w:color="auto" w:fill="auto"/>
            <w:vAlign w:val="center"/>
            <w:hideMark/>
          </w:tcPr>
          <w:p w14:paraId="18305128" w14:textId="45A10C48" w:rsidR="009B330C" w:rsidRPr="00D92E20" w:rsidRDefault="009B330C" w:rsidP="009B330C">
            <w:pPr>
              <w:spacing w:after="0" w:line="240" w:lineRule="auto"/>
              <w:jc w:val="right"/>
              <w:rPr>
                <w:rFonts w:cs="Arial"/>
                <w:color w:val="000000"/>
                <w:sz w:val="16"/>
                <w:szCs w:val="16"/>
              </w:rPr>
            </w:pPr>
            <w:r>
              <w:rPr>
                <w:rFonts w:cs="Arial"/>
                <w:sz w:val="16"/>
                <w:szCs w:val="16"/>
              </w:rPr>
              <w:t>2 152,6</w:t>
            </w:r>
          </w:p>
        </w:tc>
        <w:tc>
          <w:tcPr>
            <w:tcW w:w="907" w:type="dxa"/>
            <w:tcBorders>
              <w:top w:val="nil"/>
              <w:left w:val="nil"/>
              <w:bottom w:val="nil"/>
              <w:right w:val="nil"/>
            </w:tcBorders>
            <w:shd w:val="clear" w:color="auto" w:fill="auto"/>
            <w:vAlign w:val="center"/>
            <w:hideMark/>
          </w:tcPr>
          <w:p w14:paraId="10A62980" w14:textId="7D156B1A" w:rsidR="009B330C" w:rsidRPr="00D92E20" w:rsidRDefault="009B330C" w:rsidP="009B330C">
            <w:pPr>
              <w:spacing w:after="0" w:line="240" w:lineRule="auto"/>
              <w:jc w:val="right"/>
              <w:rPr>
                <w:rFonts w:cs="Arial"/>
                <w:color w:val="000000"/>
                <w:sz w:val="16"/>
                <w:szCs w:val="16"/>
              </w:rPr>
            </w:pPr>
            <w:r>
              <w:rPr>
                <w:rFonts w:cs="Arial"/>
                <w:sz w:val="16"/>
                <w:szCs w:val="16"/>
              </w:rPr>
              <w:t>88,5</w:t>
            </w:r>
          </w:p>
        </w:tc>
        <w:tc>
          <w:tcPr>
            <w:tcW w:w="907" w:type="dxa"/>
            <w:tcBorders>
              <w:top w:val="nil"/>
              <w:left w:val="nil"/>
              <w:bottom w:val="nil"/>
              <w:right w:val="nil"/>
            </w:tcBorders>
            <w:shd w:val="clear" w:color="auto" w:fill="auto"/>
            <w:vAlign w:val="center"/>
            <w:hideMark/>
          </w:tcPr>
          <w:p w14:paraId="5192CF4B" w14:textId="4E787638" w:rsidR="009B330C" w:rsidRPr="00D92E20" w:rsidRDefault="009B330C" w:rsidP="009B330C">
            <w:pPr>
              <w:spacing w:after="0" w:line="240" w:lineRule="auto"/>
              <w:jc w:val="right"/>
              <w:rPr>
                <w:rFonts w:cs="Arial"/>
                <w:color w:val="000000"/>
                <w:sz w:val="16"/>
                <w:szCs w:val="16"/>
              </w:rPr>
            </w:pPr>
            <w:r>
              <w:rPr>
                <w:rFonts w:cs="Arial"/>
                <w:sz w:val="16"/>
                <w:szCs w:val="16"/>
              </w:rPr>
              <w:t>50,0</w:t>
            </w:r>
          </w:p>
        </w:tc>
        <w:tc>
          <w:tcPr>
            <w:tcW w:w="907" w:type="dxa"/>
            <w:tcBorders>
              <w:top w:val="nil"/>
              <w:left w:val="nil"/>
              <w:bottom w:val="nil"/>
              <w:right w:val="nil"/>
            </w:tcBorders>
            <w:shd w:val="clear" w:color="auto" w:fill="auto"/>
            <w:vAlign w:val="center"/>
            <w:hideMark/>
          </w:tcPr>
          <w:p w14:paraId="08274824" w14:textId="2F7E1F91" w:rsidR="009B330C" w:rsidRPr="00D92E20" w:rsidRDefault="009B330C" w:rsidP="009B330C">
            <w:pPr>
              <w:spacing w:after="0" w:line="240" w:lineRule="auto"/>
              <w:jc w:val="right"/>
              <w:rPr>
                <w:rFonts w:cs="Arial"/>
                <w:color w:val="000000"/>
                <w:sz w:val="16"/>
                <w:szCs w:val="16"/>
              </w:rPr>
            </w:pPr>
            <w:r>
              <w:rPr>
                <w:rFonts w:cs="Arial"/>
                <w:sz w:val="16"/>
                <w:szCs w:val="16"/>
              </w:rPr>
              <w:t>38,4</w:t>
            </w:r>
          </w:p>
        </w:tc>
      </w:tr>
      <w:tr w:rsidR="009B330C" w:rsidRPr="00D92E20" w14:paraId="0EA43A45" w14:textId="77777777" w:rsidTr="009B330C">
        <w:trPr>
          <w:trHeight w:val="300"/>
        </w:trPr>
        <w:tc>
          <w:tcPr>
            <w:tcW w:w="1304" w:type="dxa"/>
            <w:tcBorders>
              <w:top w:val="nil"/>
              <w:left w:val="nil"/>
              <w:bottom w:val="nil"/>
              <w:right w:val="nil"/>
            </w:tcBorders>
            <w:shd w:val="clear" w:color="auto" w:fill="auto"/>
            <w:vAlign w:val="center"/>
            <w:hideMark/>
          </w:tcPr>
          <w:p w14:paraId="3FA334FE" w14:textId="1CE89ECA" w:rsidR="009B330C" w:rsidRPr="00D92E20" w:rsidRDefault="009B330C" w:rsidP="009B330C">
            <w:pPr>
              <w:spacing w:after="0" w:line="240" w:lineRule="auto"/>
              <w:jc w:val="center"/>
              <w:rPr>
                <w:rFonts w:cs="Arial"/>
                <w:color w:val="000000"/>
                <w:sz w:val="16"/>
                <w:szCs w:val="16"/>
              </w:rPr>
            </w:pPr>
            <w:r>
              <w:rPr>
                <w:rFonts w:cs="Arial"/>
                <w:sz w:val="16"/>
                <w:szCs w:val="16"/>
              </w:rPr>
              <w:t>1. pol. 2016</w:t>
            </w:r>
          </w:p>
        </w:tc>
        <w:tc>
          <w:tcPr>
            <w:tcW w:w="898" w:type="dxa"/>
            <w:tcBorders>
              <w:top w:val="nil"/>
              <w:left w:val="single" w:sz="4" w:space="0" w:color="auto"/>
              <w:bottom w:val="nil"/>
              <w:right w:val="nil"/>
            </w:tcBorders>
            <w:shd w:val="clear" w:color="auto" w:fill="auto"/>
            <w:vAlign w:val="center"/>
            <w:hideMark/>
          </w:tcPr>
          <w:p w14:paraId="7334B8C1" w14:textId="2BEF6F14" w:rsidR="009B330C" w:rsidRPr="00D92E20" w:rsidRDefault="009B330C" w:rsidP="009B330C">
            <w:pPr>
              <w:spacing w:after="0" w:line="240" w:lineRule="auto"/>
              <w:jc w:val="right"/>
              <w:rPr>
                <w:rFonts w:cs="Arial"/>
                <w:color w:val="000000"/>
                <w:sz w:val="16"/>
                <w:szCs w:val="16"/>
              </w:rPr>
            </w:pPr>
            <w:r>
              <w:rPr>
                <w:rFonts w:cs="Arial"/>
                <w:sz w:val="16"/>
                <w:szCs w:val="16"/>
              </w:rPr>
              <w:t>4 539,5</w:t>
            </w:r>
          </w:p>
        </w:tc>
        <w:tc>
          <w:tcPr>
            <w:tcW w:w="890" w:type="dxa"/>
            <w:tcBorders>
              <w:top w:val="nil"/>
              <w:left w:val="nil"/>
              <w:bottom w:val="nil"/>
              <w:right w:val="nil"/>
            </w:tcBorders>
            <w:shd w:val="clear" w:color="auto" w:fill="auto"/>
            <w:vAlign w:val="center"/>
            <w:hideMark/>
          </w:tcPr>
          <w:p w14:paraId="48A0C511" w14:textId="5C7036B5" w:rsidR="009B330C" w:rsidRPr="00D92E20" w:rsidRDefault="009B330C" w:rsidP="009B330C">
            <w:pPr>
              <w:spacing w:after="0" w:line="240" w:lineRule="auto"/>
              <w:jc w:val="right"/>
              <w:rPr>
                <w:rFonts w:cs="Arial"/>
                <w:color w:val="000000"/>
                <w:sz w:val="16"/>
                <w:szCs w:val="16"/>
              </w:rPr>
            </w:pPr>
            <w:r>
              <w:rPr>
                <w:rFonts w:cs="Arial"/>
                <w:sz w:val="16"/>
                <w:szCs w:val="16"/>
              </w:rPr>
              <w:t>2 312,2</w:t>
            </w:r>
          </w:p>
        </w:tc>
        <w:tc>
          <w:tcPr>
            <w:tcW w:w="890" w:type="dxa"/>
            <w:tcBorders>
              <w:top w:val="nil"/>
              <w:left w:val="nil"/>
              <w:bottom w:val="nil"/>
              <w:right w:val="single" w:sz="4" w:space="0" w:color="auto"/>
            </w:tcBorders>
            <w:shd w:val="clear" w:color="auto" w:fill="auto"/>
            <w:vAlign w:val="center"/>
            <w:hideMark/>
          </w:tcPr>
          <w:p w14:paraId="5AB4E7E1" w14:textId="1F1E624E"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2 227,3</w:t>
            </w:r>
          </w:p>
        </w:tc>
        <w:tc>
          <w:tcPr>
            <w:tcW w:w="1056" w:type="dxa"/>
            <w:tcBorders>
              <w:top w:val="nil"/>
              <w:left w:val="nil"/>
              <w:bottom w:val="nil"/>
              <w:right w:val="nil"/>
            </w:tcBorders>
            <w:shd w:val="clear" w:color="auto" w:fill="auto"/>
            <w:vAlign w:val="center"/>
            <w:hideMark/>
          </w:tcPr>
          <w:p w14:paraId="6930803F" w14:textId="0F1C8D26" w:rsidR="009B330C" w:rsidRPr="00D92E20" w:rsidRDefault="009B330C" w:rsidP="009B330C">
            <w:pPr>
              <w:spacing w:after="0" w:line="240" w:lineRule="auto"/>
              <w:jc w:val="right"/>
              <w:rPr>
                <w:rFonts w:cs="Arial"/>
                <w:color w:val="000000"/>
                <w:sz w:val="16"/>
                <w:szCs w:val="16"/>
              </w:rPr>
            </w:pPr>
            <w:r>
              <w:rPr>
                <w:rFonts w:cs="Arial"/>
                <w:sz w:val="16"/>
                <w:szCs w:val="16"/>
              </w:rPr>
              <w:t>4 451,0</w:t>
            </w:r>
          </w:p>
        </w:tc>
        <w:tc>
          <w:tcPr>
            <w:tcW w:w="907" w:type="dxa"/>
            <w:tcBorders>
              <w:top w:val="nil"/>
              <w:left w:val="nil"/>
              <w:bottom w:val="nil"/>
              <w:right w:val="nil"/>
            </w:tcBorders>
            <w:shd w:val="clear" w:color="auto" w:fill="auto"/>
            <w:vAlign w:val="center"/>
            <w:hideMark/>
          </w:tcPr>
          <w:p w14:paraId="04B4E51B" w14:textId="51227800" w:rsidR="009B330C" w:rsidRPr="00D92E20" w:rsidRDefault="009B330C" w:rsidP="009B330C">
            <w:pPr>
              <w:spacing w:after="0" w:line="240" w:lineRule="auto"/>
              <w:jc w:val="right"/>
              <w:rPr>
                <w:rFonts w:cs="Arial"/>
                <w:color w:val="000000"/>
                <w:sz w:val="16"/>
                <w:szCs w:val="16"/>
              </w:rPr>
            </w:pPr>
            <w:r>
              <w:rPr>
                <w:rFonts w:cs="Arial"/>
                <w:sz w:val="16"/>
                <w:szCs w:val="16"/>
              </w:rPr>
              <w:t>2 262,7</w:t>
            </w:r>
          </w:p>
        </w:tc>
        <w:tc>
          <w:tcPr>
            <w:tcW w:w="907" w:type="dxa"/>
            <w:tcBorders>
              <w:top w:val="nil"/>
              <w:left w:val="nil"/>
              <w:bottom w:val="nil"/>
              <w:right w:val="single" w:sz="4" w:space="0" w:color="auto"/>
            </w:tcBorders>
            <w:shd w:val="clear" w:color="auto" w:fill="auto"/>
            <w:vAlign w:val="center"/>
            <w:hideMark/>
          </w:tcPr>
          <w:p w14:paraId="2AC5E5B9" w14:textId="04B3626C" w:rsidR="009B330C" w:rsidRPr="00D92E20" w:rsidRDefault="009B330C" w:rsidP="009B330C">
            <w:pPr>
              <w:spacing w:after="0" w:line="240" w:lineRule="auto"/>
              <w:jc w:val="right"/>
              <w:rPr>
                <w:rFonts w:cs="Arial"/>
                <w:color w:val="000000"/>
                <w:sz w:val="16"/>
                <w:szCs w:val="16"/>
              </w:rPr>
            </w:pPr>
            <w:r>
              <w:rPr>
                <w:rFonts w:cs="Arial"/>
                <w:sz w:val="16"/>
                <w:szCs w:val="16"/>
              </w:rPr>
              <w:t>2 188,3</w:t>
            </w:r>
          </w:p>
        </w:tc>
        <w:tc>
          <w:tcPr>
            <w:tcW w:w="907" w:type="dxa"/>
            <w:tcBorders>
              <w:top w:val="nil"/>
              <w:left w:val="nil"/>
              <w:bottom w:val="nil"/>
              <w:right w:val="nil"/>
            </w:tcBorders>
            <w:shd w:val="clear" w:color="auto" w:fill="auto"/>
            <w:vAlign w:val="center"/>
            <w:hideMark/>
          </w:tcPr>
          <w:p w14:paraId="050AA46E" w14:textId="7A6A3A8C" w:rsidR="009B330C" w:rsidRPr="00D92E20" w:rsidRDefault="009B330C" w:rsidP="009B330C">
            <w:pPr>
              <w:spacing w:after="0" w:line="240" w:lineRule="auto"/>
              <w:jc w:val="right"/>
              <w:rPr>
                <w:rFonts w:cs="Arial"/>
                <w:color w:val="000000"/>
                <w:sz w:val="16"/>
                <w:szCs w:val="16"/>
              </w:rPr>
            </w:pPr>
            <w:r>
              <w:rPr>
                <w:rFonts w:cs="Arial"/>
                <w:color w:val="000000"/>
                <w:sz w:val="16"/>
                <w:szCs w:val="16"/>
              </w:rPr>
              <w:t>88,6</w:t>
            </w:r>
          </w:p>
        </w:tc>
        <w:tc>
          <w:tcPr>
            <w:tcW w:w="907" w:type="dxa"/>
            <w:tcBorders>
              <w:top w:val="nil"/>
              <w:left w:val="nil"/>
              <w:bottom w:val="nil"/>
              <w:right w:val="nil"/>
            </w:tcBorders>
            <w:shd w:val="clear" w:color="auto" w:fill="auto"/>
            <w:vAlign w:val="center"/>
            <w:hideMark/>
          </w:tcPr>
          <w:p w14:paraId="0452C89C" w14:textId="514D7749" w:rsidR="009B330C" w:rsidRPr="00D92E20" w:rsidRDefault="009B330C" w:rsidP="009B330C">
            <w:pPr>
              <w:spacing w:after="0" w:line="240" w:lineRule="auto"/>
              <w:jc w:val="right"/>
              <w:rPr>
                <w:rFonts w:cs="Arial"/>
                <w:color w:val="000000"/>
                <w:sz w:val="16"/>
                <w:szCs w:val="16"/>
              </w:rPr>
            </w:pPr>
            <w:r>
              <w:rPr>
                <w:rFonts w:cs="Arial"/>
                <w:sz w:val="16"/>
                <w:szCs w:val="16"/>
              </w:rPr>
              <w:t>49,5</w:t>
            </w:r>
          </w:p>
        </w:tc>
        <w:tc>
          <w:tcPr>
            <w:tcW w:w="907" w:type="dxa"/>
            <w:tcBorders>
              <w:top w:val="nil"/>
              <w:left w:val="nil"/>
              <w:bottom w:val="nil"/>
              <w:right w:val="nil"/>
            </w:tcBorders>
            <w:shd w:val="clear" w:color="auto" w:fill="auto"/>
            <w:vAlign w:val="center"/>
            <w:hideMark/>
          </w:tcPr>
          <w:p w14:paraId="76E6C86F" w14:textId="49011C42" w:rsidR="009B330C" w:rsidRPr="00D92E20" w:rsidRDefault="009B330C" w:rsidP="009B330C">
            <w:pPr>
              <w:spacing w:after="0" w:line="240" w:lineRule="auto"/>
              <w:jc w:val="right"/>
              <w:rPr>
                <w:rFonts w:cs="Arial"/>
                <w:color w:val="000000"/>
                <w:sz w:val="16"/>
                <w:szCs w:val="16"/>
              </w:rPr>
            </w:pPr>
            <w:r>
              <w:rPr>
                <w:rFonts w:cs="Arial"/>
                <w:color w:val="000000"/>
                <w:sz w:val="16"/>
                <w:szCs w:val="16"/>
              </w:rPr>
              <w:t>39,0</w:t>
            </w:r>
          </w:p>
        </w:tc>
      </w:tr>
      <w:tr w:rsidR="009B330C" w:rsidRPr="00D92E20" w14:paraId="3C9091E6" w14:textId="77777777" w:rsidTr="009B330C">
        <w:trPr>
          <w:trHeight w:val="300"/>
        </w:trPr>
        <w:tc>
          <w:tcPr>
            <w:tcW w:w="1304" w:type="dxa"/>
            <w:tcBorders>
              <w:top w:val="nil"/>
              <w:left w:val="nil"/>
              <w:bottom w:val="nil"/>
              <w:right w:val="nil"/>
            </w:tcBorders>
            <w:shd w:val="clear" w:color="auto" w:fill="auto"/>
            <w:vAlign w:val="center"/>
            <w:hideMark/>
          </w:tcPr>
          <w:p w14:paraId="4D5C2AEE" w14:textId="5C6C0D0D" w:rsidR="009B330C" w:rsidRPr="00D92E20" w:rsidRDefault="009B330C" w:rsidP="009B330C">
            <w:pPr>
              <w:spacing w:after="0" w:line="240" w:lineRule="auto"/>
              <w:jc w:val="center"/>
              <w:rPr>
                <w:rFonts w:cs="Arial"/>
                <w:color w:val="000000"/>
                <w:sz w:val="16"/>
                <w:szCs w:val="16"/>
              </w:rPr>
            </w:pPr>
            <w:r>
              <w:rPr>
                <w:rFonts w:cs="Arial"/>
                <w:sz w:val="16"/>
                <w:szCs w:val="16"/>
              </w:rPr>
              <w:t>1. pol. 2017</w:t>
            </w:r>
          </w:p>
        </w:tc>
        <w:tc>
          <w:tcPr>
            <w:tcW w:w="898" w:type="dxa"/>
            <w:tcBorders>
              <w:top w:val="nil"/>
              <w:left w:val="single" w:sz="4" w:space="0" w:color="auto"/>
              <w:bottom w:val="nil"/>
              <w:right w:val="nil"/>
            </w:tcBorders>
            <w:shd w:val="clear" w:color="auto" w:fill="auto"/>
            <w:vAlign w:val="center"/>
            <w:hideMark/>
          </w:tcPr>
          <w:p w14:paraId="63E7B956" w14:textId="2BD7CFDF" w:rsidR="009B330C" w:rsidRPr="00D92E20" w:rsidRDefault="009B330C" w:rsidP="009B330C">
            <w:pPr>
              <w:spacing w:after="0" w:line="240" w:lineRule="auto"/>
              <w:jc w:val="right"/>
              <w:rPr>
                <w:rFonts w:cs="Arial"/>
                <w:color w:val="000000"/>
                <w:sz w:val="16"/>
                <w:szCs w:val="16"/>
              </w:rPr>
            </w:pPr>
            <w:r>
              <w:rPr>
                <w:rFonts w:cs="Arial"/>
                <w:color w:val="000000"/>
                <w:sz w:val="16"/>
                <w:szCs w:val="16"/>
              </w:rPr>
              <w:t>4 632,1</w:t>
            </w:r>
          </w:p>
        </w:tc>
        <w:tc>
          <w:tcPr>
            <w:tcW w:w="890" w:type="dxa"/>
            <w:tcBorders>
              <w:top w:val="nil"/>
              <w:left w:val="nil"/>
              <w:bottom w:val="nil"/>
              <w:right w:val="nil"/>
            </w:tcBorders>
            <w:shd w:val="clear" w:color="auto" w:fill="auto"/>
            <w:vAlign w:val="center"/>
            <w:hideMark/>
          </w:tcPr>
          <w:p w14:paraId="4BBE0004" w14:textId="0ACE9292" w:rsidR="009B330C" w:rsidRPr="00D92E20" w:rsidRDefault="009B330C" w:rsidP="009B330C">
            <w:pPr>
              <w:spacing w:after="0" w:line="240" w:lineRule="auto"/>
              <w:jc w:val="right"/>
              <w:rPr>
                <w:rFonts w:cs="Arial"/>
                <w:color w:val="000000"/>
                <w:sz w:val="16"/>
                <w:szCs w:val="16"/>
              </w:rPr>
            </w:pPr>
            <w:r>
              <w:rPr>
                <w:rFonts w:cs="Arial"/>
                <w:sz w:val="16"/>
                <w:szCs w:val="16"/>
              </w:rPr>
              <w:t>2 351,8</w:t>
            </w:r>
          </w:p>
        </w:tc>
        <w:tc>
          <w:tcPr>
            <w:tcW w:w="890" w:type="dxa"/>
            <w:tcBorders>
              <w:top w:val="nil"/>
              <w:left w:val="nil"/>
              <w:bottom w:val="nil"/>
              <w:right w:val="single" w:sz="4" w:space="0" w:color="auto"/>
            </w:tcBorders>
            <w:shd w:val="clear" w:color="auto" w:fill="auto"/>
            <w:vAlign w:val="center"/>
            <w:hideMark/>
          </w:tcPr>
          <w:p w14:paraId="5313893F" w14:textId="023EBB2D"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2 280,3</w:t>
            </w:r>
          </w:p>
        </w:tc>
        <w:tc>
          <w:tcPr>
            <w:tcW w:w="1056" w:type="dxa"/>
            <w:tcBorders>
              <w:top w:val="nil"/>
              <w:left w:val="nil"/>
              <w:bottom w:val="nil"/>
              <w:right w:val="nil"/>
            </w:tcBorders>
            <w:shd w:val="clear" w:color="auto" w:fill="auto"/>
            <w:vAlign w:val="center"/>
            <w:hideMark/>
          </w:tcPr>
          <w:p w14:paraId="2F851007" w14:textId="6B91B8FD" w:rsidR="009B330C" w:rsidRPr="00D92E20" w:rsidRDefault="009B330C" w:rsidP="009B330C">
            <w:pPr>
              <w:spacing w:after="0" w:line="240" w:lineRule="auto"/>
              <w:jc w:val="right"/>
              <w:rPr>
                <w:rFonts w:cs="Arial"/>
                <w:color w:val="000000"/>
                <w:sz w:val="16"/>
                <w:szCs w:val="16"/>
              </w:rPr>
            </w:pPr>
            <w:r>
              <w:rPr>
                <w:rFonts w:cs="Arial"/>
                <w:sz w:val="16"/>
                <w:szCs w:val="16"/>
              </w:rPr>
              <w:t>4 544,0</w:t>
            </w:r>
          </w:p>
        </w:tc>
        <w:tc>
          <w:tcPr>
            <w:tcW w:w="907" w:type="dxa"/>
            <w:tcBorders>
              <w:top w:val="nil"/>
              <w:left w:val="nil"/>
              <w:bottom w:val="nil"/>
              <w:right w:val="nil"/>
            </w:tcBorders>
            <w:shd w:val="clear" w:color="auto" w:fill="auto"/>
            <w:vAlign w:val="center"/>
            <w:hideMark/>
          </w:tcPr>
          <w:p w14:paraId="1EC4A3BA" w14:textId="5C517282" w:rsidR="009B330C" w:rsidRPr="00D92E20" w:rsidRDefault="009B330C" w:rsidP="009B330C">
            <w:pPr>
              <w:spacing w:after="0" w:line="240" w:lineRule="auto"/>
              <w:jc w:val="right"/>
              <w:rPr>
                <w:rFonts w:cs="Arial"/>
                <w:color w:val="000000"/>
                <w:sz w:val="16"/>
                <w:szCs w:val="16"/>
              </w:rPr>
            </w:pPr>
            <w:r>
              <w:rPr>
                <w:rFonts w:cs="Arial"/>
                <w:sz w:val="16"/>
                <w:szCs w:val="16"/>
              </w:rPr>
              <w:t>2 298,4</w:t>
            </w:r>
          </w:p>
        </w:tc>
        <w:tc>
          <w:tcPr>
            <w:tcW w:w="907" w:type="dxa"/>
            <w:tcBorders>
              <w:top w:val="nil"/>
              <w:left w:val="nil"/>
              <w:bottom w:val="nil"/>
              <w:right w:val="single" w:sz="4" w:space="0" w:color="auto"/>
            </w:tcBorders>
            <w:shd w:val="clear" w:color="auto" w:fill="auto"/>
            <w:vAlign w:val="center"/>
            <w:hideMark/>
          </w:tcPr>
          <w:p w14:paraId="78C9DF79" w14:textId="6D74A1C0" w:rsidR="009B330C" w:rsidRPr="00D92E20" w:rsidRDefault="009B330C" w:rsidP="009B330C">
            <w:pPr>
              <w:spacing w:after="0" w:line="240" w:lineRule="auto"/>
              <w:jc w:val="right"/>
              <w:rPr>
                <w:rFonts w:cs="Arial"/>
                <w:color w:val="000000"/>
                <w:sz w:val="16"/>
                <w:szCs w:val="16"/>
              </w:rPr>
            </w:pPr>
            <w:r>
              <w:rPr>
                <w:rFonts w:cs="Arial"/>
                <w:sz w:val="16"/>
                <w:szCs w:val="16"/>
              </w:rPr>
              <w:t>2 245,6</w:t>
            </w:r>
          </w:p>
        </w:tc>
        <w:tc>
          <w:tcPr>
            <w:tcW w:w="907" w:type="dxa"/>
            <w:tcBorders>
              <w:top w:val="nil"/>
              <w:left w:val="nil"/>
              <w:bottom w:val="nil"/>
              <w:right w:val="nil"/>
            </w:tcBorders>
            <w:shd w:val="clear" w:color="auto" w:fill="auto"/>
            <w:vAlign w:val="center"/>
            <w:hideMark/>
          </w:tcPr>
          <w:p w14:paraId="738F1B0B" w14:textId="558D0DA9" w:rsidR="009B330C" w:rsidRPr="00D92E20" w:rsidRDefault="009B330C" w:rsidP="009B330C">
            <w:pPr>
              <w:spacing w:after="0" w:line="240" w:lineRule="auto"/>
              <w:jc w:val="right"/>
              <w:rPr>
                <w:rFonts w:cs="Arial"/>
                <w:color w:val="000000"/>
                <w:sz w:val="16"/>
                <w:szCs w:val="16"/>
              </w:rPr>
            </w:pPr>
            <w:r>
              <w:rPr>
                <w:rFonts w:cs="Arial"/>
                <w:color w:val="000000"/>
                <w:sz w:val="16"/>
                <w:szCs w:val="16"/>
              </w:rPr>
              <w:t>88,1</w:t>
            </w:r>
          </w:p>
        </w:tc>
        <w:tc>
          <w:tcPr>
            <w:tcW w:w="907" w:type="dxa"/>
            <w:tcBorders>
              <w:top w:val="nil"/>
              <w:left w:val="nil"/>
              <w:bottom w:val="nil"/>
              <w:right w:val="nil"/>
            </w:tcBorders>
            <w:shd w:val="clear" w:color="auto" w:fill="auto"/>
            <w:vAlign w:val="center"/>
            <w:hideMark/>
          </w:tcPr>
          <w:p w14:paraId="540D5906" w14:textId="27A6532E" w:rsidR="009B330C" w:rsidRPr="00D92E20" w:rsidRDefault="009B330C" w:rsidP="009B330C">
            <w:pPr>
              <w:spacing w:after="0" w:line="240" w:lineRule="auto"/>
              <w:jc w:val="right"/>
              <w:rPr>
                <w:rFonts w:cs="Arial"/>
                <w:color w:val="000000"/>
                <w:sz w:val="16"/>
                <w:szCs w:val="16"/>
              </w:rPr>
            </w:pPr>
            <w:r>
              <w:rPr>
                <w:rFonts w:cs="Arial"/>
                <w:sz w:val="16"/>
                <w:szCs w:val="16"/>
              </w:rPr>
              <w:t>53,4</w:t>
            </w:r>
          </w:p>
        </w:tc>
        <w:tc>
          <w:tcPr>
            <w:tcW w:w="907" w:type="dxa"/>
            <w:tcBorders>
              <w:top w:val="nil"/>
              <w:left w:val="nil"/>
              <w:bottom w:val="nil"/>
              <w:right w:val="nil"/>
            </w:tcBorders>
            <w:shd w:val="clear" w:color="auto" w:fill="auto"/>
            <w:vAlign w:val="center"/>
            <w:hideMark/>
          </w:tcPr>
          <w:p w14:paraId="1F1D27E7" w14:textId="38940D14" w:rsidR="009B330C" w:rsidRPr="00D92E20" w:rsidRDefault="009B330C" w:rsidP="009B330C">
            <w:pPr>
              <w:spacing w:after="0" w:line="240" w:lineRule="auto"/>
              <w:jc w:val="right"/>
              <w:rPr>
                <w:rFonts w:cs="Arial"/>
                <w:color w:val="000000"/>
                <w:sz w:val="16"/>
                <w:szCs w:val="16"/>
              </w:rPr>
            </w:pPr>
            <w:r>
              <w:rPr>
                <w:rFonts w:cs="Arial"/>
                <w:color w:val="000000"/>
                <w:sz w:val="16"/>
                <w:szCs w:val="16"/>
              </w:rPr>
              <w:t>34,7</w:t>
            </w:r>
          </w:p>
        </w:tc>
      </w:tr>
      <w:tr w:rsidR="009B330C" w:rsidRPr="00D92E20" w14:paraId="53F2905C" w14:textId="77777777" w:rsidTr="009B330C">
        <w:trPr>
          <w:trHeight w:val="300"/>
        </w:trPr>
        <w:tc>
          <w:tcPr>
            <w:tcW w:w="1304" w:type="dxa"/>
            <w:tcBorders>
              <w:top w:val="nil"/>
              <w:left w:val="nil"/>
              <w:bottom w:val="nil"/>
              <w:right w:val="nil"/>
            </w:tcBorders>
            <w:shd w:val="clear" w:color="auto" w:fill="auto"/>
            <w:vAlign w:val="center"/>
            <w:hideMark/>
          </w:tcPr>
          <w:p w14:paraId="1139FB40" w14:textId="34A9A0F5" w:rsidR="009B330C" w:rsidRPr="00D92E20" w:rsidRDefault="009B330C" w:rsidP="009B330C">
            <w:pPr>
              <w:spacing w:after="0" w:line="240" w:lineRule="auto"/>
              <w:jc w:val="center"/>
              <w:rPr>
                <w:rFonts w:cs="Arial"/>
                <w:color w:val="000000"/>
                <w:sz w:val="16"/>
                <w:szCs w:val="16"/>
              </w:rPr>
            </w:pPr>
            <w:r>
              <w:rPr>
                <w:rFonts w:cs="Arial"/>
                <w:sz w:val="16"/>
                <w:szCs w:val="16"/>
              </w:rPr>
              <w:t>1. pol. 2018</w:t>
            </w:r>
          </w:p>
        </w:tc>
        <w:tc>
          <w:tcPr>
            <w:tcW w:w="898" w:type="dxa"/>
            <w:tcBorders>
              <w:top w:val="nil"/>
              <w:left w:val="single" w:sz="4" w:space="0" w:color="auto"/>
              <w:bottom w:val="nil"/>
              <w:right w:val="nil"/>
            </w:tcBorders>
            <w:shd w:val="clear" w:color="auto" w:fill="auto"/>
            <w:vAlign w:val="center"/>
            <w:hideMark/>
          </w:tcPr>
          <w:p w14:paraId="78687FCB" w14:textId="4CBA762F" w:rsidR="009B330C" w:rsidRPr="00D92E20" w:rsidRDefault="009B330C" w:rsidP="009B330C">
            <w:pPr>
              <w:spacing w:after="0" w:line="240" w:lineRule="auto"/>
              <w:jc w:val="right"/>
              <w:rPr>
                <w:rFonts w:cs="Arial"/>
                <w:color w:val="000000"/>
                <w:sz w:val="16"/>
                <w:szCs w:val="16"/>
              </w:rPr>
            </w:pPr>
            <w:r>
              <w:rPr>
                <w:rFonts w:cs="Arial"/>
                <w:color w:val="000000"/>
                <w:sz w:val="16"/>
                <w:szCs w:val="16"/>
              </w:rPr>
              <w:t>4 710,8</w:t>
            </w:r>
          </w:p>
        </w:tc>
        <w:tc>
          <w:tcPr>
            <w:tcW w:w="890" w:type="dxa"/>
            <w:tcBorders>
              <w:top w:val="nil"/>
              <w:left w:val="nil"/>
              <w:bottom w:val="nil"/>
              <w:right w:val="nil"/>
            </w:tcBorders>
            <w:shd w:val="clear" w:color="auto" w:fill="auto"/>
            <w:vAlign w:val="center"/>
            <w:hideMark/>
          </w:tcPr>
          <w:p w14:paraId="5BFB7BC4" w14:textId="55258F6E" w:rsidR="009B330C" w:rsidRPr="00D92E20" w:rsidRDefault="009B330C" w:rsidP="009B330C">
            <w:pPr>
              <w:spacing w:after="0" w:line="240" w:lineRule="auto"/>
              <w:jc w:val="right"/>
              <w:rPr>
                <w:rFonts w:cs="Arial"/>
                <w:color w:val="000000"/>
                <w:sz w:val="16"/>
                <w:szCs w:val="16"/>
              </w:rPr>
            </w:pPr>
            <w:r>
              <w:rPr>
                <w:rFonts w:cs="Arial"/>
                <w:sz w:val="16"/>
                <w:szCs w:val="16"/>
              </w:rPr>
              <w:t>2 381,4</w:t>
            </w:r>
          </w:p>
        </w:tc>
        <w:tc>
          <w:tcPr>
            <w:tcW w:w="890" w:type="dxa"/>
            <w:tcBorders>
              <w:top w:val="nil"/>
              <w:left w:val="nil"/>
              <w:bottom w:val="nil"/>
              <w:right w:val="single" w:sz="4" w:space="0" w:color="auto"/>
            </w:tcBorders>
            <w:shd w:val="clear" w:color="auto" w:fill="auto"/>
            <w:vAlign w:val="center"/>
            <w:hideMark/>
          </w:tcPr>
          <w:p w14:paraId="59C7F321" w14:textId="18C06CC6"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2 329,4</w:t>
            </w:r>
          </w:p>
        </w:tc>
        <w:tc>
          <w:tcPr>
            <w:tcW w:w="1056" w:type="dxa"/>
            <w:tcBorders>
              <w:top w:val="nil"/>
              <w:left w:val="nil"/>
              <w:bottom w:val="nil"/>
              <w:right w:val="nil"/>
            </w:tcBorders>
            <w:shd w:val="clear" w:color="auto" w:fill="auto"/>
            <w:vAlign w:val="center"/>
            <w:hideMark/>
          </w:tcPr>
          <w:p w14:paraId="66C72C87" w14:textId="56185A34" w:rsidR="009B330C" w:rsidRPr="00D92E20" w:rsidRDefault="009B330C" w:rsidP="009B330C">
            <w:pPr>
              <w:spacing w:after="0" w:line="240" w:lineRule="auto"/>
              <w:jc w:val="right"/>
              <w:rPr>
                <w:rFonts w:cs="Arial"/>
                <w:color w:val="000000"/>
                <w:sz w:val="16"/>
                <w:szCs w:val="16"/>
              </w:rPr>
            </w:pPr>
            <w:r>
              <w:rPr>
                <w:rFonts w:cs="Arial"/>
                <w:sz w:val="16"/>
                <w:szCs w:val="16"/>
              </w:rPr>
              <w:t>4 620,7</w:t>
            </w:r>
          </w:p>
        </w:tc>
        <w:tc>
          <w:tcPr>
            <w:tcW w:w="907" w:type="dxa"/>
            <w:tcBorders>
              <w:top w:val="nil"/>
              <w:left w:val="nil"/>
              <w:bottom w:val="nil"/>
              <w:right w:val="nil"/>
            </w:tcBorders>
            <w:shd w:val="clear" w:color="auto" w:fill="auto"/>
            <w:vAlign w:val="center"/>
            <w:hideMark/>
          </w:tcPr>
          <w:p w14:paraId="02041455" w14:textId="3C296EC0" w:rsidR="009B330C" w:rsidRPr="00D92E20" w:rsidRDefault="009B330C" w:rsidP="009B330C">
            <w:pPr>
              <w:spacing w:after="0" w:line="240" w:lineRule="auto"/>
              <w:jc w:val="right"/>
              <w:rPr>
                <w:rFonts w:cs="Arial"/>
                <w:color w:val="000000"/>
                <w:sz w:val="16"/>
                <w:szCs w:val="16"/>
              </w:rPr>
            </w:pPr>
            <w:r>
              <w:rPr>
                <w:rFonts w:cs="Arial"/>
                <w:sz w:val="16"/>
                <w:szCs w:val="16"/>
              </w:rPr>
              <w:t>2 327,6</w:t>
            </w:r>
          </w:p>
        </w:tc>
        <w:tc>
          <w:tcPr>
            <w:tcW w:w="907" w:type="dxa"/>
            <w:tcBorders>
              <w:top w:val="nil"/>
              <w:left w:val="nil"/>
              <w:bottom w:val="nil"/>
              <w:right w:val="single" w:sz="4" w:space="0" w:color="auto"/>
            </w:tcBorders>
            <w:shd w:val="clear" w:color="auto" w:fill="auto"/>
            <w:vAlign w:val="center"/>
            <w:hideMark/>
          </w:tcPr>
          <w:p w14:paraId="718CB9D2" w14:textId="0D4E7FE0" w:rsidR="009B330C" w:rsidRPr="00D92E20" w:rsidRDefault="009B330C" w:rsidP="009B330C">
            <w:pPr>
              <w:spacing w:after="0" w:line="240" w:lineRule="auto"/>
              <w:jc w:val="right"/>
              <w:rPr>
                <w:rFonts w:cs="Arial"/>
                <w:color w:val="000000"/>
                <w:sz w:val="16"/>
                <w:szCs w:val="16"/>
              </w:rPr>
            </w:pPr>
            <w:r>
              <w:rPr>
                <w:rFonts w:cs="Arial"/>
                <w:sz w:val="16"/>
                <w:szCs w:val="16"/>
              </w:rPr>
              <w:t>2 293,1</w:t>
            </w:r>
          </w:p>
        </w:tc>
        <w:tc>
          <w:tcPr>
            <w:tcW w:w="907" w:type="dxa"/>
            <w:tcBorders>
              <w:top w:val="nil"/>
              <w:left w:val="nil"/>
              <w:bottom w:val="nil"/>
              <w:right w:val="nil"/>
            </w:tcBorders>
            <w:shd w:val="clear" w:color="auto" w:fill="auto"/>
            <w:vAlign w:val="center"/>
            <w:hideMark/>
          </w:tcPr>
          <w:p w14:paraId="3EC1AF4B" w14:textId="7E84BE5E" w:rsidR="009B330C" w:rsidRPr="00D92E20" w:rsidRDefault="009B330C" w:rsidP="009B330C">
            <w:pPr>
              <w:spacing w:after="0" w:line="240" w:lineRule="auto"/>
              <w:jc w:val="right"/>
              <w:rPr>
                <w:rFonts w:cs="Arial"/>
                <w:color w:val="000000"/>
                <w:sz w:val="16"/>
                <w:szCs w:val="16"/>
              </w:rPr>
            </w:pPr>
            <w:r>
              <w:rPr>
                <w:rFonts w:cs="Arial"/>
                <w:color w:val="000000"/>
                <w:sz w:val="16"/>
                <w:szCs w:val="16"/>
              </w:rPr>
              <w:t>90,1</w:t>
            </w:r>
          </w:p>
        </w:tc>
        <w:tc>
          <w:tcPr>
            <w:tcW w:w="907" w:type="dxa"/>
            <w:tcBorders>
              <w:top w:val="nil"/>
              <w:left w:val="nil"/>
              <w:bottom w:val="nil"/>
              <w:right w:val="nil"/>
            </w:tcBorders>
            <w:shd w:val="clear" w:color="auto" w:fill="auto"/>
            <w:vAlign w:val="center"/>
            <w:hideMark/>
          </w:tcPr>
          <w:p w14:paraId="276EA059" w14:textId="0FDD0FA8" w:rsidR="009B330C" w:rsidRPr="00D92E20" w:rsidRDefault="009B330C" w:rsidP="009B330C">
            <w:pPr>
              <w:spacing w:after="0" w:line="240" w:lineRule="auto"/>
              <w:jc w:val="right"/>
              <w:rPr>
                <w:rFonts w:cs="Arial"/>
                <w:color w:val="000000"/>
                <w:sz w:val="16"/>
                <w:szCs w:val="16"/>
              </w:rPr>
            </w:pPr>
            <w:r>
              <w:rPr>
                <w:rFonts w:cs="Arial"/>
                <w:sz w:val="16"/>
                <w:szCs w:val="16"/>
              </w:rPr>
              <w:t>53,8</w:t>
            </w:r>
          </w:p>
        </w:tc>
        <w:tc>
          <w:tcPr>
            <w:tcW w:w="907" w:type="dxa"/>
            <w:tcBorders>
              <w:top w:val="nil"/>
              <w:left w:val="nil"/>
              <w:bottom w:val="nil"/>
              <w:right w:val="nil"/>
            </w:tcBorders>
            <w:shd w:val="clear" w:color="auto" w:fill="auto"/>
            <w:vAlign w:val="center"/>
            <w:hideMark/>
          </w:tcPr>
          <w:p w14:paraId="5A0A307A" w14:textId="6F8D21FE" w:rsidR="009B330C" w:rsidRPr="00D92E20" w:rsidRDefault="009B330C" w:rsidP="009B330C">
            <w:pPr>
              <w:spacing w:after="0" w:line="240" w:lineRule="auto"/>
              <w:jc w:val="right"/>
              <w:rPr>
                <w:rFonts w:cs="Arial"/>
                <w:color w:val="000000"/>
                <w:sz w:val="16"/>
                <w:szCs w:val="16"/>
              </w:rPr>
            </w:pPr>
            <w:r>
              <w:rPr>
                <w:rFonts w:cs="Arial"/>
                <w:color w:val="000000"/>
                <w:sz w:val="16"/>
                <w:szCs w:val="16"/>
              </w:rPr>
              <w:t>36,3</w:t>
            </w:r>
          </w:p>
        </w:tc>
      </w:tr>
      <w:tr w:rsidR="009B330C" w:rsidRPr="00D92E20" w14:paraId="3AFCCEAA" w14:textId="77777777" w:rsidTr="009B330C">
        <w:trPr>
          <w:trHeight w:val="300"/>
        </w:trPr>
        <w:tc>
          <w:tcPr>
            <w:tcW w:w="1304" w:type="dxa"/>
            <w:tcBorders>
              <w:top w:val="nil"/>
              <w:left w:val="nil"/>
              <w:bottom w:val="nil"/>
              <w:right w:val="nil"/>
            </w:tcBorders>
            <w:shd w:val="clear" w:color="auto" w:fill="auto"/>
            <w:vAlign w:val="center"/>
            <w:hideMark/>
          </w:tcPr>
          <w:p w14:paraId="1B9903AC" w14:textId="757A4709" w:rsidR="009B330C" w:rsidRPr="00D92E20" w:rsidRDefault="009B330C" w:rsidP="009B330C">
            <w:pPr>
              <w:spacing w:after="0" w:line="240" w:lineRule="auto"/>
              <w:jc w:val="center"/>
              <w:rPr>
                <w:rFonts w:cs="Arial"/>
                <w:color w:val="000000"/>
                <w:sz w:val="16"/>
                <w:szCs w:val="16"/>
              </w:rPr>
            </w:pPr>
            <w:r>
              <w:rPr>
                <w:rFonts w:cs="Arial"/>
                <w:sz w:val="16"/>
                <w:szCs w:val="16"/>
              </w:rPr>
              <w:t>1. pol. 2019</w:t>
            </w:r>
          </w:p>
        </w:tc>
        <w:tc>
          <w:tcPr>
            <w:tcW w:w="898" w:type="dxa"/>
            <w:tcBorders>
              <w:top w:val="nil"/>
              <w:left w:val="single" w:sz="4" w:space="0" w:color="auto"/>
              <w:bottom w:val="nil"/>
              <w:right w:val="nil"/>
            </w:tcBorders>
            <w:shd w:val="clear" w:color="auto" w:fill="auto"/>
            <w:vAlign w:val="center"/>
            <w:hideMark/>
          </w:tcPr>
          <w:p w14:paraId="582EA6B0" w14:textId="0AE43FB5" w:rsidR="009B330C" w:rsidRPr="00D92E20" w:rsidRDefault="009B330C" w:rsidP="009B330C">
            <w:pPr>
              <w:spacing w:after="0" w:line="240" w:lineRule="auto"/>
              <w:jc w:val="right"/>
              <w:rPr>
                <w:rFonts w:cs="Arial"/>
                <w:color w:val="000000"/>
                <w:sz w:val="16"/>
                <w:szCs w:val="16"/>
              </w:rPr>
            </w:pPr>
            <w:r>
              <w:rPr>
                <w:rFonts w:cs="Arial"/>
                <w:color w:val="000000"/>
                <w:sz w:val="16"/>
                <w:szCs w:val="16"/>
              </w:rPr>
              <w:t>4 736,9</w:t>
            </w:r>
          </w:p>
        </w:tc>
        <w:tc>
          <w:tcPr>
            <w:tcW w:w="890" w:type="dxa"/>
            <w:tcBorders>
              <w:top w:val="nil"/>
              <w:left w:val="nil"/>
              <w:bottom w:val="nil"/>
              <w:right w:val="nil"/>
            </w:tcBorders>
            <w:shd w:val="clear" w:color="auto" w:fill="auto"/>
            <w:vAlign w:val="center"/>
            <w:hideMark/>
          </w:tcPr>
          <w:p w14:paraId="10BD998A" w14:textId="73E5381A"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2 386,5</w:t>
            </w:r>
          </w:p>
        </w:tc>
        <w:tc>
          <w:tcPr>
            <w:tcW w:w="890" w:type="dxa"/>
            <w:tcBorders>
              <w:top w:val="nil"/>
              <w:left w:val="nil"/>
              <w:bottom w:val="nil"/>
              <w:right w:val="single" w:sz="4" w:space="0" w:color="auto"/>
            </w:tcBorders>
            <w:shd w:val="clear" w:color="auto" w:fill="auto"/>
            <w:vAlign w:val="center"/>
            <w:hideMark/>
          </w:tcPr>
          <w:p w14:paraId="54B7F050" w14:textId="70E5FA16"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2 350,4</w:t>
            </w:r>
          </w:p>
        </w:tc>
        <w:tc>
          <w:tcPr>
            <w:tcW w:w="1056" w:type="dxa"/>
            <w:tcBorders>
              <w:top w:val="nil"/>
              <w:left w:val="nil"/>
              <w:bottom w:val="nil"/>
              <w:right w:val="nil"/>
            </w:tcBorders>
            <w:shd w:val="clear" w:color="auto" w:fill="auto"/>
            <w:vAlign w:val="center"/>
            <w:hideMark/>
          </w:tcPr>
          <w:p w14:paraId="2F8B1B35" w14:textId="4F235938" w:rsidR="009B330C" w:rsidRPr="00D92E20" w:rsidRDefault="009B330C" w:rsidP="009B330C">
            <w:pPr>
              <w:spacing w:after="0" w:line="240" w:lineRule="auto"/>
              <w:jc w:val="right"/>
              <w:rPr>
                <w:rFonts w:cs="Arial"/>
                <w:color w:val="000000"/>
                <w:sz w:val="16"/>
                <w:szCs w:val="16"/>
              </w:rPr>
            </w:pPr>
            <w:r>
              <w:rPr>
                <w:rFonts w:cs="Arial"/>
                <w:color w:val="000000"/>
                <w:sz w:val="16"/>
                <w:szCs w:val="16"/>
              </w:rPr>
              <w:t>4 644,3</w:t>
            </w:r>
          </w:p>
        </w:tc>
        <w:tc>
          <w:tcPr>
            <w:tcW w:w="907" w:type="dxa"/>
            <w:tcBorders>
              <w:top w:val="nil"/>
              <w:left w:val="nil"/>
              <w:bottom w:val="nil"/>
              <w:right w:val="nil"/>
            </w:tcBorders>
            <w:shd w:val="clear" w:color="auto" w:fill="auto"/>
            <w:vAlign w:val="center"/>
            <w:hideMark/>
          </w:tcPr>
          <w:p w14:paraId="069F9A8C" w14:textId="3BABE14A"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2 332,0</w:t>
            </w:r>
          </w:p>
        </w:tc>
        <w:tc>
          <w:tcPr>
            <w:tcW w:w="907" w:type="dxa"/>
            <w:tcBorders>
              <w:top w:val="nil"/>
              <w:left w:val="nil"/>
              <w:bottom w:val="nil"/>
              <w:right w:val="single" w:sz="4" w:space="0" w:color="auto"/>
            </w:tcBorders>
            <w:shd w:val="clear" w:color="auto" w:fill="auto"/>
            <w:vAlign w:val="center"/>
            <w:hideMark/>
          </w:tcPr>
          <w:p w14:paraId="33F89B9E" w14:textId="1E3DC760"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2 312,3</w:t>
            </w:r>
          </w:p>
        </w:tc>
        <w:tc>
          <w:tcPr>
            <w:tcW w:w="907" w:type="dxa"/>
            <w:tcBorders>
              <w:top w:val="nil"/>
              <w:left w:val="nil"/>
              <w:bottom w:val="nil"/>
              <w:right w:val="nil"/>
            </w:tcBorders>
            <w:shd w:val="clear" w:color="auto" w:fill="auto"/>
            <w:vAlign w:val="center"/>
            <w:hideMark/>
          </w:tcPr>
          <w:p w14:paraId="6376BD0F" w14:textId="4BFDB2BD" w:rsidR="009B330C" w:rsidRPr="00D92E20" w:rsidRDefault="009B330C" w:rsidP="009B330C">
            <w:pPr>
              <w:spacing w:after="0" w:line="240" w:lineRule="auto"/>
              <w:jc w:val="right"/>
              <w:rPr>
                <w:rFonts w:cs="Arial"/>
                <w:color w:val="000000"/>
                <w:sz w:val="16"/>
                <w:szCs w:val="16"/>
              </w:rPr>
            </w:pPr>
            <w:r>
              <w:rPr>
                <w:rFonts w:cs="Arial"/>
                <w:color w:val="000000"/>
                <w:sz w:val="16"/>
                <w:szCs w:val="16"/>
              </w:rPr>
              <w:t>92,6</w:t>
            </w:r>
          </w:p>
        </w:tc>
        <w:tc>
          <w:tcPr>
            <w:tcW w:w="907" w:type="dxa"/>
            <w:tcBorders>
              <w:top w:val="nil"/>
              <w:left w:val="nil"/>
              <w:bottom w:val="nil"/>
              <w:right w:val="nil"/>
            </w:tcBorders>
            <w:shd w:val="clear" w:color="auto" w:fill="auto"/>
            <w:vAlign w:val="center"/>
            <w:hideMark/>
          </w:tcPr>
          <w:p w14:paraId="5D3FDF49" w14:textId="5ADB96CD" w:rsidR="009B330C" w:rsidRPr="00D92E20" w:rsidRDefault="009B330C" w:rsidP="009B330C">
            <w:pPr>
              <w:spacing w:after="0" w:line="240" w:lineRule="auto"/>
              <w:jc w:val="right"/>
              <w:rPr>
                <w:rFonts w:cs="Arial"/>
                <w:color w:val="000000"/>
                <w:sz w:val="16"/>
                <w:szCs w:val="16"/>
              </w:rPr>
            </w:pPr>
            <w:r>
              <w:rPr>
                <w:rFonts w:cs="Arial"/>
                <w:color w:val="000000"/>
                <w:sz w:val="16"/>
                <w:szCs w:val="16"/>
              </w:rPr>
              <w:t>54,5</w:t>
            </w:r>
          </w:p>
        </w:tc>
        <w:tc>
          <w:tcPr>
            <w:tcW w:w="907" w:type="dxa"/>
            <w:tcBorders>
              <w:top w:val="nil"/>
              <w:left w:val="nil"/>
              <w:bottom w:val="nil"/>
              <w:right w:val="nil"/>
            </w:tcBorders>
            <w:shd w:val="clear" w:color="auto" w:fill="auto"/>
            <w:vAlign w:val="center"/>
            <w:hideMark/>
          </w:tcPr>
          <w:p w14:paraId="7665D081" w14:textId="4EF947A8" w:rsidR="009B330C" w:rsidRPr="00D92E20" w:rsidRDefault="009B330C" w:rsidP="009B330C">
            <w:pPr>
              <w:spacing w:after="0" w:line="240" w:lineRule="auto"/>
              <w:jc w:val="right"/>
              <w:rPr>
                <w:rFonts w:cs="Arial"/>
                <w:color w:val="000000"/>
                <w:sz w:val="16"/>
                <w:szCs w:val="16"/>
              </w:rPr>
            </w:pPr>
            <w:r>
              <w:rPr>
                <w:rFonts w:cs="Arial"/>
                <w:color w:val="000000"/>
                <w:sz w:val="16"/>
                <w:szCs w:val="16"/>
              </w:rPr>
              <w:t>38,1</w:t>
            </w:r>
          </w:p>
        </w:tc>
      </w:tr>
      <w:tr w:rsidR="009B330C" w:rsidRPr="00D92E20" w14:paraId="11C067F3" w14:textId="77777777" w:rsidTr="009B330C">
        <w:trPr>
          <w:trHeight w:val="300"/>
        </w:trPr>
        <w:tc>
          <w:tcPr>
            <w:tcW w:w="1304" w:type="dxa"/>
            <w:tcBorders>
              <w:top w:val="nil"/>
              <w:left w:val="nil"/>
              <w:bottom w:val="nil"/>
              <w:right w:val="nil"/>
            </w:tcBorders>
            <w:shd w:val="clear" w:color="auto" w:fill="auto"/>
            <w:vAlign w:val="center"/>
            <w:hideMark/>
          </w:tcPr>
          <w:p w14:paraId="0F911585" w14:textId="23536F2D" w:rsidR="009B330C" w:rsidRPr="00D92E20" w:rsidRDefault="009B330C" w:rsidP="009B330C">
            <w:pPr>
              <w:spacing w:after="0" w:line="240" w:lineRule="auto"/>
              <w:jc w:val="center"/>
              <w:rPr>
                <w:rFonts w:cs="Arial"/>
                <w:color w:val="000000"/>
                <w:sz w:val="16"/>
                <w:szCs w:val="16"/>
              </w:rPr>
            </w:pPr>
            <w:r>
              <w:rPr>
                <w:rFonts w:cs="Arial"/>
                <w:sz w:val="16"/>
                <w:szCs w:val="16"/>
              </w:rPr>
              <w:t>1. pol. 2020</w:t>
            </w:r>
          </w:p>
        </w:tc>
        <w:tc>
          <w:tcPr>
            <w:tcW w:w="898" w:type="dxa"/>
            <w:tcBorders>
              <w:top w:val="nil"/>
              <w:left w:val="single" w:sz="4" w:space="0" w:color="auto"/>
              <w:bottom w:val="nil"/>
              <w:right w:val="nil"/>
            </w:tcBorders>
            <w:shd w:val="clear" w:color="auto" w:fill="auto"/>
            <w:vAlign w:val="center"/>
            <w:hideMark/>
          </w:tcPr>
          <w:p w14:paraId="4BF346EA" w14:textId="7A46C685" w:rsidR="009B330C" w:rsidRPr="00D92E20" w:rsidRDefault="009B330C" w:rsidP="009B330C">
            <w:pPr>
              <w:spacing w:after="0" w:line="240" w:lineRule="auto"/>
              <w:jc w:val="right"/>
              <w:rPr>
                <w:rFonts w:cs="Arial"/>
                <w:color w:val="000000"/>
                <w:sz w:val="16"/>
                <w:szCs w:val="16"/>
              </w:rPr>
            </w:pPr>
            <w:r>
              <w:rPr>
                <w:rFonts w:cs="Arial"/>
                <w:color w:val="000000"/>
                <w:sz w:val="16"/>
                <w:szCs w:val="16"/>
              </w:rPr>
              <w:t>4 687,3</w:t>
            </w:r>
          </w:p>
        </w:tc>
        <w:tc>
          <w:tcPr>
            <w:tcW w:w="890" w:type="dxa"/>
            <w:tcBorders>
              <w:top w:val="nil"/>
              <w:left w:val="nil"/>
              <w:bottom w:val="nil"/>
              <w:right w:val="nil"/>
            </w:tcBorders>
            <w:shd w:val="clear" w:color="auto" w:fill="auto"/>
            <w:vAlign w:val="center"/>
            <w:hideMark/>
          </w:tcPr>
          <w:p w14:paraId="4EF4504E" w14:textId="54199846"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2 354,3</w:t>
            </w:r>
          </w:p>
        </w:tc>
        <w:tc>
          <w:tcPr>
            <w:tcW w:w="890" w:type="dxa"/>
            <w:tcBorders>
              <w:top w:val="nil"/>
              <w:left w:val="nil"/>
              <w:bottom w:val="nil"/>
              <w:right w:val="single" w:sz="4" w:space="0" w:color="auto"/>
            </w:tcBorders>
            <w:shd w:val="clear" w:color="auto" w:fill="auto"/>
            <w:vAlign w:val="center"/>
            <w:hideMark/>
          </w:tcPr>
          <w:p w14:paraId="0DB99D40" w14:textId="3FE8AEEF"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2 333,0</w:t>
            </w:r>
          </w:p>
        </w:tc>
        <w:tc>
          <w:tcPr>
            <w:tcW w:w="1056" w:type="dxa"/>
            <w:tcBorders>
              <w:top w:val="nil"/>
              <w:left w:val="nil"/>
              <w:bottom w:val="nil"/>
              <w:right w:val="nil"/>
            </w:tcBorders>
            <w:shd w:val="clear" w:color="auto" w:fill="auto"/>
            <w:vAlign w:val="center"/>
            <w:hideMark/>
          </w:tcPr>
          <w:p w14:paraId="24D25CB8" w14:textId="7F41D3E4" w:rsidR="009B330C" w:rsidRPr="00D92E20" w:rsidRDefault="009B330C" w:rsidP="009B330C">
            <w:pPr>
              <w:spacing w:after="0" w:line="240" w:lineRule="auto"/>
              <w:jc w:val="right"/>
              <w:rPr>
                <w:rFonts w:cs="Arial"/>
                <w:color w:val="000000"/>
                <w:sz w:val="16"/>
                <w:szCs w:val="16"/>
              </w:rPr>
            </w:pPr>
            <w:r>
              <w:rPr>
                <w:rFonts w:cs="Arial"/>
                <w:color w:val="000000"/>
                <w:sz w:val="16"/>
                <w:szCs w:val="16"/>
              </w:rPr>
              <w:t>4 592,3</w:t>
            </w:r>
          </w:p>
        </w:tc>
        <w:tc>
          <w:tcPr>
            <w:tcW w:w="907" w:type="dxa"/>
            <w:tcBorders>
              <w:top w:val="nil"/>
              <w:left w:val="nil"/>
              <w:bottom w:val="nil"/>
              <w:right w:val="nil"/>
            </w:tcBorders>
            <w:shd w:val="clear" w:color="auto" w:fill="auto"/>
            <w:vAlign w:val="center"/>
            <w:hideMark/>
          </w:tcPr>
          <w:p w14:paraId="353BC8B9" w14:textId="68CC73E6"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2 299,1</w:t>
            </w:r>
          </w:p>
        </w:tc>
        <w:tc>
          <w:tcPr>
            <w:tcW w:w="907" w:type="dxa"/>
            <w:tcBorders>
              <w:top w:val="nil"/>
              <w:left w:val="nil"/>
              <w:bottom w:val="nil"/>
              <w:right w:val="single" w:sz="4" w:space="0" w:color="auto"/>
            </w:tcBorders>
            <w:shd w:val="clear" w:color="auto" w:fill="auto"/>
            <w:vAlign w:val="center"/>
            <w:hideMark/>
          </w:tcPr>
          <w:p w14:paraId="51903ECB" w14:textId="085DC541"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2 293,2</w:t>
            </w:r>
          </w:p>
        </w:tc>
        <w:tc>
          <w:tcPr>
            <w:tcW w:w="907" w:type="dxa"/>
            <w:tcBorders>
              <w:top w:val="nil"/>
              <w:left w:val="nil"/>
              <w:bottom w:val="nil"/>
              <w:right w:val="nil"/>
            </w:tcBorders>
            <w:shd w:val="clear" w:color="auto" w:fill="auto"/>
            <w:vAlign w:val="center"/>
            <w:hideMark/>
          </w:tcPr>
          <w:p w14:paraId="25C5C691" w14:textId="0E83D8BA" w:rsidR="009B330C" w:rsidRPr="00D92E20" w:rsidRDefault="009B330C" w:rsidP="009B330C">
            <w:pPr>
              <w:spacing w:after="0" w:line="240" w:lineRule="auto"/>
              <w:jc w:val="right"/>
              <w:rPr>
                <w:rFonts w:cs="Arial"/>
                <w:color w:val="000000"/>
                <w:sz w:val="16"/>
                <w:szCs w:val="16"/>
              </w:rPr>
            </w:pPr>
            <w:r>
              <w:rPr>
                <w:rFonts w:cs="Arial"/>
                <w:color w:val="000000"/>
                <w:sz w:val="16"/>
                <w:szCs w:val="16"/>
              </w:rPr>
              <w:t>95,0</w:t>
            </w:r>
          </w:p>
        </w:tc>
        <w:tc>
          <w:tcPr>
            <w:tcW w:w="907" w:type="dxa"/>
            <w:tcBorders>
              <w:top w:val="nil"/>
              <w:left w:val="nil"/>
              <w:bottom w:val="nil"/>
              <w:right w:val="nil"/>
            </w:tcBorders>
            <w:shd w:val="clear" w:color="auto" w:fill="auto"/>
            <w:vAlign w:val="center"/>
            <w:hideMark/>
          </w:tcPr>
          <w:p w14:paraId="2F5F73D5" w14:textId="65F6165C" w:rsidR="009B330C" w:rsidRPr="00D92E20" w:rsidRDefault="009B330C" w:rsidP="009B330C">
            <w:pPr>
              <w:spacing w:after="0" w:line="240" w:lineRule="auto"/>
              <w:jc w:val="right"/>
              <w:rPr>
                <w:rFonts w:cs="Arial"/>
                <w:color w:val="000000"/>
                <w:sz w:val="16"/>
                <w:szCs w:val="16"/>
              </w:rPr>
            </w:pPr>
            <w:r>
              <w:rPr>
                <w:rFonts w:cs="Arial"/>
                <w:color w:val="000000"/>
                <w:sz w:val="16"/>
                <w:szCs w:val="16"/>
              </w:rPr>
              <w:t>55,3</w:t>
            </w:r>
          </w:p>
        </w:tc>
        <w:tc>
          <w:tcPr>
            <w:tcW w:w="907" w:type="dxa"/>
            <w:tcBorders>
              <w:top w:val="nil"/>
              <w:left w:val="nil"/>
              <w:bottom w:val="nil"/>
              <w:right w:val="nil"/>
            </w:tcBorders>
            <w:shd w:val="clear" w:color="auto" w:fill="auto"/>
            <w:vAlign w:val="center"/>
            <w:hideMark/>
          </w:tcPr>
          <w:p w14:paraId="7BEB6CF8" w14:textId="136D5F56" w:rsidR="009B330C" w:rsidRPr="00D92E20" w:rsidRDefault="009B330C" w:rsidP="009B330C">
            <w:pPr>
              <w:spacing w:after="0" w:line="240" w:lineRule="auto"/>
              <w:jc w:val="right"/>
              <w:rPr>
                <w:rFonts w:cs="Arial"/>
                <w:color w:val="000000"/>
                <w:sz w:val="16"/>
                <w:szCs w:val="16"/>
              </w:rPr>
            </w:pPr>
            <w:r>
              <w:rPr>
                <w:rFonts w:cs="Arial"/>
                <w:color w:val="000000"/>
                <w:sz w:val="16"/>
                <w:szCs w:val="16"/>
              </w:rPr>
              <w:t>39,8</w:t>
            </w:r>
          </w:p>
        </w:tc>
      </w:tr>
      <w:tr w:rsidR="009B330C" w:rsidRPr="00D92E20" w14:paraId="391F2A1A" w14:textId="77777777" w:rsidTr="009B330C">
        <w:trPr>
          <w:trHeight w:val="300"/>
        </w:trPr>
        <w:tc>
          <w:tcPr>
            <w:tcW w:w="1304" w:type="dxa"/>
            <w:tcBorders>
              <w:top w:val="nil"/>
              <w:left w:val="nil"/>
              <w:bottom w:val="nil"/>
              <w:right w:val="nil"/>
            </w:tcBorders>
            <w:shd w:val="clear" w:color="auto" w:fill="auto"/>
            <w:vAlign w:val="center"/>
            <w:hideMark/>
          </w:tcPr>
          <w:p w14:paraId="1D608083" w14:textId="212D7458" w:rsidR="009B330C" w:rsidRPr="00D92E20" w:rsidRDefault="009B330C" w:rsidP="009B330C">
            <w:pPr>
              <w:spacing w:after="0" w:line="240" w:lineRule="auto"/>
              <w:jc w:val="center"/>
              <w:rPr>
                <w:rFonts w:cs="Arial"/>
                <w:color w:val="000000"/>
                <w:sz w:val="16"/>
                <w:szCs w:val="16"/>
              </w:rPr>
            </w:pPr>
            <w:r>
              <w:rPr>
                <w:rFonts w:cs="Arial"/>
                <w:sz w:val="16"/>
                <w:szCs w:val="16"/>
              </w:rPr>
              <w:t>1. pol. 2021</w:t>
            </w:r>
          </w:p>
        </w:tc>
        <w:tc>
          <w:tcPr>
            <w:tcW w:w="898" w:type="dxa"/>
            <w:tcBorders>
              <w:top w:val="nil"/>
              <w:left w:val="single" w:sz="4" w:space="0" w:color="auto"/>
              <w:bottom w:val="nil"/>
              <w:right w:val="nil"/>
            </w:tcBorders>
            <w:shd w:val="clear" w:color="auto" w:fill="auto"/>
            <w:vAlign w:val="center"/>
            <w:hideMark/>
          </w:tcPr>
          <w:p w14:paraId="1A2EF403" w14:textId="7685044D" w:rsidR="009B330C" w:rsidRPr="00D92E20" w:rsidRDefault="009B330C" w:rsidP="009B330C">
            <w:pPr>
              <w:spacing w:after="0" w:line="240" w:lineRule="auto"/>
              <w:jc w:val="right"/>
              <w:rPr>
                <w:rFonts w:cs="Arial"/>
                <w:color w:val="000000"/>
                <w:sz w:val="16"/>
                <w:szCs w:val="16"/>
              </w:rPr>
            </w:pPr>
            <w:r>
              <w:rPr>
                <w:rFonts w:cs="Arial"/>
                <w:color w:val="000000"/>
                <w:sz w:val="16"/>
                <w:szCs w:val="16"/>
              </w:rPr>
              <w:t>4 688,6</w:t>
            </w:r>
          </w:p>
        </w:tc>
        <w:tc>
          <w:tcPr>
            <w:tcW w:w="890" w:type="dxa"/>
            <w:tcBorders>
              <w:top w:val="nil"/>
              <w:left w:val="nil"/>
              <w:bottom w:val="nil"/>
              <w:right w:val="nil"/>
            </w:tcBorders>
            <w:shd w:val="clear" w:color="auto" w:fill="auto"/>
            <w:vAlign w:val="center"/>
            <w:hideMark/>
          </w:tcPr>
          <w:p w14:paraId="1653E970" w14:textId="55A458AE"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2 347,5</w:t>
            </w:r>
          </w:p>
        </w:tc>
        <w:tc>
          <w:tcPr>
            <w:tcW w:w="890" w:type="dxa"/>
            <w:tcBorders>
              <w:top w:val="nil"/>
              <w:left w:val="nil"/>
              <w:bottom w:val="nil"/>
              <w:right w:val="single" w:sz="4" w:space="0" w:color="auto"/>
            </w:tcBorders>
            <w:shd w:val="clear" w:color="auto" w:fill="auto"/>
            <w:vAlign w:val="center"/>
            <w:hideMark/>
          </w:tcPr>
          <w:p w14:paraId="2C2F3911" w14:textId="7C368050" w:rsidR="009B330C" w:rsidRPr="00D92E20" w:rsidRDefault="009B330C" w:rsidP="009B330C">
            <w:pPr>
              <w:spacing w:after="0" w:line="240" w:lineRule="auto"/>
              <w:jc w:val="right"/>
              <w:rPr>
                <w:rFonts w:cs="Arial"/>
                <w:color w:val="000000"/>
                <w:sz w:val="16"/>
                <w:szCs w:val="16"/>
              </w:rPr>
            </w:pPr>
            <w:r>
              <w:rPr>
                <w:rFonts w:cs="Arial"/>
                <w:color w:val="000000"/>
                <w:sz w:val="16"/>
                <w:szCs w:val="16"/>
              </w:rPr>
              <w:t>2 341,1</w:t>
            </w:r>
          </w:p>
        </w:tc>
        <w:tc>
          <w:tcPr>
            <w:tcW w:w="1056" w:type="dxa"/>
            <w:tcBorders>
              <w:top w:val="nil"/>
              <w:left w:val="nil"/>
              <w:bottom w:val="nil"/>
              <w:right w:val="nil"/>
            </w:tcBorders>
            <w:shd w:val="clear" w:color="auto" w:fill="auto"/>
            <w:vAlign w:val="center"/>
            <w:hideMark/>
          </w:tcPr>
          <w:p w14:paraId="2AAD10AD" w14:textId="6903EDE7" w:rsidR="009B330C" w:rsidRPr="00D92E20" w:rsidRDefault="009B330C" w:rsidP="009B330C">
            <w:pPr>
              <w:spacing w:after="0" w:line="240" w:lineRule="auto"/>
              <w:jc w:val="right"/>
              <w:rPr>
                <w:rFonts w:cs="Arial"/>
                <w:color w:val="000000"/>
                <w:sz w:val="16"/>
                <w:szCs w:val="16"/>
              </w:rPr>
            </w:pPr>
            <w:r>
              <w:rPr>
                <w:rFonts w:cs="Arial"/>
                <w:color w:val="000000"/>
                <w:sz w:val="16"/>
                <w:szCs w:val="16"/>
              </w:rPr>
              <w:t>4 591,3</w:t>
            </w:r>
          </w:p>
        </w:tc>
        <w:tc>
          <w:tcPr>
            <w:tcW w:w="907" w:type="dxa"/>
            <w:tcBorders>
              <w:top w:val="nil"/>
              <w:left w:val="nil"/>
              <w:bottom w:val="nil"/>
              <w:right w:val="nil"/>
            </w:tcBorders>
            <w:shd w:val="clear" w:color="auto" w:fill="auto"/>
            <w:vAlign w:val="center"/>
            <w:hideMark/>
          </w:tcPr>
          <w:p w14:paraId="4C658BF9" w14:textId="37FA27CA"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2 291,4</w:t>
            </w:r>
          </w:p>
        </w:tc>
        <w:tc>
          <w:tcPr>
            <w:tcW w:w="907" w:type="dxa"/>
            <w:tcBorders>
              <w:top w:val="nil"/>
              <w:left w:val="nil"/>
              <w:bottom w:val="nil"/>
              <w:right w:val="single" w:sz="4" w:space="0" w:color="auto"/>
            </w:tcBorders>
            <w:shd w:val="clear" w:color="auto" w:fill="auto"/>
            <w:vAlign w:val="center"/>
            <w:hideMark/>
          </w:tcPr>
          <w:p w14:paraId="6EB7A21A" w14:textId="1C5F14F1" w:rsidR="009B330C" w:rsidRPr="00D92E20" w:rsidRDefault="009B330C" w:rsidP="009B330C">
            <w:pPr>
              <w:spacing w:after="0" w:line="240" w:lineRule="auto"/>
              <w:jc w:val="right"/>
              <w:rPr>
                <w:rFonts w:cs="Arial"/>
                <w:color w:val="000000"/>
                <w:sz w:val="16"/>
                <w:szCs w:val="16"/>
              </w:rPr>
            </w:pPr>
            <w:r>
              <w:rPr>
                <w:rFonts w:cs="Arial"/>
                <w:color w:val="000000"/>
                <w:sz w:val="16"/>
                <w:szCs w:val="16"/>
              </w:rPr>
              <w:t>2 299,8</w:t>
            </w:r>
          </w:p>
        </w:tc>
        <w:tc>
          <w:tcPr>
            <w:tcW w:w="907" w:type="dxa"/>
            <w:tcBorders>
              <w:top w:val="nil"/>
              <w:left w:val="nil"/>
              <w:bottom w:val="nil"/>
              <w:right w:val="nil"/>
            </w:tcBorders>
            <w:shd w:val="clear" w:color="auto" w:fill="auto"/>
            <w:vAlign w:val="center"/>
            <w:hideMark/>
          </w:tcPr>
          <w:p w14:paraId="15D2A6B3" w14:textId="20121585" w:rsidR="009B330C" w:rsidRPr="00D92E20" w:rsidRDefault="009B330C" w:rsidP="009B330C">
            <w:pPr>
              <w:spacing w:after="0" w:line="240" w:lineRule="auto"/>
              <w:jc w:val="right"/>
              <w:rPr>
                <w:rFonts w:cs="Arial"/>
                <w:color w:val="000000"/>
                <w:sz w:val="16"/>
                <w:szCs w:val="16"/>
              </w:rPr>
            </w:pPr>
            <w:r>
              <w:rPr>
                <w:rFonts w:cs="Arial"/>
                <w:color w:val="000000"/>
                <w:sz w:val="16"/>
                <w:szCs w:val="16"/>
              </w:rPr>
              <w:t>97,3</w:t>
            </w:r>
          </w:p>
        </w:tc>
        <w:tc>
          <w:tcPr>
            <w:tcW w:w="907" w:type="dxa"/>
            <w:tcBorders>
              <w:top w:val="nil"/>
              <w:left w:val="nil"/>
              <w:bottom w:val="nil"/>
              <w:right w:val="nil"/>
            </w:tcBorders>
            <w:shd w:val="clear" w:color="auto" w:fill="auto"/>
            <w:vAlign w:val="center"/>
            <w:hideMark/>
          </w:tcPr>
          <w:p w14:paraId="4D51E031" w14:textId="003A9BF3" w:rsidR="009B330C" w:rsidRPr="00D92E20" w:rsidRDefault="009B330C" w:rsidP="009B330C">
            <w:pPr>
              <w:spacing w:after="0" w:line="240" w:lineRule="auto"/>
              <w:jc w:val="right"/>
              <w:rPr>
                <w:rFonts w:cs="Arial"/>
                <w:color w:val="000000"/>
                <w:sz w:val="16"/>
                <w:szCs w:val="16"/>
              </w:rPr>
            </w:pPr>
            <w:r>
              <w:rPr>
                <w:rFonts w:cs="Arial"/>
                <w:color w:val="000000"/>
                <w:sz w:val="16"/>
                <w:szCs w:val="16"/>
              </w:rPr>
              <w:t>56,0</w:t>
            </w:r>
          </w:p>
        </w:tc>
        <w:tc>
          <w:tcPr>
            <w:tcW w:w="907" w:type="dxa"/>
            <w:tcBorders>
              <w:top w:val="nil"/>
              <w:left w:val="nil"/>
              <w:bottom w:val="nil"/>
              <w:right w:val="nil"/>
            </w:tcBorders>
            <w:shd w:val="clear" w:color="auto" w:fill="auto"/>
            <w:vAlign w:val="center"/>
            <w:hideMark/>
          </w:tcPr>
          <w:p w14:paraId="5912965C" w14:textId="5C520A57" w:rsidR="009B330C" w:rsidRPr="00D92E20" w:rsidRDefault="009B330C" w:rsidP="009B330C">
            <w:pPr>
              <w:spacing w:after="0" w:line="240" w:lineRule="auto"/>
              <w:jc w:val="right"/>
              <w:rPr>
                <w:rFonts w:cs="Arial"/>
                <w:color w:val="000000"/>
                <w:sz w:val="16"/>
                <w:szCs w:val="16"/>
              </w:rPr>
            </w:pPr>
            <w:r>
              <w:rPr>
                <w:rFonts w:cs="Arial"/>
                <w:color w:val="000000"/>
                <w:sz w:val="16"/>
                <w:szCs w:val="16"/>
              </w:rPr>
              <w:t>41,3</w:t>
            </w:r>
          </w:p>
        </w:tc>
      </w:tr>
    </w:tbl>
    <w:p w14:paraId="7B9F09BF" w14:textId="77777777" w:rsidR="00184B5C" w:rsidRPr="00D92E20" w:rsidRDefault="00184B5C" w:rsidP="00184B5C">
      <w:pPr>
        <w:spacing w:before="120" w:after="120"/>
        <w:jc w:val="both"/>
        <w:rPr>
          <w:rFonts w:cs="Arial"/>
          <w:bCs/>
          <w:color w:val="000000"/>
          <w:sz w:val="16"/>
          <w:szCs w:val="20"/>
        </w:rPr>
      </w:pPr>
      <w:r w:rsidRPr="00D92E20">
        <w:rPr>
          <w:rFonts w:cs="Arial"/>
          <w:bCs/>
          <w:color w:val="000000"/>
          <w:sz w:val="16"/>
          <w:szCs w:val="20"/>
        </w:rPr>
        <w:t>Zdroj: ČSÚ</w:t>
      </w:r>
    </w:p>
    <w:p w14:paraId="7CDD3160" w14:textId="68053A59" w:rsidR="00C05AB7" w:rsidRDefault="005D14C3" w:rsidP="00155829">
      <w:pPr>
        <w:spacing w:after="120"/>
        <w:jc w:val="both"/>
      </w:pPr>
      <w:r w:rsidRPr="00D92E20">
        <w:t xml:space="preserve">Počet </w:t>
      </w:r>
      <w:r w:rsidRPr="00D92E20">
        <w:rPr>
          <w:b/>
        </w:rPr>
        <w:t>dobrovolně nemocensky pojištěných</w:t>
      </w:r>
      <w:r w:rsidRPr="00D92E20">
        <w:t xml:space="preserve"> – tedy</w:t>
      </w:r>
      <w:r w:rsidR="00AC7EEB" w:rsidRPr="00D92E20">
        <w:t xml:space="preserve"> </w:t>
      </w:r>
      <w:r w:rsidR="00AC7EEB" w:rsidRPr="00D92E20">
        <w:rPr>
          <w:b/>
        </w:rPr>
        <w:t>osob samostatně výdělečně činných</w:t>
      </w:r>
      <w:r w:rsidRPr="00D92E20">
        <w:t xml:space="preserve"> </w:t>
      </w:r>
      <w:r w:rsidR="00AC7EEB" w:rsidRPr="00D92E20">
        <w:rPr>
          <w:b/>
        </w:rPr>
        <w:t>(</w:t>
      </w:r>
      <w:r w:rsidRPr="00D92E20">
        <w:rPr>
          <w:b/>
        </w:rPr>
        <w:t>OSVČ</w:t>
      </w:r>
      <w:r w:rsidR="00AC7EEB" w:rsidRPr="00D92E20">
        <w:rPr>
          <w:b/>
        </w:rPr>
        <w:t>)</w:t>
      </w:r>
      <w:r w:rsidRPr="00D92E20">
        <w:t xml:space="preserve"> </w:t>
      </w:r>
      <w:r w:rsidR="00B74855">
        <w:br/>
      </w:r>
      <w:r w:rsidRPr="00D92E20">
        <w:t>– naopak pokračoval v rostoucím trendu nastoleném od roku 201</w:t>
      </w:r>
      <w:r w:rsidR="001706EA">
        <w:t>8</w:t>
      </w:r>
      <w:r w:rsidRPr="00D92E20">
        <w:t>. Jejich počet v</w:t>
      </w:r>
      <w:r w:rsidR="001706EA">
        <w:t> 1. pol.</w:t>
      </w:r>
      <w:r w:rsidRPr="00D92E20">
        <w:t xml:space="preserve"> 202</w:t>
      </w:r>
      <w:r w:rsidR="001706EA">
        <w:t>1</w:t>
      </w:r>
      <w:r w:rsidRPr="00D92E20">
        <w:t xml:space="preserve"> </w:t>
      </w:r>
      <w:r w:rsidR="00A101F1">
        <w:t>překonal</w:t>
      </w:r>
      <w:r w:rsidR="001706EA">
        <w:t xml:space="preserve"> </w:t>
      </w:r>
      <w:r w:rsidRPr="00D92E20">
        <w:t>9</w:t>
      </w:r>
      <w:r w:rsidR="00A101F1">
        <w:t>7</w:t>
      </w:r>
      <w:r w:rsidR="00361B7D" w:rsidRPr="00D92E20">
        <w:t> </w:t>
      </w:r>
      <w:r w:rsidRPr="00D92E20">
        <w:t xml:space="preserve">tis., meziročně o </w:t>
      </w:r>
      <w:r w:rsidR="001706EA">
        <w:t>2,4</w:t>
      </w:r>
      <w:r w:rsidRPr="00D92E20">
        <w:t xml:space="preserve"> % více. Přesto podíl pojištěných OSVČ na celkovém počtu </w:t>
      </w:r>
      <w:r w:rsidR="005A1638" w:rsidRPr="00D92E20">
        <w:t>OSVČ</w:t>
      </w:r>
      <w:r w:rsidRPr="00D92E20">
        <w:t xml:space="preserve"> </w:t>
      </w:r>
      <w:r w:rsidR="005A1638" w:rsidRPr="00D92E20">
        <w:t>vykonávajících</w:t>
      </w:r>
      <w:r w:rsidRPr="00D92E20">
        <w:t xml:space="preserve"> hlavní činnost dosáhl necelých </w:t>
      </w:r>
      <w:r w:rsidRPr="001706EA">
        <w:t>16 %</w:t>
      </w:r>
      <w:r w:rsidRPr="00D92E20">
        <w:t xml:space="preserve">. Muži se na počtu nemocensky pojištěných OSVČ podíleli z 58 %, žen bylo </w:t>
      </w:r>
      <w:r w:rsidRPr="00D92E20">
        <w:lastRenderedPageBreak/>
        <w:t xml:space="preserve">42 %. </w:t>
      </w:r>
      <w:r w:rsidR="00C05AB7">
        <w:t>Počet nemocensky pojištěných žen se blížil hodnotám před 9 lety. Může to být ovlivněno nárokem na</w:t>
      </w:r>
      <w:r w:rsidR="008C3456">
        <w:t> </w:t>
      </w:r>
      <w:r w:rsidR="00C05AB7">
        <w:t>peněžitou podporu v mateřství, ale i větší ochotou žen samostatně výdělečně činných si nemocenské platit.</w:t>
      </w:r>
    </w:p>
    <w:p w14:paraId="1F45F094" w14:textId="7538D9B3" w:rsidR="0018528F" w:rsidRPr="00D92E20" w:rsidRDefault="005D14C3" w:rsidP="00155829">
      <w:pPr>
        <w:spacing w:after="120"/>
        <w:jc w:val="both"/>
      </w:pPr>
      <w:r w:rsidRPr="00D92E20">
        <w:t xml:space="preserve">Je však třeba zdůraznit, že i přes výše uvedený nárůst, počet pojištěnců v rámci OSVČ stále nedosahuje hodnot z minulosti, kdy např. před deseti lety jich bylo </w:t>
      </w:r>
      <w:r w:rsidR="005A1638" w:rsidRPr="00D92E20">
        <w:t>nemocensky</w:t>
      </w:r>
      <w:r w:rsidRPr="00D92E20">
        <w:t xml:space="preserve"> pojištěno o </w:t>
      </w:r>
      <w:r w:rsidR="00673DCF">
        <w:t>46</w:t>
      </w:r>
      <w:r w:rsidRPr="00D92E20">
        <w:t xml:space="preserve"> tis. více než v</w:t>
      </w:r>
      <w:r w:rsidR="00673DCF">
        <w:t> 1. pol.</w:t>
      </w:r>
      <w:r w:rsidRPr="00D92E20">
        <w:t xml:space="preserve"> 202</w:t>
      </w:r>
      <w:r w:rsidR="00673DCF">
        <w:t>1</w:t>
      </w:r>
      <w:r w:rsidRPr="00D92E20">
        <w:t xml:space="preserve">. </w:t>
      </w:r>
      <w:r w:rsidR="005A1638" w:rsidRPr="00D92E20">
        <w:t>Tehdy p</w:t>
      </w:r>
      <w:r w:rsidRPr="00D92E20">
        <w:t>ředstavovali 2</w:t>
      </w:r>
      <w:r w:rsidR="00673DCF">
        <w:t>2</w:t>
      </w:r>
      <w:r w:rsidRPr="00D92E20">
        <w:t xml:space="preserve">% podíl ze všech OSVČ </w:t>
      </w:r>
      <w:r w:rsidR="005A1638" w:rsidRPr="00D92E20">
        <w:t xml:space="preserve">vykonávajících </w:t>
      </w:r>
      <w:r w:rsidRPr="00D92E20">
        <w:t>hlavní činnost.</w:t>
      </w:r>
      <w:r w:rsidR="00C05AB7">
        <w:t xml:space="preserve"> </w:t>
      </w:r>
    </w:p>
    <w:p w14:paraId="592B31E9" w14:textId="12EAC802" w:rsidR="001E0E41" w:rsidRPr="00D92E20" w:rsidRDefault="001E0E41" w:rsidP="00155829">
      <w:pPr>
        <w:spacing w:after="120"/>
        <w:jc w:val="both"/>
      </w:pPr>
      <w:r w:rsidRPr="00D92E20">
        <w:t xml:space="preserve">Pomineme-li </w:t>
      </w:r>
      <w:r w:rsidR="0018528F" w:rsidRPr="00D92E20">
        <w:t xml:space="preserve">meziroční </w:t>
      </w:r>
      <w:r w:rsidRPr="00D92E20">
        <w:t>pokles v</w:t>
      </w:r>
      <w:r w:rsidR="00322DC1">
        <w:t> 1. pol.</w:t>
      </w:r>
      <w:r w:rsidR="0018528F" w:rsidRPr="00D92E20">
        <w:t xml:space="preserve"> 2020 a stagnaci </w:t>
      </w:r>
      <w:r w:rsidR="00322DC1">
        <w:t>vůči 1. pol. 2021</w:t>
      </w:r>
      <w:r w:rsidRPr="00D92E20">
        <w:t xml:space="preserve">, je patrné, že </w:t>
      </w:r>
      <w:r w:rsidR="00853033" w:rsidRPr="00D92E20">
        <w:t xml:space="preserve">se </w:t>
      </w:r>
      <w:r w:rsidR="00853033">
        <w:t xml:space="preserve">vlivem rostoucího počtu </w:t>
      </w:r>
      <w:r w:rsidRPr="00D92E20">
        <w:t>zaměstnanců od roku 201</w:t>
      </w:r>
      <w:r w:rsidR="00322DC1">
        <w:t>4</w:t>
      </w:r>
      <w:r w:rsidRPr="00D92E20">
        <w:t xml:space="preserve"> kontinuálně zvyšoval i průměrn</w:t>
      </w:r>
      <w:r w:rsidR="00853033">
        <w:t xml:space="preserve">ý počet nemocensky pojištěných. </w:t>
      </w:r>
      <w:r w:rsidR="00CA23A5">
        <w:rPr>
          <w:rFonts w:cs="Arial"/>
          <w:bCs/>
          <w:color w:val="000000"/>
          <w:szCs w:val="20"/>
        </w:rPr>
        <w:t>Za</w:t>
      </w:r>
      <w:r w:rsidR="008C3456">
        <w:rPr>
          <w:rFonts w:cs="Arial"/>
          <w:bCs/>
          <w:color w:val="000000"/>
          <w:szCs w:val="20"/>
        </w:rPr>
        <w:t> </w:t>
      </w:r>
      <w:r w:rsidR="00CA23A5">
        <w:rPr>
          <w:rFonts w:cs="Arial"/>
          <w:bCs/>
          <w:color w:val="000000"/>
          <w:szCs w:val="20"/>
        </w:rPr>
        <w:t xml:space="preserve">uplynulých 10 let počet nemocensky pojištěných vzrostl o 508 tis. (12 %). </w:t>
      </w:r>
      <w:r w:rsidRPr="00D92E20">
        <w:t xml:space="preserve">Mezi </w:t>
      </w:r>
      <w:r w:rsidR="00853033">
        <w:t>prvními</w:t>
      </w:r>
      <w:r w:rsidR="00322DC1">
        <w:t> pololetími 2014 a</w:t>
      </w:r>
      <w:r w:rsidR="008C3456">
        <w:t> </w:t>
      </w:r>
      <w:r w:rsidR="00322DC1">
        <w:t>2019</w:t>
      </w:r>
      <w:r w:rsidRPr="00D92E20">
        <w:t xml:space="preserve"> došlo k nárůstu počtu pojištěnců </w:t>
      </w:r>
      <w:r w:rsidR="00FF3D8E" w:rsidRPr="00D92E20">
        <w:t xml:space="preserve">mezi zaměstnanci </w:t>
      </w:r>
      <w:r w:rsidRPr="00D92E20">
        <w:t xml:space="preserve">o </w:t>
      </w:r>
      <w:r w:rsidR="00322DC1">
        <w:t>7,7</w:t>
      </w:r>
      <w:r w:rsidR="00867F67" w:rsidRPr="00D92E20">
        <w:t xml:space="preserve"> </w:t>
      </w:r>
      <w:r w:rsidRPr="00D92E20">
        <w:t>% (</w:t>
      </w:r>
      <w:r w:rsidR="00322DC1">
        <w:t>330</w:t>
      </w:r>
      <w:r w:rsidR="00867F67" w:rsidRPr="00D92E20">
        <w:t xml:space="preserve"> </w:t>
      </w:r>
      <w:r w:rsidRPr="00D92E20">
        <w:t xml:space="preserve">tis.). Na tomto nárůstu se podílely především ženy. Za </w:t>
      </w:r>
      <w:r w:rsidR="00853033">
        <w:t>těchto</w:t>
      </w:r>
      <w:r w:rsidR="00FF3D8E" w:rsidRPr="00D92E20">
        <w:t xml:space="preserve"> pět </w:t>
      </w:r>
      <w:r w:rsidRPr="00D92E20">
        <w:t xml:space="preserve">let vzrostl </w:t>
      </w:r>
      <w:r w:rsidRPr="00D92E20">
        <w:rPr>
          <w:b/>
        </w:rPr>
        <w:t xml:space="preserve">počet nemocensky pojištěných </w:t>
      </w:r>
      <w:r w:rsidR="00FF3D8E" w:rsidRPr="00D92E20">
        <w:rPr>
          <w:b/>
        </w:rPr>
        <w:t xml:space="preserve">zaměstnankyň </w:t>
      </w:r>
      <w:r w:rsidRPr="00D92E20">
        <w:t xml:space="preserve">o </w:t>
      </w:r>
      <w:r w:rsidR="00322DC1">
        <w:t>8,6</w:t>
      </w:r>
      <w:r w:rsidRPr="00D92E20">
        <w:t xml:space="preserve"> % (</w:t>
      </w:r>
      <w:r w:rsidR="00867F67" w:rsidRPr="00D92E20">
        <w:t>1</w:t>
      </w:r>
      <w:r w:rsidR="00322DC1">
        <w:t>8</w:t>
      </w:r>
      <w:r w:rsidR="00867F67" w:rsidRPr="00D92E20">
        <w:t xml:space="preserve">4 </w:t>
      </w:r>
      <w:r w:rsidRPr="00D92E20">
        <w:t>tis.). Ve srovn</w:t>
      </w:r>
      <w:r w:rsidR="0018528F" w:rsidRPr="00D92E20">
        <w:t>ání se situací před 10 lety</w:t>
      </w:r>
      <w:r w:rsidRPr="00D92E20">
        <w:t xml:space="preserve">, </w:t>
      </w:r>
      <w:r w:rsidR="00FF3D8E" w:rsidRPr="00D92E20">
        <w:t>bylo v</w:t>
      </w:r>
      <w:r w:rsidR="00EB2AD1">
        <w:t xml:space="preserve"> 1. pololetí 2021 </w:t>
      </w:r>
      <w:r w:rsidRPr="00D92E20">
        <w:t xml:space="preserve">pojištěných </w:t>
      </w:r>
      <w:r w:rsidR="00EB2AD1">
        <w:t>zaměstnankyň</w:t>
      </w:r>
      <w:r w:rsidRPr="00D92E20">
        <w:t xml:space="preserve"> dokonce o </w:t>
      </w:r>
      <w:r w:rsidR="0018528F" w:rsidRPr="00D92E20">
        <w:t>1</w:t>
      </w:r>
      <w:r w:rsidR="00EB2AD1">
        <w:t xml:space="preserve">6 </w:t>
      </w:r>
      <w:r w:rsidRPr="00D92E20">
        <w:t xml:space="preserve">% (o </w:t>
      </w:r>
      <w:r w:rsidR="00EB2AD1">
        <w:t>314</w:t>
      </w:r>
      <w:r w:rsidRPr="00D92E20">
        <w:t xml:space="preserve"> tis.) více.</w:t>
      </w:r>
    </w:p>
    <w:p w14:paraId="692690CF" w14:textId="2016D01F" w:rsidR="00EA098E" w:rsidRPr="00D92E20" w:rsidRDefault="00EA098E" w:rsidP="00155829">
      <w:pPr>
        <w:spacing w:after="120"/>
        <w:jc w:val="both"/>
      </w:pPr>
      <w:r w:rsidRPr="00D92E20">
        <w:t>Z </w:t>
      </w:r>
      <w:r w:rsidRPr="00D92E20">
        <w:rPr>
          <w:b/>
        </w:rPr>
        <w:t>regionálního pohledu</w:t>
      </w:r>
      <w:r w:rsidRPr="00D92E20">
        <w:t xml:space="preserve"> je nejvyšší průměrný počet nemocensky pojištěných v hlavním městě Praze, a to 1 25</w:t>
      </w:r>
      <w:r w:rsidR="00EB2AD1">
        <w:t>5</w:t>
      </w:r>
      <w:r w:rsidRPr="00D92E20">
        <w:t xml:space="preserve"> tis. (</w:t>
      </w:r>
      <w:r w:rsidR="00EB2AD1">
        <w:t xml:space="preserve">27 % všech pojištěnců v </w:t>
      </w:r>
      <w:r w:rsidRPr="00D92E20">
        <w:t>republi</w:t>
      </w:r>
      <w:r w:rsidR="00EB2AD1">
        <w:t>ce</w:t>
      </w:r>
      <w:r w:rsidRPr="00D92E20">
        <w:t>). Zásadní roli zde sehrává skutečnost, že data v krajském třídění jsou zpracována podle sídla zaměstnavatele, resp. jeho mzdové účtárny</w:t>
      </w:r>
      <w:r w:rsidR="00C05AB7">
        <w:t>,</w:t>
      </w:r>
      <w:r w:rsidRPr="00D92E20">
        <w:t xml:space="preserve"> a není výjimkou, aby firma se sídlem v Praze působila v jiných regionech či dokonce celorepublikově. Druhé a třetí místo obsadily Jihomoravský kraj s 5</w:t>
      </w:r>
      <w:r w:rsidR="00EB2AD1">
        <w:t>10</w:t>
      </w:r>
      <w:r w:rsidRPr="00D92E20">
        <w:t xml:space="preserve"> tis. pojištěnců a Moravskoslezský kraj s 46</w:t>
      </w:r>
      <w:r w:rsidR="00EB2AD1">
        <w:t>4</w:t>
      </w:r>
      <w:r w:rsidRPr="00D92E20">
        <w:t xml:space="preserve"> tis. pojištěnců. Každý z těchto </w:t>
      </w:r>
      <w:r w:rsidR="004066CC" w:rsidRPr="00D92E20">
        <w:t xml:space="preserve">dvou </w:t>
      </w:r>
      <w:r w:rsidRPr="00D92E20">
        <w:t>krajů se na celkovém počtu nemocensky pojištěných v Česku podílí přibližně z jedné desetiny. Středočeský kraj, jakožto nejlidnatější kraj ČR, se umístil až na čtvrté příčce s 4</w:t>
      </w:r>
      <w:r w:rsidR="00EB2AD1">
        <w:t>59</w:t>
      </w:r>
      <w:r w:rsidRPr="00D92E20">
        <w:t xml:space="preserve"> tis. pojištěnců (9,</w:t>
      </w:r>
      <w:r w:rsidR="00EB2AD1">
        <w:t>8</w:t>
      </w:r>
      <w:r w:rsidRPr="00D92E20">
        <w:t xml:space="preserve"> %). Jedním z faktorů, který toto ovlivňuje, je bezesporu dojíždění Středočechů za zaměstnáním do Prahy.</w:t>
      </w:r>
    </w:p>
    <w:p w14:paraId="078E34E3" w14:textId="1800B873" w:rsidR="00E03972" w:rsidRPr="00D92E20" w:rsidRDefault="004066CC" w:rsidP="00155829">
      <w:pPr>
        <w:spacing w:after="120"/>
        <w:jc w:val="both"/>
      </w:pPr>
      <w:r w:rsidRPr="00D92E20">
        <w:t xml:space="preserve">Co se týče </w:t>
      </w:r>
      <w:r w:rsidRPr="00D92E20">
        <w:rPr>
          <w:b/>
        </w:rPr>
        <w:t xml:space="preserve">velikosti </w:t>
      </w:r>
      <w:r w:rsidR="005A1638" w:rsidRPr="00D92E20">
        <w:rPr>
          <w:b/>
        </w:rPr>
        <w:t>podniku</w:t>
      </w:r>
      <w:r w:rsidRPr="00D92E20">
        <w:t>, třetina ne</w:t>
      </w:r>
      <w:r w:rsidR="00D529DD">
        <w:t>mocensky pojištěných osob (1 535</w:t>
      </w:r>
      <w:r w:rsidRPr="00D92E20">
        <w:t xml:space="preserve"> tis.) pracuje ve velkých firmách s 500 a více zaměstnanci</w:t>
      </w:r>
      <w:r w:rsidR="00E03972" w:rsidRPr="00D92E20">
        <w:t>.</w:t>
      </w:r>
      <w:r w:rsidRPr="00D92E20">
        <w:t xml:space="preserve"> </w:t>
      </w:r>
      <w:r w:rsidR="00E03972" w:rsidRPr="00D92E20">
        <w:t xml:space="preserve">Za posledních deset let jejich počet </w:t>
      </w:r>
      <w:r w:rsidR="00174F62" w:rsidRPr="00D92E20">
        <w:t xml:space="preserve">vzrostl </w:t>
      </w:r>
      <w:r w:rsidR="00D529DD">
        <w:t>o 30</w:t>
      </w:r>
      <w:r w:rsidR="00E03972" w:rsidRPr="00D92E20">
        <w:t>0 tis. osob. Další třetina</w:t>
      </w:r>
      <w:r w:rsidRPr="00D92E20">
        <w:t xml:space="preserve"> připadá na </w:t>
      </w:r>
      <w:r w:rsidR="00174F62" w:rsidRPr="00D92E20">
        <w:t>podniky mající</w:t>
      </w:r>
      <w:r w:rsidRPr="00D92E20">
        <w:t xml:space="preserve"> do 50 zaměstnanců, kde v</w:t>
      </w:r>
      <w:r w:rsidR="00D529DD">
        <w:t> 1. pol.</w:t>
      </w:r>
      <w:r w:rsidRPr="00D92E20">
        <w:t xml:space="preserve"> 202</w:t>
      </w:r>
      <w:r w:rsidR="00D529DD">
        <w:t>1</w:t>
      </w:r>
      <w:r w:rsidRPr="00D92E20">
        <w:t xml:space="preserve"> pracovalo </w:t>
      </w:r>
      <w:r w:rsidR="00E03972" w:rsidRPr="00D92E20">
        <w:t xml:space="preserve">téměř </w:t>
      </w:r>
      <w:r w:rsidRPr="00D92E20">
        <w:t xml:space="preserve">1,5 mil. nemocensky pojištěných osob. Nejnižší podíl mezi nemocensky pojištěnými osobami představují </w:t>
      </w:r>
      <w:r w:rsidRPr="00D92E20">
        <w:rPr>
          <w:b/>
        </w:rPr>
        <w:t>OSVČ</w:t>
      </w:r>
      <w:r w:rsidRPr="00D92E20">
        <w:t>, které jsou</w:t>
      </w:r>
      <w:r w:rsidR="00E03972" w:rsidRPr="00D92E20">
        <w:t xml:space="preserve">, jak </w:t>
      </w:r>
      <w:r w:rsidR="00D529DD">
        <w:t>již</w:t>
      </w:r>
      <w:r w:rsidR="00E03972" w:rsidRPr="00D92E20">
        <w:t xml:space="preserve"> bylo zmíněno,</w:t>
      </w:r>
      <w:r w:rsidRPr="00D92E20">
        <w:t xml:space="preserve"> pojištěny dobrovolně. V</w:t>
      </w:r>
      <w:r w:rsidR="00D529DD">
        <w:t xml:space="preserve"> 1. pol. 2021 </w:t>
      </w:r>
      <w:r w:rsidR="00E03972" w:rsidRPr="00D92E20">
        <w:t>tvořily</w:t>
      </w:r>
      <w:r w:rsidRPr="00D92E20">
        <w:t xml:space="preserve"> </w:t>
      </w:r>
      <w:r w:rsidR="00E03972" w:rsidRPr="00D92E20">
        <w:t>pouhá</w:t>
      </w:r>
      <w:r w:rsidRPr="00D92E20">
        <w:t xml:space="preserve"> 2 % z celkového počtu pojištěnců v ČR. Před deseti lety </w:t>
      </w:r>
      <w:r w:rsidR="00D529DD">
        <w:t>zaujímaly</w:t>
      </w:r>
      <w:r w:rsidRPr="00D92E20">
        <w:t xml:space="preserve"> </w:t>
      </w:r>
      <w:r w:rsidR="00D529DD">
        <w:t>3,4 %</w:t>
      </w:r>
      <w:r w:rsidRPr="00D92E20">
        <w:t>.</w:t>
      </w:r>
      <w:r w:rsidR="00E03972" w:rsidRPr="00D92E20">
        <w:t xml:space="preserve"> </w:t>
      </w:r>
    </w:p>
    <w:p w14:paraId="758F9A37" w14:textId="367AA019" w:rsidR="00E03972" w:rsidRPr="00D92E20" w:rsidRDefault="00E03972" w:rsidP="00155829">
      <w:pPr>
        <w:spacing w:after="0"/>
        <w:jc w:val="both"/>
        <w:rPr>
          <w:sz w:val="16"/>
        </w:rPr>
      </w:pPr>
      <w:r w:rsidRPr="00D92E20">
        <w:rPr>
          <w:b/>
        </w:rPr>
        <w:t>Graf 1.1: P</w:t>
      </w:r>
      <w:r w:rsidR="00684AA4" w:rsidRPr="00D92E20">
        <w:rPr>
          <w:b/>
        </w:rPr>
        <w:t>růměrný</w:t>
      </w:r>
      <w:r w:rsidRPr="00D92E20">
        <w:rPr>
          <w:b/>
        </w:rPr>
        <w:t xml:space="preserve"> počet nemocensky pojištěných osob podle velikosti</w:t>
      </w:r>
      <w:r w:rsidRPr="00D92E20">
        <w:t xml:space="preserve"> </w:t>
      </w:r>
      <w:r w:rsidRPr="00D92E20">
        <w:rPr>
          <w:b/>
        </w:rPr>
        <w:t xml:space="preserve">podniku, </w:t>
      </w:r>
      <w:r w:rsidR="00EB2AD1" w:rsidRPr="00EB2AD1">
        <w:rPr>
          <w:b/>
        </w:rPr>
        <w:t xml:space="preserve">1. pol. 2011, 2016, 2021 </w:t>
      </w:r>
      <w:r w:rsidRPr="00D92E20">
        <w:rPr>
          <w:b/>
        </w:rPr>
        <w:t>(v</w:t>
      </w:r>
      <w:r w:rsidR="00174F62" w:rsidRPr="00D92E20">
        <w:rPr>
          <w:b/>
        </w:rPr>
        <w:t> </w:t>
      </w:r>
      <w:r w:rsidRPr="00D92E20">
        <w:rPr>
          <w:b/>
        </w:rPr>
        <w:t>tis. a v %)</w:t>
      </w:r>
      <w:r w:rsidRPr="00D92E20">
        <w:t xml:space="preserve"> </w:t>
      </w:r>
    </w:p>
    <w:p w14:paraId="211C2133" w14:textId="5E5B7235" w:rsidR="00E03972" w:rsidRPr="00D92E20" w:rsidRDefault="00EB2AD1" w:rsidP="00E03972">
      <w:pPr>
        <w:spacing w:before="60" w:after="120"/>
        <w:jc w:val="both"/>
        <w:rPr>
          <w:sz w:val="16"/>
        </w:rPr>
      </w:pPr>
      <w:r>
        <w:rPr>
          <w:noProof/>
        </w:rPr>
        <w:drawing>
          <wp:inline distT="0" distB="0" distL="0" distR="0" wp14:anchorId="53623E05" wp14:editId="75DD0BB1">
            <wp:extent cx="2610000" cy="27432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75394221" wp14:editId="6C48A269">
            <wp:extent cx="3495600" cy="2743200"/>
            <wp:effectExtent l="0" t="0" r="1016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3266B0" w14:textId="77777777" w:rsidR="00E03972" w:rsidRPr="00D92E20" w:rsidRDefault="00E03972" w:rsidP="00E03972">
      <w:pPr>
        <w:spacing w:before="60" w:after="120"/>
        <w:jc w:val="both"/>
        <w:rPr>
          <w:sz w:val="16"/>
        </w:rPr>
      </w:pPr>
      <w:r w:rsidRPr="00D92E20">
        <w:rPr>
          <w:sz w:val="16"/>
        </w:rPr>
        <w:t>Zdroj: ČSÚ</w:t>
      </w:r>
    </w:p>
    <w:p w14:paraId="5B9A3A83" w14:textId="14A4D171" w:rsidR="00E03972" w:rsidRPr="00D92E20" w:rsidRDefault="00E03972" w:rsidP="00155829">
      <w:pPr>
        <w:spacing w:after="120"/>
        <w:jc w:val="both"/>
      </w:pPr>
      <w:r w:rsidRPr="00D92E20">
        <w:t xml:space="preserve">Nejvíce zastoupenými </w:t>
      </w:r>
      <w:r w:rsidRPr="00D92E20">
        <w:rPr>
          <w:b/>
        </w:rPr>
        <w:t>odvětvími</w:t>
      </w:r>
      <w:r w:rsidRPr="00D92E20">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rsidR="00D529DD">
        <w:t>acovatelském průmyslu připadá 25</w:t>
      </w:r>
      <w:r w:rsidRPr="00D92E20">
        <w:t xml:space="preserve"> %. V rámci zpracovatelského </w:t>
      </w:r>
      <w:r w:rsidRPr="00D92E20">
        <w:lastRenderedPageBreak/>
        <w:t>průmyslu působilo nejvíce nemocensky pojištěných osob v automobilovém průmyslu (CZ-NACE oddíl 29), kde v</w:t>
      </w:r>
      <w:r w:rsidR="00D529DD">
        <w:t> 1. pol. 2021</w:t>
      </w:r>
      <w:r w:rsidRPr="00D92E20">
        <w:t xml:space="preserve"> pracovalo 1</w:t>
      </w:r>
      <w:r w:rsidR="00D529DD">
        <w:t>6</w:t>
      </w:r>
      <w:r w:rsidRPr="00D92E20">
        <w:t xml:space="preserve"> % všech nemocensky pojištěných osob </w:t>
      </w:r>
      <w:r w:rsidR="00684AA4" w:rsidRPr="00D92E20">
        <w:t>ze zpracovatelského průmyslu</w:t>
      </w:r>
      <w:r w:rsidRPr="00D92E20">
        <w:t>. S menším odstupem následovaly kovozpracující (oddíl 25) a strojírenský (oddíl 28)</w:t>
      </w:r>
      <w:r w:rsidR="00FF3D8E" w:rsidRPr="00D92E20">
        <w:t xml:space="preserve"> průmysl</w:t>
      </w:r>
      <w:r w:rsidRPr="00D92E20">
        <w:t>, na které připadalo 1</w:t>
      </w:r>
      <w:r w:rsidR="00F35E90">
        <w:t>3</w:t>
      </w:r>
      <w:r w:rsidR="00684AA4" w:rsidRPr="00D92E20">
        <w:t xml:space="preserve"> %, resp. 10</w:t>
      </w:r>
      <w:r w:rsidRPr="00D92E20">
        <w:t xml:space="preserve"> % ze všech nemocensky pojištěných osob ve zpracovatelském průmyslu.</w:t>
      </w:r>
      <w:r w:rsidR="00EF2129">
        <w:t xml:space="preserve"> Vzhledem k velkému podílu Zpracovatelského průmyslu v rámci české ekonomiky je této sekci věnována samostatná část </w:t>
      </w:r>
      <w:r w:rsidR="00335F6A">
        <w:t>8 tabulkové přílohy</w:t>
      </w:r>
      <w:r w:rsidR="00EF2129">
        <w:t>.</w:t>
      </w:r>
    </w:p>
    <w:p w14:paraId="46C3A5DB" w14:textId="4FC53E4A" w:rsidR="00E03972" w:rsidRPr="00D92E20" w:rsidRDefault="00E03972" w:rsidP="00155829">
      <w:pPr>
        <w:spacing w:after="120"/>
        <w:jc w:val="both"/>
      </w:pPr>
      <w:r w:rsidRPr="00D92E20">
        <w:t>V odvětvových sekcích Veřejná správa</w:t>
      </w:r>
      <w:r w:rsidR="00F35E90" w:rsidRPr="00D92E20">
        <w:rPr>
          <w:rStyle w:val="Znakapoznpodarou"/>
        </w:rPr>
        <w:footnoteReference w:id="1"/>
      </w:r>
      <w:r w:rsidRPr="00D92E20">
        <w:t xml:space="preserve">, Vzdělávání a Zdravotní a sociální péče byla </w:t>
      </w:r>
      <w:r w:rsidR="00684AA4" w:rsidRPr="00D92E20">
        <w:t>v</w:t>
      </w:r>
      <w:r w:rsidR="00D529DD">
        <w:t> 1. pol. 2021</w:t>
      </w:r>
      <w:r w:rsidRPr="00D92E20">
        <w:t xml:space="preserve"> dohromady zaměstnána více než pětina (2</w:t>
      </w:r>
      <w:r w:rsidR="00D529DD">
        <w:t>3</w:t>
      </w:r>
      <w:r w:rsidRPr="00D92E20">
        <w:t xml:space="preserve"> %) ze všech nemocensky pojištěných. </w:t>
      </w:r>
      <w:r w:rsidR="00913648" w:rsidRPr="00D92E20">
        <w:t>V</w:t>
      </w:r>
      <w:r w:rsidR="00CA23A5">
        <w:t>íce než tři čtvrtiny z</w:t>
      </w:r>
      <w:r w:rsidR="00F35E90">
        <w:t xml:space="preserve"> celkového počtu </w:t>
      </w:r>
      <w:r w:rsidR="00CA23A5">
        <w:t xml:space="preserve">nemocensky pojištěných osob v těchto třech odvětvových sekcích </w:t>
      </w:r>
      <w:r w:rsidR="00FF3D8E" w:rsidRPr="00D92E20">
        <w:t>tvořily ženy.</w:t>
      </w:r>
    </w:p>
    <w:p w14:paraId="5D85A699" w14:textId="7A268C8A" w:rsidR="00E03972" w:rsidRDefault="00CA23A5" w:rsidP="00CA23A5">
      <w:pPr>
        <w:spacing w:before="60" w:after="120"/>
        <w:rPr>
          <w:noProof/>
        </w:rPr>
      </w:pPr>
      <w:r w:rsidRPr="00CA23A5">
        <w:rPr>
          <w:b/>
        </w:rPr>
        <w:t>Graf 1.2: Průměrný počet nemocensky pojištěných osob podle odvětví (sekce CZ-NACE), 1. pol. 2011 a 2021 (v tis.)</w:t>
      </w:r>
    </w:p>
    <w:p w14:paraId="33EA8C22" w14:textId="6AC59C2D" w:rsidR="00CA23A5" w:rsidRPr="00D92E20" w:rsidRDefault="00CA23A5" w:rsidP="00CA23A5">
      <w:pPr>
        <w:spacing w:before="60" w:after="120"/>
        <w:rPr>
          <w:sz w:val="16"/>
        </w:rPr>
      </w:pPr>
      <w:r>
        <w:rPr>
          <w:noProof/>
        </w:rPr>
        <w:drawing>
          <wp:inline distT="0" distB="0" distL="0" distR="0" wp14:anchorId="3A055F63" wp14:editId="076838C8">
            <wp:extent cx="6120130" cy="5173200"/>
            <wp:effectExtent l="0" t="0" r="13970" b="889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5510D9" w14:textId="77777777" w:rsidR="004066CC" w:rsidRPr="00D92E20" w:rsidRDefault="00684AA4" w:rsidP="00684AA4">
      <w:pPr>
        <w:spacing w:before="120" w:after="120"/>
        <w:jc w:val="both"/>
        <w:rPr>
          <w:sz w:val="16"/>
        </w:rPr>
      </w:pPr>
      <w:r w:rsidRPr="00D92E20">
        <w:rPr>
          <w:sz w:val="16"/>
        </w:rPr>
        <w:t>Zdroj: ČSÚ</w:t>
      </w:r>
    </w:p>
    <w:p w14:paraId="6E71F4BD" w14:textId="5202311F" w:rsidR="00A10BE6" w:rsidRDefault="00684AA4" w:rsidP="00155829">
      <w:pPr>
        <w:pStyle w:val="Seznam"/>
        <w:spacing w:after="120"/>
        <w:contextualSpacing w:val="0"/>
        <w:jc w:val="both"/>
      </w:pPr>
      <w:r w:rsidRPr="00D92E20">
        <w:rPr>
          <w:b/>
        </w:rPr>
        <w:t xml:space="preserve">Mezi </w:t>
      </w:r>
      <w:r w:rsidR="00CA23A5">
        <w:rPr>
          <w:b/>
        </w:rPr>
        <w:t>1. pol. 2011</w:t>
      </w:r>
      <w:r w:rsidRPr="00D92E20">
        <w:rPr>
          <w:b/>
        </w:rPr>
        <w:t xml:space="preserve"> a 202</w:t>
      </w:r>
      <w:r w:rsidR="00CA23A5">
        <w:rPr>
          <w:b/>
        </w:rPr>
        <w:t>1</w:t>
      </w:r>
      <w:r w:rsidRPr="00D92E20">
        <w:t xml:space="preserve"> došlo k nárůstu počtu nemocensky pojištěných téměř o </w:t>
      </w:r>
      <w:r w:rsidR="00CA23A5">
        <w:t>již zmíněných 508 tis</w:t>
      </w:r>
      <w:r w:rsidRPr="00D92E20">
        <w:t xml:space="preserve">. osob (tj. o </w:t>
      </w:r>
      <w:r w:rsidR="00CA23A5">
        <w:t xml:space="preserve">12 </w:t>
      </w:r>
      <w:r w:rsidRPr="00D92E20">
        <w:t xml:space="preserve">%). Nejvíce pojištěnců, </w:t>
      </w:r>
      <w:r w:rsidR="00E404AC" w:rsidRPr="00D92E20">
        <w:t>8</w:t>
      </w:r>
      <w:r w:rsidR="009967C9">
        <w:t>9</w:t>
      </w:r>
      <w:r w:rsidRPr="00D92E20">
        <w:t xml:space="preserve"> tis. (tedy </w:t>
      </w:r>
      <w:r w:rsidR="009967C9">
        <w:t>29</w:t>
      </w:r>
      <w:r w:rsidRPr="00D92E20">
        <w:t xml:space="preserve"> %), přibylo v</w:t>
      </w:r>
      <w:r w:rsidR="00C05AB7">
        <w:t xml:space="preserve"> odvětví</w:t>
      </w:r>
      <w:r w:rsidRPr="00D92E20">
        <w:t xml:space="preserve"> </w:t>
      </w:r>
      <w:r w:rsidR="009967C9">
        <w:t>Zdravotní a sociální péč</w:t>
      </w:r>
      <w:r w:rsidR="00C05AB7">
        <w:t>e</w:t>
      </w:r>
      <w:r w:rsidR="009967C9">
        <w:t>, což</w:t>
      </w:r>
      <w:r w:rsidR="00F35E90">
        <w:t xml:space="preserve"> patrně </w:t>
      </w:r>
      <w:r w:rsidR="009967C9">
        <w:t>souvisí s tématem stárnutí populace.</w:t>
      </w:r>
      <w:r w:rsidRPr="00D92E20">
        <w:t xml:space="preserve"> Odvětvovou sekcí s druhým nejvyšším absolutním přírůstkem byl</w:t>
      </w:r>
      <w:r w:rsidR="00E404AC" w:rsidRPr="00D92E20">
        <w:t xml:space="preserve"> </w:t>
      </w:r>
      <w:r w:rsidR="009967C9">
        <w:lastRenderedPageBreak/>
        <w:t>Zpracovatelský průmysl</w:t>
      </w:r>
      <w:r w:rsidRPr="00D92E20">
        <w:t xml:space="preserve">. Zde vzrostl počet pojištěnců o </w:t>
      </w:r>
      <w:r w:rsidR="009967C9">
        <w:t>85</w:t>
      </w:r>
      <w:r w:rsidRPr="00D92E20">
        <w:t xml:space="preserve"> tis</w:t>
      </w:r>
      <w:r w:rsidR="00E404AC" w:rsidRPr="00D92E20">
        <w:t xml:space="preserve">, což představovalo </w:t>
      </w:r>
      <w:r w:rsidR="009967C9">
        <w:t>8</w:t>
      </w:r>
      <w:r w:rsidRPr="00D92E20">
        <w:t xml:space="preserve">% nárůst. </w:t>
      </w:r>
      <w:r w:rsidR="00A10BE6">
        <w:t xml:space="preserve">Třetí nejvyšší nárůst náleží </w:t>
      </w:r>
      <w:r w:rsidR="00C05AB7">
        <w:t xml:space="preserve">odvětví </w:t>
      </w:r>
      <w:r w:rsidR="00A10BE6">
        <w:t xml:space="preserve">Vzdělávání. Počet pojištěnců se </w:t>
      </w:r>
      <w:r w:rsidR="00C05AB7">
        <w:t xml:space="preserve">zde </w:t>
      </w:r>
      <w:r w:rsidR="00A10BE6">
        <w:t>za poslední dekádu zvýšil o 73 tis., tedy zhruba o</w:t>
      </w:r>
      <w:r w:rsidR="008C3456">
        <w:t> </w:t>
      </w:r>
      <w:r w:rsidR="00A10BE6">
        <w:t xml:space="preserve">čtvrtinu. </w:t>
      </w:r>
    </w:p>
    <w:p w14:paraId="0BA9E29F" w14:textId="531AB51C" w:rsidR="00A10BE6" w:rsidRDefault="009967C9" w:rsidP="00155829">
      <w:pPr>
        <w:pStyle w:val="Seznam"/>
        <w:spacing w:after="120"/>
        <w:contextualSpacing w:val="0"/>
        <w:jc w:val="both"/>
      </w:pPr>
      <w:r>
        <w:t xml:space="preserve">Odvětvovou sekcí s nejvyšším relativním nárůstem byly Informační a komunikační technologie. V 1. pol. 2021 měly o 46 tis. (o 44 %) více nemocensky pojištěných osob než před 10 lety. </w:t>
      </w:r>
      <w:r w:rsidR="00E404AC" w:rsidRPr="00D92E20">
        <w:t>Obdobný relativní nárůst zaznamenal</w:t>
      </w:r>
      <w:r w:rsidR="00AC7EEB" w:rsidRPr="00D92E20">
        <w:t xml:space="preserve">y i subjekty </w:t>
      </w:r>
      <w:r>
        <w:t>v odvětvové sekci Administrativní a podpůrné činnosti. Zde vzrostl počet nemocensky pojištěných o 71 tis. (+41 %). V tomto případě je však potřeba upozornit na skutečnost, že v této sekci jsou zařazeny i subjekty, které poskytují tzv. agenturní pracovníky jiným firmám často působícím např. v</w:t>
      </w:r>
      <w:r w:rsidR="003609B8">
        <w:t> již zmiňovaném</w:t>
      </w:r>
      <w:r>
        <w:t xml:space="preserve"> zpracovatelském průmyslu. Dále tato sekce zahrnuje bezpečnostní a úklidové činnosti. </w:t>
      </w:r>
    </w:p>
    <w:p w14:paraId="3D3FDF6A" w14:textId="32CEB7D0" w:rsidR="00155829" w:rsidRPr="00D92E20" w:rsidRDefault="00E404AC" w:rsidP="00155829">
      <w:pPr>
        <w:pStyle w:val="Seznam"/>
        <w:spacing w:after="120"/>
        <w:contextualSpacing w:val="0"/>
        <w:jc w:val="both"/>
      </w:pPr>
      <w:r w:rsidRPr="00D92E20">
        <w:t>Naopak odvětvími, která měla v</w:t>
      </w:r>
      <w:r w:rsidR="00A10BE6">
        <w:t> 1. pol. 2021 méně pojištěnců než v 1. pol.</w:t>
      </w:r>
      <w:r w:rsidRPr="00D92E20">
        <w:t xml:space="preserve"> 201</w:t>
      </w:r>
      <w:r w:rsidR="00A10BE6">
        <w:t>1</w:t>
      </w:r>
      <w:r w:rsidRPr="00D92E20">
        <w:t>, byl</w:t>
      </w:r>
      <w:r w:rsidR="003609B8">
        <w:t>a</w:t>
      </w:r>
      <w:r w:rsidRPr="00D92E20">
        <w:t xml:space="preserve"> Stavebnictví (-</w:t>
      </w:r>
      <w:r w:rsidR="00A10BE6">
        <w:t>20</w:t>
      </w:r>
      <w:r w:rsidRPr="00D92E20">
        <w:t xml:space="preserve"> tis.), Těžba a dobý</w:t>
      </w:r>
      <w:r w:rsidR="00A10BE6">
        <w:t>vání (-15</w:t>
      </w:r>
      <w:r w:rsidRPr="00D92E20">
        <w:t xml:space="preserve"> tis.)</w:t>
      </w:r>
      <w:r w:rsidR="00BE4399">
        <w:t>, Ubytování, stravování a pohostinství (-2,5 tis.)</w:t>
      </w:r>
      <w:r w:rsidRPr="00D92E20">
        <w:t xml:space="preserve"> a Zemědělství, lesnictví a rybářství (</w:t>
      </w:r>
      <w:r w:rsidR="00BE4399">
        <w:t>-</w:t>
      </w:r>
      <w:r w:rsidR="00A10BE6">
        <w:t>2</w:t>
      </w:r>
      <w:r w:rsidRPr="00D92E20">
        <w:t xml:space="preserve"> tis.). V odvětví Těžba a dobývání došlo k poklesu počtu pojištěnců o 4</w:t>
      </w:r>
      <w:r w:rsidR="00A10BE6">
        <w:t>2</w:t>
      </w:r>
      <w:r w:rsidRPr="00D92E20">
        <w:t xml:space="preserve"> %.</w:t>
      </w:r>
    </w:p>
    <w:p w14:paraId="566ACA36" w14:textId="50FCFFED" w:rsidR="0064464A" w:rsidRPr="00D92E20" w:rsidRDefault="00A81B9F" w:rsidP="00155829">
      <w:pPr>
        <w:pStyle w:val="Seznam"/>
        <w:spacing w:after="120"/>
        <w:contextualSpacing w:val="0"/>
        <w:jc w:val="both"/>
      </w:pPr>
      <w:r w:rsidRPr="00D92E20">
        <w:t xml:space="preserve">Co se týče </w:t>
      </w:r>
      <w:r w:rsidRPr="00D92E20">
        <w:rPr>
          <w:b/>
        </w:rPr>
        <w:t>meziročních rozdílů</w:t>
      </w:r>
      <w:r w:rsidRPr="00D92E20">
        <w:t>, největší pokles</w:t>
      </w:r>
      <w:r w:rsidR="00FF3D8E" w:rsidRPr="00D92E20">
        <w:t xml:space="preserve"> </w:t>
      </w:r>
      <w:r w:rsidR="006145A9" w:rsidRPr="00D92E20">
        <w:t xml:space="preserve">byl </w:t>
      </w:r>
      <w:r w:rsidR="00FF3D8E" w:rsidRPr="00D92E20">
        <w:t xml:space="preserve">v absolutním vyjádření zaznamenán ve </w:t>
      </w:r>
      <w:r w:rsidRPr="00D92E20">
        <w:t>Zpracovatelsk</w:t>
      </w:r>
      <w:r w:rsidR="00FF3D8E" w:rsidRPr="00D92E20">
        <w:t>ém</w:t>
      </w:r>
      <w:r w:rsidRPr="00D92E20">
        <w:t xml:space="preserve"> průmysl</w:t>
      </w:r>
      <w:r w:rsidR="00FF3D8E" w:rsidRPr="00D92E20">
        <w:t>u</w:t>
      </w:r>
      <w:r w:rsidRPr="00D92E20">
        <w:t>, kter</w:t>
      </w:r>
      <w:r w:rsidR="00FF3D8E" w:rsidRPr="00D92E20">
        <w:t xml:space="preserve">ý </w:t>
      </w:r>
      <w:r w:rsidR="00BE4399">
        <w:t xml:space="preserve">měl </w:t>
      </w:r>
      <w:r w:rsidR="0038725E" w:rsidRPr="00D92E20">
        <w:t>v</w:t>
      </w:r>
      <w:r w:rsidR="00251D95">
        <w:t> 1. pol.</w:t>
      </w:r>
      <w:r w:rsidR="0038725E" w:rsidRPr="00D92E20">
        <w:t xml:space="preserve"> 202</w:t>
      </w:r>
      <w:r w:rsidR="00251D95">
        <w:t>1</w:t>
      </w:r>
      <w:r w:rsidR="0038725E" w:rsidRPr="00D92E20">
        <w:t xml:space="preserve"> </w:t>
      </w:r>
      <w:r w:rsidR="00251D95">
        <w:t>o 15</w:t>
      </w:r>
      <w:r w:rsidRPr="00D92E20">
        <w:t xml:space="preserve"> tis. pojištěnců</w:t>
      </w:r>
      <w:r w:rsidR="00BE4399">
        <w:t xml:space="preserve"> méně</w:t>
      </w:r>
      <w:r w:rsidR="00FF3D8E" w:rsidRPr="00D92E20">
        <w:t xml:space="preserve">. </w:t>
      </w:r>
      <w:r w:rsidR="006145A9" w:rsidRPr="00D92E20">
        <w:t>Relativně</w:t>
      </w:r>
      <w:r w:rsidR="00FF3D8E" w:rsidRPr="00D92E20">
        <w:t xml:space="preserve"> to představuje </w:t>
      </w:r>
      <w:r w:rsidR="004C36AF" w:rsidRPr="00D92E20">
        <w:t xml:space="preserve">meziroční </w:t>
      </w:r>
      <w:r w:rsidR="00FF3D8E" w:rsidRPr="00D92E20">
        <w:t>pokles o</w:t>
      </w:r>
      <w:r w:rsidR="008C3456">
        <w:t> </w:t>
      </w:r>
      <w:r w:rsidR="00251D95">
        <w:t>1,3</w:t>
      </w:r>
      <w:r w:rsidR="004C36AF" w:rsidRPr="00D92E20">
        <w:t> %</w:t>
      </w:r>
      <w:r w:rsidR="00FF3D8E" w:rsidRPr="00D92E20">
        <w:t>.</w:t>
      </w:r>
      <w:r w:rsidR="0038725E" w:rsidRPr="00D92E20">
        <w:t xml:space="preserve"> </w:t>
      </w:r>
      <w:r w:rsidR="004C36AF" w:rsidRPr="00D92E20">
        <w:t xml:space="preserve">K výraznému snížení počtu zaměstnanců </w:t>
      </w:r>
      <w:r w:rsidR="00251D95">
        <w:t xml:space="preserve">(o 12 tis., o 9 %) </w:t>
      </w:r>
      <w:r w:rsidR="004C36AF" w:rsidRPr="00D92E20">
        <w:t xml:space="preserve">došlo i v odvětvové sekci </w:t>
      </w:r>
      <w:r w:rsidR="00251D95">
        <w:t>Ubytování, stravování a pohostinství</w:t>
      </w:r>
      <w:r w:rsidRPr="00D92E20">
        <w:t>.</w:t>
      </w:r>
      <w:r w:rsidR="004C36AF" w:rsidRPr="00D92E20">
        <w:t xml:space="preserve"> </w:t>
      </w:r>
      <w:r w:rsidR="00251D95">
        <w:t xml:space="preserve">Zde svou roli patrně sehrála proticovidová opatření v podobě omezení provozu restaurací a uzavření ubytovacích zařízení. </w:t>
      </w:r>
    </w:p>
    <w:p w14:paraId="1E72476F" w14:textId="3CB5C20D" w:rsidR="00251D95" w:rsidRDefault="0064464A" w:rsidP="00155829">
      <w:pPr>
        <w:pStyle w:val="Seznam"/>
        <w:spacing w:after="120"/>
        <w:contextualSpacing w:val="0"/>
        <w:jc w:val="both"/>
      </w:pPr>
      <w:r w:rsidRPr="00D92E20">
        <w:t xml:space="preserve">Naopak odvětví, která co do počtu nemocensky pojištěných </w:t>
      </w:r>
      <w:r w:rsidR="00251D95">
        <w:t xml:space="preserve">nejvíce </w:t>
      </w:r>
      <w:r w:rsidRPr="00D92E20">
        <w:t>rostla, byl</w:t>
      </w:r>
      <w:r w:rsidR="003609B8">
        <w:t>a</w:t>
      </w:r>
      <w:r w:rsidRPr="00D92E20">
        <w:t xml:space="preserve"> Zdravotní a sociální péče</w:t>
      </w:r>
      <w:r w:rsidR="00251D95">
        <w:t xml:space="preserve"> (+21 tis.; 5,6 %)</w:t>
      </w:r>
      <w:r w:rsidR="00BE4399">
        <w:t>, které v uplynulém roce pocítilo enormní zátěž</w:t>
      </w:r>
      <w:r w:rsidR="00251D95">
        <w:t xml:space="preserve">, </w:t>
      </w:r>
      <w:r w:rsidR="00BE4399">
        <w:t xml:space="preserve">dále </w:t>
      </w:r>
      <w:r w:rsidRPr="00D92E20">
        <w:t>Vzdělávání</w:t>
      </w:r>
      <w:r w:rsidR="00251D95">
        <w:t xml:space="preserve"> (+8,9 tis.; 2,3 %) a</w:t>
      </w:r>
      <w:r w:rsidR="008C3456">
        <w:t> </w:t>
      </w:r>
      <w:r w:rsidR="00251D95">
        <w:t>Stavebnictví (+6 tis.; 3 %).</w:t>
      </w:r>
    </w:p>
    <w:p w14:paraId="753278E5" w14:textId="77777777" w:rsidR="00E404AC" w:rsidRPr="00D92E20" w:rsidRDefault="00E404AC" w:rsidP="00155829">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2C54EDBE" w14:textId="77777777" w:rsidR="00E404AC" w:rsidRPr="00D92E20" w:rsidRDefault="00E404AC" w:rsidP="00E404AC">
      <w:pPr>
        <w:pStyle w:val="Box1"/>
        <w:ind w:left="0"/>
        <w:jc w:val="both"/>
        <w:rPr>
          <w:i/>
          <w:u w:val="single"/>
        </w:rPr>
      </w:pPr>
      <w:r w:rsidRPr="00D92E20">
        <w:rPr>
          <w:i/>
          <w:u w:val="single"/>
        </w:rPr>
        <w:t>Způsob výpočtu:</w:t>
      </w:r>
    </w:p>
    <w:p w14:paraId="513151F0" w14:textId="77777777" w:rsidR="00E404AC" w:rsidRPr="00D92E20" w:rsidRDefault="00E404AC" w:rsidP="00BA6B4E">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6C213BB4" w14:textId="7D4BB9CF" w:rsidR="00ED103E" w:rsidRPr="00D92E20" w:rsidRDefault="00E404AC" w:rsidP="00BA6B4E">
      <w:pPr>
        <w:pStyle w:val="Seznam"/>
        <w:spacing w:after="120"/>
        <w:contextualSpacing w:val="0"/>
        <w:jc w:val="both"/>
      </w:pPr>
      <w:r w:rsidRPr="00D92E20">
        <w:t>V</w:t>
      </w:r>
      <w:r w:rsidR="00251D95">
        <w:t> 1. pol. 2021</w:t>
      </w:r>
      <w:r w:rsidRPr="00D92E20">
        <w:t xml:space="preserve"> bylo evidováno </w:t>
      </w:r>
      <w:r w:rsidR="00251D95">
        <w:t>5,1</w:t>
      </w:r>
      <w:r w:rsidRPr="00D92E20">
        <w:t xml:space="preserve"> tis. nemocensky pojištěných mladistvých, tedy osob mladších 18 let. Na</w:t>
      </w:r>
      <w:r w:rsidR="008C3456">
        <w:t> </w:t>
      </w:r>
      <w:r w:rsidRPr="00D92E20">
        <w:t>celkové</w:t>
      </w:r>
      <w:r w:rsidR="00E9284B" w:rsidRPr="00D92E20">
        <w:t>m</w:t>
      </w:r>
      <w:r w:rsidRPr="00D92E20">
        <w:t xml:space="preserve"> počtu pojištěnců se podíleli 0,</w:t>
      </w:r>
      <w:r w:rsidR="00251D95">
        <w:t>11</w:t>
      </w:r>
      <w:r w:rsidRPr="00D92E20">
        <w:t xml:space="preserve"> %. Jejich počet meziročně klesl z </w:t>
      </w:r>
      <w:r w:rsidR="00251D95">
        <w:t>5</w:t>
      </w:r>
      <w:r w:rsidRPr="00D92E20">
        <w:t>,6 tis. o</w:t>
      </w:r>
      <w:r w:rsidR="00251D95">
        <w:t xml:space="preserve"> 472 osob</w:t>
      </w:r>
      <w:r w:rsidRPr="00D92E20">
        <w:t xml:space="preserve">, tj. o </w:t>
      </w:r>
      <w:r w:rsidR="00251D95">
        <w:t>8</w:t>
      </w:r>
      <w:r w:rsidRPr="00D92E20">
        <w:t xml:space="preserve"> %.</w:t>
      </w:r>
    </w:p>
    <w:p w14:paraId="51FC4839" w14:textId="77777777" w:rsidR="00ED103E" w:rsidRPr="00D92E20" w:rsidRDefault="00ED103E" w:rsidP="005A63A4">
      <w:pPr>
        <w:pStyle w:val="Nadpis3"/>
        <w:numPr>
          <w:ilvl w:val="1"/>
          <w:numId w:val="19"/>
        </w:numPr>
        <w:spacing w:after="120"/>
        <w:ind w:left="425" w:hanging="425"/>
      </w:pPr>
      <w:bookmarkStart w:id="5" w:name="_Toc54262799"/>
      <w:bookmarkStart w:id="6" w:name="_Toc86233477"/>
      <w:r w:rsidRPr="00D92E20">
        <w:t>Nově hlášené případy dočasné pracovní neschopnosti</w:t>
      </w:r>
      <w:bookmarkEnd w:id="5"/>
      <w:bookmarkEnd w:id="6"/>
    </w:p>
    <w:p w14:paraId="566B98D5" w14:textId="10C7592C" w:rsidR="00ED103E" w:rsidRPr="00D92E20" w:rsidRDefault="00ED103E" w:rsidP="00BA6B4E">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00BE4399">
        <w:t xml:space="preserve"> (tzv. eNeschopenky</w:t>
      </w:r>
      <w:r w:rsidRPr="00D92E20">
        <w:t>), které vyplňuje ošetřující lékař.</w:t>
      </w:r>
    </w:p>
    <w:p w14:paraId="78D31352" w14:textId="77777777" w:rsidR="00ED103E" w:rsidRPr="00D92E20" w:rsidRDefault="00ED103E" w:rsidP="00BA6B4E">
      <w:pPr>
        <w:pStyle w:val="Nadpis3"/>
        <w:numPr>
          <w:ilvl w:val="2"/>
          <w:numId w:val="18"/>
        </w:numPr>
        <w:spacing w:after="120"/>
        <w:ind w:left="709"/>
        <w:jc w:val="both"/>
      </w:pPr>
      <w:bookmarkStart w:id="7" w:name="_Toc54262800"/>
      <w:bookmarkStart w:id="8" w:name="_Toc86233478"/>
      <w:r w:rsidRPr="00D92E20">
        <w:t>Počet případů dočasné pracovní neschopnosti</w:t>
      </w:r>
      <w:bookmarkEnd w:id="7"/>
      <w:bookmarkEnd w:id="8"/>
    </w:p>
    <w:p w14:paraId="549918DD" w14:textId="41DD094F" w:rsidR="00ED103E" w:rsidRPr="00D92E20" w:rsidRDefault="00ED103E" w:rsidP="00BA6B4E">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w:t>
      </w:r>
      <w:r w:rsidR="004C36AF" w:rsidRPr="00D92E20">
        <w:rPr>
          <w:bCs/>
        </w:rPr>
        <w:t xml:space="preserve">o počtu </w:t>
      </w:r>
      <w:r w:rsidRPr="00D92E20">
        <w:rPr>
          <w:bCs/>
        </w:rPr>
        <w:t>nově hlášených případů pracovní neschopnosti. Tento absolutní ukazatel je rovněž vhodný pro posouzení trendů vývoje pracovní neschopnosti</w:t>
      </w:r>
      <w:r w:rsidR="004C36AF" w:rsidRPr="00D92E20">
        <w:rPr>
          <w:bCs/>
        </w:rPr>
        <w:t xml:space="preserve"> v čase</w:t>
      </w:r>
      <w:r w:rsidRPr="00D92E20">
        <w:rPr>
          <w:bCs/>
        </w:rPr>
        <w:t xml:space="preserv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105BBBAB" w14:textId="28A72FAD" w:rsidR="00ED103E" w:rsidRPr="00D92E20" w:rsidRDefault="00ED103E" w:rsidP="00BA6B4E">
      <w:pPr>
        <w:pStyle w:val="Box1"/>
        <w:spacing w:before="120" w:after="120"/>
        <w:ind w:left="0"/>
        <w:contextualSpacing w:val="0"/>
        <w:jc w:val="both"/>
        <w:rPr>
          <w:i/>
        </w:rPr>
      </w:pPr>
      <w:r w:rsidRPr="00D92E20">
        <w:rPr>
          <w:b/>
          <w:i/>
        </w:rPr>
        <w:t xml:space="preserve">Počet nově hlášených případů pracovní neschopnosti </w:t>
      </w:r>
      <w:r w:rsidRPr="00D92E20">
        <w:rPr>
          <w:i/>
        </w:rPr>
        <w:t xml:space="preserve">– ukazatel zahrnuje nově hlášené případy pracovní neschopnosti </w:t>
      </w:r>
      <w:r w:rsidR="007C6359">
        <w:rPr>
          <w:i/>
        </w:rPr>
        <w:t xml:space="preserve">vzniklé </w:t>
      </w:r>
      <w:r w:rsidRPr="00D92E20">
        <w:rPr>
          <w:i/>
        </w:rPr>
        <w:t xml:space="preserve">ve sledovaném období </w:t>
      </w:r>
      <w:r w:rsidR="00153C97">
        <w:rPr>
          <w:i/>
        </w:rPr>
        <w:t xml:space="preserve">(1. pololetí) </w:t>
      </w:r>
      <w:r w:rsidRPr="00D92E20">
        <w:rPr>
          <w:i/>
        </w:rPr>
        <w:t>na základě hlášení o vzniku pracovní neschopnosti nemocensky pojištěných osob.</w:t>
      </w:r>
    </w:p>
    <w:p w14:paraId="2A3B3962" w14:textId="77777777" w:rsidR="00ED103E" w:rsidRPr="00D92E20" w:rsidRDefault="00ED103E" w:rsidP="00BA6B4E">
      <w:pPr>
        <w:pStyle w:val="Box1"/>
        <w:spacing w:before="120" w:after="120"/>
        <w:ind w:left="0"/>
        <w:contextualSpacing w:val="0"/>
        <w:jc w:val="both"/>
        <w:rPr>
          <w:i/>
        </w:rPr>
      </w:pPr>
      <w:r w:rsidRPr="00D92E20">
        <w:rPr>
          <w:b/>
          <w:i/>
        </w:rPr>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3D152929" w14:textId="53879E93" w:rsidR="00700CEF" w:rsidRPr="00D92E20" w:rsidRDefault="00F71B6A" w:rsidP="00BA6B4E">
      <w:pPr>
        <w:spacing w:before="120" w:after="120"/>
        <w:jc w:val="both"/>
        <w:rPr>
          <w:bCs/>
        </w:rPr>
      </w:pPr>
      <w:r w:rsidRPr="00D92E20">
        <w:rPr>
          <w:bCs/>
        </w:rPr>
        <w:lastRenderedPageBreak/>
        <w:t>V</w:t>
      </w:r>
      <w:r w:rsidR="00153C97">
        <w:rPr>
          <w:bCs/>
        </w:rPr>
        <w:t> 1. pol. 2021</w:t>
      </w:r>
      <w:r w:rsidRPr="00D92E20">
        <w:rPr>
          <w:bCs/>
        </w:rPr>
        <w:t xml:space="preserve"> bylo </w:t>
      </w:r>
      <w:r w:rsidR="004C36AF" w:rsidRPr="00D92E20">
        <w:rPr>
          <w:bCs/>
        </w:rPr>
        <w:t xml:space="preserve">v Česku </w:t>
      </w:r>
      <w:r w:rsidRPr="00D92E20">
        <w:rPr>
          <w:bCs/>
        </w:rPr>
        <w:t>nahlášeno</w:t>
      </w:r>
      <w:r w:rsidR="004C36AF" w:rsidRPr="00D92E20">
        <w:rPr>
          <w:bCs/>
        </w:rPr>
        <w:t xml:space="preserve"> </w:t>
      </w:r>
      <w:r w:rsidR="004C36AF" w:rsidRPr="00D92E20">
        <w:rPr>
          <w:b/>
          <w:bCs/>
        </w:rPr>
        <w:t>celkem</w:t>
      </w:r>
      <w:r w:rsidRPr="00D92E20">
        <w:rPr>
          <w:bCs/>
        </w:rPr>
        <w:t xml:space="preserve"> </w:t>
      </w:r>
      <w:r w:rsidR="00153C97">
        <w:rPr>
          <w:b/>
          <w:bCs/>
        </w:rPr>
        <w:t>1 399</w:t>
      </w:r>
      <w:r w:rsidRPr="00D92E20">
        <w:rPr>
          <w:b/>
          <w:bCs/>
        </w:rPr>
        <w:t xml:space="preserve"> tis. případů pracovní neschopnosti.</w:t>
      </w:r>
      <w:r w:rsidRPr="00D92E20">
        <w:rPr>
          <w:bCs/>
        </w:rPr>
        <w:t xml:space="preserve"> To je </w:t>
      </w:r>
      <w:r w:rsidR="00153C97">
        <w:rPr>
          <w:bCs/>
        </w:rPr>
        <w:t xml:space="preserve">téměř </w:t>
      </w:r>
      <w:r w:rsidRPr="00D92E20">
        <w:rPr>
          <w:bCs/>
        </w:rPr>
        <w:t>o</w:t>
      </w:r>
      <w:r w:rsidR="008C3456">
        <w:rPr>
          <w:bCs/>
        </w:rPr>
        <w:t> </w:t>
      </w:r>
      <w:r w:rsidR="00153C97">
        <w:rPr>
          <w:bCs/>
        </w:rPr>
        <w:t>třetinu</w:t>
      </w:r>
      <w:r w:rsidRPr="00D92E20">
        <w:rPr>
          <w:bCs/>
        </w:rPr>
        <w:t xml:space="preserve"> (</w:t>
      </w:r>
      <w:r w:rsidR="00153C97">
        <w:rPr>
          <w:bCs/>
        </w:rPr>
        <w:t>329</w:t>
      </w:r>
      <w:r w:rsidRPr="00D92E20">
        <w:rPr>
          <w:bCs/>
        </w:rPr>
        <w:t xml:space="preserve"> tis.</w:t>
      </w:r>
      <w:r w:rsidR="002D1B28" w:rsidRPr="00D92E20">
        <w:rPr>
          <w:bCs/>
        </w:rPr>
        <w:t>)</w:t>
      </w:r>
      <w:r w:rsidRPr="00D92E20">
        <w:rPr>
          <w:bCs/>
        </w:rPr>
        <w:t xml:space="preserve"> případů více než před ro</w:t>
      </w:r>
      <w:r w:rsidR="00153C97">
        <w:rPr>
          <w:bCs/>
        </w:rPr>
        <w:t>kem</w:t>
      </w:r>
      <w:r w:rsidRPr="00D92E20">
        <w:rPr>
          <w:bCs/>
        </w:rPr>
        <w:t>. Rostoucí trend byl nastolen již v</w:t>
      </w:r>
      <w:r w:rsidR="00153C97">
        <w:rPr>
          <w:bCs/>
        </w:rPr>
        <w:t xml:space="preserve"> roce </w:t>
      </w:r>
      <w:r w:rsidRPr="00D92E20">
        <w:rPr>
          <w:bCs/>
        </w:rPr>
        <w:t>201</w:t>
      </w:r>
      <w:r w:rsidR="002A1CEC" w:rsidRPr="00D92E20">
        <w:rPr>
          <w:bCs/>
        </w:rPr>
        <w:t>5</w:t>
      </w:r>
      <w:r w:rsidRPr="00D92E20">
        <w:rPr>
          <w:bCs/>
        </w:rPr>
        <w:t xml:space="preserve">. </w:t>
      </w:r>
      <w:r w:rsidR="00700CEF" w:rsidRPr="00D92E20">
        <w:rPr>
          <w:bCs/>
        </w:rPr>
        <w:t xml:space="preserve">V té době však bylo během </w:t>
      </w:r>
      <w:r w:rsidR="00153C97">
        <w:rPr>
          <w:bCs/>
        </w:rPr>
        <w:t>1. pol.</w:t>
      </w:r>
      <w:r w:rsidR="00700CEF" w:rsidRPr="00D92E20">
        <w:rPr>
          <w:bCs/>
        </w:rPr>
        <w:t xml:space="preserve"> nahlášeno o </w:t>
      </w:r>
      <w:r w:rsidR="00153C97">
        <w:rPr>
          <w:bCs/>
        </w:rPr>
        <w:t>526</w:t>
      </w:r>
      <w:r w:rsidR="002A1CEC" w:rsidRPr="00D92E20">
        <w:rPr>
          <w:bCs/>
        </w:rPr>
        <w:t xml:space="preserve"> tis.</w:t>
      </w:r>
      <w:r w:rsidR="00700CEF" w:rsidRPr="00D92E20">
        <w:rPr>
          <w:bCs/>
        </w:rPr>
        <w:t xml:space="preserve"> případů méně</w:t>
      </w:r>
      <w:r w:rsidR="009F305A">
        <w:rPr>
          <w:bCs/>
        </w:rPr>
        <w:t xml:space="preserve"> než </w:t>
      </w:r>
      <w:r w:rsidR="00153C97">
        <w:rPr>
          <w:bCs/>
        </w:rPr>
        <w:t>za 1. polovinu roku 2021</w:t>
      </w:r>
      <w:r w:rsidR="00700CEF" w:rsidRPr="00D92E20">
        <w:rPr>
          <w:bCs/>
        </w:rPr>
        <w:t>.</w:t>
      </w:r>
      <w:r w:rsidR="00471D3F" w:rsidRPr="00D92E20">
        <w:rPr>
          <w:bCs/>
        </w:rPr>
        <w:t xml:space="preserve"> </w:t>
      </w:r>
    </w:p>
    <w:p w14:paraId="6FD8EB73" w14:textId="3684B81A" w:rsidR="00471D3F" w:rsidRDefault="00991A19" w:rsidP="00BA6B4E">
      <w:pPr>
        <w:spacing w:before="120" w:after="120"/>
        <w:jc w:val="both"/>
        <w:rPr>
          <w:bCs/>
        </w:rPr>
      </w:pPr>
      <w:r w:rsidRPr="00D92E20">
        <w:rPr>
          <w:bCs/>
        </w:rPr>
        <w:t>Významným</w:t>
      </w:r>
      <w:r w:rsidR="00471D3F" w:rsidRPr="00D92E20">
        <w:rPr>
          <w:bCs/>
        </w:rPr>
        <w:t xml:space="preserve"> faktorem</w:t>
      </w:r>
      <w:r w:rsidR="00F71B6A" w:rsidRPr="00D92E20">
        <w:rPr>
          <w:bCs/>
        </w:rPr>
        <w:t xml:space="preserve">, který </w:t>
      </w:r>
      <w:r w:rsidR="00700CEF" w:rsidRPr="00D92E20">
        <w:rPr>
          <w:bCs/>
        </w:rPr>
        <w:t xml:space="preserve">stojí za </w:t>
      </w:r>
      <w:r w:rsidR="00153C97">
        <w:rPr>
          <w:bCs/>
        </w:rPr>
        <w:t xml:space="preserve">meziročním extrémním </w:t>
      </w:r>
      <w:r w:rsidR="00F71B6A" w:rsidRPr="00D92E20">
        <w:rPr>
          <w:bCs/>
        </w:rPr>
        <w:t>nárůstem</w:t>
      </w:r>
      <w:r w:rsidR="00471D3F" w:rsidRPr="00D92E20">
        <w:rPr>
          <w:bCs/>
        </w:rPr>
        <w:t xml:space="preserve"> počtu nových případů,</w:t>
      </w:r>
      <w:r w:rsidR="00F71B6A" w:rsidRPr="00D92E20">
        <w:rPr>
          <w:bCs/>
        </w:rPr>
        <w:t xml:space="preserve"> </w:t>
      </w:r>
      <w:r w:rsidR="00700CEF" w:rsidRPr="00D92E20">
        <w:rPr>
          <w:bCs/>
        </w:rPr>
        <w:t xml:space="preserve">je </w:t>
      </w:r>
      <w:r w:rsidR="00F71B6A" w:rsidRPr="00D92E20">
        <w:rPr>
          <w:bCs/>
        </w:rPr>
        <w:t xml:space="preserve">bezesporu </w:t>
      </w:r>
      <w:r w:rsidR="00F71B6A" w:rsidRPr="00D92E20">
        <w:rPr>
          <w:b/>
          <w:bCs/>
        </w:rPr>
        <w:t xml:space="preserve">pandemie nemoci </w:t>
      </w:r>
      <w:r w:rsidR="000221A2">
        <w:rPr>
          <w:b/>
          <w:bCs/>
        </w:rPr>
        <w:t>c</w:t>
      </w:r>
      <w:r w:rsidR="00F71B6A" w:rsidRPr="00D92E20">
        <w:rPr>
          <w:b/>
          <w:bCs/>
        </w:rPr>
        <w:t>ovid-19</w:t>
      </w:r>
      <w:r w:rsidR="00F71B6A" w:rsidRPr="00D92E20">
        <w:rPr>
          <w:bCs/>
        </w:rPr>
        <w:t xml:space="preserve">. </w:t>
      </w:r>
      <w:r w:rsidR="00471D3F" w:rsidRPr="00D92E20">
        <w:rPr>
          <w:bCs/>
        </w:rPr>
        <w:t xml:space="preserve">Případů </w:t>
      </w:r>
      <w:r w:rsidR="000675AD" w:rsidRPr="00D92E20">
        <w:rPr>
          <w:bCs/>
        </w:rPr>
        <w:t xml:space="preserve">pracovní neschopnosti </w:t>
      </w:r>
      <w:r w:rsidR="00471D3F" w:rsidRPr="00D92E20">
        <w:rPr>
          <w:b/>
          <w:bCs/>
        </w:rPr>
        <w:t>pro nemoc</w:t>
      </w:r>
      <w:r w:rsidR="00471D3F" w:rsidRPr="00D92E20">
        <w:rPr>
          <w:bCs/>
        </w:rPr>
        <w:t xml:space="preserve"> bylo </w:t>
      </w:r>
      <w:r w:rsidR="00676201" w:rsidRPr="00D92E20">
        <w:rPr>
          <w:bCs/>
        </w:rPr>
        <w:t>v</w:t>
      </w:r>
      <w:r w:rsidR="00153C97">
        <w:rPr>
          <w:bCs/>
        </w:rPr>
        <w:t> 1. pol. 2021</w:t>
      </w:r>
      <w:r w:rsidR="00676201" w:rsidRPr="00D92E20">
        <w:rPr>
          <w:bCs/>
        </w:rPr>
        <w:t xml:space="preserve"> </w:t>
      </w:r>
      <w:r w:rsidR="00471D3F" w:rsidRPr="00D92E20">
        <w:rPr>
          <w:bCs/>
        </w:rPr>
        <w:t xml:space="preserve">nahlášeno </w:t>
      </w:r>
      <w:r w:rsidR="00153C97">
        <w:rPr>
          <w:bCs/>
        </w:rPr>
        <w:t>1,3</w:t>
      </w:r>
      <w:r w:rsidR="008C3456">
        <w:rPr>
          <w:bCs/>
        </w:rPr>
        <w:t> </w:t>
      </w:r>
      <w:r w:rsidR="00471D3F" w:rsidRPr="00D92E20">
        <w:rPr>
          <w:bCs/>
        </w:rPr>
        <w:t>mili</w:t>
      </w:r>
      <w:r w:rsidR="00384289" w:rsidRPr="00D92E20">
        <w:rPr>
          <w:bCs/>
        </w:rPr>
        <w:t>o</w:t>
      </w:r>
      <w:r w:rsidR="00471D3F" w:rsidRPr="00D92E20">
        <w:rPr>
          <w:bCs/>
        </w:rPr>
        <w:t>nu, tedy o</w:t>
      </w:r>
      <w:r w:rsidR="00CE1E85" w:rsidRPr="00D92E20">
        <w:rPr>
          <w:bCs/>
        </w:rPr>
        <w:t> </w:t>
      </w:r>
      <w:r w:rsidR="00153C97">
        <w:rPr>
          <w:bCs/>
        </w:rPr>
        <w:t>323</w:t>
      </w:r>
      <w:r w:rsidR="00CE1E85" w:rsidRPr="00D92E20">
        <w:rPr>
          <w:bCs/>
        </w:rPr>
        <w:t> </w:t>
      </w:r>
      <w:r w:rsidR="00471D3F" w:rsidRPr="00D92E20">
        <w:rPr>
          <w:bCs/>
        </w:rPr>
        <w:t xml:space="preserve">tis. více než </w:t>
      </w:r>
      <w:r w:rsidR="00153C97">
        <w:rPr>
          <w:bCs/>
        </w:rPr>
        <w:t>před rokem</w:t>
      </w:r>
      <w:r w:rsidR="00471D3F" w:rsidRPr="00D92E20">
        <w:rPr>
          <w:bCs/>
        </w:rPr>
        <w:t xml:space="preserve">. V relativním vyjádření došlo k nárůstu o </w:t>
      </w:r>
      <w:r w:rsidR="00775419">
        <w:rPr>
          <w:bCs/>
        </w:rPr>
        <w:t>třetinu</w:t>
      </w:r>
      <w:r w:rsidR="00471D3F" w:rsidRPr="00D92E20">
        <w:rPr>
          <w:bCs/>
        </w:rPr>
        <w:t>.</w:t>
      </w:r>
      <w:r w:rsidR="00E44890" w:rsidRPr="00D92E20">
        <w:rPr>
          <w:bCs/>
        </w:rPr>
        <w:t xml:space="preserve"> Do počtu případů pro nemoc jsou </w:t>
      </w:r>
      <w:r w:rsidR="00CE1E85" w:rsidRPr="00D92E20">
        <w:rPr>
          <w:bCs/>
        </w:rPr>
        <w:t xml:space="preserve">kromě nemocí jako takových </w:t>
      </w:r>
      <w:r w:rsidR="00E44890" w:rsidRPr="00D92E20">
        <w:rPr>
          <w:bCs/>
        </w:rPr>
        <w:t xml:space="preserve">započteny </w:t>
      </w:r>
      <w:r w:rsidR="00CE1E85" w:rsidRPr="00D92E20">
        <w:rPr>
          <w:bCs/>
        </w:rPr>
        <w:t>i</w:t>
      </w:r>
      <w:r w:rsidR="00384289" w:rsidRPr="00D92E20">
        <w:rPr>
          <w:bCs/>
        </w:rPr>
        <w:t xml:space="preserve"> </w:t>
      </w:r>
      <w:r w:rsidR="00E44890" w:rsidRPr="00D92E20">
        <w:rPr>
          <w:bCs/>
        </w:rPr>
        <w:t>karantény</w:t>
      </w:r>
      <w:r w:rsidR="009F305A">
        <w:rPr>
          <w:rStyle w:val="Znakapoznpodarou"/>
          <w:bCs/>
        </w:rPr>
        <w:footnoteReference w:id="2"/>
      </w:r>
      <w:r w:rsidR="00CE1E85" w:rsidRPr="00D92E20">
        <w:rPr>
          <w:bCs/>
        </w:rPr>
        <w:t xml:space="preserve">. A sice karantény </w:t>
      </w:r>
      <w:r w:rsidR="00E44890" w:rsidRPr="00D92E20">
        <w:rPr>
          <w:bCs/>
        </w:rPr>
        <w:t>osob</w:t>
      </w:r>
      <w:r w:rsidR="00CE1E85" w:rsidRPr="00D92E20">
        <w:rPr>
          <w:bCs/>
        </w:rPr>
        <w:t>y</w:t>
      </w:r>
      <w:r w:rsidR="00E44890" w:rsidRPr="00D92E20">
        <w:rPr>
          <w:bCs/>
        </w:rPr>
        <w:t>, která splňuje nárok na</w:t>
      </w:r>
      <w:r w:rsidR="00384289" w:rsidRPr="00D92E20">
        <w:rPr>
          <w:bCs/>
        </w:rPr>
        <w:t xml:space="preserve"> dávku nemocenské, podá žádost a ta </w:t>
      </w:r>
      <w:r w:rsidR="00E44890" w:rsidRPr="00D92E20">
        <w:rPr>
          <w:bCs/>
        </w:rPr>
        <w:t>je ze strany ošetřujícího lékař</w:t>
      </w:r>
      <w:r w:rsidR="00775419">
        <w:rPr>
          <w:bCs/>
        </w:rPr>
        <w:t>e či hygienické stanice uznána.</w:t>
      </w:r>
    </w:p>
    <w:p w14:paraId="47AED6B6" w14:textId="040F4976" w:rsidR="00153C97" w:rsidRPr="00D92E20" w:rsidRDefault="00775419" w:rsidP="00BA6B4E">
      <w:pPr>
        <w:spacing w:before="120" w:after="120"/>
        <w:jc w:val="both"/>
        <w:rPr>
          <w:bCs/>
        </w:rPr>
      </w:pPr>
      <w:r>
        <w:rPr>
          <w:bCs/>
        </w:rPr>
        <w:t xml:space="preserve">Vedle pandemie mělo na nárůst počtu případů pracovní neschopnosti v posledních 2 letech </w:t>
      </w:r>
      <w:r w:rsidR="009F305A">
        <w:rPr>
          <w:bCs/>
        </w:rPr>
        <w:t xml:space="preserve">vliv </w:t>
      </w:r>
      <w:r>
        <w:rPr>
          <w:bCs/>
        </w:rPr>
        <w:t>i</w:t>
      </w:r>
      <w:r w:rsidR="00153C97" w:rsidRPr="00D92E20">
        <w:rPr>
          <w:bCs/>
        </w:rPr>
        <w:t xml:space="preserve"> </w:t>
      </w:r>
      <w:r w:rsidR="00153C97" w:rsidRPr="00D92E20">
        <w:rPr>
          <w:b/>
          <w:bCs/>
        </w:rPr>
        <w:t>zrušení karenční doby od 1. července 2019</w:t>
      </w:r>
      <w:r w:rsidR="00153C97" w:rsidRPr="00D92E20">
        <w:rPr>
          <w:bCs/>
        </w:rPr>
        <w:t>, kdy zaměstnanec dostává náhradu mzdy již od prvního dne, a nikoliv až od čtvrtého, jako tomu bylo od roku 2009 až do té doby.</w:t>
      </w:r>
    </w:p>
    <w:p w14:paraId="52F2071F" w14:textId="5103C051" w:rsidR="00775419" w:rsidRDefault="00775419" w:rsidP="00BA6B4E">
      <w:pPr>
        <w:spacing w:before="120" w:after="120"/>
        <w:jc w:val="both"/>
      </w:pPr>
      <w:r>
        <w:t xml:space="preserve">V 1. pol. 2021 bylo vystaveno 23 tis. neschopenek pro </w:t>
      </w:r>
      <w:r w:rsidRPr="00DF284E">
        <w:rPr>
          <w:b/>
        </w:rPr>
        <w:t>pracovní úraz</w:t>
      </w:r>
      <w:r>
        <w:t xml:space="preserve">. Po poklesu v 1. pol. 2020, </w:t>
      </w:r>
      <w:r w:rsidR="009F305A">
        <w:t>kdy došlo ke</w:t>
      </w:r>
      <w:r w:rsidR="00CD63E8">
        <w:t> </w:t>
      </w:r>
      <w:r w:rsidR="009F305A">
        <w:t>20,5 tis. pracovních</w:t>
      </w:r>
      <w:r>
        <w:t xml:space="preserve"> úrazů vyžadující</w:t>
      </w:r>
      <w:r w:rsidR="009F305A">
        <w:t>ch</w:t>
      </w:r>
      <w:r>
        <w:t xml:space="preserve"> pracovní neschopnost, se čísla vrátila zhruba na hodnotu </w:t>
      </w:r>
      <w:r w:rsidR="003609B8">
        <w:t>z</w:t>
      </w:r>
      <w:r>
        <w:t xml:space="preserve"> 1. pol. 2019.</w:t>
      </w:r>
      <w:r w:rsidR="00DF284E">
        <w:t xml:space="preserve"> Meziročně vzrostl i </w:t>
      </w:r>
      <w:r w:rsidR="00DF284E" w:rsidRPr="00DF284E">
        <w:rPr>
          <w:b/>
        </w:rPr>
        <w:t>počet mimopracovních úrazů</w:t>
      </w:r>
      <w:r w:rsidR="000221A2" w:rsidRPr="000221A2">
        <w:t>,</w:t>
      </w:r>
      <w:r w:rsidR="000221A2">
        <w:rPr>
          <w:b/>
        </w:rPr>
        <w:t xml:space="preserve"> </w:t>
      </w:r>
      <w:r w:rsidR="000221A2" w:rsidRPr="000221A2">
        <w:t>kvůli nimž byla vydána neschopenka</w:t>
      </w:r>
      <w:r w:rsidR="00DF284E">
        <w:t>. Ze 73 tis. na</w:t>
      </w:r>
      <w:r w:rsidR="00CD63E8">
        <w:t> </w:t>
      </w:r>
      <w:r w:rsidR="00DF284E">
        <w:t xml:space="preserve">76 tis. </w:t>
      </w:r>
    </w:p>
    <w:p w14:paraId="3AD9C24C" w14:textId="2572421C" w:rsidR="00C44482" w:rsidRPr="00DF284E" w:rsidRDefault="00C44482" w:rsidP="00C44482">
      <w:pPr>
        <w:spacing w:after="60"/>
        <w:jc w:val="both"/>
        <w:rPr>
          <w:b/>
          <w:bCs/>
        </w:rPr>
      </w:pPr>
      <w:r w:rsidRPr="00DF284E">
        <w:rPr>
          <w:b/>
          <w:bCs/>
        </w:rPr>
        <w:t xml:space="preserve">Tab. 2.1: Nově hlášené případy dočasné pracovní neschopnosti podle příčiny a pohlaví, </w:t>
      </w:r>
      <w:r w:rsidR="00DF284E">
        <w:rPr>
          <w:b/>
          <w:bCs/>
        </w:rPr>
        <w:br/>
      </w:r>
      <w:r w:rsidR="00DF284E" w:rsidRPr="00DF284E">
        <w:rPr>
          <w:b/>
          <w:bCs/>
        </w:rPr>
        <w:t xml:space="preserve">1. pol. 2011–1. pol. 2021 </w:t>
      </w:r>
      <w:r w:rsidRPr="00DF284E">
        <w:rPr>
          <w:b/>
          <w:bCs/>
        </w:rPr>
        <w:t>(v tis.)</w:t>
      </w:r>
    </w:p>
    <w:tbl>
      <w:tblPr>
        <w:tblW w:w="9552" w:type="dxa"/>
        <w:tblCellMar>
          <w:left w:w="70" w:type="dxa"/>
          <w:right w:w="70" w:type="dxa"/>
        </w:tblCellMar>
        <w:tblLook w:val="04A0" w:firstRow="1" w:lastRow="0" w:firstColumn="1" w:lastColumn="0" w:noHBand="0" w:noVBand="1"/>
      </w:tblPr>
      <w:tblGrid>
        <w:gridCol w:w="1020"/>
        <w:gridCol w:w="710"/>
        <w:gridCol w:w="704"/>
        <w:gridCol w:w="704"/>
        <w:gridCol w:w="707"/>
        <w:gridCol w:w="704"/>
        <w:gridCol w:w="704"/>
        <w:gridCol w:w="754"/>
        <w:gridCol w:w="709"/>
        <w:gridCol w:w="709"/>
        <w:gridCol w:w="709"/>
        <w:gridCol w:w="709"/>
        <w:gridCol w:w="709"/>
      </w:tblGrid>
      <w:tr w:rsidR="00DF284E" w:rsidRPr="00D92E20" w14:paraId="05341B7C" w14:textId="77777777" w:rsidTr="00DF284E">
        <w:trPr>
          <w:trHeight w:val="300"/>
        </w:trPr>
        <w:tc>
          <w:tcPr>
            <w:tcW w:w="1020" w:type="dxa"/>
            <w:vMerge w:val="restart"/>
            <w:tcBorders>
              <w:top w:val="single" w:sz="4" w:space="0" w:color="auto"/>
              <w:left w:val="nil"/>
              <w:bottom w:val="nil"/>
              <w:right w:val="nil"/>
            </w:tcBorders>
            <w:shd w:val="clear" w:color="000000" w:fill="F5DADD"/>
            <w:vAlign w:val="center"/>
            <w:hideMark/>
          </w:tcPr>
          <w:p w14:paraId="4EFFB31A" w14:textId="68C97ECD" w:rsidR="00DF284E" w:rsidRPr="00D92E20" w:rsidRDefault="00DF284E" w:rsidP="00C44482">
            <w:pPr>
              <w:spacing w:after="0" w:line="240" w:lineRule="auto"/>
              <w:jc w:val="center"/>
              <w:rPr>
                <w:rFonts w:cs="Arial"/>
                <w:color w:val="000000"/>
                <w:sz w:val="16"/>
                <w:szCs w:val="16"/>
              </w:rPr>
            </w:pPr>
            <w:r w:rsidRPr="00DF284E">
              <w:rPr>
                <w:rFonts w:cs="Arial"/>
                <w:color w:val="000000"/>
                <w:sz w:val="16"/>
                <w:szCs w:val="16"/>
              </w:rPr>
              <w:t>Období</w:t>
            </w:r>
          </w:p>
        </w:tc>
        <w:tc>
          <w:tcPr>
            <w:tcW w:w="710" w:type="dxa"/>
            <w:vMerge w:val="restart"/>
            <w:tcBorders>
              <w:top w:val="single" w:sz="4" w:space="0" w:color="auto"/>
              <w:left w:val="single" w:sz="4" w:space="0" w:color="auto"/>
              <w:bottom w:val="nil"/>
              <w:right w:val="nil"/>
            </w:tcBorders>
            <w:shd w:val="clear" w:color="000000" w:fill="F2DBDB"/>
            <w:vAlign w:val="center"/>
            <w:hideMark/>
          </w:tcPr>
          <w:p w14:paraId="4286CFF3" w14:textId="77777777" w:rsidR="00DF284E" w:rsidRPr="00D92E20" w:rsidRDefault="00DF284E" w:rsidP="00C4448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8E47F8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00FC7D1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1578D2E"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46D015E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7E4E50F"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6334356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right w:val="nil"/>
            </w:tcBorders>
            <w:shd w:val="clear" w:color="000000" w:fill="F2DBDB"/>
            <w:vAlign w:val="center"/>
            <w:hideMark/>
          </w:tcPr>
          <w:p w14:paraId="64F0CEA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podle pohlaví</w:t>
            </w:r>
          </w:p>
        </w:tc>
      </w:tr>
      <w:tr w:rsidR="00DF284E" w:rsidRPr="00D92E20" w14:paraId="3698B7BD" w14:textId="77777777" w:rsidTr="00DF284E">
        <w:trPr>
          <w:trHeight w:val="405"/>
        </w:trPr>
        <w:tc>
          <w:tcPr>
            <w:tcW w:w="1020" w:type="dxa"/>
            <w:vMerge/>
            <w:tcBorders>
              <w:top w:val="single" w:sz="4" w:space="0" w:color="auto"/>
              <w:left w:val="nil"/>
              <w:bottom w:val="nil"/>
              <w:right w:val="nil"/>
            </w:tcBorders>
            <w:vAlign w:val="center"/>
            <w:hideMark/>
          </w:tcPr>
          <w:p w14:paraId="3B0F1679" w14:textId="77777777" w:rsidR="00DF284E" w:rsidRPr="00D92E20" w:rsidRDefault="00DF284E" w:rsidP="00C44482">
            <w:pPr>
              <w:spacing w:after="0" w:line="240" w:lineRule="auto"/>
              <w:rPr>
                <w:rFonts w:cs="Arial"/>
                <w:color w:val="000000"/>
                <w:sz w:val="16"/>
                <w:szCs w:val="16"/>
              </w:rPr>
            </w:pPr>
          </w:p>
        </w:tc>
        <w:tc>
          <w:tcPr>
            <w:tcW w:w="710" w:type="dxa"/>
            <w:vMerge/>
            <w:tcBorders>
              <w:top w:val="single" w:sz="4" w:space="0" w:color="auto"/>
              <w:left w:val="single" w:sz="4" w:space="0" w:color="auto"/>
              <w:bottom w:val="nil"/>
              <w:right w:val="nil"/>
            </w:tcBorders>
            <w:vAlign w:val="center"/>
            <w:hideMark/>
          </w:tcPr>
          <w:p w14:paraId="4CDE0329" w14:textId="77777777" w:rsidR="00DF284E" w:rsidRPr="00D92E20" w:rsidRDefault="00DF284E" w:rsidP="00C44482">
            <w:pPr>
              <w:spacing w:after="0" w:line="240" w:lineRule="auto"/>
              <w:rPr>
                <w:rFonts w:cs="Arial"/>
                <w:b/>
                <w:bCs/>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7C2C289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451EFE61"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nil"/>
              <w:right w:val="nil"/>
            </w:tcBorders>
            <w:vAlign w:val="center"/>
            <w:hideMark/>
          </w:tcPr>
          <w:p w14:paraId="5111A614" w14:textId="77777777" w:rsidR="00DF284E" w:rsidRPr="00D92E20" w:rsidRDefault="00DF284E" w:rsidP="00C44482">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2D1D3B1D"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557185F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nil"/>
              <w:right w:val="nil"/>
            </w:tcBorders>
            <w:vAlign w:val="center"/>
            <w:hideMark/>
          </w:tcPr>
          <w:p w14:paraId="7F2CA0E0"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E24BD43"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127DB857"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nil"/>
              <w:right w:val="nil"/>
            </w:tcBorders>
            <w:vAlign w:val="center"/>
            <w:hideMark/>
          </w:tcPr>
          <w:p w14:paraId="7C15A4F6" w14:textId="77777777" w:rsidR="00DF284E" w:rsidRPr="00D92E20" w:rsidRDefault="00DF284E" w:rsidP="00C44482">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5667CE2"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27D1CC56" w14:textId="77777777" w:rsidR="00DF284E" w:rsidRPr="00D92E20" w:rsidRDefault="00DF284E" w:rsidP="00C44482">
            <w:pPr>
              <w:spacing w:after="0" w:line="240" w:lineRule="auto"/>
              <w:jc w:val="center"/>
              <w:rPr>
                <w:rFonts w:cs="Arial"/>
                <w:color w:val="000000"/>
                <w:sz w:val="16"/>
                <w:szCs w:val="16"/>
              </w:rPr>
            </w:pPr>
            <w:r w:rsidRPr="00D92E20">
              <w:rPr>
                <w:rFonts w:cs="Arial"/>
                <w:color w:val="000000"/>
                <w:sz w:val="16"/>
                <w:szCs w:val="16"/>
              </w:rPr>
              <w:t>ženy</w:t>
            </w:r>
          </w:p>
        </w:tc>
      </w:tr>
      <w:tr w:rsidR="00DF284E" w:rsidRPr="00D92E20" w14:paraId="0E3B899F" w14:textId="77777777" w:rsidTr="00DF284E">
        <w:trPr>
          <w:trHeight w:val="300"/>
        </w:trPr>
        <w:tc>
          <w:tcPr>
            <w:tcW w:w="1020" w:type="dxa"/>
            <w:tcBorders>
              <w:top w:val="single" w:sz="4" w:space="0" w:color="auto"/>
              <w:left w:val="nil"/>
              <w:bottom w:val="nil"/>
              <w:right w:val="nil"/>
            </w:tcBorders>
            <w:shd w:val="clear" w:color="auto" w:fill="auto"/>
            <w:vAlign w:val="center"/>
            <w:hideMark/>
          </w:tcPr>
          <w:p w14:paraId="1BCDA5DA" w14:textId="1DBF4E58" w:rsidR="00DF284E" w:rsidRPr="00D92E20" w:rsidRDefault="00DF284E" w:rsidP="00DF284E">
            <w:pPr>
              <w:spacing w:after="0" w:line="240" w:lineRule="auto"/>
              <w:jc w:val="center"/>
              <w:rPr>
                <w:rFonts w:cs="Arial"/>
                <w:color w:val="000000"/>
                <w:sz w:val="16"/>
                <w:szCs w:val="16"/>
              </w:rPr>
            </w:pPr>
            <w:r>
              <w:rPr>
                <w:rFonts w:cs="Arial"/>
                <w:sz w:val="16"/>
                <w:szCs w:val="16"/>
              </w:rPr>
              <w:t>1. pol. 2011</w:t>
            </w:r>
          </w:p>
        </w:tc>
        <w:tc>
          <w:tcPr>
            <w:tcW w:w="710" w:type="dxa"/>
            <w:tcBorders>
              <w:top w:val="single" w:sz="4" w:space="0" w:color="auto"/>
              <w:left w:val="single" w:sz="4" w:space="0" w:color="auto"/>
              <w:bottom w:val="nil"/>
              <w:right w:val="nil"/>
            </w:tcBorders>
            <w:shd w:val="clear" w:color="auto" w:fill="auto"/>
            <w:vAlign w:val="center"/>
            <w:hideMark/>
          </w:tcPr>
          <w:p w14:paraId="3B606E05" w14:textId="165A8C92" w:rsidR="00DF284E" w:rsidRPr="00D92E20" w:rsidRDefault="00DF284E" w:rsidP="00DF284E">
            <w:pPr>
              <w:spacing w:after="0" w:line="240" w:lineRule="auto"/>
              <w:jc w:val="right"/>
              <w:rPr>
                <w:rFonts w:cs="Arial"/>
                <w:color w:val="000000"/>
                <w:sz w:val="16"/>
                <w:szCs w:val="16"/>
              </w:rPr>
            </w:pPr>
            <w:r>
              <w:rPr>
                <w:rFonts w:cs="Arial"/>
                <w:sz w:val="16"/>
                <w:szCs w:val="16"/>
              </w:rPr>
              <w:t>710,5</w:t>
            </w:r>
          </w:p>
        </w:tc>
        <w:tc>
          <w:tcPr>
            <w:tcW w:w="704" w:type="dxa"/>
            <w:tcBorders>
              <w:top w:val="nil"/>
              <w:left w:val="nil"/>
              <w:bottom w:val="nil"/>
              <w:right w:val="nil"/>
            </w:tcBorders>
            <w:shd w:val="clear" w:color="auto" w:fill="auto"/>
            <w:vAlign w:val="center"/>
            <w:hideMark/>
          </w:tcPr>
          <w:p w14:paraId="7D6976C7" w14:textId="73AC0328" w:rsidR="00DF284E" w:rsidRPr="00D92E20" w:rsidRDefault="00DF284E" w:rsidP="00DF284E">
            <w:pPr>
              <w:spacing w:after="0" w:line="240" w:lineRule="auto"/>
              <w:jc w:val="right"/>
              <w:rPr>
                <w:rFonts w:cs="Arial"/>
                <w:color w:val="000000"/>
                <w:sz w:val="16"/>
                <w:szCs w:val="16"/>
              </w:rPr>
            </w:pPr>
            <w:r>
              <w:rPr>
                <w:rFonts w:cs="Arial"/>
                <w:sz w:val="16"/>
                <w:szCs w:val="16"/>
              </w:rPr>
              <w:t>332,5</w:t>
            </w:r>
          </w:p>
        </w:tc>
        <w:tc>
          <w:tcPr>
            <w:tcW w:w="704" w:type="dxa"/>
            <w:tcBorders>
              <w:top w:val="nil"/>
              <w:left w:val="nil"/>
              <w:bottom w:val="nil"/>
              <w:right w:val="single" w:sz="4" w:space="0" w:color="auto"/>
            </w:tcBorders>
            <w:shd w:val="clear" w:color="auto" w:fill="auto"/>
            <w:vAlign w:val="center"/>
            <w:hideMark/>
          </w:tcPr>
          <w:p w14:paraId="51FE9CA3" w14:textId="4DD53864" w:rsidR="00DF284E" w:rsidRPr="00D92E20" w:rsidRDefault="00DF284E" w:rsidP="00DF284E">
            <w:pPr>
              <w:spacing w:after="0" w:line="240" w:lineRule="auto"/>
              <w:jc w:val="right"/>
              <w:rPr>
                <w:rFonts w:cs="Arial"/>
                <w:color w:val="000000"/>
                <w:sz w:val="16"/>
                <w:szCs w:val="16"/>
              </w:rPr>
            </w:pPr>
            <w:r>
              <w:rPr>
                <w:rFonts w:cs="Arial"/>
                <w:sz w:val="16"/>
                <w:szCs w:val="16"/>
              </w:rPr>
              <w:t>378,0</w:t>
            </w:r>
          </w:p>
        </w:tc>
        <w:tc>
          <w:tcPr>
            <w:tcW w:w="707" w:type="dxa"/>
            <w:tcBorders>
              <w:top w:val="single" w:sz="4" w:space="0" w:color="auto"/>
              <w:left w:val="nil"/>
              <w:bottom w:val="nil"/>
              <w:right w:val="nil"/>
            </w:tcBorders>
            <w:shd w:val="clear" w:color="auto" w:fill="auto"/>
            <w:vAlign w:val="center"/>
            <w:hideMark/>
          </w:tcPr>
          <w:p w14:paraId="2FCC0C3B" w14:textId="65FF8A6B" w:rsidR="00DF284E" w:rsidRPr="00D92E20" w:rsidRDefault="00DF284E" w:rsidP="00DF284E">
            <w:pPr>
              <w:spacing w:after="0" w:line="240" w:lineRule="auto"/>
              <w:jc w:val="right"/>
              <w:rPr>
                <w:rFonts w:cs="Arial"/>
                <w:color w:val="000000"/>
                <w:sz w:val="16"/>
                <w:szCs w:val="16"/>
              </w:rPr>
            </w:pPr>
            <w:r>
              <w:rPr>
                <w:rFonts w:cs="Arial"/>
                <w:sz w:val="16"/>
                <w:szCs w:val="16"/>
              </w:rPr>
              <w:t>647,6</w:t>
            </w:r>
          </w:p>
        </w:tc>
        <w:tc>
          <w:tcPr>
            <w:tcW w:w="704" w:type="dxa"/>
            <w:tcBorders>
              <w:top w:val="nil"/>
              <w:left w:val="nil"/>
              <w:bottom w:val="nil"/>
              <w:right w:val="nil"/>
            </w:tcBorders>
            <w:shd w:val="clear" w:color="auto" w:fill="auto"/>
            <w:vAlign w:val="center"/>
            <w:hideMark/>
          </w:tcPr>
          <w:p w14:paraId="41FE064E" w14:textId="765DC1C1" w:rsidR="00DF284E" w:rsidRPr="00D92E20" w:rsidRDefault="00DF284E" w:rsidP="00DF284E">
            <w:pPr>
              <w:spacing w:after="0" w:line="240" w:lineRule="auto"/>
              <w:jc w:val="right"/>
              <w:rPr>
                <w:rFonts w:cs="Arial"/>
                <w:color w:val="000000"/>
                <w:sz w:val="16"/>
                <w:szCs w:val="16"/>
              </w:rPr>
            </w:pPr>
            <w:r>
              <w:rPr>
                <w:rFonts w:cs="Arial"/>
                <w:sz w:val="16"/>
                <w:szCs w:val="16"/>
              </w:rPr>
              <w:t>289,6</w:t>
            </w:r>
          </w:p>
        </w:tc>
        <w:tc>
          <w:tcPr>
            <w:tcW w:w="704" w:type="dxa"/>
            <w:tcBorders>
              <w:top w:val="nil"/>
              <w:left w:val="nil"/>
              <w:bottom w:val="nil"/>
              <w:right w:val="nil"/>
            </w:tcBorders>
            <w:shd w:val="clear" w:color="auto" w:fill="auto"/>
            <w:vAlign w:val="center"/>
            <w:hideMark/>
          </w:tcPr>
          <w:p w14:paraId="4944B421" w14:textId="58E55534" w:rsidR="00DF284E" w:rsidRPr="00D92E20" w:rsidRDefault="00DF284E" w:rsidP="00DF284E">
            <w:pPr>
              <w:spacing w:after="0" w:line="240" w:lineRule="auto"/>
              <w:jc w:val="right"/>
              <w:rPr>
                <w:rFonts w:cs="Arial"/>
                <w:color w:val="000000"/>
                <w:sz w:val="16"/>
                <w:szCs w:val="16"/>
              </w:rPr>
            </w:pPr>
            <w:r>
              <w:rPr>
                <w:rFonts w:cs="Arial"/>
                <w:sz w:val="16"/>
                <w:szCs w:val="16"/>
              </w:rPr>
              <w:t>358,0</w:t>
            </w:r>
          </w:p>
        </w:tc>
        <w:tc>
          <w:tcPr>
            <w:tcW w:w="754" w:type="dxa"/>
            <w:tcBorders>
              <w:top w:val="single" w:sz="4" w:space="0" w:color="auto"/>
              <w:left w:val="single" w:sz="4" w:space="0" w:color="auto"/>
              <w:bottom w:val="nil"/>
              <w:right w:val="nil"/>
            </w:tcBorders>
            <w:shd w:val="clear" w:color="auto" w:fill="auto"/>
            <w:vAlign w:val="center"/>
            <w:hideMark/>
          </w:tcPr>
          <w:p w14:paraId="6BBF2F00" w14:textId="09BFBDE0" w:rsidR="00DF284E" w:rsidRPr="00D92E20" w:rsidRDefault="00DF284E" w:rsidP="00DF284E">
            <w:pPr>
              <w:spacing w:after="0" w:line="240" w:lineRule="auto"/>
              <w:jc w:val="right"/>
              <w:rPr>
                <w:rFonts w:cs="Arial"/>
                <w:color w:val="000000"/>
                <w:sz w:val="16"/>
                <w:szCs w:val="16"/>
              </w:rPr>
            </w:pPr>
            <w:r>
              <w:rPr>
                <w:rFonts w:cs="Arial"/>
                <w:sz w:val="16"/>
                <w:szCs w:val="16"/>
              </w:rPr>
              <w:t>24,3</w:t>
            </w:r>
          </w:p>
        </w:tc>
        <w:tc>
          <w:tcPr>
            <w:tcW w:w="709" w:type="dxa"/>
            <w:tcBorders>
              <w:top w:val="nil"/>
              <w:left w:val="nil"/>
              <w:bottom w:val="nil"/>
              <w:right w:val="nil"/>
            </w:tcBorders>
            <w:shd w:val="clear" w:color="auto" w:fill="auto"/>
            <w:vAlign w:val="center"/>
            <w:hideMark/>
          </w:tcPr>
          <w:p w14:paraId="207B0B1D" w14:textId="1295D0F5" w:rsidR="00DF284E" w:rsidRPr="00D92E20" w:rsidRDefault="00DF284E" w:rsidP="00DF284E">
            <w:pPr>
              <w:spacing w:after="0" w:line="240" w:lineRule="auto"/>
              <w:jc w:val="right"/>
              <w:rPr>
                <w:rFonts w:cs="Arial"/>
                <w:color w:val="000000"/>
                <w:sz w:val="16"/>
                <w:szCs w:val="16"/>
              </w:rPr>
            </w:pPr>
            <w:r>
              <w:rPr>
                <w:rFonts w:cs="Arial"/>
                <w:sz w:val="16"/>
                <w:szCs w:val="16"/>
              </w:rPr>
              <w:t>17,2</w:t>
            </w:r>
          </w:p>
        </w:tc>
        <w:tc>
          <w:tcPr>
            <w:tcW w:w="709" w:type="dxa"/>
            <w:tcBorders>
              <w:top w:val="nil"/>
              <w:left w:val="nil"/>
              <w:bottom w:val="nil"/>
              <w:right w:val="single" w:sz="4" w:space="0" w:color="auto"/>
            </w:tcBorders>
            <w:shd w:val="clear" w:color="auto" w:fill="auto"/>
            <w:vAlign w:val="center"/>
            <w:hideMark/>
          </w:tcPr>
          <w:p w14:paraId="2B66119B" w14:textId="33751890" w:rsidR="00DF284E" w:rsidRPr="00D92E20" w:rsidRDefault="00DF284E" w:rsidP="00DF284E">
            <w:pPr>
              <w:spacing w:after="0" w:line="240" w:lineRule="auto"/>
              <w:jc w:val="right"/>
              <w:rPr>
                <w:rFonts w:cs="Arial"/>
                <w:color w:val="000000"/>
                <w:sz w:val="16"/>
                <w:szCs w:val="16"/>
              </w:rPr>
            </w:pPr>
            <w:r>
              <w:rPr>
                <w:rFonts w:cs="Arial"/>
                <w:sz w:val="16"/>
                <w:szCs w:val="16"/>
              </w:rPr>
              <w:t>7,1</w:t>
            </w:r>
          </w:p>
        </w:tc>
        <w:tc>
          <w:tcPr>
            <w:tcW w:w="709" w:type="dxa"/>
            <w:tcBorders>
              <w:top w:val="single" w:sz="4" w:space="0" w:color="auto"/>
              <w:left w:val="nil"/>
              <w:bottom w:val="nil"/>
              <w:right w:val="nil"/>
            </w:tcBorders>
            <w:shd w:val="clear" w:color="auto" w:fill="auto"/>
            <w:vAlign w:val="center"/>
            <w:hideMark/>
          </w:tcPr>
          <w:p w14:paraId="05BE3863" w14:textId="55652E45" w:rsidR="00DF284E" w:rsidRPr="00D92E20" w:rsidRDefault="00DF284E" w:rsidP="00DF284E">
            <w:pPr>
              <w:spacing w:after="0" w:line="240" w:lineRule="auto"/>
              <w:jc w:val="right"/>
              <w:rPr>
                <w:rFonts w:cs="Arial"/>
                <w:color w:val="000000"/>
                <w:sz w:val="16"/>
                <w:szCs w:val="16"/>
              </w:rPr>
            </w:pPr>
            <w:r>
              <w:rPr>
                <w:rFonts w:cs="Arial"/>
                <w:sz w:val="16"/>
                <w:szCs w:val="16"/>
              </w:rPr>
              <w:t>38,5</w:t>
            </w:r>
          </w:p>
        </w:tc>
        <w:tc>
          <w:tcPr>
            <w:tcW w:w="709" w:type="dxa"/>
            <w:tcBorders>
              <w:top w:val="nil"/>
              <w:left w:val="nil"/>
              <w:bottom w:val="nil"/>
              <w:right w:val="nil"/>
            </w:tcBorders>
            <w:shd w:val="clear" w:color="auto" w:fill="auto"/>
            <w:vAlign w:val="center"/>
            <w:hideMark/>
          </w:tcPr>
          <w:p w14:paraId="6D85CF9B" w14:textId="755CA15D" w:rsidR="00DF284E" w:rsidRPr="00D92E20" w:rsidRDefault="00DF284E" w:rsidP="00DF284E">
            <w:pPr>
              <w:spacing w:after="0" w:line="240" w:lineRule="auto"/>
              <w:jc w:val="right"/>
              <w:rPr>
                <w:rFonts w:cs="Arial"/>
                <w:color w:val="000000"/>
                <w:sz w:val="16"/>
                <w:szCs w:val="16"/>
              </w:rPr>
            </w:pPr>
            <w:r>
              <w:rPr>
                <w:rFonts w:cs="Arial"/>
                <w:sz w:val="16"/>
                <w:szCs w:val="16"/>
              </w:rPr>
              <w:t>25,7</w:t>
            </w:r>
          </w:p>
        </w:tc>
        <w:tc>
          <w:tcPr>
            <w:tcW w:w="709" w:type="dxa"/>
            <w:tcBorders>
              <w:top w:val="nil"/>
              <w:left w:val="nil"/>
              <w:bottom w:val="nil"/>
              <w:right w:val="nil"/>
            </w:tcBorders>
            <w:shd w:val="clear" w:color="auto" w:fill="auto"/>
            <w:vAlign w:val="center"/>
            <w:hideMark/>
          </w:tcPr>
          <w:p w14:paraId="417A5C81" w14:textId="1A214244" w:rsidR="00DF284E" w:rsidRPr="00D92E20" w:rsidRDefault="00DF284E" w:rsidP="00DF284E">
            <w:pPr>
              <w:spacing w:after="0" w:line="240" w:lineRule="auto"/>
              <w:jc w:val="right"/>
              <w:rPr>
                <w:rFonts w:cs="Arial"/>
                <w:color w:val="000000"/>
                <w:sz w:val="16"/>
                <w:szCs w:val="16"/>
              </w:rPr>
            </w:pPr>
            <w:r>
              <w:rPr>
                <w:rFonts w:cs="Arial"/>
                <w:sz w:val="16"/>
                <w:szCs w:val="16"/>
              </w:rPr>
              <w:t>12,8</w:t>
            </w:r>
          </w:p>
        </w:tc>
      </w:tr>
      <w:tr w:rsidR="00DF284E" w:rsidRPr="00D92E20" w14:paraId="06A11B75" w14:textId="77777777" w:rsidTr="00DF284E">
        <w:trPr>
          <w:trHeight w:val="300"/>
        </w:trPr>
        <w:tc>
          <w:tcPr>
            <w:tcW w:w="1020" w:type="dxa"/>
            <w:tcBorders>
              <w:top w:val="nil"/>
              <w:left w:val="nil"/>
              <w:bottom w:val="nil"/>
              <w:right w:val="nil"/>
            </w:tcBorders>
            <w:shd w:val="clear" w:color="auto" w:fill="auto"/>
            <w:vAlign w:val="center"/>
            <w:hideMark/>
          </w:tcPr>
          <w:p w14:paraId="1D1B5A8D" w14:textId="27F69DAE" w:rsidR="00DF284E" w:rsidRPr="00D92E20" w:rsidRDefault="00DF284E" w:rsidP="00DF284E">
            <w:pPr>
              <w:spacing w:after="0" w:line="240" w:lineRule="auto"/>
              <w:jc w:val="center"/>
              <w:rPr>
                <w:rFonts w:cs="Arial"/>
                <w:color w:val="000000"/>
                <w:sz w:val="16"/>
                <w:szCs w:val="16"/>
              </w:rPr>
            </w:pPr>
            <w:r>
              <w:rPr>
                <w:rFonts w:cs="Arial"/>
                <w:sz w:val="16"/>
                <w:szCs w:val="16"/>
              </w:rPr>
              <w:t>1. pol. 2012</w:t>
            </w:r>
          </w:p>
        </w:tc>
        <w:tc>
          <w:tcPr>
            <w:tcW w:w="710" w:type="dxa"/>
            <w:tcBorders>
              <w:top w:val="nil"/>
              <w:left w:val="single" w:sz="4" w:space="0" w:color="auto"/>
              <w:bottom w:val="nil"/>
              <w:right w:val="nil"/>
            </w:tcBorders>
            <w:shd w:val="clear" w:color="auto" w:fill="auto"/>
            <w:vAlign w:val="center"/>
            <w:hideMark/>
          </w:tcPr>
          <w:p w14:paraId="3D6D9922" w14:textId="4F876078" w:rsidR="00DF284E" w:rsidRPr="00D92E20" w:rsidRDefault="00DF284E" w:rsidP="00DF284E">
            <w:pPr>
              <w:spacing w:after="0" w:line="240" w:lineRule="auto"/>
              <w:jc w:val="right"/>
              <w:rPr>
                <w:rFonts w:cs="Arial"/>
                <w:color w:val="000000"/>
                <w:sz w:val="16"/>
                <w:szCs w:val="16"/>
              </w:rPr>
            </w:pPr>
            <w:r>
              <w:rPr>
                <w:rFonts w:cs="Arial"/>
                <w:sz w:val="16"/>
                <w:szCs w:val="16"/>
              </w:rPr>
              <w:t>607,4</w:t>
            </w:r>
          </w:p>
        </w:tc>
        <w:tc>
          <w:tcPr>
            <w:tcW w:w="704" w:type="dxa"/>
            <w:tcBorders>
              <w:top w:val="nil"/>
              <w:left w:val="nil"/>
              <w:bottom w:val="nil"/>
              <w:right w:val="nil"/>
            </w:tcBorders>
            <w:shd w:val="clear" w:color="auto" w:fill="auto"/>
            <w:vAlign w:val="center"/>
            <w:hideMark/>
          </w:tcPr>
          <w:p w14:paraId="309872E3" w14:textId="0F43D088" w:rsidR="00DF284E" w:rsidRPr="00D92E20" w:rsidRDefault="00DF284E" w:rsidP="00DF284E">
            <w:pPr>
              <w:spacing w:after="0" w:line="240" w:lineRule="auto"/>
              <w:jc w:val="right"/>
              <w:rPr>
                <w:rFonts w:cs="Arial"/>
                <w:color w:val="000000"/>
                <w:sz w:val="16"/>
                <w:szCs w:val="16"/>
              </w:rPr>
            </w:pPr>
            <w:r>
              <w:rPr>
                <w:rFonts w:cs="Arial"/>
                <w:sz w:val="16"/>
                <w:szCs w:val="16"/>
              </w:rPr>
              <w:t>289,6</w:t>
            </w:r>
          </w:p>
        </w:tc>
        <w:tc>
          <w:tcPr>
            <w:tcW w:w="704" w:type="dxa"/>
            <w:tcBorders>
              <w:top w:val="nil"/>
              <w:left w:val="nil"/>
              <w:bottom w:val="nil"/>
              <w:right w:val="single" w:sz="4" w:space="0" w:color="auto"/>
            </w:tcBorders>
            <w:shd w:val="clear" w:color="auto" w:fill="auto"/>
            <w:vAlign w:val="center"/>
            <w:hideMark/>
          </w:tcPr>
          <w:p w14:paraId="637C3785" w14:textId="1A38D7F3" w:rsidR="00DF284E" w:rsidRPr="00D92E20" w:rsidRDefault="00DF284E" w:rsidP="00DF284E">
            <w:pPr>
              <w:spacing w:after="0" w:line="240" w:lineRule="auto"/>
              <w:jc w:val="right"/>
              <w:rPr>
                <w:rFonts w:cs="Arial"/>
                <w:color w:val="000000"/>
                <w:sz w:val="16"/>
                <w:szCs w:val="16"/>
              </w:rPr>
            </w:pPr>
            <w:r>
              <w:rPr>
                <w:rFonts w:cs="Arial"/>
                <w:sz w:val="16"/>
                <w:szCs w:val="16"/>
              </w:rPr>
              <w:t>317,8</w:t>
            </w:r>
          </w:p>
        </w:tc>
        <w:tc>
          <w:tcPr>
            <w:tcW w:w="707" w:type="dxa"/>
            <w:tcBorders>
              <w:top w:val="nil"/>
              <w:left w:val="nil"/>
              <w:bottom w:val="nil"/>
              <w:right w:val="nil"/>
            </w:tcBorders>
            <w:shd w:val="clear" w:color="auto" w:fill="auto"/>
            <w:vAlign w:val="center"/>
            <w:hideMark/>
          </w:tcPr>
          <w:p w14:paraId="2F6AC6FA" w14:textId="40F52462" w:rsidR="00DF284E" w:rsidRPr="00D92E20" w:rsidRDefault="00DF284E" w:rsidP="00DF284E">
            <w:pPr>
              <w:spacing w:after="0" w:line="240" w:lineRule="auto"/>
              <w:jc w:val="right"/>
              <w:rPr>
                <w:rFonts w:cs="Arial"/>
                <w:color w:val="000000"/>
                <w:sz w:val="16"/>
                <w:szCs w:val="16"/>
              </w:rPr>
            </w:pPr>
            <w:r>
              <w:rPr>
                <w:rFonts w:cs="Arial"/>
                <w:sz w:val="16"/>
                <w:szCs w:val="16"/>
              </w:rPr>
              <w:t>532,1</w:t>
            </w:r>
          </w:p>
        </w:tc>
        <w:tc>
          <w:tcPr>
            <w:tcW w:w="704" w:type="dxa"/>
            <w:tcBorders>
              <w:top w:val="nil"/>
              <w:left w:val="nil"/>
              <w:bottom w:val="nil"/>
              <w:right w:val="nil"/>
            </w:tcBorders>
            <w:shd w:val="clear" w:color="auto" w:fill="auto"/>
            <w:vAlign w:val="center"/>
            <w:hideMark/>
          </w:tcPr>
          <w:p w14:paraId="2E60409C" w14:textId="623CCCD3" w:rsidR="00DF284E" w:rsidRPr="00D92E20" w:rsidRDefault="00DF284E" w:rsidP="00DF284E">
            <w:pPr>
              <w:spacing w:after="0" w:line="240" w:lineRule="auto"/>
              <w:jc w:val="right"/>
              <w:rPr>
                <w:rFonts w:cs="Arial"/>
                <w:color w:val="000000"/>
                <w:sz w:val="16"/>
                <w:szCs w:val="16"/>
              </w:rPr>
            </w:pPr>
            <w:r>
              <w:rPr>
                <w:rFonts w:cs="Arial"/>
                <w:sz w:val="16"/>
                <w:szCs w:val="16"/>
              </w:rPr>
              <w:t>239,3</w:t>
            </w:r>
          </w:p>
        </w:tc>
        <w:tc>
          <w:tcPr>
            <w:tcW w:w="704" w:type="dxa"/>
            <w:tcBorders>
              <w:top w:val="nil"/>
              <w:left w:val="nil"/>
              <w:bottom w:val="nil"/>
              <w:right w:val="nil"/>
            </w:tcBorders>
            <w:shd w:val="clear" w:color="auto" w:fill="auto"/>
            <w:vAlign w:val="center"/>
            <w:hideMark/>
          </w:tcPr>
          <w:p w14:paraId="3D9B67B4" w14:textId="4FB111F1" w:rsidR="00DF284E" w:rsidRPr="00D92E20" w:rsidRDefault="00DF284E" w:rsidP="00DF284E">
            <w:pPr>
              <w:spacing w:after="0" w:line="240" w:lineRule="auto"/>
              <w:jc w:val="right"/>
              <w:rPr>
                <w:rFonts w:cs="Arial"/>
                <w:color w:val="000000"/>
                <w:sz w:val="16"/>
                <w:szCs w:val="16"/>
              </w:rPr>
            </w:pPr>
            <w:r>
              <w:rPr>
                <w:rFonts w:cs="Arial"/>
                <w:sz w:val="16"/>
                <w:szCs w:val="16"/>
              </w:rPr>
              <w:t>292,8</w:t>
            </w:r>
          </w:p>
        </w:tc>
        <w:tc>
          <w:tcPr>
            <w:tcW w:w="754" w:type="dxa"/>
            <w:tcBorders>
              <w:top w:val="nil"/>
              <w:left w:val="single" w:sz="4" w:space="0" w:color="auto"/>
              <w:bottom w:val="nil"/>
              <w:right w:val="nil"/>
            </w:tcBorders>
            <w:shd w:val="clear" w:color="auto" w:fill="auto"/>
            <w:vAlign w:val="center"/>
            <w:hideMark/>
          </w:tcPr>
          <w:p w14:paraId="0DE645BA" w14:textId="3A316CDD" w:rsidR="00DF284E" w:rsidRPr="00D92E20" w:rsidRDefault="00DF284E" w:rsidP="00DF284E">
            <w:pPr>
              <w:spacing w:after="0" w:line="240" w:lineRule="auto"/>
              <w:jc w:val="right"/>
              <w:rPr>
                <w:rFonts w:cs="Arial"/>
                <w:color w:val="000000"/>
                <w:sz w:val="16"/>
                <w:szCs w:val="16"/>
              </w:rPr>
            </w:pPr>
            <w:r>
              <w:rPr>
                <w:rFonts w:cs="Arial"/>
                <w:sz w:val="16"/>
                <w:szCs w:val="16"/>
              </w:rPr>
              <w:t>21,8</w:t>
            </w:r>
          </w:p>
        </w:tc>
        <w:tc>
          <w:tcPr>
            <w:tcW w:w="709" w:type="dxa"/>
            <w:tcBorders>
              <w:top w:val="nil"/>
              <w:left w:val="nil"/>
              <w:bottom w:val="nil"/>
              <w:right w:val="nil"/>
            </w:tcBorders>
            <w:shd w:val="clear" w:color="auto" w:fill="auto"/>
            <w:vAlign w:val="center"/>
            <w:hideMark/>
          </w:tcPr>
          <w:p w14:paraId="560DA22C" w14:textId="0F2FC086" w:rsidR="00DF284E" w:rsidRPr="00D92E20" w:rsidRDefault="00DF284E" w:rsidP="00DF284E">
            <w:pPr>
              <w:spacing w:after="0" w:line="240" w:lineRule="auto"/>
              <w:jc w:val="right"/>
              <w:rPr>
                <w:rFonts w:cs="Arial"/>
                <w:color w:val="000000"/>
                <w:sz w:val="16"/>
                <w:szCs w:val="16"/>
              </w:rPr>
            </w:pPr>
            <w:r>
              <w:rPr>
                <w:rFonts w:cs="Arial"/>
                <w:sz w:val="16"/>
                <w:szCs w:val="16"/>
              </w:rPr>
              <w:t>15,5</w:t>
            </w:r>
          </w:p>
        </w:tc>
        <w:tc>
          <w:tcPr>
            <w:tcW w:w="709" w:type="dxa"/>
            <w:tcBorders>
              <w:top w:val="nil"/>
              <w:left w:val="nil"/>
              <w:bottom w:val="nil"/>
              <w:right w:val="single" w:sz="4" w:space="0" w:color="auto"/>
            </w:tcBorders>
            <w:shd w:val="clear" w:color="auto" w:fill="auto"/>
            <w:vAlign w:val="center"/>
            <w:hideMark/>
          </w:tcPr>
          <w:p w14:paraId="64135543" w14:textId="42E32171" w:rsidR="00DF284E" w:rsidRPr="00D92E20" w:rsidRDefault="00DF284E" w:rsidP="00DF284E">
            <w:pPr>
              <w:spacing w:after="0" w:line="240" w:lineRule="auto"/>
              <w:jc w:val="right"/>
              <w:rPr>
                <w:rFonts w:cs="Arial"/>
                <w:color w:val="000000"/>
                <w:sz w:val="16"/>
                <w:szCs w:val="16"/>
              </w:rPr>
            </w:pPr>
            <w:r>
              <w:rPr>
                <w:rFonts w:cs="Arial"/>
                <w:sz w:val="16"/>
                <w:szCs w:val="16"/>
              </w:rPr>
              <w:t>6,3</w:t>
            </w:r>
          </w:p>
        </w:tc>
        <w:tc>
          <w:tcPr>
            <w:tcW w:w="709" w:type="dxa"/>
            <w:tcBorders>
              <w:top w:val="nil"/>
              <w:left w:val="nil"/>
              <w:bottom w:val="nil"/>
              <w:right w:val="nil"/>
            </w:tcBorders>
            <w:shd w:val="clear" w:color="auto" w:fill="auto"/>
            <w:vAlign w:val="center"/>
            <w:hideMark/>
          </w:tcPr>
          <w:p w14:paraId="54BADF07" w14:textId="33DB4812" w:rsidR="00DF284E" w:rsidRPr="00D92E20" w:rsidRDefault="00DF284E" w:rsidP="00DF284E">
            <w:pPr>
              <w:spacing w:after="0" w:line="240" w:lineRule="auto"/>
              <w:jc w:val="right"/>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vAlign w:val="center"/>
            <w:hideMark/>
          </w:tcPr>
          <w:p w14:paraId="200AFAC5" w14:textId="0EDA6193" w:rsidR="00DF284E" w:rsidRPr="00D92E20" w:rsidRDefault="00DF284E" w:rsidP="00DF284E">
            <w:pPr>
              <w:spacing w:after="0" w:line="240" w:lineRule="auto"/>
              <w:jc w:val="right"/>
              <w:rPr>
                <w:rFonts w:cs="Arial"/>
                <w:color w:val="000000"/>
                <w:sz w:val="16"/>
                <w:szCs w:val="16"/>
              </w:rPr>
            </w:pPr>
            <w:r>
              <w:rPr>
                <w:rFonts w:cs="Arial"/>
                <w:sz w:val="16"/>
                <w:szCs w:val="16"/>
              </w:rPr>
              <w:t>34,8</w:t>
            </w:r>
          </w:p>
        </w:tc>
        <w:tc>
          <w:tcPr>
            <w:tcW w:w="709" w:type="dxa"/>
            <w:tcBorders>
              <w:top w:val="nil"/>
              <w:left w:val="nil"/>
              <w:bottom w:val="nil"/>
              <w:right w:val="nil"/>
            </w:tcBorders>
            <w:shd w:val="clear" w:color="auto" w:fill="auto"/>
            <w:vAlign w:val="center"/>
            <w:hideMark/>
          </w:tcPr>
          <w:p w14:paraId="60430845" w14:textId="5F3952E5" w:rsidR="00DF284E" w:rsidRPr="00D92E20" w:rsidRDefault="00DF284E" w:rsidP="00DF284E">
            <w:pPr>
              <w:spacing w:after="0" w:line="240" w:lineRule="auto"/>
              <w:jc w:val="right"/>
              <w:rPr>
                <w:rFonts w:cs="Arial"/>
                <w:color w:val="000000"/>
                <w:sz w:val="16"/>
                <w:szCs w:val="16"/>
              </w:rPr>
            </w:pPr>
            <w:r>
              <w:rPr>
                <w:rFonts w:cs="Arial"/>
                <w:sz w:val="16"/>
                <w:szCs w:val="16"/>
              </w:rPr>
              <w:t>18,6</w:t>
            </w:r>
          </w:p>
        </w:tc>
      </w:tr>
      <w:tr w:rsidR="00DF284E" w:rsidRPr="00D92E20" w14:paraId="20CC6FD1" w14:textId="77777777" w:rsidTr="00DF284E">
        <w:trPr>
          <w:trHeight w:val="300"/>
        </w:trPr>
        <w:tc>
          <w:tcPr>
            <w:tcW w:w="1020" w:type="dxa"/>
            <w:tcBorders>
              <w:top w:val="nil"/>
              <w:left w:val="nil"/>
              <w:bottom w:val="nil"/>
              <w:right w:val="nil"/>
            </w:tcBorders>
            <w:shd w:val="clear" w:color="auto" w:fill="auto"/>
            <w:vAlign w:val="center"/>
            <w:hideMark/>
          </w:tcPr>
          <w:p w14:paraId="6DA7098E" w14:textId="3F408407" w:rsidR="00DF284E" w:rsidRPr="00D92E20" w:rsidRDefault="00DF284E" w:rsidP="00DF284E">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3C267350" w14:textId="44AD0731" w:rsidR="00DF284E" w:rsidRPr="00D92E20" w:rsidRDefault="00DF284E" w:rsidP="00DF284E">
            <w:pPr>
              <w:spacing w:after="0" w:line="240" w:lineRule="auto"/>
              <w:jc w:val="right"/>
              <w:rPr>
                <w:rFonts w:cs="Arial"/>
                <w:color w:val="000000"/>
                <w:sz w:val="16"/>
                <w:szCs w:val="16"/>
              </w:rPr>
            </w:pPr>
            <w:r>
              <w:rPr>
                <w:rFonts w:cs="Arial"/>
                <w:sz w:val="16"/>
                <w:szCs w:val="16"/>
              </w:rPr>
              <w:t>754,6</w:t>
            </w:r>
          </w:p>
        </w:tc>
        <w:tc>
          <w:tcPr>
            <w:tcW w:w="704" w:type="dxa"/>
            <w:tcBorders>
              <w:top w:val="nil"/>
              <w:left w:val="nil"/>
              <w:bottom w:val="nil"/>
              <w:right w:val="nil"/>
            </w:tcBorders>
            <w:shd w:val="clear" w:color="auto" w:fill="auto"/>
            <w:vAlign w:val="center"/>
            <w:hideMark/>
          </w:tcPr>
          <w:p w14:paraId="2A229F1A" w14:textId="5114D04A" w:rsidR="00DF284E" w:rsidRPr="00D92E20" w:rsidRDefault="00DF284E" w:rsidP="00DF284E">
            <w:pPr>
              <w:spacing w:after="0" w:line="240" w:lineRule="auto"/>
              <w:jc w:val="right"/>
              <w:rPr>
                <w:rFonts w:cs="Arial"/>
                <w:color w:val="000000"/>
                <w:sz w:val="16"/>
                <w:szCs w:val="16"/>
              </w:rPr>
            </w:pPr>
            <w:r>
              <w:rPr>
                <w:rFonts w:cs="Arial"/>
                <w:sz w:val="16"/>
                <w:szCs w:val="16"/>
              </w:rPr>
              <w:t>354,7</w:t>
            </w:r>
          </w:p>
        </w:tc>
        <w:tc>
          <w:tcPr>
            <w:tcW w:w="704" w:type="dxa"/>
            <w:tcBorders>
              <w:top w:val="nil"/>
              <w:left w:val="nil"/>
              <w:bottom w:val="nil"/>
              <w:right w:val="single" w:sz="4" w:space="0" w:color="auto"/>
            </w:tcBorders>
            <w:shd w:val="clear" w:color="auto" w:fill="auto"/>
            <w:vAlign w:val="center"/>
            <w:hideMark/>
          </w:tcPr>
          <w:p w14:paraId="0D3E7686" w14:textId="360EDA24" w:rsidR="00DF284E" w:rsidRPr="00D92E20" w:rsidRDefault="00DF284E" w:rsidP="00DF284E">
            <w:pPr>
              <w:spacing w:after="0" w:line="240" w:lineRule="auto"/>
              <w:jc w:val="right"/>
              <w:rPr>
                <w:rFonts w:cs="Arial"/>
                <w:color w:val="000000"/>
                <w:sz w:val="16"/>
                <w:szCs w:val="16"/>
              </w:rPr>
            </w:pPr>
            <w:r>
              <w:rPr>
                <w:rFonts w:cs="Arial"/>
                <w:sz w:val="16"/>
                <w:szCs w:val="16"/>
              </w:rPr>
              <w:t>399,9</w:t>
            </w:r>
          </w:p>
        </w:tc>
        <w:tc>
          <w:tcPr>
            <w:tcW w:w="707" w:type="dxa"/>
            <w:tcBorders>
              <w:top w:val="nil"/>
              <w:left w:val="nil"/>
              <w:bottom w:val="nil"/>
              <w:right w:val="nil"/>
            </w:tcBorders>
            <w:shd w:val="clear" w:color="auto" w:fill="auto"/>
            <w:vAlign w:val="center"/>
            <w:hideMark/>
          </w:tcPr>
          <w:p w14:paraId="3055B07F" w14:textId="32B14F4A" w:rsidR="00DF284E" w:rsidRPr="00D92E20" w:rsidRDefault="00DF284E" w:rsidP="00DF284E">
            <w:pPr>
              <w:spacing w:after="0" w:line="240" w:lineRule="auto"/>
              <w:jc w:val="right"/>
              <w:rPr>
                <w:rFonts w:cs="Arial"/>
                <w:color w:val="000000"/>
                <w:sz w:val="16"/>
                <w:szCs w:val="16"/>
              </w:rPr>
            </w:pPr>
            <w:r>
              <w:rPr>
                <w:rFonts w:cs="Arial"/>
                <w:sz w:val="16"/>
                <w:szCs w:val="16"/>
              </w:rPr>
              <w:t>672,2</w:t>
            </w:r>
          </w:p>
        </w:tc>
        <w:tc>
          <w:tcPr>
            <w:tcW w:w="704" w:type="dxa"/>
            <w:tcBorders>
              <w:top w:val="nil"/>
              <w:left w:val="nil"/>
              <w:bottom w:val="nil"/>
              <w:right w:val="nil"/>
            </w:tcBorders>
            <w:shd w:val="clear" w:color="auto" w:fill="auto"/>
            <w:vAlign w:val="center"/>
            <w:hideMark/>
          </w:tcPr>
          <w:p w14:paraId="6260CC5B" w14:textId="22F6E50F" w:rsidR="00DF284E" w:rsidRPr="00D92E20" w:rsidRDefault="00DF284E" w:rsidP="00DF284E">
            <w:pPr>
              <w:spacing w:after="0" w:line="240" w:lineRule="auto"/>
              <w:jc w:val="right"/>
              <w:rPr>
                <w:rFonts w:cs="Arial"/>
                <w:color w:val="000000"/>
                <w:sz w:val="16"/>
                <w:szCs w:val="16"/>
              </w:rPr>
            </w:pPr>
            <w:r>
              <w:rPr>
                <w:rFonts w:cs="Arial"/>
                <w:sz w:val="16"/>
                <w:szCs w:val="16"/>
              </w:rPr>
              <w:t>300,7</w:t>
            </w:r>
          </w:p>
        </w:tc>
        <w:tc>
          <w:tcPr>
            <w:tcW w:w="704" w:type="dxa"/>
            <w:tcBorders>
              <w:top w:val="nil"/>
              <w:left w:val="nil"/>
              <w:bottom w:val="nil"/>
              <w:right w:val="nil"/>
            </w:tcBorders>
            <w:shd w:val="clear" w:color="auto" w:fill="auto"/>
            <w:vAlign w:val="center"/>
            <w:hideMark/>
          </w:tcPr>
          <w:p w14:paraId="368C9F31" w14:textId="3EA5BF10" w:rsidR="00DF284E" w:rsidRPr="00D92E20" w:rsidRDefault="00DF284E" w:rsidP="00DF284E">
            <w:pPr>
              <w:spacing w:after="0" w:line="240" w:lineRule="auto"/>
              <w:jc w:val="right"/>
              <w:rPr>
                <w:rFonts w:cs="Arial"/>
                <w:color w:val="000000"/>
                <w:sz w:val="16"/>
                <w:szCs w:val="16"/>
              </w:rPr>
            </w:pPr>
            <w:r>
              <w:rPr>
                <w:rFonts w:cs="Arial"/>
                <w:sz w:val="16"/>
                <w:szCs w:val="16"/>
              </w:rPr>
              <w:t>371,5</w:t>
            </w:r>
          </w:p>
        </w:tc>
        <w:tc>
          <w:tcPr>
            <w:tcW w:w="754" w:type="dxa"/>
            <w:tcBorders>
              <w:top w:val="nil"/>
              <w:left w:val="single" w:sz="4" w:space="0" w:color="auto"/>
              <w:bottom w:val="nil"/>
              <w:right w:val="nil"/>
            </w:tcBorders>
            <w:shd w:val="clear" w:color="auto" w:fill="auto"/>
            <w:vAlign w:val="center"/>
            <w:hideMark/>
          </w:tcPr>
          <w:p w14:paraId="4BC3F65D" w14:textId="3FE54CB9" w:rsidR="00DF284E" w:rsidRPr="00D92E20" w:rsidRDefault="00DF284E" w:rsidP="00DF284E">
            <w:pPr>
              <w:spacing w:after="0" w:line="240" w:lineRule="auto"/>
              <w:jc w:val="right"/>
              <w:rPr>
                <w:rFonts w:cs="Arial"/>
                <w:color w:val="000000"/>
                <w:sz w:val="16"/>
                <w:szCs w:val="16"/>
              </w:rPr>
            </w:pPr>
            <w:r>
              <w:rPr>
                <w:rFonts w:cs="Arial"/>
                <w:sz w:val="16"/>
                <w:szCs w:val="16"/>
              </w:rPr>
              <w:t>21,9</w:t>
            </w:r>
          </w:p>
        </w:tc>
        <w:tc>
          <w:tcPr>
            <w:tcW w:w="709" w:type="dxa"/>
            <w:tcBorders>
              <w:top w:val="nil"/>
              <w:left w:val="nil"/>
              <w:bottom w:val="nil"/>
              <w:right w:val="nil"/>
            </w:tcBorders>
            <w:shd w:val="clear" w:color="auto" w:fill="auto"/>
            <w:vAlign w:val="center"/>
            <w:hideMark/>
          </w:tcPr>
          <w:p w14:paraId="37CF2647" w14:textId="2638B73E" w:rsidR="00DF284E" w:rsidRPr="00D92E20" w:rsidRDefault="00DF284E" w:rsidP="00DF284E">
            <w:pPr>
              <w:spacing w:after="0" w:line="240" w:lineRule="auto"/>
              <w:jc w:val="right"/>
              <w:rPr>
                <w:rFonts w:cs="Arial"/>
                <w:color w:val="000000"/>
                <w:sz w:val="16"/>
                <w:szCs w:val="16"/>
              </w:rPr>
            </w:pPr>
            <w:r>
              <w:rPr>
                <w:rFonts w:cs="Arial"/>
                <w:sz w:val="16"/>
                <w:szCs w:val="16"/>
              </w:rPr>
              <w:t>15,3</w:t>
            </w:r>
          </w:p>
        </w:tc>
        <w:tc>
          <w:tcPr>
            <w:tcW w:w="709" w:type="dxa"/>
            <w:tcBorders>
              <w:top w:val="nil"/>
              <w:left w:val="nil"/>
              <w:bottom w:val="nil"/>
              <w:right w:val="single" w:sz="4" w:space="0" w:color="auto"/>
            </w:tcBorders>
            <w:shd w:val="clear" w:color="auto" w:fill="auto"/>
            <w:vAlign w:val="center"/>
            <w:hideMark/>
          </w:tcPr>
          <w:p w14:paraId="20FC3920" w14:textId="21357D1B" w:rsidR="00DF284E" w:rsidRPr="00D92E20" w:rsidRDefault="00DF284E" w:rsidP="00DF284E">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07285778" w14:textId="4008C79B" w:rsidR="00DF284E" w:rsidRPr="00D92E20" w:rsidRDefault="00DF284E" w:rsidP="00DF284E">
            <w:pPr>
              <w:spacing w:after="0" w:line="240" w:lineRule="auto"/>
              <w:jc w:val="right"/>
              <w:rPr>
                <w:rFonts w:cs="Arial"/>
                <w:color w:val="000000"/>
                <w:sz w:val="16"/>
                <w:szCs w:val="16"/>
              </w:rPr>
            </w:pPr>
            <w:r>
              <w:rPr>
                <w:rFonts w:cs="Arial"/>
                <w:sz w:val="16"/>
                <w:szCs w:val="16"/>
              </w:rPr>
              <w:t>60,5</w:t>
            </w:r>
          </w:p>
        </w:tc>
        <w:tc>
          <w:tcPr>
            <w:tcW w:w="709" w:type="dxa"/>
            <w:tcBorders>
              <w:top w:val="nil"/>
              <w:left w:val="nil"/>
              <w:bottom w:val="nil"/>
              <w:right w:val="nil"/>
            </w:tcBorders>
            <w:shd w:val="clear" w:color="auto" w:fill="auto"/>
            <w:vAlign w:val="center"/>
            <w:hideMark/>
          </w:tcPr>
          <w:p w14:paraId="31B05E14" w14:textId="0C095116" w:rsidR="00DF284E" w:rsidRPr="00D92E20" w:rsidRDefault="00DF284E" w:rsidP="00DF284E">
            <w:pPr>
              <w:spacing w:after="0" w:line="240" w:lineRule="auto"/>
              <w:jc w:val="right"/>
              <w:rPr>
                <w:rFonts w:cs="Arial"/>
                <w:color w:val="000000"/>
                <w:sz w:val="16"/>
                <w:szCs w:val="16"/>
              </w:rPr>
            </w:pPr>
            <w:r>
              <w:rPr>
                <w:rFonts w:cs="Arial"/>
                <w:sz w:val="16"/>
                <w:szCs w:val="16"/>
              </w:rPr>
              <w:t>38,8</w:t>
            </w:r>
          </w:p>
        </w:tc>
        <w:tc>
          <w:tcPr>
            <w:tcW w:w="709" w:type="dxa"/>
            <w:tcBorders>
              <w:top w:val="nil"/>
              <w:left w:val="nil"/>
              <w:bottom w:val="nil"/>
              <w:right w:val="nil"/>
            </w:tcBorders>
            <w:shd w:val="clear" w:color="auto" w:fill="auto"/>
            <w:vAlign w:val="center"/>
            <w:hideMark/>
          </w:tcPr>
          <w:p w14:paraId="5615E3AE" w14:textId="11BB16B8" w:rsidR="00DF284E" w:rsidRPr="00D92E20" w:rsidRDefault="00DF284E" w:rsidP="00DF284E">
            <w:pPr>
              <w:spacing w:after="0" w:line="240" w:lineRule="auto"/>
              <w:jc w:val="right"/>
              <w:rPr>
                <w:rFonts w:cs="Arial"/>
                <w:color w:val="000000"/>
                <w:sz w:val="16"/>
                <w:szCs w:val="16"/>
              </w:rPr>
            </w:pPr>
            <w:r>
              <w:rPr>
                <w:rFonts w:cs="Arial"/>
                <w:sz w:val="16"/>
                <w:szCs w:val="16"/>
              </w:rPr>
              <w:t>21,7</w:t>
            </w:r>
          </w:p>
        </w:tc>
      </w:tr>
      <w:tr w:rsidR="00DF284E" w:rsidRPr="00D92E20" w14:paraId="7AC694F2" w14:textId="77777777" w:rsidTr="00DF284E">
        <w:trPr>
          <w:trHeight w:val="300"/>
        </w:trPr>
        <w:tc>
          <w:tcPr>
            <w:tcW w:w="1020" w:type="dxa"/>
            <w:tcBorders>
              <w:top w:val="nil"/>
              <w:left w:val="nil"/>
              <w:bottom w:val="nil"/>
              <w:right w:val="nil"/>
            </w:tcBorders>
            <w:shd w:val="clear" w:color="auto" w:fill="auto"/>
            <w:vAlign w:val="center"/>
            <w:hideMark/>
          </w:tcPr>
          <w:p w14:paraId="5DEA6417" w14:textId="692C84DB" w:rsidR="00DF284E" w:rsidRPr="00D92E20" w:rsidRDefault="00DF284E" w:rsidP="00DF284E">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040EA4EB" w14:textId="308551D4" w:rsidR="00DF284E" w:rsidRPr="00D92E20" w:rsidRDefault="00DF284E" w:rsidP="00DF284E">
            <w:pPr>
              <w:spacing w:after="0" w:line="240" w:lineRule="auto"/>
              <w:jc w:val="right"/>
              <w:rPr>
                <w:rFonts w:cs="Arial"/>
                <w:color w:val="000000"/>
                <w:sz w:val="16"/>
                <w:szCs w:val="16"/>
              </w:rPr>
            </w:pPr>
            <w:r>
              <w:rPr>
                <w:rFonts w:cs="Arial"/>
                <w:sz w:val="16"/>
                <w:szCs w:val="16"/>
              </w:rPr>
              <w:t>664,1</w:t>
            </w:r>
          </w:p>
        </w:tc>
        <w:tc>
          <w:tcPr>
            <w:tcW w:w="704" w:type="dxa"/>
            <w:tcBorders>
              <w:top w:val="nil"/>
              <w:left w:val="nil"/>
              <w:bottom w:val="nil"/>
              <w:right w:val="nil"/>
            </w:tcBorders>
            <w:shd w:val="clear" w:color="auto" w:fill="auto"/>
            <w:vAlign w:val="center"/>
            <w:hideMark/>
          </w:tcPr>
          <w:p w14:paraId="40D987B0" w14:textId="0EF19AFE" w:rsidR="00DF284E" w:rsidRPr="00D92E20" w:rsidRDefault="00DF284E" w:rsidP="00DF284E">
            <w:pPr>
              <w:spacing w:after="0" w:line="240" w:lineRule="auto"/>
              <w:jc w:val="right"/>
              <w:rPr>
                <w:rFonts w:cs="Arial"/>
                <w:color w:val="000000"/>
                <w:sz w:val="16"/>
                <w:szCs w:val="16"/>
              </w:rPr>
            </w:pPr>
            <w:r>
              <w:rPr>
                <w:rFonts w:cs="Arial"/>
                <w:sz w:val="16"/>
                <w:szCs w:val="16"/>
              </w:rPr>
              <w:t>313,5</w:t>
            </w:r>
          </w:p>
        </w:tc>
        <w:tc>
          <w:tcPr>
            <w:tcW w:w="704" w:type="dxa"/>
            <w:tcBorders>
              <w:top w:val="nil"/>
              <w:left w:val="nil"/>
              <w:bottom w:val="nil"/>
              <w:right w:val="single" w:sz="4" w:space="0" w:color="auto"/>
            </w:tcBorders>
            <w:shd w:val="clear" w:color="auto" w:fill="auto"/>
            <w:vAlign w:val="center"/>
            <w:hideMark/>
          </w:tcPr>
          <w:p w14:paraId="74374D3E" w14:textId="05C81A3C" w:rsidR="00DF284E" w:rsidRPr="00D92E20" w:rsidRDefault="00DF284E" w:rsidP="00DF284E">
            <w:pPr>
              <w:spacing w:after="0" w:line="240" w:lineRule="auto"/>
              <w:jc w:val="right"/>
              <w:rPr>
                <w:rFonts w:cs="Arial"/>
                <w:color w:val="000000"/>
                <w:sz w:val="16"/>
                <w:szCs w:val="16"/>
              </w:rPr>
            </w:pPr>
            <w:r>
              <w:rPr>
                <w:rFonts w:cs="Arial"/>
                <w:sz w:val="16"/>
                <w:szCs w:val="16"/>
              </w:rPr>
              <w:t>350,6</w:t>
            </w:r>
          </w:p>
        </w:tc>
        <w:tc>
          <w:tcPr>
            <w:tcW w:w="707" w:type="dxa"/>
            <w:tcBorders>
              <w:top w:val="nil"/>
              <w:left w:val="nil"/>
              <w:bottom w:val="nil"/>
              <w:right w:val="nil"/>
            </w:tcBorders>
            <w:shd w:val="clear" w:color="auto" w:fill="auto"/>
            <w:vAlign w:val="center"/>
            <w:hideMark/>
          </w:tcPr>
          <w:p w14:paraId="089B295B" w14:textId="58616583" w:rsidR="00DF284E" w:rsidRPr="00D92E20" w:rsidRDefault="00DF284E" w:rsidP="00DF284E">
            <w:pPr>
              <w:spacing w:after="0" w:line="240" w:lineRule="auto"/>
              <w:jc w:val="right"/>
              <w:rPr>
                <w:rFonts w:cs="Arial"/>
                <w:color w:val="000000"/>
                <w:sz w:val="16"/>
                <w:szCs w:val="16"/>
              </w:rPr>
            </w:pPr>
            <w:r>
              <w:rPr>
                <w:rFonts w:cs="Arial"/>
                <w:sz w:val="16"/>
                <w:szCs w:val="16"/>
              </w:rPr>
              <w:t>579,3</w:t>
            </w:r>
          </w:p>
        </w:tc>
        <w:tc>
          <w:tcPr>
            <w:tcW w:w="704" w:type="dxa"/>
            <w:tcBorders>
              <w:top w:val="nil"/>
              <w:left w:val="nil"/>
              <w:bottom w:val="nil"/>
              <w:right w:val="nil"/>
            </w:tcBorders>
            <w:shd w:val="clear" w:color="auto" w:fill="auto"/>
            <w:vAlign w:val="center"/>
            <w:hideMark/>
          </w:tcPr>
          <w:p w14:paraId="438E35D7" w14:textId="6EBC8F10" w:rsidR="00DF284E" w:rsidRPr="00D92E20" w:rsidRDefault="00DF284E" w:rsidP="00DF284E">
            <w:pPr>
              <w:spacing w:after="0" w:line="240" w:lineRule="auto"/>
              <w:jc w:val="right"/>
              <w:rPr>
                <w:rFonts w:cs="Arial"/>
                <w:color w:val="000000"/>
                <w:sz w:val="16"/>
                <w:szCs w:val="16"/>
              </w:rPr>
            </w:pPr>
            <w:r>
              <w:rPr>
                <w:rFonts w:cs="Arial"/>
                <w:sz w:val="16"/>
                <w:szCs w:val="16"/>
              </w:rPr>
              <w:t>256,8</w:t>
            </w:r>
          </w:p>
        </w:tc>
        <w:tc>
          <w:tcPr>
            <w:tcW w:w="704" w:type="dxa"/>
            <w:tcBorders>
              <w:top w:val="nil"/>
              <w:left w:val="nil"/>
              <w:bottom w:val="nil"/>
              <w:right w:val="nil"/>
            </w:tcBorders>
            <w:shd w:val="clear" w:color="auto" w:fill="auto"/>
            <w:vAlign w:val="center"/>
            <w:hideMark/>
          </w:tcPr>
          <w:p w14:paraId="41B45245" w14:textId="0E88E150" w:rsidR="00DF284E" w:rsidRPr="00D92E20" w:rsidRDefault="00DF284E" w:rsidP="00DF284E">
            <w:pPr>
              <w:spacing w:after="0" w:line="240" w:lineRule="auto"/>
              <w:jc w:val="right"/>
              <w:rPr>
                <w:rFonts w:cs="Arial"/>
                <w:color w:val="000000"/>
                <w:sz w:val="16"/>
                <w:szCs w:val="16"/>
              </w:rPr>
            </w:pPr>
            <w:r>
              <w:rPr>
                <w:rFonts w:cs="Arial"/>
                <w:sz w:val="16"/>
                <w:szCs w:val="16"/>
              </w:rPr>
              <w:t>322,4</w:t>
            </w:r>
          </w:p>
        </w:tc>
        <w:tc>
          <w:tcPr>
            <w:tcW w:w="754" w:type="dxa"/>
            <w:tcBorders>
              <w:top w:val="nil"/>
              <w:left w:val="single" w:sz="4" w:space="0" w:color="auto"/>
              <w:bottom w:val="nil"/>
              <w:right w:val="nil"/>
            </w:tcBorders>
            <w:shd w:val="clear" w:color="auto" w:fill="auto"/>
            <w:vAlign w:val="center"/>
            <w:hideMark/>
          </w:tcPr>
          <w:p w14:paraId="3DC500C0" w14:textId="71E94EA8" w:rsidR="00DF284E" w:rsidRPr="00D92E20" w:rsidRDefault="00DF284E" w:rsidP="00DF284E">
            <w:pPr>
              <w:spacing w:after="0" w:line="240" w:lineRule="auto"/>
              <w:jc w:val="right"/>
              <w:rPr>
                <w:rFonts w:cs="Arial"/>
                <w:color w:val="000000"/>
                <w:sz w:val="16"/>
                <w:szCs w:val="16"/>
              </w:rPr>
            </w:pPr>
            <w:r>
              <w:rPr>
                <w:rFonts w:cs="Arial"/>
                <w:sz w:val="16"/>
                <w:szCs w:val="16"/>
              </w:rPr>
              <w:t>22,2</w:t>
            </w:r>
          </w:p>
        </w:tc>
        <w:tc>
          <w:tcPr>
            <w:tcW w:w="709" w:type="dxa"/>
            <w:tcBorders>
              <w:top w:val="nil"/>
              <w:left w:val="nil"/>
              <w:bottom w:val="nil"/>
              <w:right w:val="nil"/>
            </w:tcBorders>
            <w:shd w:val="clear" w:color="auto" w:fill="auto"/>
            <w:vAlign w:val="center"/>
            <w:hideMark/>
          </w:tcPr>
          <w:p w14:paraId="49BA9DDE" w14:textId="04383D08" w:rsidR="00DF284E" w:rsidRPr="00D92E20" w:rsidRDefault="00DF284E" w:rsidP="00DF284E">
            <w:pPr>
              <w:spacing w:after="0" w:line="240" w:lineRule="auto"/>
              <w:jc w:val="right"/>
              <w:rPr>
                <w:rFonts w:cs="Arial"/>
                <w:color w:val="000000"/>
                <w:sz w:val="16"/>
                <w:szCs w:val="16"/>
              </w:rPr>
            </w:pPr>
            <w:r>
              <w:rPr>
                <w:rFonts w:cs="Arial"/>
                <w:sz w:val="16"/>
                <w:szCs w:val="16"/>
              </w:rPr>
              <w:t>15,6</w:t>
            </w:r>
          </w:p>
        </w:tc>
        <w:tc>
          <w:tcPr>
            <w:tcW w:w="709" w:type="dxa"/>
            <w:tcBorders>
              <w:top w:val="nil"/>
              <w:left w:val="nil"/>
              <w:bottom w:val="nil"/>
              <w:right w:val="single" w:sz="4" w:space="0" w:color="auto"/>
            </w:tcBorders>
            <w:shd w:val="clear" w:color="auto" w:fill="auto"/>
            <w:vAlign w:val="center"/>
            <w:hideMark/>
          </w:tcPr>
          <w:p w14:paraId="17471881" w14:textId="58548A93" w:rsidR="00DF284E" w:rsidRPr="00D92E20" w:rsidRDefault="00DF284E" w:rsidP="00DF284E">
            <w:pPr>
              <w:spacing w:after="0" w:line="240" w:lineRule="auto"/>
              <w:jc w:val="right"/>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1D83D1F3" w14:textId="5E087797" w:rsidR="00DF284E" w:rsidRPr="00D92E20" w:rsidRDefault="00DF284E" w:rsidP="00DF284E">
            <w:pPr>
              <w:spacing w:after="0" w:line="240" w:lineRule="auto"/>
              <w:jc w:val="right"/>
              <w:rPr>
                <w:rFonts w:cs="Arial"/>
                <w:color w:val="000000"/>
                <w:sz w:val="16"/>
                <w:szCs w:val="16"/>
              </w:rPr>
            </w:pPr>
            <w:r>
              <w:rPr>
                <w:rFonts w:cs="Arial"/>
                <w:sz w:val="16"/>
                <w:szCs w:val="16"/>
              </w:rPr>
              <w:t>62,6</w:t>
            </w:r>
          </w:p>
        </w:tc>
        <w:tc>
          <w:tcPr>
            <w:tcW w:w="709" w:type="dxa"/>
            <w:tcBorders>
              <w:top w:val="nil"/>
              <w:left w:val="nil"/>
              <w:bottom w:val="nil"/>
              <w:right w:val="nil"/>
            </w:tcBorders>
            <w:shd w:val="clear" w:color="auto" w:fill="auto"/>
            <w:vAlign w:val="center"/>
            <w:hideMark/>
          </w:tcPr>
          <w:p w14:paraId="651A1CE2" w14:textId="1C5614EB" w:rsidR="00DF284E" w:rsidRPr="00D92E20" w:rsidRDefault="00DF284E" w:rsidP="00DF284E">
            <w:pPr>
              <w:spacing w:after="0" w:line="240" w:lineRule="auto"/>
              <w:jc w:val="right"/>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vAlign w:val="center"/>
            <w:hideMark/>
          </w:tcPr>
          <w:p w14:paraId="35D3007D" w14:textId="55009A95" w:rsidR="00DF284E" w:rsidRPr="00D92E20" w:rsidRDefault="00DF284E" w:rsidP="00DF284E">
            <w:pPr>
              <w:spacing w:after="0" w:line="240" w:lineRule="auto"/>
              <w:jc w:val="right"/>
              <w:rPr>
                <w:rFonts w:cs="Arial"/>
                <w:color w:val="000000"/>
                <w:sz w:val="16"/>
                <w:szCs w:val="16"/>
              </w:rPr>
            </w:pPr>
            <w:r>
              <w:rPr>
                <w:rFonts w:cs="Arial"/>
                <w:sz w:val="16"/>
                <w:szCs w:val="16"/>
              </w:rPr>
              <w:t>21,6</w:t>
            </w:r>
          </w:p>
        </w:tc>
      </w:tr>
      <w:tr w:rsidR="00DF284E" w:rsidRPr="00D92E20" w14:paraId="4F86AD5B" w14:textId="77777777" w:rsidTr="00DF284E">
        <w:trPr>
          <w:trHeight w:val="300"/>
        </w:trPr>
        <w:tc>
          <w:tcPr>
            <w:tcW w:w="1020" w:type="dxa"/>
            <w:tcBorders>
              <w:top w:val="nil"/>
              <w:left w:val="nil"/>
              <w:bottom w:val="nil"/>
              <w:right w:val="nil"/>
            </w:tcBorders>
            <w:shd w:val="clear" w:color="auto" w:fill="auto"/>
            <w:vAlign w:val="center"/>
            <w:hideMark/>
          </w:tcPr>
          <w:p w14:paraId="2F4D0A71" w14:textId="47D49C1B" w:rsidR="00DF284E" w:rsidRPr="00D92E20" w:rsidRDefault="00DF284E" w:rsidP="00DF284E">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399654B6" w14:textId="348691C9" w:rsidR="00DF284E" w:rsidRPr="00D92E20" w:rsidRDefault="00DF284E" w:rsidP="00DF284E">
            <w:pPr>
              <w:spacing w:after="0" w:line="240" w:lineRule="auto"/>
              <w:jc w:val="right"/>
              <w:rPr>
                <w:rFonts w:cs="Arial"/>
                <w:color w:val="000000"/>
                <w:sz w:val="16"/>
                <w:szCs w:val="16"/>
              </w:rPr>
            </w:pPr>
            <w:r>
              <w:rPr>
                <w:rFonts w:cs="Arial"/>
                <w:sz w:val="16"/>
                <w:szCs w:val="16"/>
              </w:rPr>
              <w:t>873,9</w:t>
            </w:r>
          </w:p>
        </w:tc>
        <w:tc>
          <w:tcPr>
            <w:tcW w:w="704" w:type="dxa"/>
            <w:tcBorders>
              <w:top w:val="nil"/>
              <w:left w:val="nil"/>
              <w:bottom w:val="nil"/>
              <w:right w:val="nil"/>
            </w:tcBorders>
            <w:shd w:val="clear" w:color="auto" w:fill="auto"/>
            <w:vAlign w:val="center"/>
            <w:hideMark/>
          </w:tcPr>
          <w:p w14:paraId="573CA4C8" w14:textId="207CB887" w:rsidR="00DF284E" w:rsidRPr="00D92E20" w:rsidRDefault="00DF284E" w:rsidP="00DF284E">
            <w:pPr>
              <w:spacing w:after="0" w:line="240" w:lineRule="auto"/>
              <w:jc w:val="right"/>
              <w:rPr>
                <w:rFonts w:cs="Arial"/>
                <w:color w:val="000000"/>
                <w:sz w:val="16"/>
                <w:szCs w:val="16"/>
              </w:rPr>
            </w:pPr>
            <w:r>
              <w:rPr>
                <w:rFonts w:cs="Arial"/>
                <w:sz w:val="16"/>
                <w:szCs w:val="16"/>
              </w:rPr>
              <w:t>412,5</w:t>
            </w:r>
          </w:p>
        </w:tc>
        <w:tc>
          <w:tcPr>
            <w:tcW w:w="704" w:type="dxa"/>
            <w:tcBorders>
              <w:top w:val="nil"/>
              <w:left w:val="nil"/>
              <w:bottom w:val="nil"/>
              <w:right w:val="single" w:sz="4" w:space="0" w:color="auto"/>
            </w:tcBorders>
            <w:shd w:val="clear" w:color="auto" w:fill="auto"/>
            <w:vAlign w:val="center"/>
            <w:hideMark/>
          </w:tcPr>
          <w:p w14:paraId="4C8A5E41" w14:textId="38BC5C24" w:rsidR="00DF284E" w:rsidRPr="00D92E20" w:rsidRDefault="00DF284E" w:rsidP="00DF284E">
            <w:pPr>
              <w:spacing w:after="0" w:line="240" w:lineRule="auto"/>
              <w:jc w:val="right"/>
              <w:rPr>
                <w:rFonts w:cs="Arial"/>
                <w:color w:val="000000"/>
                <w:sz w:val="16"/>
                <w:szCs w:val="16"/>
              </w:rPr>
            </w:pPr>
            <w:r>
              <w:rPr>
                <w:rFonts w:cs="Arial"/>
                <w:sz w:val="16"/>
                <w:szCs w:val="16"/>
              </w:rPr>
              <w:t>461,4</w:t>
            </w:r>
          </w:p>
        </w:tc>
        <w:tc>
          <w:tcPr>
            <w:tcW w:w="707" w:type="dxa"/>
            <w:tcBorders>
              <w:top w:val="nil"/>
              <w:left w:val="nil"/>
              <w:bottom w:val="nil"/>
              <w:right w:val="nil"/>
            </w:tcBorders>
            <w:shd w:val="clear" w:color="auto" w:fill="auto"/>
            <w:vAlign w:val="center"/>
            <w:hideMark/>
          </w:tcPr>
          <w:p w14:paraId="734EB608" w14:textId="66C6402D" w:rsidR="00DF284E" w:rsidRPr="00D92E20" w:rsidRDefault="00DF284E" w:rsidP="00DF284E">
            <w:pPr>
              <w:spacing w:after="0" w:line="240" w:lineRule="auto"/>
              <w:jc w:val="right"/>
              <w:rPr>
                <w:rFonts w:cs="Arial"/>
                <w:color w:val="000000"/>
                <w:sz w:val="16"/>
                <w:szCs w:val="16"/>
              </w:rPr>
            </w:pPr>
            <w:r>
              <w:rPr>
                <w:rFonts w:cs="Arial"/>
                <w:sz w:val="16"/>
                <w:szCs w:val="16"/>
              </w:rPr>
              <w:t>783,8</w:t>
            </w:r>
          </w:p>
        </w:tc>
        <w:tc>
          <w:tcPr>
            <w:tcW w:w="704" w:type="dxa"/>
            <w:tcBorders>
              <w:top w:val="nil"/>
              <w:left w:val="nil"/>
              <w:bottom w:val="nil"/>
              <w:right w:val="nil"/>
            </w:tcBorders>
            <w:shd w:val="clear" w:color="auto" w:fill="auto"/>
            <w:vAlign w:val="center"/>
            <w:hideMark/>
          </w:tcPr>
          <w:p w14:paraId="2DAA499E" w14:textId="2E367B39" w:rsidR="00DF284E" w:rsidRPr="00D92E20" w:rsidRDefault="00DF284E" w:rsidP="00DF284E">
            <w:pPr>
              <w:spacing w:after="0" w:line="240" w:lineRule="auto"/>
              <w:jc w:val="right"/>
              <w:rPr>
                <w:rFonts w:cs="Arial"/>
                <w:color w:val="000000"/>
                <w:sz w:val="16"/>
                <w:szCs w:val="16"/>
              </w:rPr>
            </w:pPr>
            <w:r>
              <w:rPr>
                <w:rFonts w:cs="Arial"/>
                <w:sz w:val="16"/>
                <w:szCs w:val="16"/>
              </w:rPr>
              <w:t>353,4</w:t>
            </w:r>
          </w:p>
        </w:tc>
        <w:tc>
          <w:tcPr>
            <w:tcW w:w="704" w:type="dxa"/>
            <w:tcBorders>
              <w:top w:val="nil"/>
              <w:left w:val="nil"/>
              <w:bottom w:val="nil"/>
              <w:right w:val="nil"/>
            </w:tcBorders>
            <w:shd w:val="clear" w:color="auto" w:fill="auto"/>
            <w:vAlign w:val="center"/>
            <w:hideMark/>
          </w:tcPr>
          <w:p w14:paraId="78D6FDD9" w14:textId="64E1B8B4" w:rsidR="00DF284E" w:rsidRPr="00D92E20" w:rsidRDefault="00DF284E" w:rsidP="00DF284E">
            <w:pPr>
              <w:spacing w:after="0" w:line="240" w:lineRule="auto"/>
              <w:jc w:val="right"/>
              <w:rPr>
                <w:rFonts w:cs="Arial"/>
                <w:color w:val="000000"/>
                <w:sz w:val="16"/>
                <w:szCs w:val="16"/>
              </w:rPr>
            </w:pPr>
            <w:r>
              <w:rPr>
                <w:rFonts w:cs="Arial"/>
                <w:sz w:val="16"/>
                <w:szCs w:val="16"/>
              </w:rPr>
              <w:t>430,4</w:t>
            </w:r>
          </w:p>
        </w:tc>
        <w:tc>
          <w:tcPr>
            <w:tcW w:w="754" w:type="dxa"/>
            <w:tcBorders>
              <w:top w:val="nil"/>
              <w:left w:val="single" w:sz="4" w:space="0" w:color="auto"/>
              <w:bottom w:val="nil"/>
              <w:right w:val="nil"/>
            </w:tcBorders>
            <w:shd w:val="clear" w:color="auto" w:fill="auto"/>
            <w:vAlign w:val="center"/>
            <w:hideMark/>
          </w:tcPr>
          <w:p w14:paraId="6AD56AA9" w14:textId="059A34F8" w:rsidR="00DF284E" w:rsidRPr="00D92E20" w:rsidRDefault="00DF284E" w:rsidP="00DF284E">
            <w:pPr>
              <w:spacing w:after="0" w:line="240" w:lineRule="auto"/>
              <w:jc w:val="right"/>
              <w:rPr>
                <w:rFonts w:cs="Arial"/>
                <w:color w:val="000000"/>
                <w:sz w:val="16"/>
                <w:szCs w:val="16"/>
              </w:rPr>
            </w:pPr>
            <w:r>
              <w:rPr>
                <w:rFonts w:cs="Arial"/>
                <w:sz w:val="16"/>
                <w:szCs w:val="16"/>
              </w:rPr>
              <w:t>23,5</w:t>
            </w:r>
          </w:p>
        </w:tc>
        <w:tc>
          <w:tcPr>
            <w:tcW w:w="709" w:type="dxa"/>
            <w:tcBorders>
              <w:top w:val="nil"/>
              <w:left w:val="nil"/>
              <w:bottom w:val="nil"/>
              <w:right w:val="nil"/>
            </w:tcBorders>
            <w:shd w:val="clear" w:color="auto" w:fill="auto"/>
            <w:vAlign w:val="center"/>
            <w:hideMark/>
          </w:tcPr>
          <w:p w14:paraId="1869C6EA" w14:textId="6E0909C2" w:rsidR="00DF284E" w:rsidRPr="00D92E20" w:rsidRDefault="00DF284E" w:rsidP="00DF284E">
            <w:pPr>
              <w:spacing w:after="0" w:line="240" w:lineRule="auto"/>
              <w:jc w:val="right"/>
              <w:rPr>
                <w:rFonts w:cs="Arial"/>
                <w:color w:val="000000"/>
                <w:sz w:val="16"/>
                <w:szCs w:val="16"/>
              </w:rPr>
            </w:pPr>
            <w:r>
              <w:rPr>
                <w:rFonts w:cs="Arial"/>
                <w:sz w:val="16"/>
                <w:szCs w:val="16"/>
              </w:rPr>
              <w:t>16,1</w:t>
            </w:r>
          </w:p>
        </w:tc>
        <w:tc>
          <w:tcPr>
            <w:tcW w:w="709" w:type="dxa"/>
            <w:tcBorders>
              <w:top w:val="nil"/>
              <w:left w:val="nil"/>
              <w:bottom w:val="nil"/>
              <w:right w:val="single" w:sz="4" w:space="0" w:color="auto"/>
            </w:tcBorders>
            <w:shd w:val="clear" w:color="auto" w:fill="auto"/>
            <w:vAlign w:val="center"/>
            <w:hideMark/>
          </w:tcPr>
          <w:p w14:paraId="2D00B9AE" w14:textId="001D7CDC" w:rsidR="00DF284E" w:rsidRPr="00D92E20" w:rsidRDefault="00DF284E" w:rsidP="00DF284E">
            <w:pPr>
              <w:spacing w:after="0" w:line="240" w:lineRule="auto"/>
              <w:jc w:val="right"/>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0FE0044F" w14:textId="1F71B0A1" w:rsidR="00DF284E" w:rsidRPr="00D92E20" w:rsidRDefault="00DF284E" w:rsidP="00DF284E">
            <w:pPr>
              <w:spacing w:after="0" w:line="240" w:lineRule="auto"/>
              <w:jc w:val="right"/>
              <w:rPr>
                <w:rFonts w:cs="Arial"/>
                <w:color w:val="000000"/>
                <w:sz w:val="16"/>
                <w:szCs w:val="16"/>
              </w:rPr>
            </w:pPr>
            <w:r>
              <w:rPr>
                <w:rFonts w:cs="Arial"/>
                <w:sz w:val="16"/>
                <w:szCs w:val="16"/>
              </w:rPr>
              <w:t>66,6</w:t>
            </w:r>
          </w:p>
        </w:tc>
        <w:tc>
          <w:tcPr>
            <w:tcW w:w="709" w:type="dxa"/>
            <w:tcBorders>
              <w:top w:val="nil"/>
              <w:left w:val="nil"/>
              <w:bottom w:val="nil"/>
              <w:right w:val="nil"/>
            </w:tcBorders>
            <w:shd w:val="clear" w:color="auto" w:fill="auto"/>
            <w:vAlign w:val="center"/>
            <w:hideMark/>
          </w:tcPr>
          <w:p w14:paraId="2011F1BD" w14:textId="6227B39B" w:rsidR="00DF284E" w:rsidRPr="00D92E20" w:rsidRDefault="00DF284E" w:rsidP="00DF284E">
            <w:pPr>
              <w:spacing w:after="0" w:line="240" w:lineRule="auto"/>
              <w:jc w:val="right"/>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vAlign w:val="center"/>
            <w:hideMark/>
          </w:tcPr>
          <w:p w14:paraId="6B73AB7C" w14:textId="401C2B1B" w:rsidR="00DF284E" w:rsidRPr="00D92E20" w:rsidRDefault="00DF284E" w:rsidP="00DF284E">
            <w:pPr>
              <w:spacing w:after="0" w:line="240" w:lineRule="auto"/>
              <w:jc w:val="right"/>
              <w:rPr>
                <w:rFonts w:cs="Arial"/>
                <w:color w:val="000000"/>
                <w:sz w:val="16"/>
                <w:szCs w:val="16"/>
              </w:rPr>
            </w:pPr>
            <w:r>
              <w:rPr>
                <w:rFonts w:cs="Arial"/>
                <w:sz w:val="16"/>
                <w:szCs w:val="16"/>
              </w:rPr>
              <w:t>23,7</w:t>
            </w:r>
          </w:p>
        </w:tc>
      </w:tr>
      <w:tr w:rsidR="00DF284E" w:rsidRPr="00D92E20" w14:paraId="00941711" w14:textId="77777777" w:rsidTr="00DF284E">
        <w:trPr>
          <w:trHeight w:val="300"/>
        </w:trPr>
        <w:tc>
          <w:tcPr>
            <w:tcW w:w="1020" w:type="dxa"/>
            <w:tcBorders>
              <w:top w:val="nil"/>
              <w:left w:val="nil"/>
              <w:bottom w:val="nil"/>
              <w:right w:val="nil"/>
            </w:tcBorders>
            <w:shd w:val="clear" w:color="auto" w:fill="auto"/>
            <w:vAlign w:val="center"/>
            <w:hideMark/>
          </w:tcPr>
          <w:p w14:paraId="7CB558E4" w14:textId="285D4EE7" w:rsidR="00DF284E" w:rsidRPr="00D92E20" w:rsidRDefault="00DF284E" w:rsidP="00DF284E">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5420250D" w14:textId="4977E4DA" w:rsidR="00DF284E" w:rsidRPr="00D92E20" w:rsidRDefault="00DF284E" w:rsidP="00DF284E">
            <w:pPr>
              <w:spacing w:after="0" w:line="240" w:lineRule="auto"/>
              <w:jc w:val="right"/>
              <w:rPr>
                <w:rFonts w:cs="Arial"/>
                <w:color w:val="000000"/>
                <w:sz w:val="16"/>
                <w:szCs w:val="16"/>
              </w:rPr>
            </w:pPr>
            <w:r>
              <w:rPr>
                <w:rFonts w:cs="Arial"/>
                <w:sz w:val="16"/>
                <w:szCs w:val="16"/>
              </w:rPr>
              <w:t>876,5</w:t>
            </w:r>
          </w:p>
        </w:tc>
        <w:tc>
          <w:tcPr>
            <w:tcW w:w="704" w:type="dxa"/>
            <w:tcBorders>
              <w:top w:val="nil"/>
              <w:left w:val="nil"/>
              <w:bottom w:val="nil"/>
              <w:right w:val="nil"/>
            </w:tcBorders>
            <w:shd w:val="clear" w:color="auto" w:fill="auto"/>
            <w:vAlign w:val="center"/>
            <w:hideMark/>
          </w:tcPr>
          <w:p w14:paraId="703A583C" w14:textId="0A9AA225" w:rsidR="00DF284E" w:rsidRPr="00D92E20" w:rsidRDefault="00DF284E" w:rsidP="00DF284E">
            <w:pPr>
              <w:spacing w:after="0" w:line="240" w:lineRule="auto"/>
              <w:jc w:val="right"/>
              <w:rPr>
                <w:rFonts w:cs="Arial"/>
                <w:color w:val="000000"/>
                <w:sz w:val="16"/>
                <w:szCs w:val="16"/>
              </w:rPr>
            </w:pPr>
            <w:r>
              <w:rPr>
                <w:rFonts w:cs="Arial"/>
                <w:sz w:val="16"/>
                <w:szCs w:val="16"/>
              </w:rPr>
              <w:t>414,3</w:t>
            </w:r>
          </w:p>
        </w:tc>
        <w:tc>
          <w:tcPr>
            <w:tcW w:w="704" w:type="dxa"/>
            <w:tcBorders>
              <w:top w:val="nil"/>
              <w:left w:val="nil"/>
              <w:bottom w:val="nil"/>
              <w:right w:val="single" w:sz="4" w:space="0" w:color="auto"/>
            </w:tcBorders>
            <w:shd w:val="clear" w:color="auto" w:fill="auto"/>
            <w:vAlign w:val="center"/>
            <w:hideMark/>
          </w:tcPr>
          <w:p w14:paraId="0957E0F3" w14:textId="7FF6AD53" w:rsidR="00DF284E" w:rsidRPr="00D92E20" w:rsidRDefault="00DF284E" w:rsidP="00DF284E">
            <w:pPr>
              <w:spacing w:after="0" w:line="240" w:lineRule="auto"/>
              <w:jc w:val="right"/>
              <w:rPr>
                <w:rFonts w:cs="Arial"/>
                <w:color w:val="000000"/>
                <w:sz w:val="16"/>
                <w:szCs w:val="16"/>
              </w:rPr>
            </w:pPr>
            <w:r>
              <w:rPr>
                <w:rFonts w:cs="Arial"/>
                <w:sz w:val="16"/>
                <w:szCs w:val="16"/>
              </w:rPr>
              <w:t>462,1</w:t>
            </w:r>
          </w:p>
        </w:tc>
        <w:tc>
          <w:tcPr>
            <w:tcW w:w="707" w:type="dxa"/>
            <w:tcBorders>
              <w:top w:val="nil"/>
              <w:left w:val="nil"/>
              <w:bottom w:val="nil"/>
              <w:right w:val="nil"/>
            </w:tcBorders>
            <w:shd w:val="clear" w:color="auto" w:fill="auto"/>
            <w:vAlign w:val="center"/>
            <w:hideMark/>
          </w:tcPr>
          <w:p w14:paraId="0B5D742A" w14:textId="647B8D13" w:rsidR="00DF284E" w:rsidRPr="00D92E20" w:rsidRDefault="00DF284E" w:rsidP="00DF284E">
            <w:pPr>
              <w:spacing w:after="0" w:line="240" w:lineRule="auto"/>
              <w:jc w:val="right"/>
              <w:rPr>
                <w:rFonts w:cs="Arial"/>
                <w:color w:val="000000"/>
                <w:sz w:val="16"/>
                <w:szCs w:val="16"/>
              </w:rPr>
            </w:pPr>
            <w:r>
              <w:rPr>
                <w:rFonts w:cs="Arial"/>
                <w:sz w:val="16"/>
                <w:szCs w:val="16"/>
              </w:rPr>
              <w:t>777,1</w:t>
            </w:r>
          </w:p>
        </w:tc>
        <w:tc>
          <w:tcPr>
            <w:tcW w:w="704" w:type="dxa"/>
            <w:tcBorders>
              <w:top w:val="nil"/>
              <w:left w:val="nil"/>
              <w:bottom w:val="nil"/>
              <w:right w:val="nil"/>
            </w:tcBorders>
            <w:shd w:val="clear" w:color="auto" w:fill="auto"/>
            <w:vAlign w:val="center"/>
            <w:hideMark/>
          </w:tcPr>
          <w:p w14:paraId="1B3E3757" w14:textId="17829A3C" w:rsidR="00DF284E" w:rsidRPr="00D92E20" w:rsidRDefault="00DF284E" w:rsidP="00DF284E">
            <w:pPr>
              <w:spacing w:after="0" w:line="240" w:lineRule="auto"/>
              <w:jc w:val="right"/>
              <w:rPr>
                <w:rFonts w:cs="Arial"/>
                <w:color w:val="000000"/>
                <w:sz w:val="16"/>
                <w:szCs w:val="16"/>
              </w:rPr>
            </w:pPr>
            <w:r>
              <w:rPr>
                <w:rFonts w:cs="Arial"/>
                <w:sz w:val="16"/>
                <w:szCs w:val="16"/>
              </w:rPr>
              <w:t>349,5</w:t>
            </w:r>
          </w:p>
        </w:tc>
        <w:tc>
          <w:tcPr>
            <w:tcW w:w="704" w:type="dxa"/>
            <w:tcBorders>
              <w:top w:val="nil"/>
              <w:left w:val="nil"/>
              <w:bottom w:val="nil"/>
              <w:right w:val="nil"/>
            </w:tcBorders>
            <w:shd w:val="clear" w:color="auto" w:fill="auto"/>
            <w:vAlign w:val="center"/>
            <w:hideMark/>
          </w:tcPr>
          <w:p w14:paraId="3CDDD468" w14:textId="74BD2098" w:rsidR="00DF284E" w:rsidRPr="00D92E20" w:rsidRDefault="00DF284E" w:rsidP="00DF284E">
            <w:pPr>
              <w:spacing w:after="0" w:line="240" w:lineRule="auto"/>
              <w:jc w:val="right"/>
              <w:rPr>
                <w:rFonts w:cs="Arial"/>
                <w:color w:val="000000"/>
                <w:sz w:val="16"/>
                <w:szCs w:val="16"/>
              </w:rPr>
            </w:pPr>
            <w:r>
              <w:rPr>
                <w:rFonts w:cs="Arial"/>
                <w:sz w:val="16"/>
                <w:szCs w:val="16"/>
              </w:rPr>
              <w:t>427,5</w:t>
            </w:r>
          </w:p>
        </w:tc>
        <w:tc>
          <w:tcPr>
            <w:tcW w:w="754" w:type="dxa"/>
            <w:tcBorders>
              <w:top w:val="nil"/>
              <w:left w:val="single" w:sz="4" w:space="0" w:color="auto"/>
              <w:bottom w:val="nil"/>
              <w:right w:val="nil"/>
            </w:tcBorders>
            <w:shd w:val="clear" w:color="auto" w:fill="auto"/>
            <w:vAlign w:val="center"/>
            <w:hideMark/>
          </w:tcPr>
          <w:p w14:paraId="252A5E6B" w14:textId="6ED2F6D8" w:rsidR="00DF284E" w:rsidRPr="00D92E20" w:rsidRDefault="00DF284E" w:rsidP="00DF284E">
            <w:pPr>
              <w:spacing w:after="0" w:line="240" w:lineRule="auto"/>
              <w:jc w:val="right"/>
              <w:rPr>
                <w:rFonts w:cs="Arial"/>
                <w:color w:val="000000"/>
                <w:sz w:val="16"/>
                <w:szCs w:val="16"/>
              </w:rPr>
            </w:pPr>
            <w:r>
              <w:rPr>
                <w:rFonts w:cs="Arial"/>
                <w:sz w:val="16"/>
                <w:szCs w:val="16"/>
              </w:rPr>
              <w:t>24,9</w:t>
            </w:r>
          </w:p>
        </w:tc>
        <w:tc>
          <w:tcPr>
            <w:tcW w:w="709" w:type="dxa"/>
            <w:tcBorders>
              <w:top w:val="nil"/>
              <w:left w:val="nil"/>
              <w:bottom w:val="nil"/>
              <w:right w:val="nil"/>
            </w:tcBorders>
            <w:shd w:val="clear" w:color="auto" w:fill="auto"/>
            <w:vAlign w:val="center"/>
            <w:hideMark/>
          </w:tcPr>
          <w:p w14:paraId="6574F108" w14:textId="7F33B9B7" w:rsidR="00DF284E" w:rsidRPr="00D92E20" w:rsidRDefault="00DF284E" w:rsidP="00DF284E">
            <w:pPr>
              <w:spacing w:after="0" w:line="240" w:lineRule="auto"/>
              <w:jc w:val="right"/>
              <w:rPr>
                <w:rFonts w:cs="Arial"/>
                <w:color w:val="000000"/>
                <w:sz w:val="16"/>
                <w:szCs w:val="16"/>
              </w:rPr>
            </w:pPr>
            <w:r>
              <w:rPr>
                <w:rFonts w:cs="Arial"/>
                <w:sz w:val="16"/>
                <w:szCs w:val="16"/>
              </w:rPr>
              <w:t>17,1</w:t>
            </w:r>
          </w:p>
        </w:tc>
        <w:tc>
          <w:tcPr>
            <w:tcW w:w="709" w:type="dxa"/>
            <w:tcBorders>
              <w:top w:val="nil"/>
              <w:left w:val="nil"/>
              <w:bottom w:val="nil"/>
              <w:right w:val="single" w:sz="4" w:space="0" w:color="auto"/>
            </w:tcBorders>
            <w:shd w:val="clear" w:color="auto" w:fill="auto"/>
            <w:vAlign w:val="center"/>
            <w:hideMark/>
          </w:tcPr>
          <w:p w14:paraId="524FA8A8" w14:textId="0D6EBB27" w:rsidR="00DF284E" w:rsidRPr="00D92E20" w:rsidRDefault="00DF284E" w:rsidP="00DF284E">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55060C52" w14:textId="021C6246" w:rsidR="00DF284E" w:rsidRPr="00D92E20" w:rsidRDefault="00DF284E" w:rsidP="00DF284E">
            <w:pPr>
              <w:spacing w:after="0" w:line="240" w:lineRule="auto"/>
              <w:jc w:val="right"/>
              <w:rPr>
                <w:rFonts w:cs="Arial"/>
                <w:color w:val="000000"/>
                <w:sz w:val="16"/>
                <w:szCs w:val="16"/>
              </w:rPr>
            </w:pPr>
            <w:r>
              <w:rPr>
                <w:rFonts w:cs="Arial"/>
                <w:sz w:val="16"/>
                <w:szCs w:val="16"/>
              </w:rPr>
              <w:t>74,5</w:t>
            </w:r>
          </w:p>
        </w:tc>
        <w:tc>
          <w:tcPr>
            <w:tcW w:w="709" w:type="dxa"/>
            <w:tcBorders>
              <w:top w:val="nil"/>
              <w:left w:val="nil"/>
              <w:bottom w:val="nil"/>
              <w:right w:val="nil"/>
            </w:tcBorders>
            <w:shd w:val="clear" w:color="auto" w:fill="auto"/>
            <w:vAlign w:val="center"/>
            <w:hideMark/>
          </w:tcPr>
          <w:p w14:paraId="64139714" w14:textId="1D900145" w:rsidR="00DF284E" w:rsidRPr="00D92E20" w:rsidRDefault="00DF284E" w:rsidP="00DF284E">
            <w:pPr>
              <w:spacing w:after="0" w:line="240" w:lineRule="auto"/>
              <w:jc w:val="right"/>
              <w:rPr>
                <w:rFonts w:cs="Arial"/>
                <w:color w:val="000000"/>
                <w:sz w:val="16"/>
                <w:szCs w:val="16"/>
              </w:rPr>
            </w:pPr>
            <w:r>
              <w:rPr>
                <w:rFonts w:cs="Arial"/>
                <w:sz w:val="16"/>
                <w:szCs w:val="16"/>
              </w:rPr>
              <w:t>47,7</w:t>
            </w:r>
          </w:p>
        </w:tc>
        <w:tc>
          <w:tcPr>
            <w:tcW w:w="709" w:type="dxa"/>
            <w:tcBorders>
              <w:top w:val="nil"/>
              <w:left w:val="nil"/>
              <w:bottom w:val="nil"/>
              <w:right w:val="nil"/>
            </w:tcBorders>
            <w:shd w:val="clear" w:color="auto" w:fill="auto"/>
            <w:vAlign w:val="center"/>
            <w:hideMark/>
          </w:tcPr>
          <w:p w14:paraId="5E97CCAE" w14:textId="25A45BD5" w:rsidR="00DF284E" w:rsidRPr="00D92E20" w:rsidRDefault="00DF284E" w:rsidP="00DF284E">
            <w:pPr>
              <w:spacing w:after="0" w:line="240" w:lineRule="auto"/>
              <w:jc w:val="right"/>
              <w:rPr>
                <w:rFonts w:cs="Arial"/>
                <w:color w:val="000000"/>
                <w:sz w:val="16"/>
                <w:szCs w:val="16"/>
              </w:rPr>
            </w:pPr>
            <w:r>
              <w:rPr>
                <w:rFonts w:cs="Arial"/>
                <w:sz w:val="16"/>
                <w:szCs w:val="16"/>
              </w:rPr>
              <w:t>26,8</w:t>
            </w:r>
          </w:p>
        </w:tc>
      </w:tr>
      <w:tr w:rsidR="00DF284E" w:rsidRPr="00D92E20" w14:paraId="3BC1F510" w14:textId="77777777" w:rsidTr="00DF284E">
        <w:trPr>
          <w:trHeight w:val="300"/>
        </w:trPr>
        <w:tc>
          <w:tcPr>
            <w:tcW w:w="1020" w:type="dxa"/>
            <w:tcBorders>
              <w:top w:val="nil"/>
              <w:left w:val="nil"/>
              <w:bottom w:val="nil"/>
              <w:right w:val="nil"/>
            </w:tcBorders>
            <w:shd w:val="clear" w:color="auto" w:fill="auto"/>
            <w:vAlign w:val="center"/>
            <w:hideMark/>
          </w:tcPr>
          <w:p w14:paraId="4C459136" w14:textId="65958AC5" w:rsidR="00DF284E" w:rsidRPr="00D92E20" w:rsidRDefault="00DF284E" w:rsidP="00DF284E">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23E09AA3" w14:textId="65B20440" w:rsidR="00DF284E" w:rsidRPr="00D92E20" w:rsidRDefault="00DF284E" w:rsidP="00DF284E">
            <w:pPr>
              <w:spacing w:after="0" w:line="240" w:lineRule="auto"/>
              <w:jc w:val="right"/>
              <w:rPr>
                <w:rFonts w:cs="Arial"/>
                <w:color w:val="000000"/>
                <w:sz w:val="16"/>
                <w:szCs w:val="16"/>
              </w:rPr>
            </w:pPr>
            <w:r>
              <w:rPr>
                <w:rFonts w:cs="Arial"/>
                <w:sz w:val="16"/>
                <w:szCs w:val="16"/>
              </w:rPr>
              <w:t>944,7</w:t>
            </w:r>
          </w:p>
        </w:tc>
        <w:tc>
          <w:tcPr>
            <w:tcW w:w="704" w:type="dxa"/>
            <w:tcBorders>
              <w:top w:val="nil"/>
              <w:left w:val="nil"/>
              <w:bottom w:val="nil"/>
              <w:right w:val="nil"/>
            </w:tcBorders>
            <w:shd w:val="clear" w:color="auto" w:fill="auto"/>
            <w:vAlign w:val="center"/>
            <w:hideMark/>
          </w:tcPr>
          <w:p w14:paraId="7A99323B" w14:textId="0A180520" w:rsidR="00DF284E" w:rsidRPr="00D92E20" w:rsidRDefault="00DF284E" w:rsidP="00DF284E">
            <w:pPr>
              <w:spacing w:after="0" w:line="240" w:lineRule="auto"/>
              <w:jc w:val="right"/>
              <w:rPr>
                <w:rFonts w:cs="Arial"/>
                <w:color w:val="000000"/>
                <w:sz w:val="16"/>
                <w:szCs w:val="16"/>
              </w:rPr>
            </w:pPr>
            <w:r>
              <w:rPr>
                <w:rFonts w:cs="Arial"/>
                <w:sz w:val="16"/>
                <w:szCs w:val="16"/>
              </w:rPr>
              <w:t>444,1</w:t>
            </w:r>
          </w:p>
        </w:tc>
        <w:tc>
          <w:tcPr>
            <w:tcW w:w="704" w:type="dxa"/>
            <w:tcBorders>
              <w:top w:val="nil"/>
              <w:left w:val="nil"/>
              <w:bottom w:val="nil"/>
              <w:right w:val="single" w:sz="4" w:space="0" w:color="auto"/>
            </w:tcBorders>
            <w:shd w:val="clear" w:color="auto" w:fill="auto"/>
            <w:vAlign w:val="center"/>
            <w:hideMark/>
          </w:tcPr>
          <w:p w14:paraId="62290B86" w14:textId="6B8B15DC" w:rsidR="00DF284E" w:rsidRPr="00D92E20" w:rsidRDefault="00DF284E" w:rsidP="00DF284E">
            <w:pPr>
              <w:spacing w:after="0" w:line="240" w:lineRule="auto"/>
              <w:jc w:val="right"/>
              <w:rPr>
                <w:rFonts w:cs="Arial"/>
                <w:color w:val="000000"/>
                <w:sz w:val="16"/>
                <w:szCs w:val="16"/>
              </w:rPr>
            </w:pPr>
            <w:r>
              <w:rPr>
                <w:rFonts w:cs="Arial"/>
                <w:sz w:val="16"/>
                <w:szCs w:val="16"/>
              </w:rPr>
              <w:t>500,6</w:t>
            </w:r>
          </w:p>
        </w:tc>
        <w:tc>
          <w:tcPr>
            <w:tcW w:w="707" w:type="dxa"/>
            <w:tcBorders>
              <w:top w:val="nil"/>
              <w:left w:val="nil"/>
              <w:bottom w:val="nil"/>
              <w:right w:val="nil"/>
            </w:tcBorders>
            <w:shd w:val="clear" w:color="auto" w:fill="auto"/>
            <w:vAlign w:val="center"/>
            <w:hideMark/>
          </w:tcPr>
          <w:p w14:paraId="5BAC0AE4" w14:textId="12E26512" w:rsidR="00DF284E" w:rsidRPr="00D92E20" w:rsidRDefault="00DF284E" w:rsidP="00DF284E">
            <w:pPr>
              <w:spacing w:after="0" w:line="240" w:lineRule="auto"/>
              <w:jc w:val="right"/>
              <w:rPr>
                <w:rFonts w:cs="Arial"/>
                <w:color w:val="000000"/>
                <w:sz w:val="16"/>
                <w:szCs w:val="16"/>
              </w:rPr>
            </w:pPr>
            <w:r>
              <w:rPr>
                <w:rFonts w:cs="Arial"/>
                <w:sz w:val="16"/>
                <w:szCs w:val="16"/>
              </w:rPr>
              <w:t>841,6</w:t>
            </w:r>
          </w:p>
        </w:tc>
        <w:tc>
          <w:tcPr>
            <w:tcW w:w="704" w:type="dxa"/>
            <w:tcBorders>
              <w:top w:val="nil"/>
              <w:left w:val="nil"/>
              <w:bottom w:val="nil"/>
              <w:right w:val="nil"/>
            </w:tcBorders>
            <w:shd w:val="clear" w:color="auto" w:fill="auto"/>
            <w:vAlign w:val="center"/>
            <w:hideMark/>
          </w:tcPr>
          <w:p w14:paraId="722AA64A" w14:textId="0DB6D3A2" w:rsidR="00DF284E" w:rsidRPr="00D92E20" w:rsidRDefault="00DF284E" w:rsidP="00DF284E">
            <w:pPr>
              <w:spacing w:after="0" w:line="240" w:lineRule="auto"/>
              <w:jc w:val="right"/>
              <w:rPr>
                <w:rFonts w:cs="Arial"/>
                <w:color w:val="000000"/>
                <w:sz w:val="16"/>
                <w:szCs w:val="16"/>
              </w:rPr>
            </w:pPr>
            <w:r>
              <w:rPr>
                <w:rFonts w:cs="Arial"/>
                <w:sz w:val="16"/>
                <w:szCs w:val="16"/>
              </w:rPr>
              <w:t>378,5</w:t>
            </w:r>
          </w:p>
        </w:tc>
        <w:tc>
          <w:tcPr>
            <w:tcW w:w="704" w:type="dxa"/>
            <w:tcBorders>
              <w:top w:val="nil"/>
              <w:left w:val="nil"/>
              <w:bottom w:val="nil"/>
              <w:right w:val="nil"/>
            </w:tcBorders>
            <w:shd w:val="clear" w:color="auto" w:fill="auto"/>
            <w:vAlign w:val="center"/>
            <w:hideMark/>
          </w:tcPr>
          <w:p w14:paraId="693A6070" w14:textId="23919BAD" w:rsidR="00DF284E" w:rsidRPr="00D92E20" w:rsidRDefault="00DF284E" w:rsidP="00DF284E">
            <w:pPr>
              <w:spacing w:after="0" w:line="240" w:lineRule="auto"/>
              <w:jc w:val="right"/>
              <w:rPr>
                <w:rFonts w:cs="Arial"/>
                <w:color w:val="000000"/>
                <w:sz w:val="16"/>
                <w:szCs w:val="16"/>
              </w:rPr>
            </w:pPr>
            <w:r>
              <w:rPr>
                <w:rFonts w:cs="Arial"/>
                <w:sz w:val="16"/>
                <w:szCs w:val="16"/>
              </w:rPr>
              <w:t>463,1</w:t>
            </w:r>
          </w:p>
        </w:tc>
        <w:tc>
          <w:tcPr>
            <w:tcW w:w="754" w:type="dxa"/>
            <w:tcBorders>
              <w:top w:val="nil"/>
              <w:left w:val="single" w:sz="4" w:space="0" w:color="auto"/>
              <w:bottom w:val="nil"/>
              <w:right w:val="nil"/>
            </w:tcBorders>
            <w:shd w:val="clear" w:color="auto" w:fill="auto"/>
            <w:vAlign w:val="center"/>
            <w:hideMark/>
          </w:tcPr>
          <w:p w14:paraId="7F9296C1" w14:textId="488B9354" w:rsidR="00DF284E" w:rsidRPr="00D92E20" w:rsidRDefault="00DF284E" w:rsidP="00DF284E">
            <w:pPr>
              <w:spacing w:after="0" w:line="240" w:lineRule="auto"/>
              <w:jc w:val="right"/>
              <w:rPr>
                <w:rFonts w:cs="Arial"/>
                <w:color w:val="000000"/>
                <w:sz w:val="16"/>
                <w:szCs w:val="16"/>
              </w:rPr>
            </w:pPr>
            <w:r>
              <w:rPr>
                <w:rFonts w:cs="Arial"/>
                <w:sz w:val="16"/>
                <w:szCs w:val="16"/>
              </w:rPr>
              <w:t>24,7</w:t>
            </w:r>
          </w:p>
        </w:tc>
        <w:tc>
          <w:tcPr>
            <w:tcW w:w="709" w:type="dxa"/>
            <w:tcBorders>
              <w:top w:val="nil"/>
              <w:left w:val="nil"/>
              <w:bottom w:val="nil"/>
              <w:right w:val="nil"/>
            </w:tcBorders>
            <w:shd w:val="clear" w:color="auto" w:fill="auto"/>
            <w:vAlign w:val="center"/>
            <w:hideMark/>
          </w:tcPr>
          <w:p w14:paraId="35AE63CC" w14:textId="6909E4BC" w:rsidR="00DF284E" w:rsidRPr="00D92E20" w:rsidRDefault="00DF284E" w:rsidP="00DF284E">
            <w:pPr>
              <w:spacing w:after="0" w:line="240" w:lineRule="auto"/>
              <w:jc w:val="right"/>
              <w:rPr>
                <w:rFonts w:cs="Arial"/>
                <w:color w:val="000000"/>
                <w:sz w:val="16"/>
                <w:szCs w:val="16"/>
              </w:rPr>
            </w:pPr>
            <w:r>
              <w:rPr>
                <w:rFonts w:cs="Arial"/>
                <w:sz w:val="16"/>
                <w:szCs w:val="16"/>
              </w:rPr>
              <w:t>16,9</w:t>
            </w:r>
          </w:p>
        </w:tc>
        <w:tc>
          <w:tcPr>
            <w:tcW w:w="709" w:type="dxa"/>
            <w:tcBorders>
              <w:top w:val="nil"/>
              <w:left w:val="nil"/>
              <w:bottom w:val="nil"/>
              <w:right w:val="single" w:sz="4" w:space="0" w:color="auto"/>
            </w:tcBorders>
            <w:shd w:val="clear" w:color="auto" w:fill="auto"/>
            <w:vAlign w:val="center"/>
            <w:hideMark/>
          </w:tcPr>
          <w:p w14:paraId="7E376258" w14:textId="76E3299C" w:rsidR="00DF284E" w:rsidRPr="00D92E20" w:rsidRDefault="00DF284E" w:rsidP="00DF284E">
            <w:pPr>
              <w:spacing w:after="0" w:line="240" w:lineRule="auto"/>
              <w:jc w:val="right"/>
              <w:rPr>
                <w:rFonts w:cs="Arial"/>
                <w:color w:val="000000"/>
                <w:sz w:val="16"/>
                <w:szCs w:val="16"/>
              </w:rPr>
            </w:pPr>
            <w:r>
              <w:rPr>
                <w:rFonts w:cs="Arial"/>
                <w:sz w:val="16"/>
                <w:szCs w:val="16"/>
              </w:rPr>
              <w:t>7,8</w:t>
            </w:r>
          </w:p>
        </w:tc>
        <w:tc>
          <w:tcPr>
            <w:tcW w:w="709" w:type="dxa"/>
            <w:tcBorders>
              <w:top w:val="nil"/>
              <w:left w:val="nil"/>
              <w:bottom w:val="nil"/>
              <w:right w:val="nil"/>
            </w:tcBorders>
            <w:shd w:val="clear" w:color="auto" w:fill="auto"/>
            <w:vAlign w:val="center"/>
            <w:hideMark/>
          </w:tcPr>
          <w:p w14:paraId="2DC4D6FC" w14:textId="014B5F4D" w:rsidR="00DF284E" w:rsidRPr="00D92E20" w:rsidRDefault="00DF284E" w:rsidP="00DF284E">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737855B0" w14:textId="18365757" w:rsidR="00DF284E" w:rsidRPr="00D92E20" w:rsidRDefault="00DF284E" w:rsidP="00DF284E">
            <w:pPr>
              <w:spacing w:after="0" w:line="240" w:lineRule="auto"/>
              <w:jc w:val="right"/>
              <w:rPr>
                <w:rFonts w:cs="Arial"/>
                <w:color w:val="000000"/>
                <w:sz w:val="16"/>
                <w:szCs w:val="16"/>
              </w:rPr>
            </w:pPr>
            <w:r>
              <w:rPr>
                <w:rFonts w:cs="Arial"/>
                <w:sz w:val="16"/>
                <w:szCs w:val="16"/>
              </w:rPr>
              <w:t>48,7</w:t>
            </w:r>
          </w:p>
        </w:tc>
        <w:tc>
          <w:tcPr>
            <w:tcW w:w="709" w:type="dxa"/>
            <w:tcBorders>
              <w:top w:val="nil"/>
              <w:left w:val="nil"/>
              <w:bottom w:val="nil"/>
              <w:right w:val="nil"/>
            </w:tcBorders>
            <w:shd w:val="clear" w:color="auto" w:fill="auto"/>
            <w:vAlign w:val="center"/>
            <w:hideMark/>
          </w:tcPr>
          <w:p w14:paraId="6A7C4077" w14:textId="4EE434BB" w:rsidR="00DF284E" w:rsidRPr="00D92E20" w:rsidRDefault="00DF284E" w:rsidP="00DF284E">
            <w:pPr>
              <w:spacing w:after="0" w:line="240" w:lineRule="auto"/>
              <w:jc w:val="right"/>
              <w:rPr>
                <w:rFonts w:cs="Arial"/>
                <w:color w:val="000000"/>
                <w:sz w:val="16"/>
                <w:szCs w:val="16"/>
              </w:rPr>
            </w:pPr>
            <w:r>
              <w:rPr>
                <w:rFonts w:cs="Arial"/>
                <w:sz w:val="16"/>
                <w:szCs w:val="16"/>
              </w:rPr>
              <w:t>29,7</w:t>
            </w:r>
          </w:p>
        </w:tc>
      </w:tr>
      <w:tr w:rsidR="00DF284E" w:rsidRPr="00D92E20" w14:paraId="612D87D6" w14:textId="77777777" w:rsidTr="00DF284E">
        <w:trPr>
          <w:trHeight w:val="300"/>
        </w:trPr>
        <w:tc>
          <w:tcPr>
            <w:tcW w:w="1020" w:type="dxa"/>
            <w:tcBorders>
              <w:top w:val="nil"/>
              <w:left w:val="nil"/>
              <w:bottom w:val="nil"/>
              <w:right w:val="nil"/>
            </w:tcBorders>
            <w:shd w:val="clear" w:color="auto" w:fill="auto"/>
            <w:vAlign w:val="center"/>
            <w:hideMark/>
          </w:tcPr>
          <w:p w14:paraId="1AE34CDE" w14:textId="448E337F" w:rsidR="00DF284E" w:rsidRPr="00D92E20" w:rsidRDefault="00DF284E" w:rsidP="00DF284E">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1D08A343" w14:textId="0A88F261" w:rsidR="00DF284E" w:rsidRPr="00D92E20" w:rsidRDefault="00DF284E" w:rsidP="00DF284E">
            <w:pPr>
              <w:spacing w:after="0" w:line="240" w:lineRule="auto"/>
              <w:jc w:val="right"/>
              <w:rPr>
                <w:rFonts w:cs="Arial"/>
                <w:color w:val="000000"/>
                <w:sz w:val="16"/>
                <w:szCs w:val="16"/>
              </w:rPr>
            </w:pPr>
            <w:r>
              <w:rPr>
                <w:rFonts w:cs="Arial"/>
                <w:sz w:val="16"/>
                <w:szCs w:val="16"/>
              </w:rPr>
              <w:t>1 040,2</w:t>
            </w:r>
          </w:p>
        </w:tc>
        <w:tc>
          <w:tcPr>
            <w:tcW w:w="704" w:type="dxa"/>
            <w:tcBorders>
              <w:top w:val="nil"/>
              <w:left w:val="nil"/>
              <w:bottom w:val="nil"/>
              <w:right w:val="nil"/>
            </w:tcBorders>
            <w:shd w:val="clear" w:color="auto" w:fill="auto"/>
            <w:vAlign w:val="center"/>
            <w:hideMark/>
          </w:tcPr>
          <w:p w14:paraId="6F6C072C" w14:textId="6DE8835B" w:rsidR="00DF284E" w:rsidRPr="00D92E20" w:rsidRDefault="00DF284E" w:rsidP="00DF284E">
            <w:pPr>
              <w:spacing w:after="0" w:line="240" w:lineRule="auto"/>
              <w:jc w:val="right"/>
              <w:rPr>
                <w:rFonts w:cs="Arial"/>
                <w:color w:val="000000"/>
                <w:sz w:val="16"/>
                <w:szCs w:val="16"/>
              </w:rPr>
            </w:pPr>
            <w:r>
              <w:rPr>
                <w:rFonts w:cs="Arial"/>
                <w:sz w:val="16"/>
                <w:szCs w:val="16"/>
              </w:rPr>
              <w:t>484,2</w:t>
            </w:r>
          </w:p>
        </w:tc>
        <w:tc>
          <w:tcPr>
            <w:tcW w:w="704" w:type="dxa"/>
            <w:tcBorders>
              <w:top w:val="nil"/>
              <w:left w:val="nil"/>
              <w:bottom w:val="nil"/>
              <w:right w:val="single" w:sz="4" w:space="0" w:color="auto"/>
            </w:tcBorders>
            <w:shd w:val="clear" w:color="auto" w:fill="auto"/>
            <w:vAlign w:val="center"/>
            <w:hideMark/>
          </w:tcPr>
          <w:p w14:paraId="1E5C07EA" w14:textId="176A430A" w:rsidR="00DF284E" w:rsidRPr="00D92E20" w:rsidRDefault="00DF284E" w:rsidP="00DF284E">
            <w:pPr>
              <w:spacing w:after="0" w:line="240" w:lineRule="auto"/>
              <w:jc w:val="right"/>
              <w:rPr>
                <w:rFonts w:cs="Arial"/>
                <w:color w:val="000000"/>
                <w:sz w:val="16"/>
                <w:szCs w:val="16"/>
              </w:rPr>
            </w:pPr>
            <w:r>
              <w:rPr>
                <w:rFonts w:cs="Arial"/>
                <w:sz w:val="16"/>
                <w:szCs w:val="16"/>
              </w:rPr>
              <w:t>556,1</w:t>
            </w:r>
          </w:p>
        </w:tc>
        <w:tc>
          <w:tcPr>
            <w:tcW w:w="707" w:type="dxa"/>
            <w:tcBorders>
              <w:top w:val="nil"/>
              <w:left w:val="nil"/>
              <w:bottom w:val="nil"/>
              <w:right w:val="nil"/>
            </w:tcBorders>
            <w:shd w:val="clear" w:color="auto" w:fill="auto"/>
            <w:vAlign w:val="center"/>
            <w:hideMark/>
          </w:tcPr>
          <w:p w14:paraId="4BA86942" w14:textId="60FB5FF3" w:rsidR="00DF284E" w:rsidRPr="00D92E20" w:rsidRDefault="00DF284E" w:rsidP="00DF284E">
            <w:pPr>
              <w:spacing w:after="0" w:line="240" w:lineRule="auto"/>
              <w:jc w:val="right"/>
              <w:rPr>
                <w:rFonts w:cs="Arial"/>
                <w:color w:val="000000"/>
                <w:sz w:val="16"/>
                <w:szCs w:val="16"/>
              </w:rPr>
            </w:pPr>
            <w:r>
              <w:rPr>
                <w:rFonts w:cs="Arial"/>
                <w:sz w:val="16"/>
                <w:szCs w:val="16"/>
              </w:rPr>
              <w:t>937,8</w:t>
            </w:r>
          </w:p>
        </w:tc>
        <w:tc>
          <w:tcPr>
            <w:tcW w:w="704" w:type="dxa"/>
            <w:tcBorders>
              <w:top w:val="nil"/>
              <w:left w:val="nil"/>
              <w:bottom w:val="nil"/>
              <w:right w:val="nil"/>
            </w:tcBorders>
            <w:shd w:val="clear" w:color="auto" w:fill="auto"/>
            <w:vAlign w:val="center"/>
            <w:hideMark/>
          </w:tcPr>
          <w:p w14:paraId="16DAED3C" w14:textId="6A83998E" w:rsidR="00DF284E" w:rsidRPr="00D92E20" w:rsidRDefault="00DF284E" w:rsidP="00DF284E">
            <w:pPr>
              <w:spacing w:after="0" w:line="240" w:lineRule="auto"/>
              <w:jc w:val="right"/>
              <w:rPr>
                <w:rFonts w:cs="Arial"/>
                <w:color w:val="000000"/>
                <w:sz w:val="16"/>
                <w:szCs w:val="16"/>
              </w:rPr>
            </w:pPr>
            <w:r>
              <w:rPr>
                <w:rFonts w:cs="Arial"/>
                <w:sz w:val="16"/>
                <w:szCs w:val="16"/>
              </w:rPr>
              <w:t>419,5</w:t>
            </w:r>
          </w:p>
        </w:tc>
        <w:tc>
          <w:tcPr>
            <w:tcW w:w="704" w:type="dxa"/>
            <w:tcBorders>
              <w:top w:val="nil"/>
              <w:left w:val="nil"/>
              <w:bottom w:val="nil"/>
              <w:right w:val="nil"/>
            </w:tcBorders>
            <w:shd w:val="clear" w:color="auto" w:fill="auto"/>
            <w:vAlign w:val="center"/>
            <w:hideMark/>
          </w:tcPr>
          <w:p w14:paraId="67CBCB9F" w14:textId="7BECF483" w:rsidR="00DF284E" w:rsidRPr="00D92E20" w:rsidRDefault="00DF284E" w:rsidP="00DF284E">
            <w:pPr>
              <w:spacing w:after="0" w:line="240" w:lineRule="auto"/>
              <w:jc w:val="right"/>
              <w:rPr>
                <w:rFonts w:cs="Arial"/>
                <w:color w:val="000000"/>
                <w:sz w:val="16"/>
                <w:szCs w:val="16"/>
              </w:rPr>
            </w:pPr>
            <w:r>
              <w:rPr>
                <w:rFonts w:cs="Arial"/>
                <w:sz w:val="16"/>
                <w:szCs w:val="16"/>
              </w:rPr>
              <w:t>518,3</w:t>
            </w:r>
          </w:p>
        </w:tc>
        <w:tc>
          <w:tcPr>
            <w:tcW w:w="754" w:type="dxa"/>
            <w:tcBorders>
              <w:top w:val="nil"/>
              <w:left w:val="single" w:sz="4" w:space="0" w:color="auto"/>
              <w:bottom w:val="nil"/>
              <w:right w:val="nil"/>
            </w:tcBorders>
            <w:shd w:val="clear" w:color="auto" w:fill="auto"/>
            <w:vAlign w:val="center"/>
            <w:hideMark/>
          </w:tcPr>
          <w:p w14:paraId="104F6EC7" w14:textId="142D1053" w:rsidR="00DF284E" w:rsidRPr="00D92E20" w:rsidRDefault="00DF284E" w:rsidP="00DF284E">
            <w:pPr>
              <w:spacing w:after="0" w:line="240" w:lineRule="auto"/>
              <w:jc w:val="right"/>
              <w:rPr>
                <w:rFonts w:cs="Arial"/>
                <w:color w:val="000000"/>
                <w:sz w:val="16"/>
                <w:szCs w:val="16"/>
              </w:rPr>
            </w:pPr>
            <w:r>
              <w:rPr>
                <w:rFonts w:cs="Arial"/>
                <w:sz w:val="16"/>
                <w:szCs w:val="16"/>
              </w:rPr>
              <w:t>24,1</w:t>
            </w:r>
          </w:p>
        </w:tc>
        <w:tc>
          <w:tcPr>
            <w:tcW w:w="709" w:type="dxa"/>
            <w:tcBorders>
              <w:top w:val="nil"/>
              <w:left w:val="nil"/>
              <w:bottom w:val="nil"/>
              <w:right w:val="nil"/>
            </w:tcBorders>
            <w:shd w:val="clear" w:color="auto" w:fill="auto"/>
            <w:vAlign w:val="center"/>
            <w:hideMark/>
          </w:tcPr>
          <w:p w14:paraId="52597DDE" w14:textId="3CE63F6D" w:rsidR="00DF284E" w:rsidRPr="00D92E20" w:rsidRDefault="00DF284E" w:rsidP="00DF284E">
            <w:pPr>
              <w:spacing w:after="0" w:line="240" w:lineRule="auto"/>
              <w:jc w:val="right"/>
              <w:rPr>
                <w:rFonts w:cs="Arial"/>
                <w:color w:val="000000"/>
                <w:sz w:val="16"/>
                <w:szCs w:val="16"/>
              </w:rPr>
            </w:pPr>
            <w:r>
              <w:rPr>
                <w:rFonts w:cs="Arial"/>
                <w:sz w:val="16"/>
                <w:szCs w:val="16"/>
              </w:rPr>
              <w:t>16,2</w:t>
            </w:r>
          </w:p>
        </w:tc>
        <w:tc>
          <w:tcPr>
            <w:tcW w:w="709" w:type="dxa"/>
            <w:tcBorders>
              <w:top w:val="nil"/>
              <w:left w:val="nil"/>
              <w:bottom w:val="nil"/>
              <w:right w:val="single" w:sz="4" w:space="0" w:color="auto"/>
            </w:tcBorders>
            <w:shd w:val="clear" w:color="auto" w:fill="auto"/>
            <w:vAlign w:val="center"/>
            <w:hideMark/>
          </w:tcPr>
          <w:p w14:paraId="4E3E829E" w14:textId="15C01E19" w:rsidR="00DF284E" w:rsidRPr="00D92E20" w:rsidRDefault="00DF284E" w:rsidP="00DF284E">
            <w:pPr>
              <w:spacing w:after="0" w:line="240" w:lineRule="auto"/>
              <w:jc w:val="right"/>
              <w:rPr>
                <w:rFonts w:cs="Arial"/>
                <w:color w:val="000000"/>
                <w:sz w:val="16"/>
                <w:szCs w:val="16"/>
              </w:rPr>
            </w:pPr>
            <w:r>
              <w:rPr>
                <w:rFonts w:cs="Arial"/>
                <w:sz w:val="16"/>
                <w:szCs w:val="16"/>
              </w:rPr>
              <w:t>7,9</w:t>
            </w:r>
          </w:p>
        </w:tc>
        <w:tc>
          <w:tcPr>
            <w:tcW w:w="709" w:type="dxa"/>
            <w:tcBorders>
              <w:top w:val="nil"/>
              <w:left w:val="nil"/>
              <w:bottom w:val="nil"/>
              <w:right w:val="nil"/>
            </w:tcBorders>
            <w:shd w:val="clear" w:color="auto" w:fill="auto"/>
            <w:vAlign w:val="center"/>
            <w:hideMark/>
          </w:tcPr>
          <w:p w14:paraId="4F25C07D" w14:textId="2F1EBF70" w:rsidR="00DF284E" w:rsidRPr="00D92E20" w:rsidRDefault="00DF284E" w:rsidP="00DF284E">
            <w:pPr>
              <w:spacing w:after="0" w:line="240" w:lineRule="auto"/>
              <w:jc w:val="right"/>
              <w:rPr>
                <w:rFonts w:cs="Arial"/>
                <w:color w:val="000000"/>
                <w:sz w:val="16"/>
                <w:szCs w:val="16"/>
              </w:rPr>
            </w:pPr>
            <w:r>
              <w:rPr>
                <w:rFonts w:cs="Arial"/>
                <w:sz w:val="16"/>
                <w:szCs w:val="16"/>
              </w:rPr>
              <w:t>78,4</w:t>
            </w:r>
          </w:p>
        </w:tc>
        <w:tc>
          <w:tcPr>
            <w:tcW w:w="709" w:type="dxa"/>
            <w:tcBorders>
              <w:top w:val="nil"/>
              <w:left w:val="nil"/>
              <w:bottom w:val="nil"/>
              <w:right w:val="nil"/>
            </w:tcBorders>
            <w:shd w:val="clear" w:color="auto" w:fill="auto"/>
            <w:vAlign w:val="center"/>
            <w:hideMark/>
          </w:tcPr>
          <w:p w14:paraId="7656541F" w14:textId="0D854450" w:rsidR="00DF284E" w:rsidRPr="00D92E20" w:rsidRDefault="00DF284E" w:rsidP="00DF284E">
            <w:pPr>
              <w:spacing w:after="0" w:line="240" w:lineRule="auto"/>
              <w:jc w:val="right"/>
              <w:rPr>
                <w:rFonts w:cs="Arial"/>
                <w:color w:val="000000"/>
                <w:sz w:val="16"/>
                <w:szCs w:val="16"/>
              </w:rPr>
            </w:pPr>
            <w:r>
              <w:rPr>
                <w:rFonts w:cs="Arial"/>
                <w:sz w:val="16"/>
                <w:szCs w:val="16"/>
              </w:rPr>
              <w:t>48,5</w:t>
            </w:r>
          </w:p>
        </w:tc>
        <w:tc>
          <w:tcPr>
            <w:tcW w:w="709" w:type="dxa"/>
            <w:tcBorders>
              <w:top w:val="nil"/>
              <w:left w:val="nil"/>
              <w:bottom w:val="nil"/>
              <w:right w:val="nil"/>
            </w:tcBorders>
            <w:shd w:val="clear" w:color="auto" w:fill="auto"/>
            <w:vAlign w:val="center"/>
            <w:hideMark/>
          </w:tcPr>
          <w:p w14:paraId="68E62BDC" w14:textId="5CBED4E5" w:rsidR="00DF284E" w:rsidRPr="00D92E20" w:rsidRDefault="00DF284E" w:rsidP="00DF284E">
            <w:pPr>
              <w:spacing w:after="0" w:line="240" w:lineRule="auto"/>
              <w:jc w:val="right"/>
              <w:rPr>
                <w:rFonts w:cs="Arial"/>
                <w:color w:val="000000"/>
                <w:sz w:val="16"/>
                <w:szCs w:val="16"/>
              </w:rPr>
            </w:pPr>
            <w:r>
              <w:rPr>
                <w:rFonts w:cs="Arial"/>
                <w:sz w:val="16"/>
                <w:szCs w:val="16"/>
              </w:rPr>
              <w:t>29,9</w:t>
            </w:r>
          </w:p>
        </w:tc>
      </w:tr>
      <w:tr w:rsidR="00DF284E" w:rsidRPr="00D92E20" w14:paraId="1AE0213B" w14:textId="77777777" w:rsidTr="00DF284E">
        <w:trPr>
          <w:trHeight w:val="300"/>
        </w:trPr>
        <w:tc>
          <w:tcPr>
            <w:tcW w:w="1020" w:type="dxa"/>
            <w:tcBorders>
              <w:top w:val="nil"/>
              <w:left w:val="nil"/>
              <w:bottom w:val="nil"/>
              <w:right w:val="nil"/>
            </w:tcBorders>
            <w:shd w:val="clear" w:color="auto" w:fill="auto"/>
            <w:vAlign w:val="center"/>
            <w:hideMark/>
          </w:tcPr>
          <w:p w14:paraId="2AC112AE" w14:textId="5DB9E2C1" w:rsidR="00DF284E" w:rsidRPr="00D92E20" w:rsidRDefault="00DF284E" w:rsidP="00DF284E">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4BF6734E" w14:textId="2164D767" w:rsidR="00DF284E" w:rsidRPr="00D92E20" w:rsidRDefault="00DF284E" w:rsidP="00DF284E">
            <w:pPr>
              <w:spacing w:after="0" w:line="240" w:lineRule="auto"/>
              <w:jc w:val="right"/>
              <w:rPr>
                <w:rFonts w:cs="Arial"/>
                <w:color w:val="000000"/>
                <w:sz w:val="16"/>
                <w:szCs w:val="16"/>
              </w:rPr>
            </w:pPr>
            <w:r>
              <w:rPr>
                <w:rFonts w:cs="Arial"/>
                <w:color w:val="000000"/>
                <w:sz w:val="16"/>
                <w:szCs w:val="16"/>
              </w:rPr>
              <w:t>975,0</w:t>
            </w:r>
          </w:p>
        </w:tc>
        <w:tc>
          <w:tcPr>
            <w:tcW w:w="704" w:type="dxa"/>
            <w:tcBorders>
              <w:top w:val="nil"/>
              <w:left w:val="nil"/>
              <w:bottom w:val="nil"/>
              <w:right w:val="nil"/>
            </w:tcBorders>
            <w:shd w:val="clear" w:color="auto" w:fill="auto"/>
            <w:vAlign w:val="center"/>
            <w:hideMark/>
          </w:tcPr>
          <w:p w14:paraId="48B245DC" w14:textId="3A437359" w:rsidR="00DF284E" w:rsidRPr="00D92E20" w:rsidRDefault="00DF284E" w:rsidP="00DF284E">
            <w:pPr>
              <w:spacing w:after="0" w:line="240" w:lineRule="auto"/>
              <w:jc w:val="right"/>
              <w:rPr>
                <w:rFonts w:cs="Arial"/>
                <w:color w:val="000000"/>
                <w:sz w:val="16"/>
                <w:szCs w:val="16"/>
              </w:rPr>
            </w:pPr>
            <w:r>
              <w:rPr>
                <w:rFonts w:cs="Arial"/>
                <w:color w:val="000000"/>
                <w:sz w:val="16"/>
                <w:szCs w:val="16"/>
              </w:rPr>
              <w:t>453,9</w:t>
            </w:r>
          </w:p>
        </w:tc>
        <w:tc>
          <w:tcPr>
            <w:tcW w:w="704" w:type="dxa"/>
            <w:tcBorders>
              <w:top w:val="nil"/>
              <w:left w:val="nil"/>
              <w:bottom w:val="nil"/>
              <w:right w:val="single" w:sz="4" w:space="0" w:color="auto"/>
            </w:tcBorders>
            <w:shd w:val="clear" w:color="auto" w:fill="auto"/>
            <w:vAlign w:val="center"/>
            <w:hideMark/>
          </w:tcPr>
          <w:p w14:paraId="7A2EF08B" w14:textId="2ED541AF" w:rsidR="00DF284E" w:rsidRPr="00D92E20" w:rsidRDefault="00DF284E" w:rsidP="00DF284E">
            <w:pPr>
              <w:spacing w:after="0" w:line="240" w:lineRule="auto"/>
              <w:jc w:val="right"/>
              <w:rPr>
                <w:rFonts w:cs="Arial"/>
                <w:color w:val="000000"/>
                <w:sz w:val="16"/>
                <w:szCs w:val="16"/>
              </w:rPr>
            </w:pPr>
            <w:r>
              <w:rPr>
                <w:rFonts w:cs="Arial"/>
                <w:color w:val="000000"/>
                <w:sz w:val="16"/>
                <w:szCs w:val="16"/>
              </w:rPr>
              <w:t>521,0</w:t>
            </w:r>
          </w:p>
        </w:tc>
        <w:tc>
          <w:tcPr>
            <w:tcW w:w="707" w:type="dxa"/>
            <w:tcBorders>
              <w:top w:val="nil"/>
              <w:left w:val="nil"/>
              <w:bottom w:val="nil"/>
              <w:right w:val="nil"/>
            </w:tcBorders>
            <w:shd w:val="clear" w:color="auto" w:fill="auto"/>
            <w:vAlign w:val="center"/>
            <w:hideMark/>
          </w:tcPr>
          <w:p w14:paraId="75CF0CB6" w14:textId="77C7A41F" w:rsidR="00DF284E" w:rsidRPr="00D92E20" w:rsidRDefault="00DF284E" w:rsidP="00DF284E">
            <w:pPr>
              <w:spacing w:after="0" w:line="240" w:lineRule="auto"/>
              <w:jc w:val="right"/>
              <w:rPr>
                <w:rFonts w:cs="Arial"/>
                <w:color w:val="000000"/>
                <w:sz w:val="16"/>
                <w:szCs w:val="16"/>
              </w:rPr>
            </w:pPr>
            <w:r>
              <w:rPr>
                <w:rFonts w:cs="Arial"/>
                <w:color w:val="000000"/>
                <w:sz w:val="16"/>
                <w:szCs w:val="16"/>
              </w:rPr>
              <w:t>872,7</w:t>
            </w:r>
          </w:p>
        </w:tc>
        <w:tc>
          <w:tcPr>
            <w:tcW w:w="704" w:type="dxa"/>
            <w:tcBorders>
              <w:top w:val="nil"/>
              <w:left w:val="nil"/>
              <w:bottom w:val="nil"/>
              <w:right w:val="nil"/>
            </w:tcBorders>
            <w:shd w:val="clear" w:color="auto" w:fill="auto"/>
            <w:vAlign w:val="center"/>
            <w:hideMark/>
          </w:tcPr>
          <w:p w14:paraId="2327AB03" w14:textId="58191BBC" w:rsidR="00DF284E" w:rsidRPr="00D92E20" w:rsidRDefault="00DF284E" w:rsidP="00DF284E">
            <w:pPr>
              <w:spacing w:after="0" w:line="240" w:lineRule="auto"/>
              <w:jc w:val="right"/>
              <w:rPr>
                <w:rFonts w:cs="Arial"/>
                <w:color w:val="000000"/>
                <w:sz w:val="16"/>
                <w:szCs w:val="16"/>
              </w:rPr>
            </w:pPr>
            <w:r>
              <w:rPr>
                <w:rFonts w:cs="Arial"/>
                <w:color w:val="000000"/>
                <w:sz w:val="16"/>
                <w:szCs w:val="16"/>
              </w:rPr>
              <w:t>389,8</w:t>
            </w:r>
          </w:p>
        </w:tc>
        <w:tc>
          <w:tcPr>
            <w:tcW w:w="704" w:type="dxa"/>
            <w:tcBorders>
              <w:top w:val="nil"/>
              <w:left w:val="nil"/>
              <w:bottom w:val="nil"/>
              <w:right w:val="nil"/>
            </w:tcBorders>
            <w:shd w:val="clear" w:color="auto" w:fill="auto"/>
            <w:vAlign w:val="center"/>
            <w:hideMark/>
          </w:tcPr>
          <w:p w14:paraId="43D86689" w14:textId="6D5C6507" w:rsidR="00DF284E" w:rsidRPr="00D92E20" w:rsidRDefault="00DF284E" w:rsidP="00DF284E">
            <w:pPr>
              <w:spacing w:after="0" w:line="240" w:lineRule="auto"/>
              <w:jc w:val="right"/>
              <w:rPr>
                <w:rFonts w:cs="Arial"/>
                <w:color w:val="000000"/>
                <w:sz w:val="16"/>
                <w:szCs w:val="16"/>
              </w:rPr>
            </w:pPr>
            <w:r>
              <w:rPr>
                <w:rFonts w:cs="Arial"/>
                <w:color w:val="000000"/>
                <w:sz w:val="16"/>
                <w:szCs w:val="16"/>
              </w:rPr>
              <w:t>483,0</w:t>
            </w:r>
          </w:p>
        </w:tc>
        <w:tc>
          <w:tcPr>
            <w:tcW w:w="754" w:type="dxa"/>
            <w:tcBorders>
              <w:top w:val="nil"/>
              <w:left w:val="single" w:sz="4" w:space="0" w:color="auto"/>
              <w:bottom w:val="nil"/>
              <w:right w:val="nil"/>
            </w:tcBorders>
            <w:shd w:val="clear" w:color="auto" w:fill="auto"/>
            <w:vAlign w:val="center"/>
            <w:hideMark/>
          </w:tcPr>
          <w:p w14:paraId="5FE26471" w14:textId="6F3A32D4" w:rsidR="00DF284E" w:rsidRPr="00D92E20" w:rsidRDefault="00DF284E" w:rsidP="00DF284E">
            <w:pPr>
              <w:spacing w:after="0" w:line="240" w:lineRule="auto"/>
              <w:jc w:val="right"/>
              <w:rPr>
                <w:rFonts w:cs="Arial"/>
                <w:color w:val="000000"/>
                <w:sz w:val="16"/>
                <w:szCs w:val="16"/>
              </w:rPr>
            </w:pPr>
            <w:r>
              <w:rPr>
                <w:rFonts w:cs="Arial"/>
                <w:color w:val="000000"/>
                <w:sz w:val="16"/>
                <w:szCs w:val="16"/>
              </w:rPr>
              <w:t>23,2</w:t>
            </w:r>
          </w:p>
        </w:tc>
        <w:tc>
          <w:tcPr>
            <w:tcW w:w="709" w:type="dxa"/>
            <w:tcBorders>
              <w:top w:val="nil"/>
              <w:left w:val="nil"/>
              <w:bottom w:val="nil"/>
              <w:right w:val="nil"/>
            </w:tcBorders>
            <w:shd w:val="clear" w:color="auto" w:fill="auto"/>
            <w:vAlign w:val="center"/>
            <w:hideMark/>
          </w:tcPr>
          <w:p w14:paraId="0B34389E" w14:textId="3A099F77" w:rsidR="00DF284E" w:rsidRPr="00D92E20" w:rsidRDefault="00DF284E" w:rsidP="00DF284E">
            <w:pPr>
              <w:spacing w:after="0" w:line="240" w:lineRule="auto"/>
              <w:jc w:val="right"/>
              <w:rPr>
                <w:rFonts w:cs="Arial"/>
                <w:color w:val="000000"/>
                <w:sz w:val="16"/>
                <w:szCs w:val="16"/>
              </w:rPr>
            </w:pPr>
            <w:r>
              <w:rPr>
                <w:rFonts w:cs="Arial"/>
                <w:color w:val="000000"/>
                <w:sz w:val="16"/>
                <w:szCs w:val="16"/>
              </w:rPr>
              <w:t>15,6</w:t>
            </w:r>
          </w:p>
        </w:tc>
        <w:tc>
          <w:tcPr>
            <w:tcW w:w="709" w:type="dxa"/>
            <w:tcBorders>
              <w:top w:val="nil"/>
              <w:left w:val="nil"/>
              <w:bottom w:val="nil"/>
              <w:right w:val="single" w:sz="4" w:space="0" w:color="auto"/>
            </w:tcBorders>
            <w:shd w:val="clear" w:color="auto" w:fill="auto"/>
            <w:vAlign w:val="center"/>
            <w:hideMark/>
          </w:tcPr>
          <w:p w14:paraId="6D6CB8A6" w14:textId="51D1FAAF" w:rsidR="00DF284E" w:rsidRPr="00D92E20" w:rsidRDefault="00DF284E" w:rsidP="00DF284E">
            <w:pPr>
              <w:spacing w:after="0" w:line="240" w:lineRule="auto"/>
              <w:jc w:val="right"/>
              <w:rPr>
                <w:rFonts w:cs="Arial"/>
                <w:color w:val="000000"/>
                <w:sz w:val="16"/>
                <w:szCs w:val="16"/>
              </w:rPr>
            </w:pPr>
            <w:r>
              <w:rPr>
                <w:rFonts w:cs="Arial"/>
                <w:color w:val="000000"/>
                <w:sz w:val="16"/>
                <w:szCs w:val="16"/>
              </w:rPr>
              <w:t>7,6</w:t>
            </w:r>
          </w:p>
        </w:tc>
        <w:tc>
          <w:tcPr>
            <w:tcW w:w="709" w:type="dxa"/>
            <w:tcBorders>
              <w:top w:val="nil"/>
              <w:left w:val="nil"/>
              <w:bottom w:val="nil"/>
              <w:right w:val="nil"/>
            </w:tcBorders>
            <w:shd w:val="clear" w:color="auto" w:fill="auto"/>
            <w:vAlign w:val="center"/>
            <w:hideMark/>
          </w:tcPr>
          <w:p w14:paraId="7EF49B6E" w14:textId="0D39D493" w:rsidR="00DF284E" w:rsidRPr="00D92E20" w:rsidRDefault="00DF284E" w:rsidP="00DF284E">
            <w:pPr>
              <w:spacing w:after="0" w:line="240" w:lineRule="auto"/>
              <w:jc w:val="right"/>
              <w:rPr>
                <w:rFonts w:cs="Arial"/>
                <w:color w:val="000000"/>
                <w:sz w:val="16"/>
                <w:szCs w:val="16"/>
              </w:rPr>
            </w:pPr>
            <w:r>
              <w:rPr>
                <w:rFonts w:cs="Arial"/>
                <w:color w:val="000000"/>
                <w:sz w:val="16"/>
                <w:szCs w:val="16"/>
              </w:rPr>
              <w:t>79,0</w:t>
            </w:r>
          </w:p>
        </w:tc>
        <w:tc>
          <w:tcPr>
            <w:tcW w:w="709" w:type="dxa"/>
            <w:tcBorders>
              <w:top w:val="nil"/>
              <w:left w:val="nil"/>
              <w:bottom w:val="nil"/>
              <w:right w:val="nil"/>
            </w:tcBorders>
            <w:shd w:val="clear" w:color="auto" w:fill="auto"/>
            <w:vAlign w:val="center"/>
            <w:hideMark/>
          </w:tcPr>
          <w:p w14:paraId="08FBD728" w14:textId="5D061E69" w:rsidR="00DF284E" w:rsidRPr="00D92E20" w:rsidRDefault="00DF284E" w:rsidP="00DF284E">
            <w:pPr>
              <w:spacing w:after="0" w:line="240" w:lineRule="auto"/>
              <w:jc w:val="right"/>
              <w:rPr>
                <w:rFonts w:cs="Arial"/>
                <w:color w:val="000000"/>
                <w:sz w:val="16"/>
                <w:szCs w:val="16"/>
              </w:rPr>
            </w:pPr>
            <w:r>
              <w:rPr>
                <w:rFonts w:cs="Arial"/>
                <w:color w:val="000000"/>
                <w:sz w:val="16"/>
                <w:szCs w:val="16"/>
              </w:rPr>
              <w:t>48,6</w:t>
            </w:r>
          </w:p>
        </w:tc>
        <w:tc>
          <w:tcPr>
            <w:tcW w:w="709" w:type="dxa"/>
            <w:tcBorders>
              <w:top w:val="nil"/>
              <w:left w:val="nil"/>
              <w:bottom w:val="nil"/>
              <w:right w:val="nil"/>
            </w:tcBorders>
            <w:shd w:val="clear" w:color="auto" w:fill="auto"/>
            <w:vAlign w:val="center"/>
            <w:hideMark/>
          </w:tcPr>
          <w:p w14:paraId="4079C750" w14:textId="25412638" w:rsidR="00DF284E" w:rsidRPr="00D92E20" w:rsidRDefault="00DF284E" w:rsidP="00DF284E">
            <w:pPr>
              <w:spacing w:after="0" w:line="240" w:lineRule="auto"/>
              <w:jc w:val="right"/>
              <w:rPr>
                <w:rFonts w:cs="Arial"/>
                <w:color w:val="000000"/>
                <w:sz w:val="16"/>
                <w:szCs w:val="16"/>
              </w:rPr>
            </w:pPr>
            <w:r>
              <w:rPr>
                <w:rFonts w:cs="Arial"/>
                <w:color w:val="000000"/>
                <w:sz w:val="16"/>
                <w:szCs w:val="16"/>
              </w:rPr>
              <w:t>30,5</w:t>
            </w:r>
          </w:p>
        </w:tc>
      </w:tr>
      <w:tr w:rsidR="00DF284E" w:rsidRPr="00D92E20" w14:paraId="4EB26A17" w14:textId="77777777" w:rsidTr="00DF284E">
        <w:trPr>
          <w:trHeight w:val="300"/>
        </w:trPr>
        <w:tc>
          <w:tcPr>
            <w:tcW w:w="1020" w:type="dxa"/>
            <w:tcBorders>
              <w:top w:val="nil"/>
              <w:left w:val="nil"/>
              <w:bottom w:val="nil"/>
              <w:right w:val="nil"/>
            </w:tcBorders>
            <w:shd w:val="clear" w:color="auto" w:fill="auto"/>
            <w:vAlign w:val="center"/>
            <w:hideMark/>
          </w:tcPr>
          <w:p w14:paraId="23678DC1" w14:textId="46D63690" w:rsidR="00DF284E" w:rsidRPr="00D92E20" w:rsidRDefault="00DF284E" w:rsidP="00DF284E">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56B5FD3A" w14:textId="22E56F99" w:rsidR="00DF284E" w:rsidRPr="00D92E20" w:rsidRDefault="00DF284E" w:rsidP="00DF284E">
            <w:pPr>
              <w:spacing w:after="0" w:line="240" w:lineRule="auto"/>
              <w:jc w:val="right"/>
              <w:rPr>
                <w:rFonts w:cs="Arial"/>
                <w:color w:val="000000"/>
                <w:sz w:val="16"/>
                <w:szCs w:val="16"/>
              </w:rPr>
            </w:pPr>
            <w:r>
              <w:rPr>
                <w:rFonts w:cs="Arial"/>
                <w:color w:val="000000"/>
                <w:sz w:val="16"/>
                <w:szCs w:val="16"/>
              </w:rPr>
              <w:t>1 070,1</w:t>
            </w:r>
          </w:p>
        </w:tc>
        <w:tc>
          <w:tcPr>
            <w:tcW w:w="704" w:type="dxa"/>
            <w:tcBorders>
              <w:top w:val="nil"/>
              <w:left w:val="nil"/>
              <w:bottom w:val="nil"/>
              <w:right w:val="nil"/>
            </w:tcBorders>
            <w:shd w:val="clear" w:color="auto" w:fill="auto"/>
            <w:vAlign w:val="center"/>
            <w:hideMark/>
          </w:tcPr>
          <w:p w14:paraId="1EC08B4A" w14:textId="5DEED33C" w:rsidR="00DF284E" w:rsidRPr="00D92E20" w:rsidRDefault="00DF284E" w:rsidP="00DF284E">
            <w:pPr>
              <w:spacing w:after="0" w:line="240" w:lineRule="auto"/>
              <w:jc w:val="right"/>
              <w:rPr>
                <w:rFonts w:cs="Arial"/>
                <w:color w:val="000000"/>
                <w:sz w:val="16"/>
                <w:szCs w:val="16"/>
              </w:rPr>
            </w:pPr>
            <w:r>
              <w:rPr>
                <w:rFonts w:cs="Arial"/>
                <w:color w:val="000000"/>
                <w:sz w:val="16"/>
                <w:szCs w:val="16"/>
              </w:rPr>
              <w:t>510,3</w:t>
            </w:r>
          </w:p>
        </w:tc>
        <w:tc>
          <w:tcPr>
            <w:tcW w:w="704" w:type="dxa"/>
            <w:tcBorders>
              <w:top w:val="nil"/>
              <w:left w:val="nil"/>
              <w:bottom w:val="nil"/>
              <w:right w:val="single" w:sz="4" w:space="0" w:color="auto"/>
            </w:tcBorders>
            <w:shd w:val="clear" w:color="auto" w:fill="auto"/>
            <w:vAlign w:val="center"/>
            <w:hideMark/>
          </w:tcPr>
          <w:p w14:paraId="5BAC5AF7" w14:textId="3422CD05" w:rsidR="00DF284E" w:rsidRPr="00D92E20" w:rsidRDefault="00DF284E" w:rsidP="00DF284E">
            <w:pPr>
              <w:spacing w:after="0" w:line="240" w:lineRule="auto"/>
              <w:jc w:val="right"/>
              <w:rPr>
                <w:rFonts w:cs="Arial"/>
                <w:color w:val="000000"/>
                <w:sz w:val="16"/>
                <w:szCs w:val="16"/>
              </w:rPr>
            </w:pPr>
            <w:r>
              <w:rPr>
                <w:rFonts w:cs="Arial"/>
                <w:color w:val="000000"/>
                <w:sz w:val="16"/>
                <w:szCs w:val="16"/>
              </w:rPr>
              <w:t>559,8</w:t>
            </w:r>
          </w:p>
        </w:tc>
        <w:tc>
          <w:tcPr>
            <w:tcW w:w="707" w:type="dxa"/>
            <w:tcBorders>
              <w:top w:val="nil"/>
              <w:left w:val="nil"/>
              <w:bottom w:val="nil"/>
              <w:right w:val="nil"/>
            </w:tcBorders>
            <w:shd w:val="clear" w:color="auto" w:fill="auto"/>
            <w:vAlign w:val="center"/>
            <w:hideMark/>
          </w:tcPr>
          <w:p w14:paraId="7E2AA1B3" w14:textId="05116462" w:rsidR="00DF284E" w:rsidRPr="00D92E20" w:rsidRDefault="00DF284E" w:rsidP="00DF284E">
            <w:pPr>
              <w:spacing w:after="0" w:line="240" w:lineRule="auto"/>
              <w:jc w:val="right"/>
              <w:rPr>
                <w:rFonts w:cs="Arial"/>
                <w:color w:val="000000"/>
                <w:sz w:val="16"/>
                <w:szCs w:val="16"/>
              </w:rPr>
            </w:pPr>
            <w:r>
              <w:rPr>
                <w:rFonts w:cs="Arial"/>
                <w:color w:val="000000"/>
                <w:sz w:val="16"/>
                <w:szCs w:val="16"/>
              </w:rPr>
              <w:t>976,9</w:t>
            </w:r>
          </w:p>
        </w:tc>
        <w:tc>
          <w:tcPr>
            <w:tcW w:w="704" w:type="dxa"/>
            <w:tcBorders>
              <w:top w:val="nil"/>
              <w:left w:val="nil"/>
              <w:bottom w:val="nil"/>
              <w:right w:val="nil"/>
            </w:tcBorders>
            <w:shd w:val="clear" w:color="auto" w:fill="auto"/>
            <w:vAlign w:val="center"/>
            <w:hideMark/>
          </w:tcPr>
          <w:p w14:paraId="448A466A" w14:textId="720DCD7D" w:rsidR="00DF284E" w:rsidRPr="00D92E20" w:rsidRDefault="00DF284E" w:rsidP="00DF284E">
            <w:pPr>
              <w:spacing w:after="0" w:line="240" w:lineRule="auto"/>
              <w:jc w:val="right"/>
              <w:rPr>
                <w:rFonts w:cs="Arial"/>
                <w:color w:val="000000"/>
                <w:sz w:val="16"/>
                <w:szCs w:val="16"/>
              </w:rPr>
            </w:pPr>
            <w:r>
              <w:rPr>
                <w:rFonts w:cs="Arial"/>
                <w:color w:val="000000"/>
                <w:sz w:val="16"/>
                <w:szCs w:val="16"/>
              </w:rPr>
              <w:t>451,4</w:t>
            </w:r>
          </w:p>
        </w:tc>
        <w:tc>
          <w:tcPr>
            <w:tcW w:w="704" w:type="dxa"/>
            <w:tcBorders>
              <w:top w:val="nil"/>
              <w:left w:val="nil"/>
              <w:bottom w:val="nil"/>
              <w:right w:val="nil"/>
            </w:tcBorders>
            <w:shd w:val="clear" w:color="auto" w:fill="auto"/>
            <w:vAlign w:val="center"/>
            <w:hideMark/>
          </w:tcPr>
          <w:p w14:paraId="07BC2A0D" w14:textId="5774ACA2" w:rsidR="00DF284E" w:rsidRPr="00D92E20" w:rsidRDefault="00DF284E" w:rsidP="00DF284E">
            <w:pPr>
              <w:spacing w:after="0" w:line="240" w:lineRule="auto"/>
              <w:jc w:val="right"/>
              <w:rPr>
                <w:rFonts w:cs="Arial"/>
                <w:color w:val="000000"/>
                <w:sz w:val="16"/>
                <w:szCs w:val="16"/>
              </w:rPr>
            </w:pPr>
            <w:r>
              <w:rPr>
                <w:rFonts w:cs="Arial"/>
                <w:color w:val="000000"/>
                <w:sz w:val="16"/>
                <w:szCs w:val="16"/>
              </w:rPr>
              <w:t>525,5</w:t>
            </w:r>
          </w:p>
        </w:tc>
        <w:tc>
          <w:tcPr>
            <w:tcW w:w="754" w:type="dxa"/>
            <w:tcBorders>
              <w:top w:val="nil"/>
              <w:left w:val="single" w:sz="4" w:space="0" w:color="auto"/>
              <w:bottom w:val="nil"/>
              <w:right w:val="nil"/>
            </w:tcBorders>
            <w:shd w:val="clear" w:color="auto" w:fill="auto"/>
            <w:vAlign w:val="center"/>
            <w:hideMark/>
          </w:tcPr>
          <w:p w14:paraId="58A5EA85" w14:textId="1B7F6989" w:rsidR="00DF284E" w:rsidRPr="00D92E20" w:rsidRDefault="00DF284E" w:rsidP="00DF284E">
            <w:pPr>
              <w:spacing w:after="0" w:line="240" w:lineRule="auto"/>
              <w:jc w:val="right"/>
              <w:rPr>
                <w:rFonts w:cs="Arial"/>
                <w:color w:val="000000"/>
                <w:sz w:val="16"/>
                <w:szCs w:val="16"/>
              </w:rPr>
            </w:pPr>
            <w:r>
              <w:rPr>
                <w:rFonts w:cs="Arial"/>
                <w:color w:val="000000"/>
                <w:sz w:val="16"/>
                <w:szCs w:val="16"/>
              </w:rPr>
              <w:t>20,5</w:t>
            </w:r>
          </w:p>
        </w:tc>
        <w:tc>
          <w:tcPr>
            <w:tcW w:w="709" w:type="dxa"/>
            <w:tcBorders>
              <w:top w:val="nil"/>
              <w:left w:val="nil"/>
              <w:bottom w:val="nil"/>
              <w:right w:val="nil"/>
            </w:tcBorders>
            <w:shd w:val="clear" w:color="auto" w:fill="auto"/>
            <w:vAlign w:val="center"/>
            <w:hideMark/>
          </w:tcPr>
          <w:p w14:paraId="7022DA30" w14:textId="66F71A56" w:rsidR="00DF284E" w:rsidRPr="00D92E20" w:rsidRDefault="00DF284E" w:rsidP="00DF284E">
            <w:pPr>
              <w:spacing w:after="0" w:line="240" w:lineRule="auto"/>
              <w:jc w:val="right"/>
              <w:rPr>
                <w:rFonts w:cs="Arial"/>
                <w:color w:val="000000"/>
                <w:sz w:val="16"/>
                <w:szCs w:val="16"/>
              </w:rPr>
            </w:pPr>
            <w:r>
              <w:rPr>
                <w:rFonts w:cs="Arial"/>
                <w:color w:val="000000"/>
                <w:sz w:val="16"/>
                <w:szCs w:val="16"/>
              </w:rPr>
              <w:t>14,2</w:t>
            </w:r>
          </w:p>
        </w:tc>
        <w:tc>
          <w:tcPr>
            <w:tcW w:w="709" w:type="dxa"/>
            <w:tcBorders>
              <w:top w:val="nil"/>
              <w:left w:val="nil"/>
              <w:bottom w:val="nil"/>
              <w:right w:val="single" w:sz="4" w:space="0" w:color="auto"/>
            </w:tcBorders>
            <w:shd w:val="clear" w:color="auto" w:fill="auto"/>
            <w:vAlign w:val="center"/>
            <w:hideMark/>
          </w:tcPr>
          <w:p w14:paraId="04195688" w14:textId="7502DAE4" w:rsidR="00DF284E" w:rsidRPr="00D92E20" w:rsidRDefault="00DF284E" w:rsidP="00DF284E">
            <w:pPr>
              <w:spacing w:after="0" w:line="240" w:lineRule="auto"/>
              <w:jc w:val="right"/>
              <w:rPr>
                <w:rFonts w:cs="Arial"/>
                <w:color w:val="000000"/>
                <w:sz w:val="16"/>
                <w:szCs w:val="16"/>
              </w:rPr>
            </w:pPr>
            <w:r>
              <w:rPr>
                <w:rFonts w:cs="Arial"/>
                <w:color w:val="000000"/>
                <w:sz w:val="16"/>
                <w:szCs w:val="16"/>
              </w:rPr>
              <w:t>6,3</w:t>
            </w:r>
          </w:p>
        </w:tc>
        <w:tc>
          <w:tcPr>
            <w:tcW w:w="709" w:type="dxa"/>
            <w:tcBorders>
              <w:top w:val="nil"/>
              <w:left w:val="nil"/>
              <w:bottom w:val="nil"/>
              <w:right w:val="nil"/>
            </w:tcBorders>
            <w:shd w:val="clear" w:color="auto" w:fill="auto"/>
            <w:vAlign w:val="center"/>
            <w:hideMark/>
          </w:tcPr>
          <w:p w14:paraId="5B1952E1" w14:textId="1AE197BE" w:rsidR="00DF284E" w:rsidRPr="00D92E20" w:rsidRDefault="00DF284E" w:rsidP="00DF284E">
            <w:pPr>
              <w:spacing w:after="0" w:line="240" w:lineRule="auto"/>
              <w:jc w:val="right"/>
              <w:rPr>
                <w:rFonts w:cs="Arial"/>
                <w:color w:val="000000"/>
                <w:sz w:val="16"/>
                <w:szCs w:val="16"/>
              </w:rPr>
            </w:pPr>
            <w:r>
              <w:rPr>
                <w:rFonts w:cs="Arial"/>
                <w:color w:val="000000"/>
                <w:sz w:val="16"/>
                <w:szCs w:val="16"/>
              </w:rPr>
              <w:t>72,7</w:t>
            </w:r>
          </w:p>
        </w:tc>
        <w:tc>
          <w:tcPr>
            <w:tcW w:w="709" w:type="dxa"/>
            <w:tcBorders>
              <w:top w:val="nil"/>
              <w:left w:val="nil"/>
              <w:bottom w:val="nil"/>
              <w:right w:val="nil"/>
            </w:tcBorders>
            <w:shd w:val="clear" w:color="auto" w:fill="auto"/>
            <w:vAlign w:val="center"/>
            <w:hideMark/>
          </w:tcPr>
          <w:p w14:paraId="758D79C5" w14:textId="695F46D4" w:rsidR="00DF284E" w:rsidRPr="00D92E20" w:rsidRDefault="00DF284E" w:rsidP="00DF284E">
            <w:pPr>
              <w:spacing w:after="0" w:line="240" w:lineRule="auto"/>
              <w:jc w:val="right"/>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vAlign w:val="center"/>
            <w:hideMark/>
          </w:tcPr>
          <w:p w14:paraId="4F857A52" w14:textId="6AF06A13" w:rsidR="00DF284E" w:rsidRPr="00D92E20" w:rsidRDefault="00DF284E" w:rsidP="00DF284E">
            <w:pPr>
              <w:spacing w:after="0" w:line="240" w:lineRule="auto"/>
              <w:jc w:val="right"/>
              <w:rPr>
                <w:rFonts w:cs="Arial"/>
                <w:color w:val="000000"/>
                <w:sz w:val="16"/>
                <w:szCs w:val="16"/>
              </w:rPr>
            </w:pPr>
            <w:r>
              <w:rPr>
                <w:rFonts w:cs="Arial"/>
                <w:color w:val="000000"/>
                <w:sz w:val="16"/>
                <w:szCs w:val="16"/>
              </w:rPr>
              <w:t>28,0</w:t>
            </w:r>
          </w:p>
        </w:tc>
      </w:tr>
      <w:tr w:rsidR="00DF284E" w:rsidRPr="00D92E20" w14:paraId="6DC356AE" w14:textId="77777777" w:rsidTr="00DF284E">
        <w:trPr>
          <w:trHeight w:val="300"/>
        </w:trPr>
        <w:tc>
          <w:tcPr>
            <w:tcW w:w="1020" w:type="dxa"/>
            <w:tcBorders>
              <w:top w:val="nil"/>
              <w:left w:val="nil"/>
              <w:bottom w:val="nil"/>
              <w:right w:val="single" w:sz="4" w:space="0" w:color="auto"/>
            </w:tcBorders>
            <w:shd w:val="clear" w:color="auto" w:fill="auto"/>
            <w:vAlign w:val="center"/>
            <w:hideMark/>
          </w:tcPr>
          <w:p w14:paraId="2D9CC714" w14:textId="541F5737" w:rsidR="00DF284E" w:rsidRPr="00D92E20" w:rsidRDefault="00DF284E" w:rsidP="00DF284E">
            <w:pPr>
              <w:spacing w:after="0" w:line="240" w:lineRule="auto"/>
              <w:jc w:val="center"/>
              <w:rPr>
                <w:rFonts w:cs="Arial"/>
                <w:color w:val="000000"/>
                <w:sz w:val="16"/>
                <w:szCs w:val="16"/>
              </w:rPr>
            </w:pPr>
            <w:r>
              <w:rPr>
                <w:rFonts w:cs="Arial"/>
                <w:sz w:val="16"/>
                <w:szCs w:val="16"/>
              </w:rPr>
              <w:t>1. pol. 2021</w:t>
            </w:r>
          </w:p>
        </w:tc>
        <w:tc>
          <w:tcPr>
            <w:tcW w:w="710" w:type="dxa"/>
            <w:tcBorders>
              <w:top w:val="nil"/>
              <w:left w:val="nil"/>
              <w:bottom w:val="nil"/>
              <w:right w:val="nil"/>
            </w:tcBorders>
            <w:shd w:val="clear" w:color="auto" w:fill="auto"/>
            <w:vAlign w:val="center"/>
            <w:hideMark/>
          </w:tcPr>
          <w:p w14:paraId="728E121E" w14:textId="2B891A4D" w:rsidR="00DF284E" w:rsidRPr="00D92E20" w:rsidRDefault="00DF284E" w:rsidP="00DF284E">
            <w:pPr>
              <w:spacing w:after="0" w:line="240" w:lineRule="auto"/>
              <w:jc w:val="right"/>
              <w:rPr>
                <w:rFonts w:cs="Arial"/>
                <w:color w:val="000000"/>
                <w:sz w:val="16"/>
                <w:szCs w:val="16"/>
              </w:rPr>
            </w:pPr>
            <w:r>
              <w:rPr>
                <w:rFonts w:cs="Arial"/>
                <w:color w:val="000000"/>
                <w:sz w:val="16"/>
                <w:szCs w:val="16"/>
              </w:rPr>
              <w:t>1 399,4</w:t>
            </w:r>
          </w:p>
        </w:tc>
        <w:tc>
          <w:tcPr>
            <w:tcW w:w="704" w:type="dxa"/>
            <w:tcBorders>
              <w:top w:val="nil"/>
              <w:left w:val="nil"/>
              <w:bottom w:val="nil"/>
              <w:right w:val="nil"/>
            </w:tcBorders>
            <w:shd w:val="clear" w:color="auto" w:fill="auto"/>
            <w:vAlign w:val="center"/>
            <w:hideMark/>
          </w:tcPr>
          <w:p w14:paraId="4F5A1085" w14:textId="5A446FC4" w:rsidR="00DF284E" w:rsidRPr="00D92E20" w:rsidRDefault="00DF284E" w:rsidP="00DF284E">
            <w:pPr>
              <w:spacing w:after="0" w:line="240" w:lineRule="auto"/>
              <w:jc w:val="right"/>
              <w:rPr>
                <w:rFonts w:cs="Arial"/>
                <w:color w:val="000000"/>
                <w:sz w:val="16"/>
                <w:szCs w:val="16"/>
              </w:rPr>
            </w:pPr>
            <w:r>
              <w:rPr>
                <w:rFonts w:cs="Arial"/>
                <w:color w:val="000000"/>
                <w:sz w:val="16"/>
                <w:szCs w:val="16"/>
              </w:rPr>
              <w:t>700,9</w:t>
            </w:r>
          </w:p>
        </w:tc>
        <w:tc>
          <w:tcPr>
            <w:tcW w:w="704" w:type="dxa"/>
            <w:tcBorders>
              <w:top w:val="nil"/>
              <w:left w:val="nil"/>
              <w:bottom w:val="nil"/>
              <w:right w:val="single" w:sz="4" w:space="0" w:color="auto"/>
            </w:tcBorders>
            <w:shd w:val="clear" w:color="auto" w:fill="auto"/>
            <w:vAlign w:val="center"/>
            <w:hideMark/>
          </w:tcPr>
          <w:p w14:paraId="4D388F77" w14:textId="7549EB00" w:rsidR="00DF284E" w:rsidRPr="00D92E20" w:rsidRDefault="00DF284E" w:rsidP="00DF284E">
            <w:pPr>
              <w:spacing w:after="0" w:line="240" w:lineRule="auto"/>
              <w:jc w:val="right"/>
              <w:rPr>
                <w:rFonts w:cs="Arial"/>
                <w:color w:val="000000"/>
                <w:sz w:val="16"/>
                <w:szCs w:val="16"/>
              </w:rPr>
            </w:pPr>
            <w:r>
              <w:rPr>
                <w:rFonts w:cs="Arial"/>
                <w:color w:val="000000"/>
                <w:sz w:val="16"/>
                <w:szCs w:val="16"/>
              </w:rPr>
              <w:t>698,6</w:t>
            </w:r>
          </w:p>
        </w:tc>
        <w:tc>
          <w:tcPr>
            <w:tcW w:w="707" w:type="dxa"/>
            <w:tcBorders>
              <w:top w:val="nil"/>
              <w:left w:val="nil"/>
              <w:bottom w:val="nil"/>
              <w:right w:val="nil"/>
            </w:tcBorders>
            <w:shd w:val="clear" w:color="auto" w:fill="auto"/>
            <w:vAlign w:val="center"/>
            <w:hideMark/>
          </w:tcPr>
          <w:p w14:paraId="0DE49735" w14:textId="5A228D66" w:rsidR="00DF284E" w:rsidRPr="00D92E20" w:rsidRDefault="00DF284E" w:rsidP="00DF284E">
            <w:pPr>
              <w:spacing w:after="0" w:line="240" w:lineRule="auto"/>
              <w:jc w:val="right"/>
              <w:rPr>
                <w:rFonts w:cs="Arial"/>
                <w:color w:val="000000"/>
                <w:sz w:val="16"/>
                <w:szCs w:val="16"/>
              </w:rPr>
            </w:pPr>
            <w:r>
              <w:rPr>
                <w:rFonts w:cs="Arial"/>
                <w:color w:val="000000"/>
                <w:sz w:val="16"/>
                <w:szCs w:val="16"/>
              </w:rPr>
              <w:t>1 300,2</w:t>
            </w:r>
          </w:p>
        </w:tc>
        <w:tc>
          <w:tcPr>
            <w:tcW w:w="704" w:type="dxa"/>
            <w:tcBorders>
              <w:top w:val="nil"/>
              <w:left w:val="nil"/>
              <w:bottom w:val="nil"/>
              <w:right w:val="nil"/>
            </w:tcBorders>
            <w:shd w:val="clear" w:color="auto" w:fill="auto"/>
            <w:vAlign w:val="center"/>
            <w:hideMark/>
          </w:tcPr>
          <w:p w14:paraId="158990F7" w14:textId="1E7331EC" w:rsidR="00DF284E" w:rsidRPr="00D92E20" w:rsidRDefault="00DF284E" w:rsidP="00DF284E">
            <w:pPr>
              <w:spacing w:after="0" w:line="240" w:lineRule="auto"/>
              <w:jc w:val="right"/>
              <w:rPr>
                <w:rFonts w:cs="Arial"/>
                <w:color w:val="000000"/>
                <w:sz w:val="16"/>
                <w:szCs w:val="16"/>
              </w:rPr>
            </w:pPr>
            <w:r>
              <w:rPr>
                <w:rFonts w:cs="Arial"/>
                <w:color w:val="000000"/>
                <w:sz w:val="16"/>
                <w:szCs w:val="16"/>
              </w:rPr>
              <w:t>638,9</w:t>
            </w:r>
          </w:p>
        </w:tc>
        <w:tc>
          <w:tcPr>
            <w:tcW w:w="704" w:type="dxa"/>
            <w:tcBorders>
              <w:top w:val="nil"/>
              <w:left w:val="nil"/>
              <w:bottom w:val="nil"/>
              <w:right w:val="nil"/>
            </w:tcBorders>
            <w:shd w:val="clear" w:color="auto" w:fill="auto"/>
            <w:vAlign w:val="center"/>
            <w:hideMark/>
          </w:tcPr>
          <w:p w14:paraId="598B1CDC" w14:textId="23503107" w:rsidR="00DF284E" w:rsidRPr="00D92E20" w:rsidRDefault="00DF284E" w:rsidP="00DF284E">
            <w:pPr>
              <w:spacing w:after="0" w:line="240" w:lineRule="auto"/>
              <w:jc w:val="right"/>
              <w:rPr>
                <w:rFonts w:cs="Arial"/>
                <w:color w:val="000000"/>
                <w:sz w:val="16"/>
                <w:szCs w:val="16"/>
              </w:rPr>
            </w:pPr>
            <w:r>
              <w:rPr>
                <w:rFonts w:cs="Arial"/>
                <w:color w:val="000000"/>
                <w:sz w:val="16"/>
                <w:szCs w:val="16"/>
              </w:rPr>
              <w:t>661,3</w:t>
            </w:r>
          </w:p>
        </w:tc>
        <w:tc>
          <w:tcPr>
            <w:tcW w:w="754" w:type="dxa"/>
            <w:tcBorders>
              <w:top w:val="nil"/>
              <w:left w:val="single" w:sz="4" w:space="0" w:color="auto"/>
              <w:bottom w:val="nil"/>
              <w:right w:val="nil"/>
            </w:tcBorders>
            <w:shd w:val="clear" w:color="auto" w:fill="auto"/>
            <w:vAlign w:val="center"/>
            <w:hideMark/>
          </w:tcPr>
          <w:p w14:paraId="48DF088D" w14:textId="7B951219" w:rsidR="00DF284E" w:rsidRPr="00D92E20" w:rsidRDefault="00DF284E" w:rsidP="00DF284E">
            <w:pPr>
              <w:spacing w:after="0" w:line="240" w:lineRule="auto"/>
              <w:jc w:val="right"/>
              <w:rPr>
                <w:rFonts w:cs="Arial"/>
                <w:color w:val="000000"/>
                <w:sz w:val="16"/>
                <w:szCs w:val="16"/>
              </w:rPr>
            </w:pPr>
            <w:r>
              <w:rPr>
                <w:rFonts w:cs="Arial"/>
                <w:color w:val="000000"/>
                <w:sz w:val="16"/>
                <w:szCs w:val="16"/>
              </w:rPr>
              <w:t>23,3</w:t>
            </w:r>
          </w:p>
        </w:tc>
        <w:tc>
          <w:tcPr>
            <w:tcW w:w="709" w:type="dxa"/>
            <w:tcBorders>
              <w:top w:val="nil"/>
              <w:left w:val="nil"/>
              <w:bottom w:val="nil"/>
              <w:right w:val="nil"/>
            </w:tcBorders>
            <w:shd w:val="clear" w:color="auto" w:fill="auto"/>
            <w:vAlign w:val="center"/>
            <w:hideMark/>
          </w:tcPr>
          <w:p w14:paraId="2F57E0E4" w14:textId="71BC7D2D" w:rsidR="00DF284E" w:rsidRPr="00D92E20" w:rsidRDefault="00DF284E" w:rsidP="00DF284E">
            <w:pPr>
              <w:spacing w:after="0" w:line="240" w:lineRule="auto"/>
              <w:jc w:val="right"/>
              <w:rPr>
                <w:rFonts w:cs="Arial"/>
                <w:color w:val="000000"/>
                <w:sz w:val="16"/>
                <w:szCs w:val="16"/>
              </w:rPr>
            </w:pPr>
            <w:r>
              <w:rPr>
                <w:rFonts w:cs="Arial"/>
                <w:color w:val="000000"/>
                <w:sz w:val="16"/>
                <w:szCs w:val="16"/>
              </w:rPr>
              <w:t>16,2</w:t>
            </w:r>
          </w:p>
        </w:tc>
        <w:tc>
          <w:tcPr>
            <w:tcW w:w="709" w:type="dxa"/>
            <w:tcBorders>
              <w:top w:val="nil"/>
              <w:left w:val="nil"/>
              <w:bottom w:val="nil"/>
              <w:right w:val="single" w:sz="4" w:space="0" w:color="auto"/>
            </w:tcBorders>
            <w:shd w:val="clear" w:color="auto" w:fill="auto"/>
            <w:vAlign w:val="center"/>
            <w:hideMark/>
          </w:tcPr>
          <w:p w14:paraId="595B523C" w14:textId="16958BBC" w:rsidR="00DF284E" w:rsidRPr="00D92E20" w:rsidRDefault="00DF284E" w:rsidP="00DF284E">
            <w:pPr>
              <w:spacing w:after="0" w:line="240" w:lineRule="auto"/>
              <w:jc w:val="right"/>
              <w:rPr>
                <w:rFonts w:cs="Arial"/>
                <w:color w:val="000000"/>
                <w:sz w:val="16"/>
                <w:szCs w:val="16"/>
              </w:rPr>
            </w:pPr>
            <w:r>
              <w:rPr>
                <w:rFonts w:cs="Arial"/>
                <w:color w:val="000000"/>
                <w:sz w:val="16"/>
                <w:szCs w:val="16"/>
              </w:rPr>
              <w:t>7,1</w:t>
            </w:r>
          </w:p>
        </w:tc>
        <w:tc>
          <w:tcPr>
            <w:tcW w:w="709" w:type="dxa"/>
            <w:tcBorders>
              <w:top w:val="nil"/>
              <w:left w:val="nil"/>
              <w:bottom w:val="nil"/>
              <w:right w:val="nil"/>
            </w:tcBorders>
            <w:shd w:val="clear" w:color="auto" w:fill="auto"/>
            <w:vAlign w:val="center"/>
            <w:hideMark/>
          </w:tcPr>
          <w:p w14:paraId="1F6EA59C" w14:textId="64ECA3A8" w:rsidR="00DF284E" w:rsidRPr="00D92E20" w:rsidRDefault="00DF284E" w:rsidP="00DF284E">
            <w:pPr>
              <w:spacing w:after="0" w:line="240" w:lineRule="auto"/>
              <w:jc w:val="right"/>
              <w:rPr>
                <w:rFonts w:cs="Arial"/>
                <w:color w:val="000000"/>
                <w:sz w:val="16"/>
                <w:szCs w:val="16"/>
              </w:rPr>
            </w:pPr>
            <w:r>
              <w:rPr>
                <w:rFonts w:cs="Arial"/>
                <w:color w:val="000000"/>
                <w:sz w:val="16"/>
                <w:szCs w:val="16"/>
              </w:rPr>
              <w:t>75,9</w:t>
            </w:r>
          </w:p>
        </w:tc>
        <w:tc>
          <w:tcPr>
            <w:tcW w:w="709" w:type="dxa"/>
            <w:tcBorders>
              <w:top w:val="nil"/>
              <w:left w:val="nil"/>
              <w:bottom w:val="nil"/>
              <w:right w:val="nil"/>
            </w:tcBorders>
            <w:shd w:val="clear" w:color="auto" w:fill="auto"/>
            <w:vAlign w:val="center"/>
            <w:hideMark/>
          </w:tcPr>
          <w:p w14:paraId="72D41508" w14:textId="2EA33E8E" w:rsidR="00DF284E" w:rsidRPr="00D92E20" w:rsidRDefault="00DF284E" w:rsidP="00DF284E">
            <w:pPr>
              <w:spacing w:after="0" w:line="240" w:lineRule="auto"/>
              <w:jc w:val="right"/>
              <w:rPr>
                <w:rFonts w:cs="Arial"/>
                <w:color w:val="000000"/>
                <w:sz w:val="16"/>
                <w:szCs w:val="16"/>
              </w:rPr>
            </w:pPr>
            <w:r>
              <w:rPr>
                <w:rFonts w:cs="Arial"/>
                <w:color w:val="000000"/>
                <w:sz w:val="16"/>
                <w:szCs w:val="16"/>
              </w:rPr>
              <w:t>45,8</w:t>
            </w:r>
          </w:p>
        </w:tc>
        <w:tc>
          <w:tcPr>
            <w:tcW w:w="709" w:type="dxa"/>
            <w:tcBorders>
              <w:top w:val="nil"/>
              <w:left w:val="nil"/>
              <w:bottom w:val="nil"/>
              <w:right w:val="nil"/>
            </w:tcBorders>
            <w:shd w:val="clear" w:color="auto" w:fill="auto"/>
            <w:vAlign w:val="center"/>
            <w:hideMark/>
          </w:tcPr>
          <w:p w14:paraId="4D37B90F" w14:textId="6AC2A4A2" w:rsidR="00DF284E" w:rsidRPr="00D92E20" w:rsidRDefault="00DF284E" w:rsidP="00DF284E">
            <w:pPr>
              <w:spacing w:after="0" w:line="240" w:lineRule="auto"/>
              <w:jc w:val="right"/>
              <w:rPr>
                <w:rFonts w:cs="Arial"/>
                <w:color w:val="000000"/>
                <w:sz w:val="16"/>
                <w:szCs w:val="16"/>
              </w:rPr>
            </w:pPr>
            <w:r>
              <w:rPr>
                <w:rFonts w:cs="Arial"/>
                <w:color w:val="000000"/>
                <w:sz w:val="16"/>
                <w:szCs w:val="16"/>
              </w:rPr>
              <w:t>30,1</w:t>
            </w:r>
          </w:p>
        </w:tc>
      </w:tr>
    </w:tbl>
    <w:p w14:paraId="79E13011" w14:textId="77777777" w:rsidR="00C44482" w:rsidRPr="00D92E20" w:rsidRDefault="00C44482" w:rsidP="00C44482">
      <w:pPr>
        <w:spacing w:before="120" w:after="120" w:line="240" w:lineRule="auto"/>
        <w:jc w:val="both"/>
        <w:rPr>
          <w:rFonts w:cs="Arial"/>
          <w:color w:val="000000"/>
          <w:sz w:val="16"/>
          <w:szCs w:val="16"/>
        </w:rPr>
      </w:pPr>
      <w:r w:rsidRPr="00D92E20">
        <w:rPr>
          <w:rFonts w:cs="Arial"/>
          <w:color w:val="000000"/>
          <w:sz w:val="16"/>
          <w:szCs w:val="16"/>
        </w:rPr>
        <w:t>Zdroj: ČSÚ</w:t>
      </w:r>
    </w:p>
    <w:p w14:paraId="4EFDFAE1" w14:textId="396B5C9E" w:rsidR="002E4CAA" w:rsidRPr="00B75B87" w:rsidRDefault="00DF284E" w:rsidP="00B75B87">
      <w:pPr>
        <w:spacing w:before="120" w:after="120"/>
        <w:jc w:val="both"/>
      </w:pPr>
      <w:r>
        <w:t xml:space="preserve">Zatímco doposud </w:t>
      </w:r>
      <w:r w:rsidR="002E4CAA" w:rsidRPr="00D92E20">
        <w:t xml:space="preserve">nastupovaly do pracovní neschopnosti </w:t>
      </w:r>
      <w:r>
        <w:t>častěji</w:t>
      </w:r>
      <w:r w:rsidR="002E4CAA" w:rsidRPr="00D92E20">
        <w:t xml:space="preserve"> </w:t>
      </w:r>
      <w:r w:rsidR="002E4CAA" w:rsidRPr="00794B90">
        <w:t>ženy</w:t>
      </w:r>
      <w:r w:rsidRPr="00794B90">
        <w:t>, v 1. pol. 2021</w:t>
      </w:r>
      <w:r>
        <w:rPr>
          <w:b/>
        </w:rPr>
        <w:t xml:space="preserve"> </w:t>
      </w:r>
      <w:r w:rsidR="00794B90">
        <w:rPr>
          <w:b/>
        </w:rPr>
        <w:t>v počtu neschopenek nepatrně</w:t>
      </w:r>
      <w:r>
        <w:rPr>
          <w:b/>
        </w:rPr>
        <w:t xml:space="preserve"> převládali muži</w:t>
      </w:r>
      <w:r w:rsidR="002E4CAA" w:rsidRPr="00D92E20">
        <w:t xml:space="preserve">. </w:t>
      </w:r>
      <w:r w:rsidR="00794B90">
        <w:t>N</w:t>
      </w:r>
      <w:r w:rsidR="002E4CAA" w:rsidRPr="00D92E20">
        <w:t>ahlásil</w:t>
      </w:r>
      <w:r w:rsidR="005E16DB">
        <w:t>i</w:t>
      </w:r>
      <w:r w:rsidR="002E4CAA" w:rsidRPr="00D92E20">
        <w:t xml:space="preserve"> </w:t>
      </w:r>
      <w:r w:rsidR="005E16DB">
        <w:t xml:space="preserve">celkem </w:t>
      </w:r>
      <w:r w:rsidR="00794B90">
        <w:t>701 tis. případů, zatímco ženy o 2</w:t>
      </w:r>
      <w:r w:rsidR="005E16DB">
        <w:t xml:space="preserve"> 302</w:t>
      </w:r>
      <w:r w:rsidR="00794B90">
        <w:t xml:space="preserve"> </w:t>
      </w:r>
      <w:r w:rsidR="005E16DB">
        <w:t xml:space="preserve">neschopností </w:t>
      </w:r>
      <w:r w:rsidR="00794B90">
        <w:t xml:space="preserve">méně. </w:t>
      </w:r>
      <w:r w:rsidR="003609B8">
        <w:t>Přitom v minulosti býva</w:t>
      </w:r>
      <w:r w:rsidR="00B75B87">
        <w:t xml:space="preserve">l pololetní počet neschopenek žen o 50 i více tisíc vyšší než v případě mužů. </w:t>
      </w:r>
      <w:r w:rsidR="005E16DB">
        <w:t xml:space="preserve">Pokud se zaměříme na </w:t>
      </w:r>
      <w:r w:rsidR="002E4CAA" w:rsidRPr="00D92E20">
        <w:t xml:space="preserve">dočasné pracovní neschopnosti </w:t>
      </w:r>
      <w:r w:rsidR="002E4CAA" w:rsidRPr="00D92E20">
        <w:rPr>
          <w:b/>
        </w:rPr>
        <w:t>pro nemoc</w:t>
      </w:r>
      <w:r w:rsidR="005E16DB" w:rsidRPr="005E16DB">
        <w:t xml:space="preserve">, </w:t>
      </w:r>
      <w:r w:rsidR="002E4CAA" w:rsidRPr="00D92E20">
        <w:t xml:space="preserve">více </w:t>
      </w:r>
      <w:r w:rsidR="005E16DB">
        <w:t>případů zaznamenaly ženy</w:t>
      </w:r>
      <w:r w:rsidR="002E4CAA" w:rsidRPr="00D92E20">
        <w:t xml:space="preserve">. </w:t>
      </w:r>
      <w:r w:rsidR="005E16DB">
        <w:t>661 tis. vs. 639</w:t>
      </w:r>
      <w:r w:rsidR="00CD63E8">
        <w:t> </w:t>
      </w:r>
      <w:r w:rsidR="005E16DB">
        <w:t xml:space="preserve">tis. u mužů. </w:t>
      </w:r>
      <w:r w:rsidR="00B75B87">
        <w:t xml:space="preserve"> Srovnáme-li současný stav s obdobím před pandemií (tedy s 1. pol. 2019), počet neschopenek pro nemoc u mužů vzrostl dokonce o 64 % (+249 tis.), zatímco u žen o 37 % (+178 tis.).</w:t>
      </w:r>
    </w:p>
    <w:p w14:paraId="008E6993" w14:textId="05E782C5" w:rsidR="002E4CAA" w:rsidRPr="00D92E20" w:rsidRDefault="002E4CAA" w:rsidP="00BA6B4E">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w:t>
      </w:r>
      <w:r w:rsidR="00511B87">
        <w:rPr>
          <w:bCs/>
        </w:rPr>
        <w:t> 1.</w:t>
      </w:r>
      <w:r w:rsidR="00CD63E8">
        <w:rPr>
          <w:bCs/>
        </w:rPr>
        <w:t> </w:t>
      </w:r>
      <w:r w:rsidR="00511B87">
        <w:rPr>
          <w:bCs/>
        </w:rPr>
        <w:t>pol.</w:t>
      </w:r>
      <w:r w:rsidR="00CD63E8">
        <w:rPr>
          <w:bCs/>
        </w:rPr>
        <w:t> </w:t>
      </w:r>
      <w:r w:rsidR="00511B87">
        <w:rPr>
          <w:bCs/>
        </w:rPr>
        <w:t>2021</w:t>
      </w:r>
      <w:r w:rsidRPr="00D92E20">
        <w:rPr>
          <w:bCs/>
        </w:rPr>
        <w:t xml:space="preserve"> na ženy méně než třetina z nich.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w:t>
      </w:r>
      <w:r w:rsidRPr="00D92E20">
        <w:rPr>
          <w:bCs/>
        </w:rPr>
        <w:lastRenderedPageBreak/>
        <w:t>bývají méně častá, jsou Peněžnictví a pojišťovnictví, Veřejná správa, Vzdělávání nebo Zdravotní a sociální péče.</w:t>
      </w:r>
    </w:p>
    <w:p w14:paraId="7274EC17" w14:textId="2D0AC87F" w:rsidR="00192BCA" w:rsidRPr="00D92E20" w:rsidRDefault="00511B87" w:rsidP="00BA6B4E">
      <w:pPr>
        <w:spacing w:before="120" w:after="120"/>
        <w:jc w:val="both"/>
        <w:rPr>
          <w:bCs/>
        </w:rPr>
      </w:pPr>
      <w:r>
        <w:rPr>
          <w:bCs/>
        </w:rPr>
        <w:t>Až do 1. pol. 2020 byl</w:t>
      </w:r>
      <w:r w:rsidR="00192BCA" w:rsidRPr="00D92E20">
        <w:rPr>
          <w:bCs/>
        </w:rPr>
        <w:t xml:space="preserve"> </w:t>
      </w:r>
      <w:r w:rsidR="009A1D80">
        <w:rPr>
          <w:bCs/>
        </w:rPr>
        <w:t xml:space="preserve">u </w:t>
      </w:r>
      <w:r w:rsidR="00192BCA" w:rsidRPr="00D92E20">
        <w:rPr>
          <w:bCs/>
        </w:rPr>
        <w:t xml:space="preserve">pracovních neschopností </w:t>
      </w:r>
      <w:r w:rsidR="009A1D80" w:rsidRPr="009F305A">
        <w:rPr>
          <w:b/>
          <w:bCs/>
        </w:rPr>
        <w:t>z důvodu nemoci</w:t>
      </w:r>
      <w:r w:rsidR="00192BCA" w:rsidRPr="00D92E20">
        <w:rPr>
          <w:bCs/>
        </w:rPr>
        <w:t xml:space="preserve"> podíl </w:t>
      </w:r>
      <w:r w:rsidR="00192BCA" w:rsidRPr="00D92E20">
        <w:rPr>
          <w:b/>
          <w:bCs/>
        </w:rPr>
        <w:t xml:space="preserve">podle pohlaví </w:t>
      </w:r>
      <w:r w:rsidR="00192BCA" w:rsidRPr="00D92E20">
        <w:rPr>
          <w:bCs/>
        </w:rPr>
        <w:t>dlouhodobě relativně konstantní</w:t>
      </w:r>
      <w:r w:rsidR="009A1D80">
        <w:rPr>
          <w:bCs/>
        </w:rPr>
        <w:t>. Neschopenky mužů činily maximálně 46 %. V 1. pol. 2021 se podíl zvýšil na 49 %. U</w:t>
      </w:r>
      <w:r w:rsidR="00192BCA" w:rsidRPr="00D92E20">
        <w:rPr>
          <w:bCs/>
        </w:rPr>
        <w:t xml:space="preserve"> pracovních neschopností zapříčiněných úrazem podíl žen v čase roste. Toto je zřejmé zejména u jiných než pracovních úrazů, kdy v</w:t>
      </w:r>
      <w:r w:rsidR="009A1D80">
        <w:rPr>
          <w:bCs/>
        </w:rPr>
        <w:t> 1. pol. 2011</w:t>
      </w:r>
      <w:r w:rsidR="00192BCA" w:rsidRPr="00D92E20">
        <w:rPr>
          <w:bCs/>
        </w:rPr>
        <w:t xml:space="preserve"> </w:t>
      </w:r>
      <w:r w:rsidR="009A1D80" w:rsidRPr="00D92E20">
        <w:rPr>
          <w:bCs/>
        </w:rPr>
        <w:t xml:space="preserve">ženy </w:t>
      </w:r>
      <w:r w:rsidR="00192BCA" w:rsidRPr="00D92E20">
        <w:rPr>
          <w:bCs/>
        </w:rPr>
        <w:t xml:space="preserve">nahlásily </w:t>
      </w:r>
      <w:r w:rsidR="009A1D80">
        <w:rPr>
          <w:bCs/>
        </w:rPr>
        <w:t>13</w:t>
      </w:r>
      <w:r w:rsidR="00192BCA" w:rsidRPr="00D92E20">
        <w:rPr>
          <w:bCs/>
        </w:rPr>
        <w:t xml:space="preserve"> tis. případů, </w:t>
      </w:r>
      <w:r w:rsidR="009A1D80">
        <w:rPr>
          <w:bCs/>
        </w:rPr>
        <w:t>kdežto za 1. pol. 2021</w:t>
      </w:r>
      <w:r w:rsidR="00192BCA" w:rsidRPr="00D92E20">
        <w:rPr>
          <w:bCs/>
        </w:rPr>
        <w:t xml:space="preserve"> to byl</w:t>
      </w:r>
      <w:r w:rsidR="009A1D80">
        <w:rPr>
          <w:bCs/>
        </w:rPr>
        <w:t>o více než 30 tis. úrazů.</w:t>
      </w:r>
      <w:r w:rsidR="00192BCA" w:rsidRPr="00D92E20">
        <w:rPr>
          <w:bCs/>
        </w:rPr>
        <w:t xml:space="preserve"> </w:t>
      </w:r>
      <w:r w:rsidR="009A1D80">
        <w:rPr>
          <w:bCs/>
        </w:rPr>
        <w:t>Absolutní n</w:t>
      </w:r>
      <w:r w:rsidR="00192BCA" w:rsidRPr="00D92E20">
        <w:rPr>
          <w:bCs/>
        </w:rPr>
        <w:t xml:space="preserve">árůst je však patrný i u mužů, počet nově hlášených případů pracovní neschopnosti z důvodu </w:t>
      </w:r>
      <w:r w:rsidR="00192BCA" w:rsidRPr="00D92E20">
        <w:rPr>
          <w:b/>
          <w:bCs/>
        </w:rPr>
        <w:t>nepracovních (ostatních) úrazů</w:t>
      </w:r>
      <w:r w:rsidR="00192BCA" w:rsidRPr="00D92E20">
        <w:rPr>
          <w:bCs/>
        </w:rPr>
        <w:t xml:space="preserve"> v</w:t>
      </w:r>
      <w:r w:rsidR="009A1D80">
        <w:rPr>
          <w:bCs/>
        </w:rPr>
        <w:t> 1. pol. 2011</w:t>
      </w:r>
      <w:r w:rsidR="00192BCA" w:rsidRPr="00D92E20">
        <w:rPr>
          <w:bCs/>
        </w:rPr>
        <w:t xml:space="preserve"> </w:t>
      </w:r>
      <w:r w:rsidR="009A1D80" w:rsidRPr="00D92E20">
        <w:rPr>
          <w:bCs/>
        </w:rPr>
        <w:t xml:space="preserve">činil </w:t>
      </w:r>
      <w:r w:rsidR="009A1D80">
        <w:rPr>
          <w:bCs/>
        </w:rPr>
        <w:t>26 tis., za 1. pol.</w:t>
      </w:r>
      <w:r w:rsidR="002A1CEC" w:rsidRPr="00D92E20">
        <w:rPr>
          <w:bCs/>
        </w:rPr>
        <w:t xml:space="preserve"> 202</w:t>
      </w:r>
      <w:r w:rsidR="009A1D80">
        <w:rPr>
          <w:bCs/>
        </w:rPr>
        <w:t>1</w:t>
      </w:r>
      <w:r w:rsidR="00192BCA" w:rsidRPr="00D92E20">
        <w:rPr>
          <w:bCs/>
        </w:rPr>
        <w:t xml:space="preserve"> se blíž</w:t>
      </w:r>
      <w:r w:rsidR="002A1CEC" w:rsidRPr="00D92E20">
        <w:rPr>
          <w:bCs/>
        </w:rPr>
        <w:t>il</w:t>
      </w:r>
      <w:r w:rsidR="00192BCA" w:rsidRPr="00D92E20">
        <w:rPr>
          <w:bCs/>
        </w:rPr>
        <w:t xml:space="preserve"> </w:t>
      </w:r>
      <w:r w:rsidR="009A1D80">
        <w:rPr>
          <w:bCs/>
        </w:rPr>
        <w:t>46</w:t>
      </w:r>
      <w:r w:rsidR="00192BCA" w:rsidRPr="00D92E20">
        <w:rPr>
          <w:bCs/>
        </w:rPr>
        <w:t xml:space="preserve"> tis.</w:t>
      </w:r>
    </w:p>
    <w:p w14:paraId="599810FF" w14:textId="44314B53" w:rsidR="009A1D80" w:rsidRDefault="00192BCA" w:rsidP="00BA6B4E">
      <w:pPr>
        <w:spacing w:before="120" w:after="120"/>
        <w:jc w:val="both"/>
        <w:rPr>
          <w:bCs/>
        </w:rPr>
      </w:pPr>
      <w:r w:rsidRPr="00D92E20">
        <w:rPr>
          <w:rFonts w:cs="Arial"/>
        </w:rPr>
        <w:t xml:space="preserve">Meziroční nárůst pracovní neschopnosti </w:t>
      </w:r>
      <w:r w:rsidRPr="00D92E20">
        <w:rPr>
          <w:rFonts w:cs="Arial"/>
          <w:b/>
        </w:rPr>
        <w:t>mužů</w:t>
      </w:r>
      <w:r w:rsidRPr="00D92E20">
        <w:rPr>
          <w:rFonts w:cs="Arial"/>
        </w:rPr>
        <w:t xml:space="preserve"> byl vyšší než u žen. Absolutní počet nově hlášených případů pracovní neschopnosti mužů se meziročně zvýšil z </w:t>
      </w:r>
      <w:r w:rsidR="009A1D80">
        <w:rPr>
          <w:rFonts w:cs="Arial"/>
        </w:rPr>
        <w:t>510</w:t>
      </w:r>
      <w:r w:rsidRPr="00D92E20">
        <w:rPr>
          <w:rFonts w:cs="Arial"/>
        </w:rPr>
        <w:t xml:space="preserve"> tis. případů (</w:t>
      </w:r>
      <w:r w:rsidR="000675AD" w:rsidRPr="00D92E20">
        <w:rPr>
          <w:rFonts w:cs="Arial"/>
        </w:rPr>
        <w:t xml:space="preserve">u </w:t>
      </w:r>
      <w:r w:rsidRPr="00D92E20">
        <w:rPr>
          <w:rFonts w:cs="Arial"/>
        </w:rPr>
        <w:t xml:space="preserve">žen </w:t>
      </w:r>
      <w:r w:rsidR="000675AD" w:rsidRPr="00D92E20">
        <w:rPr>
          <w:rFonts w:cs="Arial"/>
        </w:rPr>
        <w:t xml:space="preserve">z </w:t>
      </w:r>
      <w:r w:rsidR="009A1D80">
        <w:rPr>
          <w:rFonts w:cs="Arial"/>
        </w:rPr>
        <w:t>560</w:t>
      </w:r>
      <w:r w:rsidRPr="00D92E20">
        <w:rPr>
          <w:rFonts w:cs="Arial"/>
        </w:rPr>
        <w:t xml:space="preserve"> tis. případů) v</w:t>
      </w:r>
      <w:r w:rsidR="009A1D80">
        <w:rPr>
          <w:rFonts w:cs="Arial"/>
        </w:rPr>
        <w:t> 1. pol. 2020</w:t>
      </w:r>
      <w:r w:rsidRPr="00D92E20">
        <w:rPr>
          <w:rFonts w:cs="Arial"/>
        </w:rPr>
        <w:t xml:space="preserve"> na </w:t>
      </w:r>
      <w:r w:rsidR="009A1D80">
        <w:rPr>
          <w:rFonts w:cs="Arial"/>
        </w:rPr>
        <w:t>701</w:t>
      </w:r>
      <w:r w:rsidRPr="00D92E20">
        <w:rPr>
          <w:rFonts w:cs="Arial"/>
        </w:rPr>
        <w:t xml:space="preserve"> tis. případů (</w:t>
      </w:r>
      <w:r w:rsidR="000675AD" w:rsidRPr="00D92E20">
        <w:rPr>
          <w:rFonts w:cs="Arial"/>
        </w:rPr>
        <w:t xml:space="preserve">u </w:t>
      </w:r>
      <w:r w:rsidRPr="00D92E20">
        <w:rPr>
          <w:rFonts w:cs="Arial"/>
        </w:rPr>
        <w:t>žen</w:t>
      </w:r>
      <w:r w:rsidR="000675AD" w:rsidRPr="00D92E20">
        <w:rPr>
          <w:rFonts w:cs="Arial"/>
        </w:rPr>
        <w:t xml:space="preserve"> na</w:t>
      </w:r>
      <w:r w:rsidRPr="00D92E20">
        <w:rPr>
          <w:rFonts w:cs="Arial"/>
        </w:rPr>
        <w:t xml:space="preserve"> </w:t>
      </w:r>
      <w:r w:rsidR="009A1D80">
        <w:rPr>
          <w:rFonts w:cs="Arial"/>
        </w:rPr>
        <w:t>699</w:t>
      </w:r>
      <w:r w:rsidRPr="00D92E20">
        <w:rPr>
          <w:rFonts w:cs="Arial"/>
        </w:rPr>
        <w:t xml:space="preserve"> tis. případů) v</w:t>
      </w:r>
      <w:r w:rsidR="009A1D80">
        <w:rPr>
          <w:rFonts w:cs="Arial"/>
        </w:rPr>
        <w:t> 1. pol. 2021</w:t>
      </w:r>
      <w:r w:rsidR="00D872A2">
        <w:rPr>
          <w:rFonts w:cs="Arial"/>
        </w:rPr>
        <w:t>.</w:t>
      </w:r>
      <w:r w:rsidRPr="00D92E20">
        <w:rPr>
          <w:rFonts w:cs="Arial"/>
        </w:rPr>
        <w:t xml:space="preserve"> </w:t>
      </w:r>
      <w:r w:rsidR="00D872A2">
        <w:rPr>
          <w:rFonts w:cs="Arial"/>
        </w:rPr>
        <w:t>V</w:t>
      </w:r>
      <w:r w:rsidRPr="00D92E20">
        <w:rPr>
          <w:rFonts w:cs="Arial"/>
        </w:rPr>
        <w:t xml:space="preserve">zrostl </w:t>
      </w:r>
      <w:r w:rsidR="00D872A2">
        <w:rPr>
          <w:rFonts w:cs="Arial"/>
        </w:rPr>
        <w:t xml:space="preserve">tak </w:t>
      </w:r>
      <w:r w:rsidRPr="00D92E20">
        <w:rPr>
          <w:rFonts w:cs="Arial"/>
        </w:rPr>
        <w:t xml:space="preserve">o </w:t>
      </w:r>
      <w:r w:rsidR="009A1D80">
        <w:rPr>
          <w:rFonts w:cs="Arial"/>
        </w:rPr>
        <w:t>3</w:t>
      </w:r>
      <w:r w:rsidRPr="00D92E20">
        <w:rPr>
          <w:rFonts w:cs="Arial"/>
        </w:rPr>
        <w:t xml:space="preserve">7 </w:t>
      </w:r>
      <w:r w:rsidRPr="00D92E20">
        <w:rPr>
          <w:rFonts w:cs="Arial"/>
          <w:lang w:val="en-US"/>
        </w:rPr>
        <w:t xml:space="preserve">% </w:t>
      </w:r>
      <w:r w:rsidRPr="00D92E20">
        <w:rPr>
          <w:rFonts w:cs="Arial"/>
        </w:rPr>
        <w:t>(o 2</w:t>
      </w:r>
      <w:r w:rsidR="009A1D80">
        <w:rPr>
          <w:rFonts w:cs="Arial"/>
        </w:rPr>
        <w:t>5</w:t>
      </w:r>
      <w:r w:rsidRPr="00D92E20">
        <w:rPr>
          <w:rFonts w:cs="Arial"/>
        </w:rPr>
        <w:t xml:space="preserve"> </w:t>
      </w:r>
      <w:r w:rsidRPr="00D92E20">
        <w:rPr>
          <w:rFonts w:cs="Arial"/>
          <w:lang w:val="en-US"/>
        </w:rPr>
        <w:t>%</w:t>
      </w:r>
      <w:r w:rsidRPr="00D92E20">
        <w:rPr>
          <w:rFonts w:cs="Arial"/>
        </w:rPr>
        <w:t xml:space="preserve"> u žen). </w:t>
      </w:r>
      <w:r w:rsidR="002A1A8B" w:rsidRPr="00D92E20">
        <w:rPr>
          <w:rFonts w:cs="Arial"/>
        </w:rPr>
        <w:t xml:space="preserve">Co se týče neschopností </w:t>
      </w:r>
      <w:r w:rsidR="002A1A8B" w:rsidRPr="009A1D80">
        <w:rPr>
          <w:rFonts w:cs="Arial"/>
          <w:b/>
        </w:rPr>
        <w:t>pro nemoc</w:t>
      </w:r>
      <w:r w:rsidR="002A1A8B" w:rsidRPr="00D92E20">
        <w:rPr>
          <w:rFonts w:cs="Arial"/>
        </w:rPr>
        <w:t>, v</w:t>
      </w:r>
      <w:r w:rsidR="002A1A8B" w:rsidRPr="00D92E20">
        <w:rPr>
          <w:bCs/>
        </w:rPr>
        <w:t xml:space="preserve"> případě mužů </w:t>
      </w:r>
      <w:r w:rsidR="00B44634" w:rsidRPr="00D92E20">
        <w:rPr>
          <w:bCs/>
        </w:rPr>
        <w:t>jejich počet v</w:t>
      </w:r>
      <w:r w:rsidR="009A1D80">
        <w:rPr>
          <w:bCs/>
        </w:rPr>
        <w:t> 1. pol. 2021</w:t>
      </w:r>
      <w:r w:rsidR="00B44634" w:rsidRPr="00D92E20">
        <w:rPr>
          <w:bCs/>
        </w:rPr>
        <w:t xml:space="preserve"> meziročně </w:t>
      </w:r>
      <w:r w:rsidR="002A1A8B" w:rsidRPr="00D92E20">
        <w:rPr>
          <w:bCs/>
        </w:rPr>
        <w:t xml:space="preserve">vzrostl téměř o </w:t>
      </w:r>
      <w:r w:rsidR="009A1D80">
        <w:rPr>
          <w:bCs/>
        </w:rPr>
        <w:t>42 %</w:t>
      </w:r>
      <w:r w:rsidR="002A1A8B" w:rsidRPr="00D92E20">
        <w:rPr>
          <w:bCs/>
        </w:rPr>
        <w:t xml:space="preserve"> (</w:t>
      </w:r>
      <w:r w:rsidR="009A1D80">
        <w:rPr>
          <w:bCs/>
        </w:rPr>
        <w:t>188</w:t>
      </w:r>
      <w:r w:rsidR="00B44634" w:rsidRPr="00D92E20">
        <w:rPr>
          <w:bCs/>
        </w:rPr>
        <w:t> </w:t>
      </w:r>
      <w:r w:rsidR="002A1A8B" w:rsidRPr="00D92E20">
        <w:rPr>
          <w:bCs/>
        </w:rPr>
        <w:t>tis.), u žen to bylo přibližně o čtvrtinu</w:t>
      </w:r>
      <w:r w:rsidR="009A1D80">
        <w:rPr>
          <w:bCs/>
        </w:rPr>
        <w:t xml:space="preserve"> (136 tis.)</w:t>
      </w:r>
      <w:r w:rsidR="002A1A8B" w:rsidRPr="00D92E20">
        <w:rPr>
          <w:bCs/>
        </w:rPr>
        <w:t xml:space="preserve">. </w:t>
      </w:r>
    </w:p>
    <w:p w14:paraId="0A921756" w14:textId="08B43C70" w:rsidR="00192BCA" w:rsidRPr="00D92E20" w:rsidRDefault="00192BCA" w:rsidP="00BA6B4E">
      <w:pPr>
        <w:spacing w:before="120" w:after="120"/>
        <w:jc w:val="both"/>
        <w:rPr>
          <w:rFonts w:cs="Arial"/>
          <w:lang w:val="en-US"/>
        </w:rPr>
      </w:pPr>
      <w:r w:rsidRPr="00D92E20">
        <w:rPr>
          <w:rFonts w:cs="Arial"/>
        </w:rPr>
        <w:t xml:space="preserve">Z hlediska příčin se </w:t>
      </w:r>
      <w:r w:rsidR="009A1D80">
        <w:rPr>
          <w:rFonts w:cs="Arial"/>
        </w:rPr>
        <w:t>639</w:t>
      </w:r>
      <w:r w:rsidRPr="00D92E20">
        <w:rPr>
          <w:rFonts w:cs="Arial"/>
        </w:rPr>
        <w:t xml:space="preserve"> tis. (</w:t>
      </w:r>
      <w:r w:rsidR="000652B4" w:rsidRPr="00D92E20">
        <w:rPr>
          <w:rFonts w:cs="Arial"/>
        </w:rPr>
        <w:t>9</w:t>
      </w:r>
      <w:r w:rsidR="009A1D80">
        <w:rPr>
          <w:rFonts w:cs="Arial"/>
        </w:rPr>
        <w:t>1</w:t>
      </w:r>
      <w:r w:rsidRPr="00D92E20">
        <w:rPr>
          <w:rFonts w:cs="Arial"/>
        </w:rPr>
        <w:t xml:space="preserve"> %) nově hlášených případů dočasné pracovní neschopnosti mužů týkalo nemoci, </w:t>
      </w:r>
      <w:r w:rsidR="009A1D80">
        <w:rPr>
          <w:rFonts w:cs="Arial"/>
        </w:rPr>
        <w:t>16</w:t>
      </w:r>
      <w:r w:rsidRPr="00D92E20">
        <w:rPr>
          <w:rFonts w:cs="Arial"/>
        </w:rPr>
        <w:t> tis. (</w:t>
      </w:r>
      <w:r w:rsidR="00384289" w:rsidRPr="00D92E20">
        <w:rPr>
          <w:rFonts w:cs="Arial"/>
        </w:rPr>
        <w:t>2</w:t>
      </w:r>
      <w:r w:rsidRPr="00D92E20">
        <w:rPr>
          <w:rFonts w:cs="Arial"/>
        </w:rPr>
        <w:t xml:space="preserve"> %) pracovních úrazů a</w:t>
      </w:r>
      <w:r w:rsidR="00B44634" w:rsidRPr="00D92E20">
        <w:rPr>
          <w:rFonts w:cs="Arial"/>
        </w:rPr>
        <w:t> </w:t>
      </w:r>
      <w:r w:rsidR="00FD28D3">
        <w:rPr>
          <w:rFonts w:cs="Arial"/>
        </w:rPr>
        <w:t>46</w:t>
      </w:r>
      <w:r w:rsidR="00B44634" w:rsidRPr="00D92E20">
        <w:rPr>
          <w:rFonts w:cs="Arial"/>
        </w:rPr>
        <w:t> </w:t>
      </w:r>
      <w:r w:rsidRPr="00D92E20">
        <w:rPr>
          <w:rFonts w:cs="Arial"/>
        </w:rPr>
        <w:t>tis.</w:t>
      </w:r>
      <w:r w:rsidR="00B44634" w:rsidRPr="00D92E20">
        <w:rPr>
          <w:rFonts w:cs="Arial"/>
        </w:rPr>
        <w:t> </w:t>
      </w:r>
      <w:r w:rsidRPr="00D92E20">
        <w:rPr>
          <w:rFonts w:cs="Arial"/>
        </w:rPr>
        <w:t>(</w:t>
      </w:r>
      <w:r w:rsidR="00FD28D3">
        <w:rPr>
          <w:rFonts w:cs="Arial"/>
        </w:rPr>
        <w:t>7</w:t>
      </w:r>
      <w:r w:rsidRPr="00D92E20">
        <w:rPr>
          <w:rFonts w:cs="Arial"/>
        </w:rPr>
        <w:t xml:space="preserve"> %) ostatních úrazů. </w:t>
      </w:r>
      <w:r w:rsidRPr="00D92E20">
        <w:rPr>
          <w:rFonts w:cs="Arial"/>
          <w:b/>
        </w:rPr>
        <w:t>Ženy</w:t>
      </w:r>
      <w:r w:rsidRPr="00D92E20">
        <w:rPr>
          <w:rFonts w:cs="Arial"/>
        </w:rPr>
        <w:t xml:space="preserve"> </w:t>
      </w:r>
      <w:r w:rsidR="000675AD" w:rsidRPr="00D92E20">
        <w:rPr>
          <w:rFonts w:cs="Arial"/>
        </w:rPr>
        <w:t xml:space="preserve">byly v </w:t>
      </w:r>
      <w:r w:rsidRPr="00D92E20">
        <w:rPr>
          <w:rFonts w:cs="Arial"/>
        </w:rPr>
        <w:t>pracovní neschopnost</w:t>
      </w:r>
      <w:r w:rsidR="000675AD" w:rsidRPr="00D92E20">
        <w:rPr>
          <w:rFonts w:cs="Arial"/>
        </w:rPr>
        <w:t>i</w:t>
      </w:r>
      <w:r w:rsidRPr="00D92E20">
        <w:rPr>
          <w:rFonts w:cs="Arial"/>
        </w:rPr>
        <w:t xml:space="preserve"> z důvodu nemoci v</w:t>
      </w:r>
      <w:r w:rsidR="000652B4" w:rsidRPr="00D92E20">
        <w:rPr>
          <w:rFonts w:cs="Arial"/>
        </w:rPr>
        <w:t> </w:t>
      </w:r>
      <w:r w:rsidR="00FD28D3">
        <w:rPr>
          <w:rFonts w:cs="Arial"/>
        </w:rPr>
        <w:t>661</w:t>
      </w:r>
      <w:r w:rsidRPr="00D92E20">
        <w:rPr>
          <w:rFonts w:cs="Arial"/>
        </w:rPr>
        <w:t xml:space="preserve"> tis. případech (9</w:t>
      </w:r>
      <w:r w:rsidR="000652B4" w:rsidRPr="00D92E20">
        <w:rPr>
          <w:rFonts w:cs="Arial"/>
        </w:rPr>
        <w:t>5</w:t>
      </w:r>
      <w:r w:rsidRPr="00D92E20">
        <w:rPr>
          <w:rFonts w:cs="Arial"/>
        </w:rPr>
        <w:t xml:space="preserve"> %), </w:t>
      </w:r>
      <w:r w:rsidR="00CE1E85" w:rsidRPr="00D92E20">
        <w:rPr>
          <w:rFonts w:cs="Arial"/>
        </w:rPr>
        <w:t>kvůli</w:t>
      </w:r>
      <w:r w:rsidRPr="00D92E20">
        <w:rPr>
          <w:rFonts w:cs="Arial"/>
        </w:rPr>
        <w:t xml:space="preserve"> pracovní</w:t>
      </w:r>
      <w:r w:rsidR="00CE1E85" w:rsidRPr="00D92E20">
        <w:rPr>
          <w:rFonts w:cs="Arial"/>
        </w:rPr>
        <w:t>mu</w:t>
      </w:r>
      <w:r w:rsidRPr="00D92E20">
        <w:rPr>
          <w:rFonts w:cs="Arial"/>
        </w:rPr>
        <w:t xml:space="preserve"> úrazu v</w:t>
      </w:r>
      <w:r w:rsidR="00FD28D3">
        <w:rPr>
          <w:rFonts w:cs="Arial"/>
        </w:rPr>
        <w:t xml:space="preserve"> 7 </w:t>
      </w:r>
      <w:r w:rsidR="000652B4" w:rsidRPr="00D92E20">
        <w:rPr>
          <w:rFonts w:cs="Arial"/>
        </w:rPr>
        <w:t>tis. případech (1</w:t>
      </w:r>
      <w:r w:rsidRPr="00D92E20">
        <w:rPr>
          <w:rFonts w:cs="Arial"/>
        </w:rPr>
        <w:t xml:space="preserve"> %) a z důvodu ostatních úrazů </w:t>
      </w:r>
      <w:r w:rsidR="000652B4" w:rsidRPr="00D92E20">
        <w:rPr>
          <w:rFonts w:cs="Arial"/>
        </w:rPr>
        <w:t>v </w:t>
      </w:r>
      <w:r w:rsidR="00FD28D3">
        <w:rPr>
          <w:rFonts w:cs="Arial"/>
        </w:rPr>
        <w:t>30</w:t>
      </w:r>
      <w:r w:rsidR="000652B4" w:rsidRPr="00D92E20">
        <w:rPr>
          <w:rFonts w:cs="Arial"/>
        </w:rPr>
        <w:t xml:space="preserve"> tis</w:t>
      </w:r>
      <w:r w:rsidRPr="00D92E20">
        <w:rPr>
          <w:rFonts w:cs="Arial"/>
        </w:rPr>
        <w:t>. případech (</w:t>
      </w:r>
      <w:r w:rsidR="000652B4" w:rsidRPr="00D92E20">
        <w:rPr>
          <w:rFonts w:cs="Arial"/>
        </w:rPr>
        <w:t>4</w:t>
      </w:r>
      <w:r w:rsidRPr="00D92E20">
        <w:rPr>
          <w:rFonts w:cs="Arial"/>
        </w:rPr>
        <w:t xml:space="preserve"> %)</w:t>
      </w:r>
      <w:r w:rsidRPr="00D92E20">
        <w:rPr>
          <w:rFonts w:cs="Arial"/>
          <w:lang w:val="en-US"/>
        </w:rPr>
        <w:t>.</w:t>
      </w:r>
    </w:p>
    <w:p w14:paraId="2195E954" w14:textId="47A1BC59" w:rsidR="000652B4" w:rsidRPr="00D92E20" w:rsidRDefault="000652B4" w:rsidP="00BA6B4E">
      <w:pPr>
        <w:spacing w:before="120" w:after="120"/>
        <w:jc w:val="both"/>
        <w:rPr>
          <w:noProof/>
        </w:rPr>
      </w:pPr>
      <w:r w:rsidRPr="00D92E20">
        <w:rPr>
          <w:noProof/>
        </w:rPr>
        <w:t xml:space="preserve">Za </w:t>
      </w:r>
      <w:r w:rsidRPr="00D92E20">
        <w:rPr>
          <w:b/>
          <w:noProof/>
        </w:rPr>
        <w:t>posledních pět let</w:t>
      </w:r>
      <w:r w:rsidRPr="00D92E20">
        <w:rPr>
          <w:noProof/>
        </w:rPr>
        <w:t xml:space="preserve"> počet nově hlášených případů pracovní neschopnosti výrazně vzrostl</w:t>
      </w:r>
      <w:r w:rsidR="00D872A2">
        <w:rPr>
          <w:noProof/>
        </w:rPr>
        <w:t xml:space="preserve">, </w:t>
      </w:r>
      <w:r w:rsidRPr="00D92E20">
        <w:rPr>
          <w:noProof/>
        </w:rPr>
        <w:t>o </w:t>
      </w:r>
      <w:r w:rsidR="00FD28D3">
        <w:rPr>
          <w:noProof/>
        </w:rPr>
        <w:t>523</w:t>
      </w:r>
      <w:r w:rsidRPr="00D92E20">
        <w:rPr>
          <w:noProof/>
        </w:rPr>
        <w:t xml:space="preserve"> tis. případů (o </w:t>
      </w:r>
      <w:r w:rsidR="00FD28D3">
        <w:rPr>
          <w:noProof/>
        </w:rPr>
        <w:t>60</w:t>
      </w:r>
      <w:r w:rsidRPr="00D92E20">
        <w:rPr>
          <w:noProof/>
        </w:rPr>
        <w:t xml:space="preserve"> %) z </w:t>
      </w:r>
      <w:r w:rsidR="00FD28D3">
        <w:rPr>
          <w:noProof/>
        </w:rPr>
        <w:t>87</w:t>
      </w:r>
      <w:r w:rsidR="00D872A2">
        <w:rPr>
          <w:noProof/>
        </w:rPr>
        <w:t>7</w:t>
      </w:r>
      <w:r w:rsidRPr="00D92E20">
        <w:rPr>
          <w:noProof/>
        </w:rPr>
        <w:t xml:space="preserve"> tis. případů v</w:t>
      </w:r>
      <w:r w:rsidR="00FD28D3">
        <w:rPr>
          <w:noProof/>
        </w:rPr>
        <w:t> 1. pol.</w:t>
      </w:r>
      <w:r w:rsidRPr="00D92E20">
        <w:rPr>
          <w:noProof/>
        </w:rPr>
        <w:t xml:space="preserve"> 201</w:t>
      </w:r>
      <w:r w:rsidR="00FD28D3">
        <w:rPr>
          <w:noProof/>
        </w:rPr>
        <w:t>6</w:t>
      </w:r>
      <w:r w:rsidRPr="00D92E20">
        <w:rPr>
          <w:noProof/>
        </w:rPr>
        <w:t xml:space="preserve"> na </w:t>
      </w:r>
      <w:r w:rsidR="00FD28D3">
        <w:rPr>
          <w:noProof/>
        </w:rPr>
        <w:t>1 399</w:t>
      </w:r>
      <w:r w:rsidRPr="00D92E20">
        <w:rPr>
          <w:noProof/>
        </w:rPr>
        <w:t xml:space="preserve"> tis. v</w:t>
      </w:r>
      <w:r w:rsidR="00FD28D3">
        <w:rPr>
          <w:noProof/>
        </w:rPr>
        <w:t> 1. pol. 2021</w:t>
      </w:r>
      <w:r w:rsidRPr="00D92E20">
        <w:rPr>
          <w:noProof/>
        </w:rPr>
        <w:t>. Na</w:t>
      </w:r>
      <w:r w:rsidR="00FD28D3">
        <w:rPr>
          <w:noProof/>
        </w:rPr>
        <w:t xml:space="preserve"> zvýšení se větší měrou podíleli</w:t>
      </w:r>
      <w:r w:rsidRPr="00D92E20">
        <w:rPr>
          <w:noProof/>
        </w:rPr>
        <w:t xml:space="preserve"> </w:t>
      </w:r>
      <w:r w:rsidR="00FD28D3">
        <w:rPr>
          <w:noProof/>
        </w:rPr>
        <w:t>muži</w:t>
      </w:r>
      <w:r w:rsidRPr="00D92E20">
        <w:rPr>
          <w:noProof/>
        </w:rPr>
        <w:t xml:space="preserve"> (+</w:t>
      </w:r>
      <w:r w:rsidR="00FD28D3">
        <w:rPr>
          <w:noProof/>
        </w:rPr>
        <w:t>28</w:t>
      </w:r>
      <w:r w:rsidR="00B44634" w:rsidRPr="00D92E20">
        <w:rPr>
          <w:noProof/>
        </w:rPr>
        <w:t>8</w:t>
      </w:r>
      <w:r w:rsidRPr="00D92E20">
        <w:rPr>
          <w:noProof/>
        </w:rPr>
        <w:t xml:space="preserve"> tis. případů). </w:t>
      </w:r>
      <w:r w:rsidR="00FD28D3">
        <w:rPr>
          <w:noProof/>
        </w:rPr>
        <w:t>Téměř veškerý nárůst byl způsoben rostoucím počtem vydávaných neschopenek z důvodu nemoci.</w:t>
      </w:r>
      <w:r w:rsidRPr="00D92E20">
        <w:rPr>
          <w:noProof/>
        </w:rPr>
        <w:t xml:space="preserve"> </w:t>
      </w:r>
    </w:p>
    <w:p w14:paraId="0F250001" w14:textId="7A0F0EA5" w:rsidR="000652B4" w:rsidRPr="00D92E20" w:rsidRDefault="00FD28D3" w:rsidP="00BA6B4E">
      <w:pPr>
        <w:spacing w:before="120" w:after="120"/>
        <w:jc w:val="both"/>
        <w:rPr>
          <w:rFonts w:cs="Arial"/>
          <w:b/>
          <w:lang w:val="en-US"/>
        </w:rPr>
      </w:pPr>
      <w:r>
        <w:rPr>
          <w:noProof/>
        </w:rPr>
        <w:drawing>
          <wp:anchor distT="0" distB="0" distL="114300" distR="114300" simplePos="0" relativeHeight="251663872" behindDoc="1" locked="0" layoutInCell="1" allowOverlap="1" wp14:anchorId="55D852CB" wp14:editId="0F67AF44">
            <wp:simplePos x="0" y="0"/>
            <wp:positionH relativeFrom="column">
              <wp:posOffset>2994660</wp:posOffset>
            </wp:positionH>
            <wp:positionV relativeFrom="paragraph">
              <wp:posOffset>249555</wp:posOffset>
            </wp:positionV>
            <wp:extent cx="3124200" cy="2181225"/>
            <wp:effectExtent l="0" t="0" r="0" b="9525"/>
            <wp:wrapTight wrapText="bothSides">
              <wp:wrapPolygon edited="0">
                <wp:start x="0" y="0"/>
                <wp:lineTo x="0" y="21506"/>
                <wp:lineTo x="21468" y="21506"/>
                <wp:lineTo x="21468" y="0"/>
                <wp:lineTo x="0" y="0"/>
              </wp:wrapPolygon>
            </wp:wrapTight>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0652B4" w:rsidRPr="00D92E20">
        <w:rPr>
          <w:rFonts w:cs="Arial"/>
          <w:b/>
          <w:lang w:val="en-US"/>
        </w:rPr>
        <w:t xml:space="preserve">Graf 2.1: </w:t>
      </w:r>
      <w:r w:rsidR="000652B4" w:rsidRPr="00D92E20">
        <w:rPr>
          <w:rFonts w:cs="Arial"/>
          <w:b/>
        </w:rPr>
        <w:t xml:space="preserve">Nově hlášené případy dočasné pracovní neschopnosti podle příčiny a pohlaví, </w:t>
      </w:r>
      <w:r w:rsidRPr="00FD28D3">
        <w:rPr>
          <w:rFonts w:cs="Arial"/>
          <w:b/>
          <w:lang w:val="en-US"/>
        </w:rPr>
        <w:t>1. pol. 2021</w:t>
      </w:r>
    </w:p>
    <w:p w14:paraId="2BAD6A58" w14:textId="23C783CD" w:rsidR="00FD28D3" w:rsidRDefault="00FD28D3" w:rsidP="00ED103E">
      <w:pPr>
        <w:jc w:val="both"/>
        <w:rPr>
          <w:bCs/>
          <w:sz w:val="16"/>
        </w:rPr>
      </w:pPr>
      <w:r>
        <w:rPr>
          <w:noProof/>
        </w:rPr>
        <w:drawing>
          <wp:anchor distT="0" distB="0" distL="114300" distR="114300" simplePos="0" relativeHeight="251662848" behindDoc="1" locked="0" layoutInCell="1" allowOverlap="1" wp14:anchorId="60CC8563" wp14:editId="276B57CD">
            <wp:simplePos x="0" y="0"/>
            <wp:positionH relativeFrom="column">
              <wp:posOffset>3810</wp:posOffset>
            </wp:positionH>
            <wp:positionV relativeFrom="paragraph">
              <wp:posOffset>-1905</wp:posOffset>
            </wp:positionV>
            <wp:extent cx="3409200" cy="2181600"/>
            <wp:effectExtent l="0" t="0" r="1270" b="9525"/>
            <wp:wrapTight wrapText="bothSides">
              <wp:wrapPolygon edited="0">
                <wp:start x="0" y="0"/>
                <wp:lineTo x="0" y="21506"/>
                <wp:lineTo x="21487" y="21506"/>
                <wp:lineTo x="21487" y="0"/>
                <wp:lineTo x="0" y="0"/>
              </wp:wrapPolygon>
            </wp:wrapTight>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97DDA97" w14:textId="610E3B8A" w:rsidR="00ED103E" w:rsidRPr="00D92E20" w:rsidRDefault="00253D4C" w:rsidP="00ED103E">
      <w:pPr>
        <w:jc w:val="both"/>
        <w:rPr>
          <w:bCs/>
          <w:sz w:val="16"/>
        </w:rPr>
      </w:pPr>
      <w:r w:rsidRPr="00D92E20">
        <w:rPr>
          <w:bCs/>
          <w:sz w:val="16"/>
        </w:rPr>
        <w:t>Zdroj: ČSÚ</w:t>
      </w:r>
      <w:r w:rsidR="00FD28D3" w:rsidRPr="00FD28D3">
        <w:rPr>
          <w:noProof/>
        </w:rPr>
        <w:t xml:space="preserve"> </w:t>
      </w:r>
    </w:p>
    <w:p w14:paraId="0C379D7D" w14:textId="25FCB62E" w:rsidR="00253D4C" w:rsidRPr="00D92E20" w:rsidRDefault="00253D4C" w:rsidP="00BA6B4E">
      <w:pPr>
        <w:pStyle w:val="Seznam"/>
        <w:spacing w:before="120" w:after="120"/>
        <w:contextualSpacing w:val="0"/>
        <w:jc w:val="both"/>
      </w:pPr>
      <w:r w:rsidRPr="00D92E20">
        <w:t xml:space="preserve">Dopad legislativních změn na </w:t>
      </w:r>
      <w:r w:rsidR="000675AD" w:rsidRPr="00D92E20">
        <w:t>výskyt</w:t>
      </w:r>
      <w:r w:rsidRPr="00D92E20">
        <w:t xml:space="preserve"> pracovní neschopnosti je zřejmý zejména na vývoji případů pracovní neschopnosti </w:t>
      </w:r>
      <w:r w:rsidRPr="00D92E20">
        <w:rPr>
          <w:b/>
        </w:rPr>
        <w:t>pro nemoc</w:t>
      </w:r>
      <w:r w:rsidRPr="00D92E20">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 apod.).</w:t>
      </w:r>
    </w:p>
    <w:p w14:paraId="7185CE88" w14:textId="626761D3" w:rsidR="006B6D44" w:rsidRPr="00D92E20" w:rsidRDefault="006B6D44" w:rsidP="00246C9A">
      <w:pPr>
        <w:pStyle w:val="Seznam"/>
        <w:spacing w:before="120" w:after="120"/>
        <w:contextualSpacing w:val="0"/>
        <w:jc w:val="both"/>
      </w:pPr>
      <w:r w:rsidRPr="00D92E20">
        <w:t xml:space="preserve">Do roku 2018 platil trend, že </w:t>
      </w:r>
      <w:r w:rsidRPr="00D92E20">
        <w:rPr>
          <w:b/>
        </w:rPr>
        <w:t>v prvním půlroce</w:t>
      </w:r>
      <w:r w:rsidRPr="00D92E20">
        <w:t xml:space="preserve"> je hlášeno značně více případů pracovní</w:t>
      </w:r>
      <w:r w:rsidR="00CE1E85" w:rsidRPr="00D92E20">
        <w:t xml:space="preserve"> neschopnosti</w:t>
      </w:r>
      <w:r w:rsidRPr="00D92E20">
        <w:t xml:space="preserve"> než v pololetí druhém. Možným vysvětlením mohou být jarní chřipkové epidemie. Naopak poklesu nahrávají prázdniny, zejména letní, ale také podzimní a vánoční. Pokud se nejedná o onemocnění závažnějšího charakteru, může se pojištěnec během dovolené sám zotavit bez nutnosti návštěvy lékaře a vystavení pracovní neschopnosti. Jak již bylo zmíněno výše, jedním z faktorů, které zapříčinily meziroční nárůst počtu </w:t>
      </w:r>
      <w:r w:rsidRPr="00D92E20">
        <w:lastRenderedPageBreak/>
        <w:t xml:space="preserve">nových případů pracovní neschopnosti </w:t>
      </w:r>
      <w:r w:rsidRPr="00D92E20">
        <w:rPr>
          <w:b/>
        </w:rPr>
        <w:t>způsobených nemocí</w:t>
      </w:r>
      <w:r w:rsidRPr="00D92E20">
        <w:t xml:space="preserve"> oproti 1. pol. 201</w:t>
      </w:r>
      <w:r w:rsidR="00CF0B5E">
        <w:t>9</w:t>
      </w:r>
      <w:r w:rsidRPr="00D92E20">
        <w:t xml:space="preserve">, je patrně </w:t>
      </w:r>
      <w:r w:rsidRPr="00D92E20">
        <w:rPr>
          <w:b/>
        </w:rPr>
        <w:t>zrušení karenční doby od 1. července 2019</w:t>
      </w:r>
      <w:r w:rsidRPr="00D92E20">
        <w:t>, kdy je náhrada mzdy od zaměstnavatele zaměstnanci vyplácena již od prvního dne, a nikoliv až od čtvrtého. Rozdíl mezi prvním a druhým pol</w:t>
      </w:r>
      <w:r w:rsidR="00D56CD5">
        <w:t>oletím v roce 2019 již tedy nebyl</w:t>
      </w:r>
      <w:r w:rsidRPr="00D92E20">
        <w:t xml:space="preserve"> tak markantní. V roce 2020 efekt </w:t>
      </w:r>
      <w:r w:rsidR="00D56CD5">
        <w:t xml:space="preserve">růstu počtu případů v druhé polovině roku </w:t>
      </w:r>
      <w:r w:rsidR="00844690" w:rsidRPr="00D92E20">
        <w:t>posílila</w:t>
      </w:r>
      <w:r w:rsidR="00844690" w:rsidRPr="00D92E20">
        <w:rPr>
          <w:b/>
        </w:rPr>
        <w:t xml:space="preserve"> </w:t>
      </w:r>
      <w:r w:rsidRPr="00D92E20">
        <w:rPr>
          <w:b/>
        </w:rPr>
        <w:t>koronavirová pandemie</w:t>
      </w:r>
      <w:r w:rsidRPr="00D92E20">
        <w:t>, kdy v druhém pololetí Česko zasáhla podzimní vlna onemocnění. Zatímco mezi prvními pololetími roku 2019 a 2020 došlo k nárůstu o 104 tis. (o 12 %) případů pracovní neschopnosti pro nemoc, mezi druhými pololetími se počet navýšil o 38</w:t>
      </w:r>
      <w:r w:rsidR="0037686D" w:rsidRPr="00D92E20">
        <w:t>7</w:t>
      </w:r>
      <w:r w:rsidRPr="00D92E20">
        <w:t xml:space="preserve"> tis. (o 46 %). </w:t>
      </w:r>
      <w:r w:rsidR="008D2F51">
        <w:t>Přestože se v 1. pol. 2021 začalo s očkováním proti onemocnění covid-19, poč</w:t>
      </w:r>
      <w:r w:rsidR="00246C9A">
        <w:t>e</w:t>
      </w:r>
      <w:r w:rsidR="008D2F51">
        <w:t xml:space="preserve">t neschopenek i z důvodu karantén byl </w:t>
      </w:r>
      <w:r w:rsidR="00246C9A">
        <w:t xml:space="preserve">i </w:t>
      </w:r>
      <w:r w:rsidR="008D2F51">
        <w:t xml:space="preserve">nadále mimořádný. Za </w:t>
      </w:r>
      <w:r w:rsidR="00246C9A">
        <w:t>1. pol. 2021</w:t>
      </w:r>
      <w:r w:rsidR="008D2F51">
        <w:t xml:space="preserve"> bylo nahlášeno </w:t>
      </w:r>
      <w:r w:rsidR="0088045B">
        <w:t xml:space="preserve">celkem </w:t>
      </w:r>
      <w:r w:rsidR="008D2F51">
        <w:t xml:space="preserve">1 300 </w:t>
      </w:r>
      <w:r w:rsidR="0088045B">
        <w:t>tis. případů dočasné pracovní neschopnosti</w:t>
      </w:r>
      <w:r w:rsidR="00CF0B5E">
        <w:t xml:space="preserve"> pro nemoc</w:t>
      </w:r>
      <w:r w:rsidR="0088045B">
        <w:t xml:space="preserve">, což je o 428 tis. (o polovinu) více než v 1. pol. 2019, </w:t>
      </w:r>
      <w:r w:rsidR="00D56CD5">
        <w:t>tedy v době před pandemií.</w:t>
      </w:r>
    </w:p>
    <w:p w14:paraId="690296D3" w14:textId="1EAEF74D" w:rsidR="00253D4C" w:rsidRPr="00D92E20" w:rsidRDefault="00253D4C" w:rsidP="0088045B">
      <w:pPr>
        <w:spacing w:before="120" w:after="0"/>
        <w:jc w:val="both"/>
        <w:rPr>
          <w:bCs/>
        </w:rPr>
      </w:pPr>
      <w:r w:rsidRPr="00D92E20">
        <w:rPr>
          <w:b/>
          <w:bCs/>
        </w:rPr>
        <w:t>Graf 2.2: Nově hlášené případy dočasné pracov</w:t>
      </w:r>
      <w:r w:rsidR="0088045B">
        <w:rPr>
          <w:b/>
          <w:bCs/>
        </w:rPr>
        <w:t>ní neschopnosti pro nemoc, 201</w:t>
      </w:r>
      <w:r w:rsidR="005444C6">
        <w:rPr>
          <w:b/>
          <w:bCs/>
        </w:rPr>
        <w:t>6</w:t>
      </w:r>
      <w:r w:rsidR="0088045B" w:rsidRPr="0088045B">
        <w:rPr>
          <w:b/>
          <w:bCs/>
        </w:rPr>
        <w:t>–1. pol. 2021</w:t>
      </w:r>
    </w:p>
    <w:p w14:paraId="2AB9CD57" w14:textId="77777777" w:rsidR="0088045B" w:rsidRDefault="0088045B" w:rsidP="00BA6B4E">
      <w:pPr>
        <w:spacing w:after="120"/>
        <w:rPr>
          <w:sz w:val="16"/>
        </w:rPr>
      </w:pPr>
      <w:r>
        <w:rPr>
          <w:noProof/>
        </w:rPr>
        <w:drawing>
          <wp:inline distT="0" distB="0" distL="0" distR="0" wp14:anchorId="7623904E" wp14:editId="58418F32">
            <wp:extent cx="6116400" cy="2664000"/>
            <wp:effectExtent l="0" t="0" r="17780" b="317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6111EB" w14:textId="7E129A63" w:rsidR="00ED103E" w:rsidRPr="00D92E20" w:rsidRDefault="00253D4C" w:rsidP="00BA6B4E">
      <w:pPr>
        <w:spacing w:after="120"/>
        <w:rPr>
          <w:sz w:val="16"/>
        </w:rPr>
      </w:pPr>
      <w:r w:rsidRPr="00D92E20">
        <w:rPr>
          <w:sz w:val="16"/>
        </w:rPr>
        <w:t>Zdroj: ČSÚ</w:t>
      </w:r>
    </w:p>
    <w:p w14:paraId="399E7FC9" w14:textId="63EF9840" w:rsidR="00D63625" w:rsidRPr="00D92E20" w:rsidRDefault="00D63625" w:rsidP="00BA6B4E">
      <w:pPr>
        <w:pStyle w:val="Seznam"/>
        <w:spacing w:before="120" w:after="120"/>
        <w:contextualSpacing w:val="0"/>
        <w:jc w:val="both"/>
      </w:pPr>
      <w:r w:rsidRPr="00302DD9">
        <w:t>V</w:t>
      </w:r>
      <w:r w:rsidR="000675AD" w:rsidRPr="00302DD9">
        <w:t xml:space="preserve"> relativním pohledu </w:t>
      </w:r>
      <w:r w:rsidR="003609B8">
        <w:t xml:space="preserve">na 100 pojištěnců </w:t>
      </w:r>
      <w:r w:rsidR="000675AD" w:rsidRPr="00302DD9">
        <w:t>v</w:t>
      </w:r>
      <w:r w:rsidR="0088045B" w:rsidRPr="00302DD9">
        <w:t xml:space="preserve"> 1. pol. 2021 </w:t>
      </w:r>
      <w:r w:rsidRPr="00302DD9">
        <w:t xml:space="preserve">meziročně přibylo </w:t>
      </w:r>
      <w:r w:rsidR="0088045B" w:rsidRPr="00302DD9">
        <w:t>7</w:t>
      </w:r>
      <w:r w:rsidRPr="00302DD9">
        <w:t xml:space="preserve"> případ</w:t>
      </w:r>
      <w:r w:rsidR="0088045B" w:rsidRPr="00302DD9">
        <w:t>ů</w:t>
      </w:r>
      <w:r w:rsidRPr="00302DD9">
        <w:t xml:space="preserve"> </w:t>
      </w:r>
      <w:r w:rsidR="00CF0B5E">
        <w:t xml:space="preserve">pracovní neschopnosti bez ohledu na příčinu </w:t>
      </w:r>
      <w:r w:rsidRPr="00302DD9">
        <w:t>a</w:t>
      </w:r>
      <w:r w:rsidR="00023479" w:rsidRPr="00302DD9">
        <w:t xml:space="preserve"> hodnota tak</w:t>
      </w:r>
      <w:r w:rsidRPr="00302DD9">
        <w:t xml:space="preserve"> činil</w:t>
      </w:r>
      <w:r w:rsidR="00023479" w:rsidRPr="00302DD9">
        <w:t>a</w:t>
      </w:r>
      <w:r w:rsidRPr="00302DD9">
        <w:t xml:space="preserve"> </w:t>
      </w:r>
      <w:r w:rsidR="0088045B" w:rsidRPr="00302DD9">
        <w:t>30</w:t>
      </w:r>
      <w:r w:rsidR="000675AD" w:rsidRPr="00302DD9">
        <w:t> </w:t>
      </w:r>
      <w:r w:rsidRPr="00302DD9">
        <w:t xml:space="preserve">případů. Na 100 pojištěnců připadalo </w:t>
      </w:r>
      <w:r w:rsidR="0088045B" w:rsidRPr="00302DD9">
        <w:t>28</w:t>
      </w:r>
      <w:r w:rsidRPr="00302DD9">
        <w:t xml:space="preserve"> nově hlášených případů </w:t>
      </w:r>
      <w:r w:rsidR="0088045B" w:rsidRPr="00302DD9">
        <w:t xml:space="preserve">dočasné </w:t>
      </w:r>
      <w:r w:rsidRPr="00302DD9">
        <w:t xml:space="preserve">pracovní neschopnosti </w:t>
      </w:r>
      <w:r w:rsidRPr="00302DD9">
        <w:rPr>
          <w:b/>
        </w:rPr>
        <w:t>pro nemoc</w:t>
      </w:r>
      <w:r w:rsidRPr="00302DD9">
        <w:t xml:space="preserve">, což bylo </w:t>
      </w:r>
      <w:r w:rsidR="0088045B" w:rsidRPr="00302DD9">
        <w:t xml:space="preserve">více než dvojnásobek </w:t>
      </w:r>
      <w:r w:rsidR="003609B8">
        <w:t>oproti</w:t>
      </w:r>
      <w:r w:rsidR="0088045B" w:rsidRPr="00302DD9">
        <w:t> 1. pol. 2014</w:t>
      </w:r>
      <w:r w:rsidRPr="00302DD9">
        <w:t xml:space="preserve">. </w:t>
      </w:r>
    </w:p>
    <w:p w14:paraId="2C453009" w14:textId="77777777" w:rsidR="0088045B" w:rsidRDefault="00D63625" w:rsidP="0088045B">
      <w:pPr>
        <w:pStyle w:val="Seznam"/>
        <w:jc w:val="both"/>
        <w:rPr>
          <w:b/>
        </w:rPr>
      </w:pPr>
      <w:r w:rsidRPr="0088045B">
        <w:rPr>
          <w:b/>
        </w:rPr>
        <w:t xml:space="preserve">Graf 2.3: Nově hlášené případy dočasné pracovní neschopnosti na 100 pojištěnců podle příčiny, </w:t>
      </w:r>
      <w:r w:rsidR="0088045B">
        <w:rPr>
          <w:b/>
        </w:rPr>
        <w:br/>
      </w:r>
      <w:r w:rsidR="0088045B" w:rsidRPr="0088045B">
        <w:rPr>
          <w:b/>
        </w:rPr>
        <w:t>1. pol. 2011–1. pol. 2021</w:t>
      </w:r>
    </w:p>
    <w:p w14:paraId="10992647" w14:textId="345FF4C1" w:rsidR="00EB48F6" w:rsidRPr="00D92E20" w:rsidRDefault="0088045B" w:rsidP="0088045B">
      <w:pPr>
        <w:pStyle w:val="Seznam"/>
        <w:jc w:val="both"/>
      </w:pPr>
      <w:r>
        <w:rPr>
          <w:noProof/>
        </w:rPr>
        <w:drawing>
          <wp:inline distT="0" distB="0" distL="0" distR="0" wp14:anchorId="603D6ADA" wp14:editId="49274115">
            <wp:extent cx="6174000" cy="2808000"/>
            <wp:effectExtent l="0" t="0" r="17780" b="1143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E269E" w14:textId="483515C3" w:rsidR="00D63625" w:rsidRDefault="00D63625" w:rsidP="00D63625">
      <w:pPr>
        <w:rPr>
          <w:sz w:val="16"/>
        </w:rPr>
      </w:pPr>
      <w:r w:rsidRPr="00D92E20">
        <w:rPr>
          <w:sz w:val="16"/>
        </w:rPr>
        <w:t>Zdroj: ČSÚ</w:t>
      </w:r>
    </w:p>
    <w:p w14:paraId="3790A8BD" w14:textId="1580F91D" w:rsidR="004A31C1" w:rsidRPr="004A31C1" w:rsidRDefault="004A31C1" w:rsidP="004A31C1">
      <w:pPr>
        <w:pStyle w:val="Seznam"/>
        <w:spacing w:before="120" w:after="120"/>
        <w:contextualSpacing w:val="0"/>
        <w:jc w:val="both"/>
      </w:pPr>
      <w:r w:rsidRPr="00302DD9">
        <w:lastRenderedPageBreak/>
        <w:t xml:space="preserve">Co se týče počtu neschopenek z důvodu </w:t>
      </w:r>
      <w:r w:rsidRPr="00302DD9">
        <w:rPr>
          <w:b/>
        </w:rPr>
        <w:t>úrazů</w:t>
      </w:r>
      <w:r w:rsidRPr="00302DD9">
        <w:t>, tak pokud pomineme 1. pol. 2020, kdy počet úrazů na</w:t>
      </w:r>
      <w:r w:rsidR="00CD63E8">
        <w:t> </w:t>
      </w:r>
      <w:r w:rsidRPr="00302DD9">
        <w:t>100</w:t>
      </w:r>
      <w:r w:rsidR="00CD63E8">
        <w:t> </w:t>
      </w:r>
      <w:r w:rsidRPr="00302DD9">
        <w:t xml:space="preserve">pojištěnců poklesl, panuje zde víceméně stagnace. Dá se předpokládat, že loňský výkyv souvisel s vyhlášením nouzového stavu, celkovým omezením pohybu, uzavřením některých podniků a větší mírou práce z domova. </w:t>
      </w:r>
      <w:r>
        <w:t>Samozřejmě, že mnohá bezpečnostní opatření jsou i nadále vyžadována, nicméně zejména pracovní úrazovost se vrátila na úroveň před pandemií.</w:t>
      </w:r>
    </w:p>
    <w:p w14:paraId="6C060B05" w14:textId="0F2E4E15" w:rsidR="00A416CF" w:rsidRPr="00D92E20" w:rsidRDefault="00A26AF3" w:rsidP="00BA6B4E">
      <w:pPr>
        <w:autoSpaceDE w:val="0"/>
        <w:autoSpaceDN w:val="0"/>
        <w:adjustRightInd w:val="0"/>
        <w:spacing w:before="120" w:after="120"/>
        <w:jc w:val="both"/>
        <w:rPr>
          <w:rFonts w:cs="Arial"/>
        </w:rPr>
      </w:pPr>
      <w:r w:rsidRPr="00D92E20">
        <w:rPr>
          <w:rFonts w:cs="Arial"/>
        </w:rPr>
        <w:t xml:space="preserve">Nejvíce nových případů dočasné pracovní neschopnosti </w:t>
      </w:r>
      <w:r w:rsidR="00302DD9">
        <w:rPr>
          <w:rFonts w:cs="Arial"/>
        </w:rPr>
        <w:t xml:space="preserve">v 1. pol. 2021 </w:t>
      </w:r>
      <w:r w:rsidRPr="00D92E20">
        <w:rPr>
          <w:rFonts w:cs="Arial"/>
        </w:rPr>
        <w:t xml:space="preserve">bylo nahlášeno v subjektech, které dle převažující ekonomické činnosti spadají do </w:t>
      </w:r>
      <w:r w:rsidRPr="00D92E20">
        <w:rPr>
          <w:rFonts w:cs="Arial"/>
          <w:b/>
        </w:rPr>
        <w:t>odvětvové sekce</w:t>
      </w:r>
      <w:r w:rsidRPr="00D92E20">
        <w:rPr>
          <w:rFonts w:cs="Arial"/>
        </w:rPr>
        <w:t xml:space="preserve"> Zpracovatelský průmysl (</w:t>
      </w:r>
      <w:r w:rsidR="00302DD9">
        <w:rPr>
          <w:rFonts w:cs="Arial"/>
        </w:rPr>
        <w:t>506</w:t>
      </w:r>
      <w:r w:rsidRPr="00D92E20">
        <w:rPr>
          <w:rFonts w:cs="Arial"/>
        </w:rPr>
        <w:t xml:space="preserve"> tis. případů) a Velkoobchod a maloobchod; opravy a údržba motorových vozidel (</w:t>
      </w:r>
      <w:r w:rsidR="00302DD9">
        <w:rPr>
          <w:rFonts w:cs="Arial"/>
        </w:rPr>
        <w:t>178</w:t>
      </w:r>
      <w:r w:rsidRPr="00D92E20">
        <w:rPr>
          <w:rFonts w:cs="Arial"/>
        </w:rPr>
        <w:t xml:space="preserve"> tis.). Není divu, protože jde o odvětví, kde pracuje nejvíce zaměstnaných osob, jak bylo uvedeno výše v kap. 4.1. Naopak nejméně případů bylo v absolutních číslech hlášeno v odvětvích Těžba a dobývání a Výroba a rozvod elektřiny, plynu, t</w:t>
      </w:r>
      <w:r w:rsidR="00302DD9">
        <w:rPr>
          <w:rFonts w:cs="Arial"/>
        </w:rPr>
        <w:t xml:space="preserve">epla a klimatizovaného vzduchu </w:t>
      </w:r>
      <w:r w:rsidR="00302DD9" w:rsidRPr="00D92E20">
        <w:rPr>
          <w:rFonts w:cs="Arial"/>
        </w:rPr>
        <w:t>(</w:t>
      </w:r>
      <w:r w:rsidR="00302DD9">
        <w:rPr>
          <w:rFonts w:cs="Arial"/>
        </w:rPr>
        <w:t>obojí shodně 8 tis.</w:t>
      </w:r>
      <w:r w:rsidRPr="00D92E20">
        <w:rPr>
          <w:rFonts w:cs="Arial"/>
        </w:rPr>
        <w:t xml:space="preserve">). </w:t>
      </w:r>
    </w:p>
    <w:p w14:paraId="4EF9D633" w14:textId="360D5939" w:rsidR="00ED103E" w:rsidRPr="00D92E20" w:rsidRDefault="004373DF" w:rsidP="00BA6B4E">
      <w:pPr>
        <w:spacing w:after="0"/>
        <w:jc w:val="both"/>
        <w:rPr>
          <w:b/>
        </w:rPr>
      </w:pPr>
      <w:r w:rsidRPr="00D92E20">
        <w:rPr>
          <w:b/>
        </w:rPr>
        <w:t>Graf 2.</w:t>
      </w:r>
      <w:r w:rsidR="009562CF" w:rsidRPr="00D92E20">
        <w:rPr>
          <w:b/>
        </w:rPr>
        <w:t>4</w:t>
      </w:r>
      <w:r w:rsidRPr="00D92E20">
        <w:rPr>
          <w:b/>
        </w:rPr>
        <w:t xml:space="preserve">: Nově hlášené případy dočasné pracovní neschopnosti na 100 pojištěnců podle odvětví (sekce CZ-NACE), </w:t>
      </w:r>
      <w:r w:rsidR="0041241E" w:rsidRPr="0041241E">
        <w:rPr>
          <w:b/>
        </w:rPr>
        <w:t>1. pol. 2011 a 2021</w:t>
      </w:r>
    </w:p>
    <w:p w14:paraId="619B3EC3" w14:textId="23D17404" w:rsidR="00ED103E" w:rsidRPr="00D92E20" w:rsidRDefault="0041241E" w:rsidP="00ED103E">
      <w:r>
        <w:rPr>
          <w:noProof/>
        </w:rPr>
        <w:drawing>
          <wp:inline distT="0" distB="0" distL="0" distR="0" wp14:anchorId="355C93B2" wp14:editId="1E549533">
            <wp:extent cx="6120130" cy="5112000"/>
            <wp:effectExtent l="0" t="0" r="13970" b="1270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C3AFAF" w14:textId="77777777" w:rsidR="004373DF" w:rsidRPr="00D92E20" w:rsidRDefault="004373DF" w:rsidP="00BA6B4E">
      <w:pPr>
        <w:spacing w:after="120"/>
        <w:rPr>
          <w:sz w:val="16"/>
        </w:rPr>
      </w:pPr>
      <w:r w:rsidRPr="00D92E20">
        <w:rPr>
          <w:sz w:val="16"/>
        </w:rPr>
        <w:t>Zdroj: ČSÚ</w:t>
      </w:r>
    </w:p>
    <w:p w14:paraId="1F866D83" w14:textId="7E02062E" w:rsidR="00350B58" w:rsidRPr="00BF2411" w:rsidRDefault="00350B58" w:rsidP="00350B58">
      <w:pPr>
        <w:autoSpaceDE w:val="0"/>
        <w:autoSpaceDN w:val="0"/>
        <w:adjustRightInd w:val="0"/>
        <w:spacing w:before="120" w:after="120"/>
        <w:jc w:val="both"/>
        <w:rPr>
          <w:rFonts w:cs="Arial"/>
        </w:rPr>
      </w:pPr>
      <w:r w:rsidRPr="00BF2411">
        <w:rPr>
          <w:rFonts w:cs="Arial"/>
        </w:rPr>
        <w:t>V 1. pol. 2021</w:t>
      </w:r>
      <w:r w:rsidRPr="00BF2411">
        <w:rPr>
          <w:rFonts w:cs="Arial"/>
          <w:b/>
        </w:rPr>
        <w:t xml:space="preserve"> meziročně</w:t>
      </w:r>
      <w:r w:rsidRPr="00BF2411">
        <w:rPr>
          <w:rFonts w:cs="Arial"/>
        </w:rPr>
        <w:t xml:space="preserve"> vzrostl počet případů dočasné pracovní neschopnosti procentuálně nejvíce v odvětvové sekci Zemědělství, lesnictví a rybářství, a to o 56 % (o 11 tisíc). Absolutně nejvíce (o 140 tis.) vzrostl počet nově nahlášených případů dočasné pracovní neschopnosti ve Zpracovatelském průmyslu. Meziročně vzrostl počet nahlášených případů kromě dvou výjimek ve všech odvětvích. Pokles o 9 tis. případů (-29 %) zaznamenala sekce Ubytování, stravování a pohostinství a snížení o 500 případů (-5 %) sekce Kulturní, zábavní a rekreační činnosti. Jedná se o odvětví, která byla značně postižena covidovým obdobím.</w:t>
      </w:r>
      <w:r>
        <w:rPr>
          <w:rFonts w:cs="Arial"/>
        </w:rPr>
        <w:t xml:space="preserve"> </w:t>
      </w:r>
      <w:r>
        <w:rPr>
          <w:rFonts w:cs="Arial"/>
        </w:rPr>
        <w:lastRenderedPageBreak/>
        <w:t>Tím, že byl jejich provoz víceméně přerušen, nebyl důvod pro pracovní neschopnost.</w:t>
      </w:r>
      <w:r w:rsidRPr="00BF2411">
        <w:rPr>
          <w:rFonts w:cs="Arial"/>
        </w:rPr>
        <w:t xml:space="preserve"> </w:t>
      </w:r>
      <w:r>
        <w:rPr>
          <w:rFonts w:cs="Arial"/>
        </w:rPr>
        <w:t xml:space="preserve">A jelikož </w:t>
      </w:r>
      <w:r w:rsidRPr="00BF2411">
        <w:rPr>
          <w:rFonts w:cs="Arial"/>
        </w:rPr>
        <w:t>velké množství</w:t>
      </w:r>
      <w:r w:rsidR="003609B8">
        <w:rPr>
          <w:rFonts w:cs="Arial"/>
        </w:rPr>
        <w:t xml:space="preserve"> </w:t>
      </w:r>
      <w:r>
        <w:rPr>
          <w:rFonts w:cs="Arial"/>
        </w:rPr>
        <w:t xml:space="preserve">z pracovníků </w:t>
      </w:r>
      <w:r w:rsidR="003609B8">
        <w:rPr>
          <w:rFonts w:cs="Arial"/>
        </w:rPr>
        <w:t xml:space="preserve">v těchto odvětvích </w:t>
      </w:r>
      <w:r>
        <w:rPr>
          <w:rFonts w:cs="Arial"/>
        </w:rPr>
        <w:t xml:space="preserve">jsou </w:t>
      </w:r>
      <w:r w:rsidRPr="00BF2411">
        <w:rPr>
          <w:rFonts w:cs="Arial"/>
        </w:rPr>
        <w:t>OSVČ, jejichž nemocenské pojištění je na dobrovolné bázi, na</w:t>
      </w:r>
      <w:r w:rsidR="00CD63E8">
        <w:rPr>
          <w:rFonts w:cs="Arial"/>
        </w:rPr>
        <w:t> </w:t>
      </w:r>
      <w:r w:rsidRPr="00BF2411">
        <w:rPr>
          <w:rFonts w:cs="Arial"/>
        </w:rPr>
        <w:t>neschopenky z dův</w:t>
      </w:r>
      <w:r w:rsidR="00FC6945">
        <w:rPr>
          <w:rFonts w:cs="Arial"/>
        </w:rPr>
        <w:t xml:space="preserve">odu karantény neměly automatický </w:t>
      </w:r>
      <w:r w:rsidRPr="00BF2411">
        <w:rPr>
          <w:rFonts w:cs="Arial"/>
        </w:rPr>
        <w:t xml:space="preserve">nárok </w:t>
      </w:r>
      <w:r w:rsidR="00FC6945">
        <w:rPr>
          <w:rFonts w:cs="Arial"/>
        </w:rPr>
        <w:t xml:space="preserve">ve srovnání s </w:t>
      </w:r>
      <w:r w:rsidRPr="00BF2411">
        <w:rPr>
          <w:rFonts w:cs="Arial"/>
        </w:rPr>
        <w:t>pojištěnci v zaměstnaneckém poměru. Počet případů neschopností v oblasti Peněžnictví a pojišťovnictví víceméně stagnoval.</w:t>
      </w:r>
    </w:p>
    <w:p w14:paraId="0323FF3A" w14:textId="77777777" w:rsidR="00350B58" w:rsidRPr="00BF2411" w:rsidRDefault="00350B58" w:rsidP="00350B58">
      <w:pPr>
        <w:autoSpaceDE w:val="0"/>
        <w:autoSpaceDN w:val="0"/>
        <w:adjustRightInd w:val="0"/>
        <w:spacing w:before="120" w:after="120"/>
        <w:jc w:val="both"/>
        <w:rPr>
          <w:rFonts w:cs="Arial"/>
        </w:rPr>
      </w:pPr>
      <w:r w:rsidRPr="00BF2411">
        <w:rPr>
          <w:rFonts w:cs="Arial"/>
        </w:rPr>
        <w:t>Absolutní počty nově hlášených případů jsou ovlivněny odvětvovou strukturou národního hospodářství a zaměstnaností v jednotlivých odvětvích. Z toho důvodu má vyšší vypovídací schopnost již zmíněný ukazatel – počet nově hlášených případů na 100 pojištěnců v daném odvětví.</w:t>
      </w:r>
    </w:p>
    <w:p w14:paraId="1703163C" w14:textId="554243E8" w:rsidR="00350B58" w:rsidRPr="00D92E20" w:rsidRDefault="00350B58" w:rsidP="00350B58">
      <w:pPr>
        <w:autoSpaceDE w:val="0"/>
        <w:autoSpaceDN w:val="0"/>
        <w:adjustRightInd w:val="0"/>
        <w:spacing w:before="120" w:after="120"/>
        <w:jc w:val="both"/>
        <w:rPr>
          <w:rFonts w:cs="Arial"/>
        </w:rPr>
      </w:pPr>
      <w:r w:rsidRPr="0041241E">
        <w:rPr>
          <w:rFonts w:cs="Arial"/>
        </w:rPr>
        <w:t xml:space="preserve">Nejvíce případů dočasné pracovní neschopnosti </w:t>
      </w:r>
      <w:r w:rsidRPr="0041241E">
        <w:rPr>
          <w:rFonts w:cs="Arial"/>
          <w:b/>
        </w:rPr>
        <w:t>na 100 pojištěnců</w:t>
      </w:r>
      <w:r w:rsidRPr="0041241E">
        <w:rPr>
          <w:rFonts w:cs="Arial"/>
        </w:rPr>
        <w:t xml:space="preserve"> bylo v 1. pol. 2021 zaznamenáno rovněž v odvětví Zpracovatelský průmysl (42). Následovala Těžba a dobývání (41) a Administrativní a podpůrné činnosti (35</w:t>
      </w:r>
      <w:r>
        <w:rPr>
          <w:rFonts w:cs="Arial"/>
        </w:rPr>
        <w:t xml:space="preserve">). </w:t>
      </w:r>
      <w:r w:rsidRPr="0041241E">
        <w:rPr>
          <w:rFonts w:cs="Arial"/>
        </w:rPr>
        <w:t>Nejnižší počet případů dočasné pracovní neschopnosti v přepočtu na 100 nemocensky pojištěných bylo evidováno v odvětví Informační a komunikační činnosti (13). Celorepublikový průměr bez</w:t>
      </w:r>
      <w:r w:rsidR="00CD63E8">
        <w:rPr>
          <w:rFonts w:cs="Arial"/>
        </w:rPr>
        <w:t> </w:t>
      </w:r>
      <w:r w:rsidRPr="0041241E">
        <w:rPr>
          <w:rFonts w:cs="Arial"/>
        </w:rPr>
        <w:t>ohledu na odvětví činil již zmíněných 30 případů na 100 pojištěnců.</w:t>
      </w:r>
    </w:p>
    <w:p w14:paraId="24355540" w14:textId="35FE2EEC" w:rsidR="00E73F0C" w:rsidRPr="00D92E20" w:rsidRDefault="00E73F0C" w:rsidP="00BA6B4E">
      <w:pPr>
        <w:spacing w:before="120" w:after="0"/>
        <w:jc w:val="both"/>
        <w:rPr>
          <w:rFonts w:cs="Arial"/>
          <w:b/>
          <w:color w:val="000000"/>
          <w:szCs w:val="16"/>
        </w:rPr>
      </w:pPr>
      <w:r w:rsidRPr="00D92E20">
        <w:rPr>
          <w:rFonts w:cs="Arial"/>
          <w:b/>
          <w:color w:val="000000"/>
          <w:szCs w:val="16"/>
        </w:rPr>
        <w:t xml:space="preserve">Graf 2.5: Nově hlášené případy dočasné pracovní neschopnosti </w:t>
      </w:r>
      <w:r w:rsidR="00096B50" w:rsidRPr="00D92E20">
        <w:rPr>
          <w:rFonts w:cs="Arial"/>
          <w:b/>
          <w:color w:val="000000"/>
          <w:szCs w:val="16"/>
        </w:rPr>
        <w:t>pro nemoc</w:t>
      </w:r>
      <w:r w:rsidRPr="00D92E20">
        <w:rPr>
          <w:rFonts w:cs="Arial"/>
          <w:b/>
          <w:color w:val="000000"/>
          <w:szCs w:val="16"/>
        </w:rPr>
        <w:t xml:space="preserve"> na 100 pojištěnců podle odvětví (sekce CZ-NACE), </w:t>
      </w:r>
      <w:r w:rsidR="00670A6B" w:rsidRPr="00670A6B">
        <w:rPr>
          <w:rFonts w:cs="Arial"/>
          <w:b/>
          <w:color w:val="000000"/>
          <w:szCs w:val="16"/>
        </w:rPr>
        <w:t>1. pol. 2020 a 2021</w:t>
      </w:r>
    </w:p>
    <w:p w14:paraId="2D143D09" w14:textId="6E3F02C9" w:rsidR="00E73F0C" w:rsidRPr="00D92E20" w:rsidRDefault="00670A6B" w:rsidP="007E06C7">
      <w:pPr>
        <w:spacing w:before="120" w:after="120"/>
        <w:jc w:val="both"/>
        <w:rPr>
          <w:rFonts w:cs="Arial"/>
          <w:b/>
          <w:color w:val="000000"/>
          <w:szCs w:val="16"/>
        </w:rPr>
      </w:pPr>
      <w:r>
        <w:rPr>
          <w:noProof/>
        </w:rPr>
        <w:drawing>
          <wp:inline distT="0" distB="0" distL="0" distR="0" wp14:anchorId="025ABA35" wp14:editId="72943024">
            <wp:extent cx="6116400" cy="5184000"/>
            <wp:effectExtent l="0" t="0" r="17780" b="171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6525D" w14:textId="77777777" w:rsidR="00E73F0C" w:rsidRPr="00D92E20" w:rsidRDefault="00E73F0C" w:rsidP="00E73F0C">
      <w:pPr>
        <w:rPr>
          <w:sz w:val="16"/>
        </w:rPr>
      </w:pPr>
      <w:r w:rsidRPr="00D92E20">
        <w:rPr>
          <w:sz w:val="16"/>
        </w:rPr>
        <w:t>Zdroj: ČSÚ</w:t>
      </w:r>
    </w:p>
    <w:p w14:paraId="1651A662" w14:textId="66B0FD96" w:rsidR="004A31C1" w:rsidRPr="00D92E20" w:rsidRDefault="004A31C1" w:rsidP="004A31C1">
      <w:pPr>
        <w:spacing w:before="120" w:after="120"/>
        <w:jc w:val="both"/>
        <w:rPr>
          <w:rFonts w:cs="Arial"/>
        </w:rPr>
      </w:pPr>
      <w:r w:rsidRPr="00D92E20">
        <w:rPr>
          <w:rFonts w:cs="Arial"/>
          <w:color w:val="000000"/>
          <w:szCs w:val="16"/>
        </w:rPr>
        <w:t xml:space="preserve">Vývoj počtu případů pracovní neschopnosti na 100 pojištěnců v jednotlivých odvětvích je zřejmý z grafu 2.4, resp. z tabulky 2.2. </w:t>
      </w:r>
      <w:r>
        <w:rPr>
          <w:rFonts w:cs="Arial"/>
          <w:color w:val="000000"/>
          <w:szCs w:val="16"/>
        </w:rPr>
        <w:t>Za 1. pol. 2021</w:t>
      </w:r>
      <w:r w:rsidRPr="00D92E20">
        <w:rPr>
          <w:rFonts w:cs="Arial"/>
          <w:color w:val="000000"/>
          <w:szCs w:val="16"/>
        </w:rPr>
        <w:t xml:space="preserve"> bylo nahlášeno o </w:t>
      </w:r>
      <w:r>
        <w:rPr>
          <w:rFonts w:cs="Arial"/>
          <w:color w:val="000000"/>
          <w:szCs w:val="16"/>
        </w:rPr>
        <w:t>13</w:t>
      </w:r>
      <w:r w:rsidRPr="00D92E20">
        <w:rPr>
          <w:rFonts w:cs="Arial"/>
          <w:color w:val="000000"/>
          <w:szCs w:val="16"/>
        </w:rPr>
        <w:t xml:space="preserve"> případů na 100 pojištěnců více než před deseti lety. Nejdynamičtě</w:t>
      </w:r>
      <w:r>
        <w:rPr>
          <w:rFonts w:cs="Arial"/>
          <w:color w:val="000000"/>
          <w:szCs w:val="16"/>
        </w:rPr>
        <w:t xml:space="preserve">jší nárůst je patrný v odvětvových sekcích Těžba a dobývání, resp. Zásobování vodou; </w:t>
      </w:r>
      <w:r w:rsidRPr="004511CC">
        <w:rPr>
          <w:rFonts w:cs="Arial"/>
          <w:color w:val="000000"/>
          <w:szCs w:val="16"/>
        </w:rPr>
        <w:t>činnosti související s odpady a sanacemi</w:t>
      </w:r>
      <w:r>
        <w:rPr>
          <w:rFonts w:cs="Arial"/>
          <w:color w:val="000000"/>
          <w:szCs w:val="16"/>
        </w:rPr>
        <w:t>, kde došlo ke zvýšení o více než 110 %. V</w:t>
      </w:r>
      <w:r w:rsidRPr="00D92E20">
        <w:rPr>
          <w:rFonts w:cs="Arial"/>
          <w:color w:val="000000"/>
          <w:szCs w:val="16"/>
        </w:rPr>
        <w:t xml:space="preserve"> sekci </w:t>
      </w:r>
      <w:r>
        <w:rPr>
          <w:rFonts w:cs="Arial"/>
          <w:color w:val="000000"/>
          <w:szCs w:val="16"/>
        </w:rPr>
        <w:t xml:space="preserve">Těžba a dobývání ukazatel </w:t>
      </w:r>
      <w:r>
        <w:rPr>
          <w:rFonts w:cs="Arial"/>
          <w:color w:val="000000"/>
          <w:szCs w:val="16"/>
        </w:rPr>
        <w:lastRenderedPageBreak/>
        <w:t>vzrostl z 19</w:t>
      </w:r>
      <w:r w:rsidRPr="00D92E20">
        <w:rPr>
          <w:rFonts w:cs="Arial"/>
          <w:color w:val="000000"/>
          <w:szCs w:val="16"/>
        </w:rPr>
        <w:t xml:space="preserve"> případů na 100 pojištěnců v</w:t>
      </w:r>
      <w:r>
        <w:rPr>
          <w:rFonts w:cs="Arial"/>
          <w:color w:val="000000"/>
          <w:szCs w:val="16"/>
        </w:rPr>
        <w:t> 1. pol. 2011</w:t>
      </w:r>
      <w:r w:rsidRPr="00D92E20">
        <w:rPr>
          <w:rFonts w:cs="Arial"/>
          <w:color w:val="000000"/>
          <w:szCs w:val="16"/>
        </w:rPr>
        <w:t xml:space="preserve"> na </w:t>
      </w:r>
      <w:r>
        <w:rPr>
          <w:rFonts w:cs="Arial"/>
          <w:color w:val="000000"/>
          <w:szCs w:val="16"/>
        </w:rPr>
        <w:t>41</w:t>
      </w:r>
      <w:r w:rsidRPr="00D92E20">
        <w:rPr>
          <w:rFonts w:cs="Arial"/>
          <w:color w:val="000000"/>
          <w:szCs w:val="16"/>
        </w:rPr>
        <w:t xml:space="preserve"> případů v</w:t>
      </w:r>
      <w:r>
        <w:rPr>
          <w:rFonts w:cs="Arial"/>
          <w:color w:val="000000"/>
          <w:szCs w:val="16"/>
        </w:rPr>
        <w:t> 1. pol. 2021</w:t>
      </w:r>
      <w:r w:rsidRPr="00D92E20">
        <w:rPr>
          <w:rFonts w:cs="Arial"/>
          <w:color w:val="000000"/>
          <w:szCs w:val="16"/>
        </w:rPr>
        <w:t>. Rapidní nárůst (</w:t>
      </w:r>
      <w:r>
        <w:rPr>
          <w:rFonts w:cs="Arial"/>
          <w:color w:val="000000"/>
          <w:szCs w:val="16"/>
        </w:rPr>
        <w:t xml:space="preserve">zhruba </w:t>
      </w:r>
      <w:r w:rsidRPr="00D92E20">
        <w:rPr>
          <w:rFonts w:cs="Arial"/>
          <w:color w:val="000000"/>
          <w:szCs w:val="16"/>
        </w:rPr>
        <w:t>o</w:t>
      </w:r>
      <w:r w:rsidR="00CD63E8">
        <w:rPr>
          <w:rFonts w:cs="Arial"/>
          <w:color w:val="000000"/>
          <w:szCs w:val="16"/>
        </w:rPr>
        <w:t> </w:t>
      </w:r>
      <w:r>
        <w:rPr>
          <w:rFonts w:cs="Arial"/>
          <w:color w:val="000000"/>
          <w:szCs w:val="16"/>
        </w:rPr>
        <w:t>100</w:t>
      </w:r>
      <w:r w:rsidRPr="00D92E20">
        <w:rPr>
          <w:rFonts w:cs="Arial"/>
          <w:color w:val="000000"/>
          <w:szCs w:val="16"/>
        </w:rPr>
        <w:t xml:space="preserve"> %) byl zaznamenán i v odvětví Zpracovatelský průmysl, a sice přibylo </w:t>
      </w:r>
      <w:r>
        <w:rPr>
          <w:rFonts w:cs="Arial"/>
          <w:color w:val="000000"/>
          <w:szCs w:val="16"/>
        </w:rPr>
        <w:t>21</w:t>
      </w:r>
      <w:r w:rsidRPr="00D92E20">
        <w:rPr>
          <w:rFonts w:cs="Arial"/>
          <w:color w:val="000000"/>
          <w:szCs w:val="16"/>
        </w:rPr>
        <w:t xml:space="preserve"> případů pracovní neschopnosti na 100 pojištěnců</w:t>
      </w:r>
      <w:r>
        <w:rPr>
          <w:rFonts w:cs="Arial"/>
          <w:color w:val="000000"/>
          <w:szCs w:val="16"/>
        </w:rPr>
        <w:t xml:space="preserve"> a v oblasti Doprava a skladování (+16 případů). </w:t>
      </w:r>
      <w:r w:rsidRPr="00D92E20">
        <w:rPr>
          <w:rFonts w:cs="Arial"/>
          <w:color w:val="000000"/>
          <w:szCs w:val="16"/>
        </w:rPr>
        <w:t>K poklesům za zmiňované období došlo pouze u dvou sekcí, Informační a komunikační činnosti a Peněžnictví a pojišťovnictví (shodně o 1</w:t>
      </w:r>
      <w:r>
        <w:rPr>
          <w:rFonts w:cs="Arial"/>
          <w:color w:val="000000"/>
          <w:szCs w:val="16"/>
        </w:rPr>
        <w:t>2</w:t>
      </w:r>
      <w:r w:rsidRPr="00D92E20">
        <w:rPr>
          <w:rFonts w:cs="Arial"/>
          <w:color w:val="000000"/>
          <w:szCs w:val="16"/>
        </w:rPr>
        <w:t xml:space="preserve"> %, resp.</w:t>
      </w:r>
      <w:r w:rsidR="00CD63E8">
        <w:rPr>
          <w:rFonts w:cs="Arial"/>
          <w:color w:val="000000"/>
          <w:szCs w:val="16"/>
        </w:rPr>
        <w:t> </w:t>
      </w:r>
      <w:r w:rsidRPr="00D92E20">
        <w:rPr>
          <w:rFonts w:cs="Arial"/>
          <w:color w:val="000000"/>
          <w:szCs w:val="16"/>
        </w:rPr>
        <w:t>o</w:t>
      </w:r>
      <w:r w:rsidR="00CD63E8">
        <w:rPr>
          <w:rFonts w:cs="Arial"/>
          <w:color w:val="000000"/>
          <w:szCs w:val="16"/>
        </w:rPr>
        <w:t> </w:t>
      </w:r>
      <w:r>
        <w:rPr>
          <w:rFonts w:cs="Arial"/>
          <w:color w:val="000000"/>
          <w:szCs w:val="16"/>
        </w:rPr>
        <w:t>2</w:t>
      </w:r>
      <w:r w:rsidR="00CD63E8">
        <w:rPr>
          <w:rFonts w:cs="Arial"/>
          <w:color w:val="000000"/>
          <w:szCs w:val="16"/>
        </w:rPr>
        <w:t> </w:t>
      </w:r>
      <w:r>
        <w:rPr>
          <w:rFonts w:cs="Arial"/>
          <w:color w:val="000000"/>
          <w:szCs w:val="16"/>
        </w:rPr>
        <w:t>případy</w:t>
      </w:r>
      <w:r w:rsidRPr="00D92E20">
        <w:rPr>
          <w:rFonts w:cs="Arial"/>
          <w:color w:val="000000"/>
          <w:szCs w:val="16"/>
        </w:rPr>
        <w:t xml:space="preserve"> na 100 pojištěných osob).</w:t>
      </w:r>
    </w:p>
    <w:p w14:paraId="44DEF2BB" w14:textId="272A227E" w:rsidR="00D01776" w:rsidRPr="00D92E20" w:rsidRDefault="00D01776" w:rsidP="00D01776">
      <w:pPr>
        <w:spacing w:before="120" w:after="120"/>
        <w:jc w:val="both"/>
        <w:rPr>
          <w:rFonts w:cs="Arial"/>
          <w:color w:val="000000"/>
          <w:szCs w:val="16"/>
        </w:rPr>
      </w:pPr>
      <w:r w:rsidRPr="00D92E20">
        <w:t xml:space="preserve">Odvětvím s největším </w:t>
      </w:r>
      <w:r w:rsidRPr="00D92E20">
        <w:rPr>
          <w:b/>
        </w:rPr>
        <w:t>meziročním nárůstem</w:t>
      </w:r>
      <w:r w:rsidRPr="00D92E20">
        <w:t xml:space="preserve"> počtu případů pracovní neschopnosti </w:t>
      </w:r>
      <w:r w:rsidRPr="00D92E20">
        <w:rPr>
          <w:b/>
        </w:rPr>
        <w:t>pro nemoc</w:t>
      </w:r>
      <w:r w:rsidRPr="00D92E20">
        <w:t xml:space="preserve"> na</w:t>
      </w:r>
      <w:r w:rsidR="00CD63E8">
        <w:t> </w:t>
      </w:r>
      <w:r w:rsidRPr="00D92E20">
        <w:t>100 pojištěnců v</w:t>
      </w:r>
      <w:r>
        <w:t> 1. pol. 2021 bylo</w:t>
      </w:r>
      <w:r w:rsidRPr="00D92E20">
        <w:t xml:space="preserve"> </w:t>
      </w:r>
      <w:r w:rsidRPr="00670A6B">
        <w:rPr>
          <w:b/>
        </w:rPr>
        <w:t>Zásobování vodou; činnosti související s odpady a sanacemi</w:t>
      </w:r>
      <w:r>
        <w:rPr>
          <w:b/>
        </w:rPr>
        <w:t xml:space="preserve"> a</w:t>
      </w:r>
      <w:r w:rsidR="00CD63E8">
        <w:rPr>
          <w:b/>
        </w:rPr>
        <w:t> </w:t>
      </w:r>
      <w:r>
        <w:rPr>
          <w:b/>
        </w:rPr>
        <w:t>Zpracovatelský průmysl</w:t>
      </w:r>
      <w:r w:rsidRPr="00D92E20">
        <w:t xml:space="preserve">. </w:t>
      </w:r>
      <w:r>
        <w:t>U obou sekcí h</w:t>
      </w:r>
      <w:r w:rsidRPr="00D92E20">
        <w:t xml:space="preserve">odnota </w:t>
      </w:r>
      <w:r>
        <w:t>oproti 1. pol. 2020</w:t>
      </w:r>
      <w:r w:rsidRPr="00D92E20">
        <w:t xml:space="preserve"> vzrostla o </w:t>
      </w:r>
      <w:r>
        <w:t>12 případů. Pokles případů pro nemoc na 100 nemocensky pojištěných nastal v již zmíněné sekci Ubytování, stravování a pohostinství (z</w:t>
      </w:r>
      <w:r w:rsidR="00CD63E8">
        <w:t> </w:t>
      </w:r>
      <w:r>
        <w:t>20 případů v 1. pol. 2020 na 15). V sekci Kulturní, zábavní a rekreační činnosti došlo jen k minimálnímu poklesu.</w:t>
      </w:r>
    </w:p>
    <w:p w14:paraId="6242C0A8" w14:textId="64DB0557" w:rsidR="00FB73B2" w:rsidRPr="00D92E20" w:rsidRDefault="00FB73B2" w:rsidP="00BA6B4E">
      <w:pPr>
        <w:spacing w:before="120" w:after="120"/>
        <w:jc w:val="both"/>
      </w:pPr>
      <w:r w:rsidRPr="00D92E20">
        <w:t xml:space="preserve">Nejvíce případů dočasné pracovní neschopnosti na 100 pojištěnců </w:t>
      </w:r>
      <w:r w:rsidRPr="00D92E20">
        <w:rPr>
          <w:b/>
        </w:rPr>
        <w:t>pro pracovní úraz</w:t>
      </w:r>
      <w:r w:rsidRPr="00D92E20">
        <w:t>, což je možné chápat jako ukazatel vyjadřující „stupeň rizi</w:t>
      </w:r>
      <w:r w:rsidR="00670A6B">
        <w:t>kovosti“ daného odvětví, bylo za 1. pol. 2021</w:t>
      </w:r>
      <w:r w:rsidRPr="00D92E20">
        <w:t xml:space="preserve"> evidováno u sekce Zemědělství, lesnictví a rybářství (</w:t>
      </w:r>
      <w:r w:rsidR="00670A6B">
        <w:t>1</w:t>
      </w:r>
      <w:r w:rsidRPr="00D92E20">
        <w:t>,3), následované oblastmi Zásobování vodou; činnosti související s odpady a sanacemi (1,</w:t>
      </w:r>
      <w:r w:rsidR="00670A6B">
        <w:t>1</w:t>
      </w:r>
      <w:r w:rsidRPr="00D92E20">
        <w:t>) a Těžba a dobývání (1,</w:t>
      </w:r>
      <w:r w:rsidR="00E83157">
        <w:t>0</w:t>
      </w:r>
      <w:r w:rsidRPr="00D92E20">
        <w:t>). Naproti tomu nejméně pracovních úrazů bylo zaznamenáno v subjektech působících v odvětví Peněžnictví a pojišťovnictví a v oblasti Informační a komunikační činnost</w:t>
      </w:r>
      <w:r w:rsidR="00D042B7" w:rsidRPr="00D92E20">
        <w:t>i</w:t>
      </w:r>
      <w:r w:rsidRPr="00D92E20">
        <w:t xml:space="preserve"> (shodně 0,0</w:t>
      </w:r>
      <w:r w:rsidR="00E83157">
        <w:t>3 resp. 0,04</w:t>
      </w:r>
      <w:r w:rsidRPr="00D92E20">
        <w:t>). Průměrně za všechna odvětví připadalo na 100 pojištěnců 0,</w:t>
      </w:r>
      <w:r w:rsidR="00E83157">
        <w:t>5</w:t>
      </w:r>
      <w:r w:rsidRPr="00D92E20">
        <w:t xml:space="preserve"> případu pracovní neschopnosti pro pracovní úraz.</w:t>
      </w:r>
      <w:r w:rsidR="004C0F5E" w:rsidRPr="00D92E20">
        <w:t xml:space="preserve"> Více o pracovních úrazech v kap. 4.5.</w:t>
      </w:r>
    </w:p>
    <w:p w14:paraId="35E5C513" w14:textId="7556192A" w:rsidR="00E404AC" w:rsidRPr="00D92E20" w:rsidRDefault="008126FD" w:rsidP="00BA6B4E">
      <w:pPr>
        <w:pStyle w:val="Seznam"/>
        <w:spacing w:after="0"/>
        <w:contextualSpacing w:val="0"/>
        <w:jc w:val="both"/>
      </w:pPr>
      <w:r w:rsidRPr="00D92E20">
        <w:rPr>
          <w:b/>
        </w:rPr>
        <w:t xml:space="preserve">Tab. 2.2: Nově hlášené případy dočasné pracovní neschopnosti na 100 pojištěnců podle odvětví (sekce CZ-NACE), </w:t>
      </w:r>
      <w:r w:rsidR="00E83157" w:rsidRPr="00E83157">
        <w:rPr>
          <w:b/>
        </w:rPr>
        <w:t>1. pol. 2011–1. pol. 2021</w:t>
      </w:r>
    </w:p>
    <w:tbl>
      <w:tblPr>
        <w:tblW w:w="9691" w:type="dxa"/>
        <w:tblCellMar>
          <w:left w:w="70" w:type="dxa"/>
          <w:right w:w="70" w:type="dxa"/>
        </w:tblCellMar>
        <w:tblLook w:val="04A0" w:firstRow="1" w:lastRow="0" w:firstColumn="1" w:lastColumn="0" w:noHBand="0" w:noVBand="1"/>
      </w:tblPr>
      <w:tblGrid>
        <w:gridCol w:w="3146"/>
        <w:gridCol w:w="595"/>
        <w:gridCol w:w="595"/>
        <w:gridCol w:w="595"/>
        <w:gridCol w:w="595"/>
        <w:gridCol w:w="595"/>
        <w:gridCol w:w="595"/>
        <w:gridCol w:w="595"/>
        <w:gridCol w:w="595"/>
        <w:gridCol w:w="595"/>
        <w:gridCol w:w="595"/>
        <w:gridCol w:w="595"/>
      </w:tblGrid>
      <w:tr w:rsidR="00E83157" w:rsidRPr="00D92E20" w14:paraId="0ECE45FF" w14:textId="77777777" w:rsidTr="00E83157">
        <w:trPr>
          <w:trHeight w:val="300"/>
        </w:trPr>
        <w:tc>
          <w:tcPr>
            <w:tcW w:w="3146" w:type="dxa"/>
            <w:tcBorders>
              <w:top w:val="single" w:sz="4" w:space="0" w:color="auto"/>
              <w:left w:val="nil"/>
              <w:bottom w:val="single" w:sz="4" w:space="0" w:color="auto"/>
              <w:right w:val="single" w:sz="4" w:space="0" w:color="auto"/>
            </w:tcBorders>
            <w:shd w:val="clear" w:color="000000" w:fill="F5DADD"/>
            <w:noWrap/>
            <w:vAlign w:val="center"/>
            <w:hideMark/>
          </w:tcPr>
          <w:p w14:paraId="4AC62DC9" w14:textId="77777777" w:rsidR="00E83157" w:rsidRPr="00D92E20" w:rsidRDefault="00E83157" w:rsidP="00E83157">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center"/>
            <w:hideMark/>
          </w:tcPr>
          <w:p w14:paraId="2FD76797" w14:textId="26D69550"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595" w:type="dxa"/>
            <w:tcBorders>
              <w:top w:val="single" w:sz="4" w:space="0" w:color="auto"/>
              <w:left w:val="nil"/>
              <w:bottom w:val="single" w:sz="4" w:space="0" w:color="auto"/>
              <w:right w:val="nil"/>
            </w:tcBorders>
            <w:shd w:val="clear" w:color="000000" w:fill="F5DADD"/>
            <w:noWrap/>
            <w:vAlign w:val="center"/>
            <w:hideMark/>
          </w:tcPr>
          <w:p w14:paraId="75ADD116" w14:textId="363EE411"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center"/>
            <w:hideMark/>
          </w:tcPr>
          <w:p w14:paraId="283B32E7" w14:textId="5B5BD32A"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center"/>
            <w:hideMark/>
          </w:tcPr>
          <w:p w14:paraId="021C8FC7" w14:textId="3F819D4B"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center"/>
            <w:hideMark/>
          </w:tcPr>
          <w:p w14:paraId="1CC48030" w14:textId="34699A60"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center"/>
            <w:hideMark/>
          </w:tcPr>
          <w:p w14:paraId="39768270" w14:textId="019F7F05"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center"/>
            <w:hideMark/>
          </w:tcPr>
          <w:p w14:paraId="1276DABB" w14:textId="361BCC25"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center"/>
            <w:hideMark/>
          </w:tcPr>
          <w:p w14:paraId="74B1FBD1" w14:textId="5F25707E" w:rsidR="00E83157" w:rsidRPr="00D92E20" w:rsidRDefault="00E83157" w:rsidP="00E83157">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center"/>
            <w:hideMark/>
          </w:tcPr>
          <w:p w14:paraId="6B16707E" w14:textId="1739ACE7" w:rsidR="00E83157" w:rsidRPr="00D92E20" w:rsidRDefault="00E83157" w:rsidP="00E83157">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center"/>
            <w:hideMark/>
          </w:tcPr>
          <w:p w14:paraId="56E67D72" w14:textId="2811B0C9" w:rsidR="00E83157" w:rsidRPr="00D92E20" w:rsidRDefault="00E83157" w:rsidP="00E83157">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center"/>
            <w:hideMark/>
          </w:tcPr>
          <w:p w14:paraId="63675900" w14:textId="2B1A6363" w:rsidR="00E83157" w:rsidRPr="00D92E20" w:rsidRDefault="00E83157" w:rsidP="00E83157">
            <w:pPr>
              <w:spacing w:after="0" w:line="240" w:lineRule="auto"/>
              <w:jc w:val="center"/>
              <w:rPr>
                <w:rFonts w:cs="Arial"/>
                <w:color w:val="000000"/>
                <w:sz w:val="16"/>
                <w:szCs w:val="16"/>
              </w:rPr>
            </w:pPr>
            <w:r>
              <w:rPr>
                <w:rFonts w:cs="Arial"/>
                <w:sz w:val="16"/>
                <w:szCs w:val="16"/>
              </w:rPr>
              <w:t>1. pol. 2021</w:t>
            </w:r>
          </w:p>
        </w:tc>
      </w:tr>
      <w:tr w:rsidR="00E83157" w:rsidRPr="00D92E20" w14:paraId="31536B9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A5FF7D1" w14:textId="77777777" w:rsidR="00E83157" w:rsidRPr="00D92E20" w:rsidRDefault="00E83157" w:rsidP="00E83157">
            <w:pPr>
              <w:spacing w:after="0" w:line="240" w:lineRule="auto"/>
              <w:rPr>
                <w:rFonts w:cs="Arial"/>
                <w:b/>
                <w:bCs/>
                <w:color w:val="000000"/>
                <w:sz w:val="16"/>
                <w:szCs w:val="16"/>
              </w:rPr>
            </w:pPr>
            <w:r w:rsidRPr="00D92E20">
              <w:rPr>
                <w:rFonts w:cs="Arial"/>
                <w:b/>
                <w:bCs/>
                <w:color w:val="000000"/>
                <w:sz w:val="16"/>
                <w:szCs w:val="16"/>
              </w:rPr>
              <w:t xml:space="preserve">Celkem </w:t>
            </w:r>
          </w:p>
        </w:tc>
        <w:tc>
          <w:tcPr>
            <w:tcW w:w="595" w:type="dxa"/>
            <w:tcBorders>
              <w:top w:val="nil"/>
              <w:left w:val="nil"/>
              <w:bottom w:val="nil"/>
              <w:right w:val="nil"/>
            </w:tcBorders>
            <w:shd w:val="clear" w:color="auto" w:fill="auto"/>
            <w:noWrap/>
            <w:vAlign w:val="center"/>
            <w:hideMark/>
          </w:tcPr>
          <w:p w14:paraId="6EB2DEE5" w14:textId="13216AC0"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17,0</w:t>
            </w:r>
          </w:p>
        </w:tc>
        <w:tc>
          <w:tcPr>
            <w:tcW w:w="595" w:type="dxa"/>
            <w:tcBorders>
              <w:top w:val="nil"/>
              <w:left w:val="nil"/>
              <w:bottom w:val="nil"/>
              <w:right w:val="nil"/>
            </w:tcBorders>
            <w:shd w:val="clear" w:color="auto" w:fill="auto"/>
            <w:noWrap/>
            <w:vAlign w:val="center"/>
            <w:hideMark/>
          </w:tcPr>
          <w:p w14:paraId="5F1DEC74" w14:textId="6B35683A"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13,6</w:t>
            </w:r>
          </w:p>
        </w:tc>
        <w:tc>
          <w:tcPr>
            <w:tcW w:w="595" w:type="dxa"/>
            <w:tcBorders>
              <w:top w:val="nil"/>
              <w:left w:val="nil"/>
              <w:bottom w:val="nil"/>
              <w:right w:val="nil"/>
            </w:tcBorders>
            <w:shd w:val="clear" w:color="auto" w:fill="auto"/>
            <w:noWrap/>
            <w:vAlign w:val="center"/>
            <w:hideMark/>
          </w:tcPr>
          <w:p w14:paraId="1A050253" w14:textId="5A1E04F8"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17,1</w:t>
            </w:r>
          </w:p>
        </w:tc>
        <w:tc>
          <w:tcPr>
            <w:tcW w:w="595" w:type="dxa"/>
            <w:tcBorders>
              <w:top w:val="nil"/>
              <w:left w:val="nil"/>
              <w:bottom w:val="nil"/>
              <w:right w:val="nil"/>
            </w:tcBorders>
            <w:shd w:val="clear" w:color="auto" w:fill="auto"/>
            <w:noWrap/>
            <w:vAlign w:val="center"/>
            <w:hideMark/>
          </w:tcPr>
          <w:p w14:paraId="4D36D802" w14:textId="5260BA52"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15,1</w:t>
            </w:r>
          </w:p>
        </w:tc>
        <w:tc>
          <w:tcPr>
            <w:tcW w:w="595" w:type="dxa"/>
            <w:tcBorders>
              <w:top w:val="nil"/>
              <w:left w:val="nil"/>
              <w:bottom w:val="nil"/>
              <w:right w:val="nil"/>
            </w:tcBorders>
            <w:shd w:val="clear" w:color="auto" w:fill="auto"/>
            <w:noWrap/>
            <w:vAlign w:val="center"/>
            <w:hideMark/>
          </w:tcPr>
          <w:p w14:paraId="4C09A4DC" w14:textId="0A69826D"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19,5</w:t>
            </w:r>
          </w:p>
        </w:tc>
        <w:tc>
          <w:tcPr>
            <w:tcW w:w="595" w:type="dxa"/>
            <w:tcBorders>
              <w:top w:val="nil"/>
              <w:left w:val="nil"/>
              <w:bottom w:val="nil"/>
              <w:right w:val="nil"/>
            </w:tcBorders>
            <w:shd w:val="clear" w:color="auto" w:fill="auto"/>
            <w:noWrap/>
            <w:vAlign w:val="center"/>
            <w:hideMark/>
          </w:tcPr>
          <w:p w14:paraId="2906677C" w14:textId="51D497D1"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19,3</w:t>
            </w:r>
          </w:p>
        </w:tc>
        <w:tc>
          <w:tcPr>
            <w:tcW w:w="595" w:type="dxa"/>
            <w:tcBorders>
              <w:top w:val="nil"/>
              <w:left w:val="nil"/>
              <w:bottom w:val="nil"/>
              <w:right w:val="nil"/>
            </w:tcBorders>
            <w:shd w:val="clear" w:color="auto" w:fill="auto"/>
            <w:noWrap/>
            <w:vAlign w:val="center"/>
            <w:hideMark/>
          </w:tcPr>
          <w:p w14:paraId="75BCD889" w14:textId="67A98018"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20,4</w:t>
            </w:r>
          </w:p>
        </w:tc>
        <w:tc>
          <w:tcPr>
            <w:tcW w:w="595" w:type="dxa"/>
            <w:tcBorders>
              <w:top w:val="nil"/>
              <w:left w:val="nil"/>
              <w:bottom w:val="nil"/>
              <w:right w:val="nil"/>
            </w:tcBorders>
            <w:shd w:val="clear" w:color="auto" w:fill="auto"/>
            <w:noWrap/>
            <w:vAlign w:val="center"/>
            <w:hideMark/>
          </w:tcPr>
          <w:p w14:paraId="68CBED76" w14:textId="6B0A0DAF" w:rsidR="00E83157" w:rsidRPr="00D92E20" w:rsidRDefault="00E83157" w:rsidP="00E83157">
            <w:pPr>
              <w:spacing w:after="0" w:line="240" w:lineRule="auto"/>
              <w:jc w:val="center"/>
              <w:rPr>
                <w:rFonts w:cs="Arial"/>
                <w:b/>
                <w:bCs/>
                <w:color w:val="000000"/>
                <w:sz w:val="16"/>
                <w:szCs w:val="16"/>
              </w:rPr>
            </w:pPr>
            <w:r>
              <w:rPr>
                <w:rFonts w:ascii="Arial CE" w:hAnsi="Arial CE" w:cs="Calibri"/>
                <w:b/>
                <w:bCs/>
                <w:sz w:val="16"/>
                <w:szCs w:val="16"/>
              </w:rPr>
              <w:t>22,1</w:t>
            </w:r>
          </w:p>
        </w:tc>
        <w:tc>
          <w:tcPr>
            <w:tcW w:w="595" w:type="dxa"/>
            <w:tcBorders>
              <w:top w:val="nil"/>
              <w:left w:val="nil"/>
              <w:bottom w:val="nil"/>
              <w:right w:val="nil"/>
            </w:tcBorders>
            <w:shd w:val="clear" w:color="auto" w:fill="auto"/>
            <w:noWrap/>
            <w:vAlign w:val="center"/>
            <w:hideMark/>
          </w:tcPr>
          <w:p w14:paraId="7261C512" w14:textId="73271C01" w:rsidR="00E83157" w:rsidRPr="00D92E20" w:rsidRDefault="00E83157" w:rsidP="00E83157">
            <w:pPr>
              <w:spacing w:after="0" w:line="240" w:lineRule="auto"/>
              <w:jc w:val="center"/>
              <w:rPr>
                <w:rFonts w:cs="Arial"/>
                <w:b/>
                <w:bCs/>
                <w:color w:val="000000"/>
                <w:sz w:val="16"/>
                <w:szCs w:val="16"/>
              </w:rPr>
            </w:pPr>
            <w:r>
              <w:rPr>
                <w:rFonts w:cs="Arial"/>
                <w:b/>
                <w:bCs/>
                <w:color w:val="000000"/>
                <w:sz w:val="16"/>
                <w:szCs w:val="16"/>
              </w:rPr>
              <w:t>20,6</w:t>
            </w:r>
          </w:p>
        </w:tc>
        <w:tc>
          <w:tcPr>
            <w:tcW w:w="595" w:type="dxa"/>
            <w:tcBorders>
              <w:top w:val="nil"/>
              <w:left w:val="nil"/>
              <w:bottom w:val="nil"/>
              <w:right w:val="nil"/>
            </w:tcBorders>
            <w:shd w:val="clear" w:color="auto" w:fill="auto"/>
            <w:noWrap/>
            <w:vAlign w:val="center"/>
            <w:hideMark/>
          </w:tcPr>
          <w:p w14:paraId="2BD23163" w14:textId="0EA0E56D" w:rsidR="00E83157" w:rsidRPr="00D92E20" w:rsidRDefault="00E83157" w:rsidP="00E83157">
            <w:pPr>
              <w:spacing w:after="0" w:line="240" w:lineRule="auto"/>
              <w:jc w:val="center"/>
              <w:rPr>
                <w:rFonts w:cs="Arial"/>
                <w:b/>
                <w:bCs/>
                <w:color w:val="000000"/>
                <w:sz w:val="16"/>
                <w:szCs w:val="16"/>
              </w:rPr>
            </w:pPr>
            <w:r>
              <w:rPr>
                <w:rFonts w:cs="Arial"/>
                <w:b/>
                <w:bCs/>
                <w:color w:val="000000"/>
                <w:sz w:val="16"/>
                <w:szCs w:val="16"/>
              </w:rPr>
              <w:t>22,8</w:t>
            </w:r>
          </w:p>
        </w:tc>
        <w:tc>
          <w:tcPr>
            <w:tcW w:w="595" w:type="dxa"/>
            <w:tcBorders>
              <w:top w:val="nil"/>
              <w:left w:val="nil"/>
              <w:bottom w:val="nil"/>
              <w:right w:val="nil"/>
            </w:tcBorders>
            <w:shd w:val="clear" w:color="auto" w:fill="auto"/>
            <w:noWrap/>
            <w:vAlign w:val="center"/>
            <w:hideMark/>
          </w:tcPr>
          <w:p w14:paraId="39BD6188" w14:textId="67F732CD" w:rsidR="00E83157" w:rsidRPr="00D92E20" w:rsidRDefault="00E83157" w:rsidP="00E83157">
            <w:pPr>
              <w:spacing w:after="0" w:line="240" w:lineRule="auto"/>
              <w:jc w:val="center"/>
              <w:rPr>
                <w:rFonts w:cs="Arial"/>
                <w:b/>
                <w:bCs/>
                <w:color w:val="000000"/>
                <w:sz w:val="16"/>
                <w:szCs w:val="16"/>
              </w:rPr>
            </w:pPr>
            <w:r>
              <w:rPr>
                <w:rFonts w:cs="Arial"/>
                <w:b/>
                <w:bCs/>
                <w:color w:val="000000"/>
                <w:sz w:val="16"/>
                <w:szCs w:val="16"/>
              </w:rPr>
              <w:t>29,8</w:t>
            </w:r>
          </w:p>
        </w:tc>
      </w:tr>
      <w:tr w:rsidR="00E83157" w:rsidRPr="00D92E20" w14:paraId="64B1976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853106A" w14:textId="44792313"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55A991D1" w14:textId="6245677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15,2</w:t>
            </w:r>
          </w:p>
        </w:tc>
        <w:tc>
          <w:tcPr>
            <w:tcW w:w="595" w:type="dxa"/>
            <w:tcBorders>
              <w:top w:val="nil"/>
              <w:left w:val="nil"/>
              <w:bottom w:val="nil"/>
              <w:right w:val="nil"/>
            </w:tcBorders>
            <w:shd w:val="clear" w:color="auto" w:fill="auto"/>
            <w:noWrap/>
            <w:vAlign w:val="center"/>
            <w:hideMark/>
          </w:tcPr>
          <w:p w14:paraId="654BDA90" w14:textId="419E176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13,0</w:t>
            </w:r>
          </w:p>
        </w:tc>
        <w:tc>
          <w:tcPr>
            <w:tcW w:w="595" w:type="dxa"/>
            <w:tcBorders>
              <w:top w:val="nil"/>
              <w:left w:val="nil"/>
              <w:bottom w:val="nil"/>
              <w:right w:val="nil"/>
            </w:tcBorders>
            <w:shd w:val="clear" w:color="auto" w:fill="auto"/>
            <w:noWrap/>
            <w:vAlign w:val="center"/>
            <w:hideMark/>
          </w:tcPr>
          <w:p w14:paraId="2A0CA5C6" w14:textId="63CDFC2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15,7</w:t>
            </w:r>
          </w:p>
        </w:tc>
        <w:tc>
          <w:tcPr>
            <w:tcW w:w="595" w:type="dxa"/>
            <w:tcBorders>
              <w:top w:val="nil"/>
              <w:left w:val="nil"/>
              <w:bottom w:val="nil"/>
              <w:right w:val="nil"/>
            </w:tcBorders>
            <w:shd w:val="clear" w:color="auto" w:fill="auto"/>
            <w:noWrap/>
            <w:vAlign w:val="center"/>
            <w:hideMark/>
          </w:tcPr>
          <w:p w14:paraId="42406024" w14:textId="056FF58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13,9</w:t>
            </w:r>
          </w:p>
        </w:tc>
        <w:tc>
          <w:tcPr>
            <w:tcW w:w="595" w:type="dxa"/>
            <w:tcBorders>
              <w:top w:val="nil"/>
              <w:left w:val="nil"/>
              <w:bottom w:val="nil"/>
              <w:right w:val="nil"/>
            </w:tcBorders>
            <w:shd w:val="clear" w:color="auto" w:fill="auto"/>
            <w:noWrap/>
            <w:vAlign w:val="center"/>
            <w:hideMark/>
          </w:tcPr>
          <w:p w14:paraId="3AB51C4C" w14:textId="7E7EAA7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17,5</w:t>
            </w:r>
          </w:p>
        </w:tc>
        <w:tc>
          <w:tcPr>
            <w:tcW w:w="595" w:type="dxa"/>
            <w:tcBorders>
              <w:top w:val="nil"/>
              <w:left w:val="nil"/>
              <w:bottom w:val="nil"/>
              <w:right w:val="nil"/>
            </w:tcBorders>
            <w:shd w:val="clear" w:color="auto" w:fill="auto"/>
            <w:noWrap/>
            <w:vAlign w:val="center"/>
            <w:hideMark/>
          </w:tcPr>
          <w:p w14:paraId="510B5392" w14:textId="1120DF7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16,9</w:t>
            </w:r>
          </w:p>
        </w:tc>
        <w:tc>
          <w:tcPr>
            <w:tcW w:w="595" w:type="dxa"/>
            <w:tcBorders>
              <w:top w:val="nil"/>
              <w:left w:val="nil"/>
              <w:bottom w:val="nil"/>
              <w:right w:val="nil"/>
            </w:tcBorders>
            <w:shd w:val="clear" w:color="auto" w:fill="auto"/>
            <w:noWrap/>
            <w:vAlign w:val="center"/>
            <w:hideMark/>
          </w:tcPr>
          <w:p w14:paraId="3A91D837" w14:textId="1A2E5EE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18,3</w:t>
            </w:r>
          </w:p>
        </w:tc>
        <w:tc>
          <w:tcPr>
            <w:tcW w:w="595" w:type="dxa"/>
            <w:tcBorders>
              <w:top w:val="nil"/>
              <w:left w:val="nil"/>
              <w:bottom w:val="nil"/>
              <w:right w:val="nil"/>
            </w:tcBorders>
            <w:shd w:val="clear" w:color="auto" w:fill="auto"/>
            <w:noWrap/>
            <w:vAlign w:val="center"/>
            <w:hideMark/>
          </w:tcPr>
          <w:p w14:paraId="08207719" w14:textId="667D5BC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19,6</w:t>
            </w:r>
          </w:p>
        </w:tc>
        <w:tc>
          <w:tcPr>
            <w:tcW w:w="595" w:type="dxa"/>
            <w:tcBorders>
              <w:top w:val="nil"/>
              <w:left w:val="nil"/>
              <w:bottom w:val="nil"/>
              <w:right w:val="nil"/>
            </w:tcBorders>
            <w:shd w:val="clear" w:color="auto" w:fill="auto"/>
            <w:noWrap/>
            <w:vAlign w:val="center"/>
            <w:hideMark/>
          </w:tcPr>
          <w:p w14:paraId="6085A7A3" w14:textId="5272309C" w:rsidR="00E83157" w:rsidRPr="00D92E20" w:rsidRDefault="00E83157" w:rsidP="00E83157">
            <w:pPr>
              <w:spacing w:after="0" w:line="240" w:lineRule="auto"/>
              <w:jc w:val="center"/>
              <w:rPr>
                <w:rFonts w:cs="Arial"/>
                <w:color w:val="000000"/>
                <w:sz w:val="16"/>
                <w:szCs w:val="16"/>
              </w:rPr>
            </w:pPr>
            <w:r>
              <w:rPr>
                <w:rFonts w:cs="Arial"/>
                <w:color w:val="000000"/>
                <w:sz w:val="16"/>
                <w:szCs w:val="16"/>
              </w:rPr>
              <w:t>18,1</w:t>
            </w:r>
          </w:p>
        </w:tc>
        <w:tc>
          <w:tcPr>
            <w:tcW w:w="595" w:type="dxa"/>
            <w:tcBorders>
              <w:top w:val="nil"/>
              <w:left w:val="nil"/>
              <w:bottom w:val="nil"/>
              <w:right w:val="nil"/>
            </w:tcBorders>
            <w:shd w:val="clear" w:color="auto" w:fill="auto"/>
            <w:noWrap/>
            <w:vAlign w:val="center"/>
            <w:hideMark/>
          </w:tcPr>
          <w:p w14:paraId="027D02D8" w14:textId="2FBB43BF" w:rsidR="00E83157" w:rsidRPr="00D92E20" w:rsidRDefault="00E83157" w:rsidP="00E83157">
            <w:pPr>
              <w:spacing w:after="0" w:line="240" w:lineRule="auto"/>
              <w:jc w:val="center"/>
              <w:rPr>
                <w:rFonts w:cs="Arial"/>
                <w:color w:val="000000"/>
                <w:sz w:val="16"/>
                <w:szCs w:val="16"/>
              </w:rPr>
            </w:pPr>
            <w:r>
              <w:rPr>
                <w:rFonts w:cs="Arial"/>
                <w:color w:val="000000"/>
                <w:sz w:val="16"/>
                <w:szCs w:val="16"/>
              </w:rPr>
              <w:t>18,8</w:t>
            </w:r>
          </w:p>
        </w:tc>
        <w:tc>
          <w:tcPr>
            <w:tcW w:w="595" w:type="dxa"/>
            <w:tcBorders>
              <w:top w:val="nil"/>
              <w:left w:val="nil"/>
              <w:bottom w:val="nil"/>
              <w:right w:val="nil"/>
            </w:tcBorders>
            <w:shd w:val="clear" w:color="auto" w:fill="auto"/>
            <w:noWrap/>
            <w:vAlign w:val="center"/>
            <w:hideMark/>
          </w:tcPr>
          <w:p w14:paraId="10E2B7CB" w14:textId="58B7E873" w:rsidR="00E83157" w:rsidRPr="00D92E20" w:rsidRDefault="00E83157" w:rsidP="00E83157">
            <w:pPr>
              <w:spacing w:after="0" w:line="240" w:lineRule="auto"/>
              <w:jc w:val="center"/>
              <w:rPr>
                <w:rFonts w:cs="Arial"/>
                <w:color w:val="000000"/>
                <w:sz w:val="16"/>
                <w:szCs w:val="16"/>
              </w:rPr>
            </w:pPr>
            <w:r>
              <w:rPr>
                <w:rFonts w:cs="Arial"/>
                <w:color w:val="000000"/>
                <w:sz w:val="16"/>
                <w:szCs w:val="16"/>
              </w:rPr>
              <w:t>29,3</w:t>
            </w:r>
          </w:p>
        </w:tc>
      </w:tr>
      <w:tr w:rsidR="00E83157" w:rsidRPr="00D92E20" w14:paraId="3AB69168"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C092A4D"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56A87914" w14:textId="76C2BB3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19,1</w:t>
            </w:r>
          </w:p>
        </w:tc>
        <w:tc>
          <w:tcPr>
            <w:tcW w:w="595" w:type="dxa"/>
            <w:tcBorders>
              <w:top w:val="nil"/>
              <w:left w:val="nil"/>
              <w:bottom w:val="nil"/>
              <w:right w:val="nil"/>
            </w:tcBorders>
            <w:shd w:val="clear" w:color="auto" w:fill="auto"/>
            <w:noWrap/>
            <w:vAlign w:val="center"/>
            <w:hideMark/>
          </w:tcPr>
          <w:p w14:paraId="1839DB72" w14:textId="7CCE360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18,1</w:t>
            </w:r>
          </w:p>
        </w:tc>
        <w:tc>
          <w:tcPr>
            <w:tcW w:w="595" w:type="dxa"/>
            <w:tcBorders>
              <w:top w:val="nil"/>
              <w:left w:val="nil"/>
              <w:bottom w:val="nil"/>
              <w:right w:val="nil"/>
            </w:tcBorders>
            <w:shd w:val="clear" w:color="auto" w:fill="auto"/>
            <w:noWrap/>
            <w:vAlign w:val="center"/>
            <w:hideMark/>
          </w:tcPr>
          <w:p w14:paraId="7EA45C75" w14:textId="208C58F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21,3</w:t>
            </w:r>
          </w:p>
        </w:tc>
        <w:tc>
          <w:tcPr>
            <w:tcW w:w="595" w:type="dxa"/>
            <w:tcBorders>
              <w:top w:val="nil"/>
              <w:left w:val="nil"/>
              <w:bottom w:val="nil"/>
              <w:right w:val="nil"/>
            </w:tcBorders>
            <w:shd w:val="clear" w:color="auto" w:fill="auto"/>
            <w:noWrap/>
            <w:vAlign w:val="center"/>
            <w:hideMark/>
          </w:tcPr>
          <w:p w14:paraId="027BEF9D" w14:textId="3348D57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17,5</w:t>
            </w:r>
          </w:p>
        </w:tc>
        <w:tc>
          <w:tcPr>
            <w:tcW w:w="595" w:type="dxa"/>
            <w:tcBorders>
              <w:top w:val="nil"/>
              <w:left w:val="nil"/>
              <w:bottom w:val="nil"/>
              <w:right w:val="nil"/>
            </w:tcBorders>
            <w:shd w:val="clear" w:color="auto" w:fill="auto"/>
            <w:noWrap/>
            <w:vAlign w:val="center"/>
            <w:hideMark/>
          </w:tcPr>
          <w:p w14:paraId="67A41E4B" w14:textId="77C4B28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21,0</w:t>
            </w:r>
          </w:p>
        </w:tc>
        <w:tc>
          <w:tcPr>
            <w:tcW w:w="595" w:type="dxa"/>
            <w:tcBorders>
              <w:top w:val="nil"/>
              <w:left w:val="nil"/>
              <w:bottom w:val="nil"/>
              <w:right w:val="nil"/>
            </w:tcBorders>
            <w:shd w:val="clear" w:color="auto" w:fill="auto"/>
            <w:noWrap/>
            <w:vAlign w:val="center"/>
            <w:hideMark/>
          </w:tcPr>
          <w:p w14:paraId="1E2B0F4C" w14:textId="716BAEBC"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20,4</w:t>
            </w:r>
          </w:p>
        </w:tc>
        <w:tc>
          <w:tcPr>
            <w:tcW w:w="595" w:type="dxa"/>
            <w:tcBorders>
              <w:top w:val="nil"/>
              <w:left w:val="nil"/>
              <w:bottom w:val="nil"/>
              <w:right w:val="nil"/>
            </w:tcBorders>
            <w:shd w:val="clear" w:color="auto" w:fill="auto"/>
            <w:noWrap/>
            <w:vAlign w:val="center"/>
            <w:hideMark/>
          </w:tcPr>
          <w:p w14:paraId="74F69E3D" w14:textId="737C476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21,6</w:t>
            </w:r>
          </w:p>
        </w:tc>
        <w:tc>
          <w:tcPr>
            <w:tcW w:w="595" w:type="dxa"/>
            <w:tcBorders>
              <w:top w:val="nil"/>
              <w:left w:val="nil"/>
              <w:bottom w:val="nil"/>
              <w:right w:val="nil"/>
            </w:tcBorders>
            <w:shd w:val="clear" w:color="auto" w:fill="auto"/>
            <w:noWrap/>
            <w:vAlign w:val="center"/>
            <w:hideMark/>
          </w:tcPr>
          <w:p w14:paraId="34217CE0" w14:textId="719B578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23,4</w:t>
            </w:r>
          </w:p>
        </w:tc>
        <w:tc>
          <w:tcPr>
            <w:tcW w:w="595" w:type="dxa"/>
            <w:tcBorders>
              <w:top w:val="nil"/>
              <w:left w:val="nil"/>
              <w:bottom w:val="nil"/>
              <w:right w:val="nil"/>
            </w:tcBorders>
            <w:shd w:val="clear" w:color="auto" w:fill="auto"/>
            <w:noWrap/>
            <w:vAlign w:val="center"/>
            <w:hideMark/>
          </w:tcPr>
          <w:p w14:paraId="03C07AD1" w14:textId="4E82598D" w:rsidR="00E83157" w:rsidRPr="00D92E20" w:rsidRDefault="00E83157" w:rsidP="00E83157">
            <w:pPr>
              <w:spacing w:after="0" w:line="240" w:lineRule="auto"/>
              <w:jc w:val="center"/>
              <w:rPr>
                <w:rFonts w:cs="Arial"/>
                <w:color w:val="000000"/>
                <w:sz w:val="16"/>
                <w:szCs w:val="16"/>
              </w:rPr>
            </w:pPr>
            <w:r>
              <w:rPr>
                <w:rFonts w:cs="Arial"/>
                <w:color w:val="000000"/>
                <w:sz w:val="16"/>
                <w:szCs w:val="16"/>
              </w:rPr>
              <w:t>22,0</w:t>
            </w:r>
          </w:p>
        </w:tc>
        <w:tc>
          <w:tcPr>
            <w:tcW w:w="595" w:type="dxa"/>
            <w:tcBorders>
              <w:top w:val="nil"/>
              <w:left w:val="nil"/>
              <w:bottom w:val="nil"/>
              <w:right w:val="nil"/>
            </w:tcBorders>
            <w:shd w:val="clear" w:color="auto" w:fill="auto"/>
            <w:noWrap/>
            <w:vAlign w:val="center"/>
            <w:hideMark/>
          </w:tcPr>
          <w:p w14:paraId="0A344473" w14:textId="498AFDEA" w:rsidR="00E83157" w:rsidRPr="00D92E20" w:rsidRDefault="00E83157" w:rsidP="00E83157">
            <w:pPr>
              <w:spacing w:after="0" w:line="240" w:lineRule="auto"/>
              <w:jc w:val="center"/>
              <w:rPr>
                <w:rFonts w:cs="Arial"/>
                <w:color w:val="000000"/>
                <w:sz w:val="16"/>
                <w:szCs w:val="16"/>
              </w:rPr>
            </w:pPr>
            <w:r>
              <w:rPr>
                <w:rFonts w:cs="Arial"/>
                <w:color w:val="000000"/>
                <w:sz w:val="16"/>
                <w:szCs w:val="16"/>
              </w:rPr>
              <w:t>33,0</w:t>
            </w:r>
          </w:p>
        </w:tc>
        <w:tc>
          <w:tcPr>
            <w:tcW w:w="595" w:type="dxa"/>
            <w:tcBorders>
              <w:top w:val="nil"/>
              <w:left w:val="nil"/>
              <w:bottom w:val="nil"/>
              <w:right w:val="nil"/>
            </w:tcBorders>
            <w:shd w:val="clear" w:color="auto" w:fill="auto"/>
            <w:noWrap/>
            <w:vAlign w:val="center"/>
            <w:hideMark/>
          </w:tcPr>
          <w:p w14:paraId="12329CD0" w14:textId="36747AEB" w:rsidR="00E83157" w:rsidRPr="00D92E20" w:rsidRDefault="00E83157" w:rsidP="00E83157">
            <w:pPr>
              <w:spacing w:after="0" w:line="240" w:lineRule="auto"/>
              <w:jc w:val="center"/>
              <w:rPr>
                <w:rFonts w:cs="Arial"/>
                <w:color w:val="000000"/>
                <w:sz w:val="16"/>
                <w:szCs w:val="16"/>
              </w:rPr>
            </w:pPr>
            <w:r>
              <w:rPr>
                <w:rFonts w:cs="Arial"/>
                <w:color w:val="000000"/>
                <w:sz w:val="16"/>
                <w:szCs w:val="16"/>
              </w:rPr>
              <w:t>40,6</w:t>
            </w:r>
          </w:p>
        </w:tc>
      </w:tr>
      <w:tr w:rsidR="00E83157" w:rsidRPr="00D92E20" w14:paraId="2FA85C7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8F52551"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3FA5426F" w14:textId="62B0EAA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20,9</w:t>
            </w:r>
          </w:p>
        </w:tc>
        <w:tc>
          <w:tcPr>
            <w:tcW w:w="595" w:type="dxa"/>
            <w:tcBorders>
              <w:top w:val="nil"/>
              <w:left w:val="nil"/>
              <w:bottom w:val="nil"/>
              <w:right w:val="nil"/>
            </w:tcBorders>
            <w:shd w:val="clear" w:color="auto" w:fill="auto"/>
            <w:noWrap/>
            <w:vAlign w:val="center"/>
            <w:hideMark/>
          </w:tcPr>
          <w:p w14:paraId="41F26408" w14:textId="2D664B6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17,6</w:t>
            </w:r>
          </w:p>
        </w:tc>
        <w:tc>
          <w:tcPr>
            <w:tcW w:w="595" w:type="dxa"/>
            <w:tcBorders>
              <w:top w:val="nil"/>
              <w:left w:val="nil"/>
              <w:bottom w:val="nil"/>
              <w:right w:val="nil"/>
            </w:tcBorders>
            <w:shd w:val="clear" w:color="auto" w:fill="auto"/>
            <w:noWrap/>
            <w:vAlign w:val="center"/>
            <w:hideMark/>
          </w:tcPr>
          <w:p w14:paraId="0AF45A3B" w14:textId="74BE8D7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21,2</w:t>
            </w:r>
          </w:p>
        </w:tc>
        <w:tc>
          <w:tcPr>
            <w:tcW w:w="595" w:type="dxa"/>
            <w:tcBorders>
              <w:top w:val="nil"/>
              <w:left w:val="nil"/>
              <w:bottom w:val="nil"/>
              <w:right w:val="nil"/>
            </w:tcBorders>
            <w:shd w:val="clear" w:color="auto" w:fill="auto"/>
            <w:noWrap/>
            <w:vAlign w:val="center"/>
            <w:hideMark/>
          </w:tcPr>
          <w:p w14:paraId="5B363C4F" w14:textId="267BF11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19,0</w:t>
            </w:r>
          </w:p>
        </w:tc>
        <w:tc>
          <w:tcPr>
            <w:tcW w:w="595" w:type="dxa"/>
            <w:tcBorders>
              <w:top w:val="nil"/>
              <w:left w:val="nil"/>
              <w:bottom w:val="nil"/>
              <w:right w:val="nil"/>
            </w:tcBorders>
            <w:shd w:val="clear" w:color="auto" w:fill="auto"/>
            <w:noWrap/>
            <w:vAlign w:val="center"/>
            <w:hideMark/>
          </w:tcPr>
          <w:p w14:paraId="4AB4895A" w14:textId="39CB59E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24,9</w:t>
            </w:r>
          </w:p>
        </w:tc>
        <w:tc>
          <w:tcPr>
            <w:tcW w:w="595" w:type="dxa"/>
            <w:tcBorders>
              <w:top w:val="nil"/>
              <w:left w:val="nil"/>
              <w:bottom w:val="nil"/>
              <w:right w:val="nil"/>
            </w:tcBorders>
            <w:shd w:val="clear" w:color="auto" w:fill="auto"/>
            <w:noWrap/>
            <w:vAlign w:val="center"/>
            <w:hideMark/>
          </w:tcPr>
          <w:p w14:paraId="0B0615B2" w14:textId="6D311A0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25,3</w:t>
            </w:r>
          </w:p>
        </w:tc>
        <w:tc>
          <w:tcPr>
            <w:tcW w:w="595" w:type="dxa"/>
            <w:tcBorders>
              <w:top w:val="nil"/>
              <w:left w:val="nil"/>
              <w:bottom w:val="nil"/>
              <w:right w:val="nil"/>
            </w:tcBorders>
            <w:shd w:val="clear" w:color="auto" w:fill="auto"/>
            <w:noWrap/>
            <w:vAlign w:val="center"/>
            <w:hideMark/>
          </w:tcPr>
          <w:p w14:paraId="037AF288" w14:textId="4CC422E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26,5</w:t>
            </w:r>
          </w:p>
        </w:tc>
        <w:tc>
          <w:tcPr>
            <w:tcW w:w="595" w:type="dxa"/>
            <w:tcBorders>
              <w:top w:val="nil"/>
              <w:left w:val="nil"/>
              <w:bottom w:val="nil"/>
              <w:right w:val="nil"/>
            </w:tcBorders>
            <w:shd w:val="clear" w:color="auto" w:fill="auto"/>
            <w:noWrap/>
            <w:vAlign w:val="center"/>
            <w:hideMark/>
          </w:tcPr>
          <w:p w14:paraId="1EB70CF9" w14:textId="04AA213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28,8</w:t>
            </w:r>
          </w:p>
        </w:tc>
        <w:tc>
          <w:tcPr>
            <w:tcW w:w="595" w:type="dxa"/>
            <w:tcBorders>
              <w:top w:val="nil"/>
              <w:left w:val="nil"/>
              <w:bottom w:val="nil"/>
              <w:right w:val="nil"/>
            </w:tcBorders>
            <w:shd w:val="clear" w:color="auto" w:fill="auto"/>
            <w:noWrap/>
            <w:vAlign w:val="center"/>
            <w:hideMark/>
          </w:tcPr>
          <w:p w14:paraId="6F795D75" w14:textId="6D269611" w:rsidR="00E83157" w:rsidRPr="00D92E20" w:rsidRDefault="00E83157" w:rsidP="00E83157">
            <w:pPr>
              <w:spacing w:after="0" w:line="240" w:lineRule="auto"/>
              <w:jc w:val="center"/>
              <w:rPr>
                <w:rFonts w:cs="Arial"/>
                <w:color w:val="000000"/>
                <w:sz w:val="16"/>
                <w:szCs w:val="16"/>
              </w:rPr>
            </w:pPr>
            <w:r>
              <w:rPr>
                <w:rFonts w:cs="Arial"/>
                <w:color w:val="000000"/>
                <w:sz w:val="16"/>
                <w:szCs w:val="16"/>
              </w:rPr>
              <w:t>27,0</w:t>
            </w:r>
          </w:p>
        </w:tc>
        <w:tc>
          <w:tcPr>
            <w:tcW w:w="595" w:type="dxa"/>
            <w:tcBorders>
              <w:top w:val="nil"/>
              <w:left w:val="nil"/>
              <w:bottom w:val="nil"/>
              <w:right w:val="nil"/>
            </w:tcBorders>
            <w:shd w:val="clear" w:color="auto" w:fill="auto"/>
            <w:noWrap/>
            <w:vAlign w:val="center"/>
            <w:hideMark/>
          </w:tcPr>
          <w:p w14:paraId="1E0349C4" w14:textId="557C8079" w:rsidR="00E83157" w:rsidRPr="00D92E20" w:rsidRDefault="00E83157" w:rsidP="00E83157">
            <w:pPr>
              <w:spacing w:after="0" w:line="240" w:lineRule="auto"/>
              <w:jc w:val="center"/>
              <w:rPr>
                <w:rFonts w:cs="Arial"/>
                <w:color w:val="000000"/>
                <w:sz w:val="16"/>
                <w:szCs w:val="16"/>
              </w:rPr>
            </w:pPr>
            <w:r>
              <w:rPr>
                <w:rFonts w:cs="Arial"/>
                <w:color w:val="000000"/>
                <w:sz w:val="16"/>
                <w:szCs w:val="16"/>
              </w:rPr>
              <w:t>30,2</w:t>
            </w:r>
          </w:p>
        </w:tc>
        <w:tc>
          <w:tcPr>
            <w:tcW w:w="595" w:type="dxa"/>
            <w:tcBorders>
              <w:top w:val="nil"/>
              <w:left w:val="nil"/>
              <w:bottom w:val="nil"/>
              <w:right w:val="nil"/>
            </w:tcBorders>
            <w:shd w:val="clear" w:color="auto" w:fill="auto"/>
            <w:noWrap/>
            <w:vAlign w:val="center"/>
            <w:hideMark/>
          </w:tcPr>
          <w:p w14:paraId="7F31AC35" w14:textId="1AFCEF9B" w:rsidR="00E83157" w:rsidRPr="00D92E20" w:rsidRDefault="00E83157" w:rsidP="00E83157">
            <w:pPr>
              <w:spacing w:after="0" w:line="240" w:lineRule="auto"/>
              <w:jc w:val="center"/>
              <w:rPr>
                <w:rFonts w:cs="Arial"/>
                <w:color w:val="000000"/>
                <w:sz w:val="16"/>
                <w:szCs w:val="16"/>
              </w:rPr>
            </w:pPr>
            <w:r>
              <w:rPr>
                <w:rFonts w:cs="Arial"/>
                <w:color w:val="000000"/>
                <w:sz w:val="16"/>
                <w:szCs w:val="16"/>
              </w:rPr>
              <w:t>42,4</w:t>
            </w:r>
          </w:p>
        </w:tc>
      </w:tr>
      <w:tr w:rsidR="00E83157" w:rsidRPr="00D92E20" w14:paraId="1C61382B"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19F9A673" w14:textId="77777777" w:rsidR="00E83157"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D – Výroba a rozvod ele</w:t>
            </w:r>
            <w:r>
              <w:rPr>
                <w:rFonts w:cs="Arial"/>
                <w:color w:val="000000"/>
                <w:sz w:val="16"/>
                <w:szCs w:val="16"/>
              </w:rPr>
              <w:t xml:space="preserve">ktřiny, </w:t>
            </w:r>
            <w:r w:rsidRPr="00D92E20">
              <w:rPr>
                <w:rFonts w:cs="Arial"/>
                <w:color w:val="000000"/>
                <w:sz w:val="16"/>
                <w:szCs w:val="16"/>
              </w:rPr>
              <w:t xml:space="preserve">plynu, </w:t>
            </w:r>
            <w:r>
              <w:rPr>
                <w:rFonts w:cs="Arial"/>
                <w:color w:val="000000"/>
                <w:sz w:val="16"/>
                <w:szCs w:val="16"/>
              </w:rPr>
              <w:t xml:space="preserve"> </w:t>
            </w:r>
          </w:p>
          <w:p w14:paraId="68EF7088" w14:textId="4464EFFF" w:rsidR="00E83157" w:rsidRPr="00D92E20" w:rsidRDefault="00E83157" w:rsidP="00E83157">
            <w:pPr>
              <w:spacing w:after="0" w:line="240" w:lineRule="auto"/>
              <w:ind w:firstLineChars="100" w:firstLine="160"/>
              <w:rPr>
                <w:rFonts w:cs="Arial"/>
                <w:color w:val="000000"/>
                <w:sz w:val="16"/>
                <w:szCs w:val="16"/>
              </w:rPr>
            </w:pPr>
            <w:r>
              <w:rPr>
                <w:rFonts w:cs="Arial"/>
                <w:color w:val="000000"/>
                <w:sz w:val="16"/>
                <w:szCs w:val="16"/>
              </w:rPr>
              <w:t xml:space="preserve">       tepla a klimatizovaného </w:t>
            </w:r>
            <w:r w:rsidRPr="00D92E20">
              <w:rPr>
                <w:rFonts w:cs="Arial"/>
                <w:color w:val="000000"/>
                <w:sz w:val="16"/>
                <w:szCs w:val="16"/>
              </w:rPr>
              <w:t>vzduchu</w:t>
            </w:r>
          </w:p>
        </w:tc>
        <w:tc>
          <w:tcPr>
            <w:tcW w:w="595" w:type="dxa"/>
            <w:tcBorders>
              <w:top w:val="nil"/>
              <w:left w:val="nil"/>
              <w:bottom w:val="nil"/>
              <w:right w:val="nil"/>
            </w:tcBorders>
            <w:shd w:val="clear" w:color="auto" w:fill="auto"/>
            <w:noWrap/>
            <w:vAlign w:val="center"/>
            <w:hideMark/>
          </w:tcPr>
          <w:p w14:paraId="44BCF98E" w14:textId="0EDD3DB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11,2</w:t>
            </w:r>
          </w:p>
        </w:tc>
        <w:tc>
          <w:tcPr>
            <w:tcW w:w="595" w:type="dxa"/>
            <w:tcBorders>
              <w:top w:val="nil"/>
              <w:left w:val="nil"/>
              <w:bottom w:val="nil"/>
              <w:right w:val="nil"/>
            </w:tcBorders>
            <w:shd w:val="clear" w:color="auto" w:fill="auto"/>
            <w:noWrap/>
            <w:vAlign w:val="center"/>
            <w:hideMark/>
          </w:tcPr>
          <w:p w14:paraId="20BEA8DC" w14:textId="186C776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8,9</w:t>
            </w:r>
          </w:p>
        </w:tc>
        <w:tc>
          <w:tcPr>
            <w:tcW w:w="595" w:type="dxa"/>
            <w:tcBorders>
              <w:top w:val="nil"/>
              <w:left w:val="nil"/>
              <w:bottom w:val="nil"/>
              <w:right w:val="nil"/>
            </w:tcBorders>
            <w:shd w:val="clear" w:color="auto" w:fill="auto"/>
            <w:noWrap/>
            <w:vAlign w:val="center"/>
            <w:hideMark/>
          </w:tcPr>
          <w:p w14:paraId="4D60C574" w14:textId="4523043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11,7</w:t>
            </w:r>
          </w:p>
        </w:tc>
        <w:tc>
          <w:tcPr>
            <w:tcW w:w="595" w:type="dxa"/>
            <w:tcBorders>
              <w:top w:val="nil"/>
              <w:left w:val="nil"/>
              <w:bottom w:val="nil"/>
              <w:right w:val="nil"/>
            </w:tcBorders>
            <w:shd w:val="clear" w:color="auto" w:fill="auto"/>
            <w:noWrap/>
            <w:vAlign w:val="center"/>
            <w:hideMark/>
          </w:tcPr>
          <w:p w14:paraId="1483E290" w14:textId="3F9E289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9,8</w:t>
            </w:r>
          </w:p>
        </w:tc>
        <w:tc>
          <w:tcPr>
            <w:tcW w:w="595" w:type="dxa"/>
            <w:tcBorders>
              <w:top w:val="nil"/>
              <w:left w:val="nil"/>
              <w:bottom w:val="nil"/>
              <w:right w:val="nil"/>
            </w:tcBorders>
            <w:shd w:val="clear" w:color="auto" w:fill="auto"/>
            <w:noWrap/>
            <w:vAlign w:val="center"/>
            <w:hideMark/>
          </w:tcPr>
          <w:p w14:paraId="2297659D" w14:textId="542541D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13,3</w:t>
            </w:r>
          </w:p>
        </w:tc>
        <w:tc>
          <w:tcPr>
            <w:tcW w:w="595" w:type="dxa"/>
            <w:tcBorders>
              <w:top w:val="nil"/>
              <w:left w:val="nil"/>
              <w:bottom w:val="nil"/>
              <w:right w:val="nil"/>
            </w:tcBorders>
            <w:shd w:val="clear" w:color="auto" w:fill="auto"/>
            <w:noWrap/>
            <w:vAlign w:val="center"/>
            <w:hideMark/>
          </w:tcPr>
          <w:p w14:paraId="2521ED76" w14:textId="6DB552C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12,3</w:t>
            </w:r>
          </w:p>
        </w:tc>
        <w:tc>
          <w:tcPr>
            <w:tcW w:w="595" w:type="dxa"/>
            <w:tcBorders>
              <w:top w:val="nil"/>
              <w:left w:val="nil"/>
              <w:bottom w:val="nil"/>
              <w:right w:val="nil"/>
            </w:tcBorders>
            <w:shd w:val="clear" w:color="auto" w:fill="auto"/>
            <w:noWrap/>
            <w:vAlign w:val="center"/>
            <w:hideMark/>
          </w:tcPr>
          <w:p w14:paraId="219F8EE7" w14:textId="2F24922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14,2</w:t>
            </w:r>
          </w:p>
        </w:tc>
        <w:tc>
          <w:tcPr>
            <w:tcW w:w="595" w:type="dxa"/>
            <w:tcBorders>
              <w:top w:val="nil"/>
              <w:left w:val="nil"/>
              <w:bottom w:val="nil"/>
              <w:right w:val="nil"/>
            </w:tcBorders>
            <w:shd w:val="clear" w:color="auto" w:fill="auto"/>
            <w:noWrap/>
            <w:vAlign w:val="center"/>
            <w:hideMark/>
          </w:tcPr>
          <w:p w14:paraId="0139EEE4" w14:textId="404A7B7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16,4</w:t>
            </w:r>
          </w:p>
        </w:tc>
        <w:tc>
          <w:tcPr>
            <w:tcW w:w="595" w:type="dxa"/>
            <w:tcBorders>
              <w:top w:val="nil"/>
              <w:left w:val="nil"/>
              <w:bottom w:val="nil"/>
              <w:right w:val="nil"/>
            </w:tcBorders>
            <w:shd w:val="clear" w:color="auto" w:fill="auto"/>
            <w:noWrap/>
            <w:vAlign w:val="center"/>
            <w:hideMark/>
          </w:tcPr>
          <w:p w14:paraId="268E526F" w14:textId="395FD070" w:rsidR="00E83157" w:rsidRPr="00D92E20" w:rsidRDefault="00E83157" w:rsidP="00E83157">
            <w:pPr>
              <w:spacing w:after="0" w:line="240" w:lineRule="auto"/>
              <w:jc w:val="center"/>
              <w:rPr>
                <w:rFonts w:cs="Arial"/>
                <w:color w:val="000000"/>
                <w:sz w:val="16"/>
                <w:szCs w:val="16"/>
              </w:rPr>
            </w:pPr>
            <w:r>
              <w:rPr>
                <w:rFonts w:cs="Arial"/>
                <w:color w:val="000000"/>
                <w:sz w:val="16"/>
                <w:szCs w:val="16"/>
              </w:rPr>
              <w:t>15,7</w:t>
            </w:r>
          </w:p>
        </w:tc>
        <w:tc>
          <w:tcPr>
            <w:tcW w:w="595" w:type="dxa"/>
            <w:tcBorders>
              <w:top w:val="nil"/>
              <w:left w:val="nil"/>
              <w:bottom w:val="nil"/>
              <w:right w:val="nil"/>
            </w:tcBorders>
            <w:shd w:val="clear" w:color="auto" w:fill="auto"/>
            <w:noWrap/>
            <w:vAlign w:val="center"/>
            <w:hideMark/>
          </w:tcPr>
          <w:p w14:paraId="3CFD293E" w14:textId="4FD003D9" w:rsidR="00E83157" w:rsidRPr="00D92E20" w:rsidRDefault="00E83157" w:rsidP="00E83157">
            <w:pPr>
              <w:spacing w:after="0" w:line="240" w:lineRule="auto"/>
              <w:jc w:val="center"/>
              <w:rPr>
                <w:rFonts w:cs="Arial"/>
                <w:color w:val="000000"/>
                <w:sz w:val="16"/>
                <w:szCs w:val="16"/>
              </w:rPr>
            </w:pPr>
            <w:r>
              <w:rPr>
                <w:rFonts w:cs="Arial"/>
                <w:color w:val="000000"/>
                <w:sz w:val="16"/>
                <w:szCs w:val="16"/>
              </w:rPr>
              <w:t>14,7</w:t>
            </w:r>
          </w:p>
        </w:tc>
        <w:tc>
          <w:tcPr>
            <w:tcW w:w="595" w:type="dxa"/>
            <w:tcBorders>
              <w:top w:val="nil"/>
              <w:left w:val="nil"/>
              <w:bottom w:val="nil"/>
              <w:right w:val="nil"/>
            </w:tcBorders>
            <w:shd w:val="clear" w:color="auto" w:fill="auto"/>
            <w:noWrap/>
            <w:vAlign w:val="center"/>
            <w:hideMark/>
          </w:tcPr>
          <w:p w14:paraId="5724085A" w14:textId="32DF5979" w:rsidR="00E83157" w:rsidRPr="00D92E20" w:rsidRDefault="00E83157" w:rsidP="00E83157">
            <w:pPr>
              <w:spacing w:after="0" w:line="240" w:lineRule="auto"/>
              <w:jc w:val="center"/>
              <w:rPr>
                <w:rFonts w:cs="Arial"/>
                <w:color w:val="000000"/>
                <w:sz w:val="16"/>
                <w:szCs w:val="16"/>
              </w:rPr>
            </w:pPr>
            <w:r>
              <w:rPr>
                <w:rFonts w:cs="Arial"/>
                <w:color w:val="000000"/>
                <w:sz w:val="16"/>
                <w:szCs w:val="16"/>
              </w:rPr>
              <w:t>21,9</w:t>
            </w:r>
          </w:p>
        </w:tc>
      </w:tr>
      <w:tr w:rsidR="00E83157" w:rsidRPr="00D92E20" w14:paraId="1A05504C"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8B48A6F"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212FA2BC" w14:textId="49DD898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16,5</w:t>
            </w:r>
          </w:p>
        </w:tc>
        <w:tc>
          <w:tcPr>
            <w:tcW w:w="595" w:type="dxa"/>
            <w:tcBorders>
              <w:top w:val="nil"/>
              <w:left w:val="nil"/>
              <w:bottom w:val="nil"/>
              <w:right w:val="nil"/>
            </w:tcBorders>
            <w:shd w:val="clear" w:color="auto" w:fill="auto"/>
            <w:noWrap/>
            <w:vAlign w:val="center"/>
            <w:hideMark/>
          </w:tcPr>
          <w:p w14:paraId="3B82DB0B" w14:textId="06B58D8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13,3</w:t>
            </w:r>
          </w:p>
        </w:tc>
        <w:tc>
          <w:tcPr>
            <w:tcW w:w="595" w:type="dxa"/>
            <w:tcBorders>
              <w:top w:val="nil"/>
              <w:left w:val="nil"/>
              <w:bottom w:val="nil"/>
              <w:right w:val="nil"/>
            </w:tcBorders>
            <w:shd w:val="clear" w:color="auto" w:fill="auto"/>
            <w:noWrap/>
            <w:vAlign w:val="center"/>
            <w:hideMark/>
          </w:tcPr>
          <w:p w14:paraId="2619F92F" w14:textId="54A0A99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16,5</w:t>
            </w:r>
          </w:p>
        </w:tc>
        <w:tc>
          <w:tcPr>
            <w:tcW w:w="595" w:type="dxa"/>
            <w:tcBorders>
              <w:top w:val="nil"/>
              <w:left w:val="nil"/>
              <w:bottom w:val="nil"/>
              <w:right w:val="nil"/>
            </w:tcBorders>
            <w:shd w:val="clear" w:color="auto" w:fill="auto"/>
            <w:noWrap/>
            <w:vAlign w:val="center"/>
            <w:hideMark/>
          </w:tcPr>
          <w:p w14:paraId="4D793ECA" w14:textId="557A06C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14,9</w:t>
            </w:r>
          </w:p>
        </w:tc>
        <w:tc>
          <w:tcPr>
            <w:tcW w:w="595" w:type="dxa"/>
            <w:tcBorders>
              <w:top w:val="nil"/>
              <w:left w:val="nil"/>
              <w:bottom w:val="nil"/>
              <w:right w:val="nil"/>
            </w:tcBorders>
            <w:shd w:val="clear" w:color="auto" w:fill="auto"/>
            <w:noWrap/>
            <w:vAlign w:val="center"/>
            <w:hideMark/>
          </w:tcPr>
          <w:p w14:paraId="3F6AA67F" w14:textId="1DF558D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19,0</w:t>
            </w:r>
          </w:p>
        </w:tc>
        <w:tc>
          <w:tcPr>
            <w:tcW w:w="595" w:type="dxa"/>
            <w:tcBorders>
              <w:top w:val="nil"/>
              <w:left w:val="nil"/>
              <w:bottom w:val="nil"/>
              <w:right w:val="nil"/>
            </w:tcBorders>
            <w:shd w:val="clear" w:color="auto" w:fill="auto"/>
            <w:noWrap/>
            <w:vAlign w:val="center"/>
            <w:hideMark/>
          </w:tcPr>
          <w:p w14:paraId="79822B2D" w14:textId="600E0D5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19,0</w:t>
            </w:r>
          </w:p>
        </w:tc>
        <w:tc>
          <w:tcPr>
            <w:tcW w:w="595" w:type="dxa"/>
            <w:tcBorders>
              <w:top w:val="nil"/>
              <w:left w:val="nil"/>
              <w:bottom w:val="nil"/>
              <w:right w:val="nil"/>
            </w:tcBorders>
            <w:shd w:val="clear" w:color="auto" w:fill="auto"/>
            <w:noWrap/>
            <w:vAlign w:val="center"/>
            <w:hideMark/>
          </w:tcPr>
          <w:p w14:paraId="11BF63C6" w14:textId="53275C5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20,8</w:t>
            </w:r>
          </w:p>
        </w:tc>
        <w:tc>
          <w:tcPr>
            <w:tcW w:w="595" w:type="dxa"/>
            <w:tcBorders>
              <w:top w:val="nil"/>
              <w:left w:val="nil"/>
              <w:bottom w:val="nil"/>
              <w:right w:val="nil"/>
            </w:tcBorders>
            <w:shd w:val="clear" w:color="auto" w:fill="auto"/>
            <w:noWrap/>
            <w:vAlign w:val="center"/>
            <w:hideMark/>
          </w:tcPr>
          <w:p w14:paraId="7663514F" w14:textId="6CB0F3F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22,7</w:t>
            </w:r>
          </w:p>
        </w:tc>
        <w:tc>
          <w:tcPr>
            <w:tcW w:w="595" w:type="dxa"/>
            <w:tcBorders>
              <w:top w:val="nil"/>
              <w:left w:val="nil"/>
              <w:bottom w:val="nil"/>
              <w:right w:val="nil"/>
            </w:tcBorders>
            <w:shd w:val="clear" w:color="auto" w:fill="auto"/>
            <w:noWrap/>
            <w:vAlign w:val="center"/>
            <w:hideMark/>
          </w:tcPr>
          <w:p w14:paraId="5B332E3F" w14:textId="2C7A6EBC" w:rsidR="00E83157" w:rsidRPr="00D92E20" w:rsidRDefault="00E83157" w:rsidP="00E83157">
            <w:pPr>
              <w:spacing w:after="0" w:line="240" w:lineRule="auto"/>
              <w:jc w:val="center"/>
              <w:rPr>
                <w:rFonts w:cs="Arial"/>
                <w:color w:val="000000"/>
                <w:sz w:val="16"/>
                <w:szCs w:val="16"/>
              </w:rPr>
            </w:pPr>
            <w:r>
              <w:rPr>
                <w:rFonts w:cs="Arial"/>
                <w:color w:val="000000"/>
                <w:sz w:val="16"/>
                <w:szCs w:val="16"/>
              </w:rPr>
              <w:t>21,3</w:t>
            </w:r>
          </w:p>
        </w:tc>
        <w:tc>
          <w:tcPr>
            <w:tcW w:w="595" w:type="dxa"/>
            <w:tcBorders>
              <w:top w:val="nil"/>
              <w:left w:val="nil"/>
              <w:bottom w:val="nil"/>
              <w:right w:val="nil"/>
            </w:tcBorders>
            <w:shd w:val="clear" w:color="auto" w:fill="auto"/>
            <w:noWrap/>
            <w:vAlign w:val="center"/>
            <w:hideMark/>
          </w:tcPr>
          <w:p w14:paraId="55820C1D" w14:textId="6C8AB20E" w:rsidR="00E83157" w:rsidRPr="00D92E20" w:rsidRDefault="00E83157" w:rsidP="00E83157">
            <w:pPr>
              <w:spacing w:after="0" w:line="240" w:lineRule="auto"/>
              <w:jc w:val="center"/>
              <w:rPr>
                <w:rFonts w:cs="Arial"/>
                <w:color w:val="000000"/>
                <w:sz w:val="16"/>
                <w:szCs w:val="16"/>
              </w:rPr>
            </w:pPr>
            <w:r>
              <w:rPr>
                <w:rFonts w:cs="Arial"/>
                <w:color w:val="000000"/>
                <w:sz w:val="16"/>
                <w:szCs w:val="16"/>
              </w:rPr>
              <w:t>22,4</w:t>
            </w:r>
          </w:p>
        </w:tc>
        <w:tc>
          <w:tcPr>
            <w:tcW w:w="595" w:type="dxa"/>
            <w:tcBorders>
              <w:top w:val="nil"/>
              <w:left w:val="nil"/>
              <w:bottom w:val="nil"/>
              <w:right w:val="nil"/>
            </w:tcBorders>
            <w:shd w:val="clear" w:color="auto" w:fill="auto"/>
            <w:noWrap/>
            <w:vAlign w:val="center"/>
            <w:hideMark/>
          </w:tcPr>
          <w:p w14:paraId="79179D95" w14:textId="17215C16" w:rsidR="00E83157" w:rsidRPr="00D92E20" w:rsidRDefault="00E83157" w:rsidP="00E83157">
            <w:pPr>
              <w:spacing w:after="0" w:line="240" w:lineRule="auto"/>
              <w:jc w:val="center"/>
              <w:rPr>
                <w:rFonts w:cs="Arial"/>
                <w:color w:val="000000"/>
                <w:sz w:val="16"/>
                <w:szCs w:val="16"/>
              </w:rPr>
            </w:pPr>
            <w:r>
              <w:rPr>
                <w:rFonts w:cs="Arial"/>
                <w:color w:val="000000"/>
                <w:sz w:val="16"/>
                <w:szCs w:val="16"/>
              </w:rPr>
              <w:t>34,7</w:t>
            </w:r>
          </w:p>
        </w:tc>
      </w:tr>
      <w:tr w:rsidR="00E83157" w:rsidRPr="00D92E20" w14:paraId="5982085F"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8E62E21"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11847C83" w14:textId="3CC3595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15,8</w:t>
            </w:r>
          </w:p>
        </w:tc>
        <w:tc>
          <w:tcPr>
            <w:tcW w:w="595" w:type="dxa"/>
            <w:tcBorders>
              <w:top w:val="nil"/>
              <w:left w:val="nil"/>
              <w:bottom w:val="nil"/>
              <w:right w:val="nil"/>
            </w:tcBorders>
            <w:shd w:val="clear" w:color="auto" w:fill="auto"/>
            <w:noWrap/>
            <w:vAlign w:val="center"/>
            <w:hideMark/>
          </w:tcPr>
          <w:p w14:paraId="22A95CDF" w14:textId="0E22505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13,8</w:t>
            </w:r>
          </w:p>
        </w:tc>
        <w:tc>
          <w:tcPr>
            <w:tcW w:w="595" w:type="dxa"/>
            <w:tcBorders>
              <w:top w:val="nil"/>
              <w:left w:val="nil"/>
              <w:bottom w:val="nil"/>
              <w:right w:val="nil"/>
            </w:tcBorders>
            <w:shd w:val="clear" w:color="auto" w:fill="auto"/>
            <w:noWrap/>
            <w:vAlign w:val="center"/>
            <w:hideMark/>
          </w:tcPr>
          <w:p w14:paraId="565CA217" w14:textId="624D7DC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16,3</w:t>
            </w:r>
          </w:p>
        </w:tc>
        <w:tc>
          <w:tcPr>
            <w:tcW w:w="595" w:type="dxa"/>
            <w:tcBorders>
              <w:top w:val="nil"/>
              <w:left w:val="nil"/>
              <w:bottom w:val="nil"/>
              <w:right w:val="nil"/>
            </w:tcBorders>
            <w:shd w:val="clear" w:color="auto" w:fill="auto"/>
            <w:noWrap/>
            <w:vAlign w:val="center"/>
            <w:hideMark/>
          </w:tcPr>
          <w:p w14:paraId="3AC32658" w14:textId="4EE80FEC"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13,8</w:t>
            </w:r>
          </w:p>
        </w:tc>
        <w:tc>
          <w:tcPr>
            <w:tcW w:w="595" w:type="dxa"/>
            <w:tcBorders>
              <w:top w:val="nil"/>
              <w:left w:val="nil"/>
              <w:bottom w:val="nil"/>
              <w:right w:val="nil"/>
            </w:tcBorders>
            <w:shd w:val="clear" w:color="auto" w:fill="auto"/>
            <w:noWrap/>
            <w:vAlign w:val="center"/>
            <w:hideMark/>
          </w:tcPr>
          <w:p w14:paraId="6BA2DD93" w14:textId="1D200F2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17,2</w:t>
            </w:r>
          </w:p>
        </w:tc>
        <w:tc>
          <w:tcPr>
            <w:tcW w:w="595" w:type="dxa"/>
            <w:tcBorders>
              <w:top w:val="nil"/>
              <w:left w:val="nil"/>
              <w:bottom w:val="nil"/>
              <w:right w:val="nil"/>
            </w:tcBorders>
            <w:shd w:val="clear" w:color="auto" w:fill="auto"/>
            <w:noWrap/>
            <w:vAlign w:val="center"/>
            <w:hideMark/>
          </w:tcPr>
          <w:p w14:paraId="621B47E9" w14:textId="149C3B2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16,6</w:t>
            </w:r>
          </w:p>
        </w:tc>
        <w:tc>
          <w:tcPr>
            <w:tcW w:w="595" w:type="dxa"/>
            <w:tcBorders>
              <w:top w:val="nil"/>
              <w:left w:val="nil"/>
              <w:bottom w:val="nil"/>
              <w:right w:val="nil"/>
            </w:tcBorders>
            <w:shd w:val="clear" w:color="auto" w:fill="auto"/>
            <w:noWrap/>
            <w:vAlign w:val="center"/>
            <w:hideMark/>
          </w:tcPr>
          <w:p w14:paraId="4BA2AB0F" w14:textId="1B52DE7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17,5</w:t>
            </w:r>
          </w:p>
        </w:tc>
        <w:tc>
          <w:tcPr>
            <w:tcW w:w="595" w:type="dxa"/>
            <w:tcBorders>
              <w:top w:val="nil"/>
              <w:left w:val="nil"/>
              <w:bottom w:val="nil"/>
              <w:right w:val="nil"/>
            </w:tcBorders>
            <w:shd w:val="clear" w:color="auto" w:fill="auto"/>
            <w:noWrap/>
            <w:vAlign w:val="center"/>
            <w:hideMark/>
          </w:tcPr>
          <w:p w14:paraId="3A892A21" w14:textId="67C6AD6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18,2</w:t>
            </w:r>
          </w:p>
        </w:tc>
        <w:tc>
          <w:tcPr>
            <w:tcW w:w="595" w:type="dxa"/>
            <w:tcBorders>
              <w:top w:val="nil"/>
              <w:left w:val="nil"/>
              <w:bottom w:val="nil"/>
              <w:right w:val="nil"/>
            </w:tcBorders>
            <w:shd w:val="clear" w:color="auto" w:fill="auto"/>
            <w:noWrap/>
            <w:vAlign w:val="center"/>
            <w:hideMark/>
          </w:tcPr>
          <w:p w14:paraId="3B21F8FF" w14:textId="50A26231" w:rsidR="00E83157" w:rsidRPr="00D92E20" w:rsidRDefault="00E83157" w:rsidP="00E83157">
            <w:pPr>
              <w:spacing w:after="0" w:line="240" w:lineRule="auto"/>
              <w:jc w:val="center"/>
              <w:rPr>
                <w:rFonts w:cs="Arial"/>
                <w:color w:val="000000"/>
                <w:sz w:val="16"/>
                <w:szCs w:val="16"/>
              </w:rPr>
            </w:pPr>
            <w:r>
              <w:rPr>
                <w:rFonts w:cs="Arial"/>
                <w:color w:val="000000"/>
                <w:sz w:val="16"/>
                <w:szCs w:val="16"/>
              </w:rPr>
              <w:t>17,2</w:t>
            </w:r>
          </w:p>
        </w:tc>
        <w:tc>
          <w:tcPr>
            <w:tcW w:w="595" w:type="dxa"/>
            <w:tcBorders>
              <w:top w:val="nil"/>
              <w:left w:val="nil"/>
              <w:bottom w:val="nil"/>
              <w:right w:val="nil"/>
            </w:tcBorders>
            <w:shd w:val="clear" w:color="auto" w:fill="auto"/>
            <w:noWrap/>
            <w:vAlign w:val="center"/>
            <w:hideMark/>
          </w:tcPr>
          <w:p w14:paraId="215A33A4" w14:textId="3FDC6CC9" w:rsidR="00E83157" w:rsidRPr="00D92E20" w:rsidRDefault="00E83157" w:rsidP="00E83157">
            <w:pPr>
              <w:spacing w:after="0" w:line="240" w:lineRule="auto"/>
              <w:jc w:val="center"/>
              <w:rPr>
                <w:rFonts w:cs="Arial"/>
                <w:color w:val="000000"/>
                <w:sz w:val="16"/>
                <w:szCs w:val="16"/>
              </w:rPr>
            </w:pPr>
            <w:r>
              <w:rPr>
                <w:rFonts w:cs="Arial"/>
                <w:color w:val="000000"/>
                <w:sz w:val="16"/>
                <w:szCs w:val="16"/>
              </w:rPr>
              <w:t>19,8</w:t>
            </w:r>
          </w:p>
        </w:tc>
        <w:tc>
          <w:tcPr>
            <w:tcW w:w="595" w:type="dxa"/>
            <w:tcBorders>
              <w:top w:val="nil"/>
              <w:left w:val="nil"/>
              <w:bottom w:val="nil"/>
              <w:right w:val="nil"/>
            </w:tcBorders>
            <w:shd w:val="clear" w:color="auto" w:fill="auto"/>
            <w:noWrap/>
            <w:vAlign w:val="center"/>
            <w:hideMark/>
          </w:tcPr>
          <w:p w14:paraId="1C7BEEBA" w14:textId="4ED9B3E2" w:rsidR="00E83157" w:rsidRPr="00D92E20" w:rsidRDefault="00E83157" w:rsidP="00E83157">
            <w:pPr>
              <w:spacing w:after="0" w:line="240" w:lineRule="auto"/>
              <w:jc w:val="center"/>
              <w:rPr>
                <w:rFonts w:cs="Arial"/>
                <w:color w:val="000000"/>
                <w:sz w:val="16"/>
                <w:szCs w:val="16"/>
              </w:rPr>
            </w:pPr>
            <w:r>
              <w:rPr>
                <w:rFonts w:cs="Arial"/>
                <w:color w:val="000000"/>
                <w:sz w:val="16"/>
                <w:szCs w:val="16"/>
              </w:rPr>
              <w:t>28,2</w:t>
            </w:r>
          </w:p>
        </w:tc>
      </w:tr>
      <w:tr w:rsidR="00E83157" w:rsidRPr="00D92E20" w14:paraId="6070CB32"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6C880431" w14:textId="7660A262"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G – Velko</w:t>
            </w:r>
            <w:r>
              <w:rPr>
                <w:rFonts w:cs="Arial"/>
                <w:color w:val="000000"/>
                <w:sz w:val="16"/>
                <w:szCs w:val="16"/>
              </w:rPr>
              <w:t xml:space="preserve">obchod a maloobchod; </w:t>
            </w:r>
            <w:r>
              <w:rPr>
                <w:rFonts w:cs="Arial"/>
                <w:color w:val="000000"/>
                <w:sz w:val="16"/>
                <w:szCs w:val="16"/>
              </w:rPr>
              <w:br/>
              <w:t xml:space="preserve">          </w:t>
            </w:r>
            <w:r w:rsidRPr="00D92E20">
              <w:rPr>
                <w:rFonts w:cs="Arial"/>
                <w:color w:val="000000"/>
                <w:sz w:val="16"/>
                <w:szCs w:val="16"/>
              </w:rPr>
              <w:t xml:space="preserve">opravy a údržba motorových </w:t>
            </w:r>
            <w:r>
              <w:rPr>
                <w:rFonts w:cs="Arial"/>
                <w:color w:val="000000"/>
                <w:sz w:val="16"/>
                <w:szCs w:val="16"/>
              </w:rPr>
              <w:t>v</w:t>
            </w:r>
            <w:r w:rsidRPr="00D92E20">
              <w:rPr>
                <w:rFonts w:cs="Arial"/>
                <w:color w:val="000000"/>
                <w:sz w:val="16"/>
                <w:szCs w:val="16"/>
              </w:rPr>
              <w:t>ozidel</w:t>
            </w:r>
          </w:p>
        </w:tc>
        <w:tc>
          <w:tcPr>
            <w:tcW w:w="595" w:type="dxa"/>
            <w:tcBorders>
              <w:top w:val="nil"/>
              <w:left w:val="nil"/>
              <w:bottom w:val="nil"/>
              <w:right w:val="nil"/>
            </w:tcBorders>
            <w:shd w:val="clear" w:color="auto" w:fill="auto"/>
            <w:noWrap/>
            <w:vAlign w:val="center"/>
            <w:hideMark/>
          </w:tcPr>
          <w:p w14:paraId="3915CA48" w14:textId="1C2DF54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15,5</w:t>
            </w:r>
          </w:p>
        </w:tc>
        <w:tc>
          <w:tcPr>
            <w:tcW w:w="595" w:type="dxa"/>
            <w:tcBorders>
              <w:top w:val="nil"/>
              <w:left w:val="nil"/>
              <w:bottom w:val="nil"/>
              <w:right w:val="nil"/>
            </w:tcBorders>
            <w:shd w:val="clear" w:color="auto" w:fill="auto"/>
            <w:noWrap/>
            <w:vAlign w:val="center"/>
            <w:hideMark/>
          </w:tcPr>
          <w:p w14:paraId="13FDF703" w14:textId="4ACFA06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12,4</w:t>
            </w:r>
          </w:p>
        </w:tc>
        <w:tc>
          <w:tcPr>
            <w:tcW w:w="595" w:type="dxa"/>
            <w:tcBorders>
              <w:top w:val="nil"/>
              <w:left w:val="nil"/>
              <w:bottom w:val="nil"/>
              <w:right w:val="nil"/>
            </w:tcBorders>
            <w:shd w:val="clear" w:color="auto" w:fill="auto"/>
            <w:noWrap/>
            <w:vAlign w:val="center"/>
            <w:hideMark/>
          </w:tcPr>
          <w:p w14:paraId="10F9F32D" w14:textId="7BDC440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15,0</w:t>
            </w:r>
          </w:p>
        </w:tc>
        <w:tc>
          <w:tcPr>
            <w:tcW w:w="595" w:type="dxa"/>
            <w:tcBorders>
              <w:top w:val="nil"/>
              <w:left w:val="nil"/>
              <w:bottom w:val="nil"/>
              <w:right w:val="nil"/>
            </w:tcBorders>
            <w:shd w:val="clear" w:color="auto" w:fill="auto"/>
            <w:noWrap/>
            <w:vAlign w:val="center"/>
            <w:hideMark/>
          </w:tcPr>
          <w:p w14:paraId="5FF2CAF4" w14:textId="7E1A0E2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13,4</w:t>
            </w:r>
          </w:p>
        </w:tc>
        <w:tc>
          <w:tcPr>
            <w:tcW w:w="595" w:type="dxa"/>
            <w:tcBorders>
              <w:top w:val="nil"/>
              <w:left w:val="nil"/>
              <w:bottom w:val="nil"/>
              <w:right w:val="nil"/>
            </w:tcBorders>
            <w:shd w:val="clear" w:color="auto" w:fill="auto"/>
            <w:noWrap/>
            <w:vAlign w:val="center"/>
            <w:hideMark/>
          </w:tcPr>
          <w:p w14:paraId="0060E908" w14:textId="1385F1E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16,9</w:t>
            </w:r>
          </w:p>
        </w:tc>
        <w:tc>
          <w:tcPr>
            <w:tcW w:w="595" w:type="dxa"/>
            <w:tcBorders>
              <w:top w:val="nil"/>
              <w:left w:val="nil"/>
              <w:bottom w:val="nil"/>
              <w:right w:val="nil"/>
            </w:tcBorders>
            <w:shd w:val="clear" w:color="auto" w:fill="auto"/>
            <w:noWrap/>
            <w:vAlign w:val="center"/>
            <w:hideMark/>
          </w:tcPr>
          <w:p w14:paraId="20D88B16" w14:textId="32A7485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18,1</w:t>
            </w:r>
          </w:p>
        </w:tc>
        <w:tc>
          <w:tcPr>
            <w:tcW w:w="595" w:type="dxa"/>
            <w:tcBorders>
              <w:top w:val="nil"/>
              <w:left w:val="nil"/>
              <w:bottom w:val="nil"/>
              <w:right w:val="nil"/>
            </w:tcBorders>
            <w:shd w:val="clear" w:color="auto" w:fill="auto"/>
            <w:noWrap/>
            <w:vAlign w:val="center"/>
            <w:hideMark/>
          </w:tcPr>
          <w:p w14:paraId="2E5C80CB" w14:textId="393AF86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19,2</w:t>
            </w:r>
          </w:p>
        </w:tc>
        <w:tc>
          <w:tcPr>
            <w:tcW w:w="595" w:type="dxa"/>
            <w:tcBorders>
              <w:top w:val="nil"/>
              <w:left w:val="nil"/>
              <w:bottom w:val="nil"/>
              <w:right w:val="nil"/>
            </w:tcBorders>
            <w:shd w:val="clear" w:color="auto" w:fill="auto"/>
            <w:noWrap/>
            <w:vAlign w:val="center"/>
            <w:hideMark/>
          </w:tcPr>
          <w:p w14:paraId="2DC5BDA5" w14:textId="4ACB7D3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21,0</w:t>
            </w:r>
          </w:p>
        </w:tc>
        <w:tc>
          <w:tcPr>
            <w:tcW w:w="595" w:type="dxa"/>
            <w:tcBorders>
              <w:top w:val="nil"/>
              <w:left w:val="nil"/>
              <w:bottom w:val="nil"/>
              <w:right w:val="nil"/>
            </w:tcBorders>
            <w:shd w:val="clear" w:color="auto" w:fill="auto"/>
            <w:noWrap/>
            <w:vAlign w:val="center"/>
            <w:hideMark/>
          </w:tcPr>
          <w:p w14:paraId="16092AE0" w14:textId="46D2DD90" w:rsidR="00E83157" w:rsidRPr="00D92E20" w:rsidRDefault="00E83157" w:rsidP="00E83157">
            <w:pPr>
              <w:spacing w:after="0" w:line="240" w:lineRule="auto"/>
              <w:jc w:val="center"/>
              <w:rPr>
                <w:rFonts w:cs="Arial"/>
                <w:color w:val="000000"/>
                <w:sz w:val="16"/>
                <w:szCs w:val="16"/>
              </w:rPr>
            </w:pPr>
            <w:r>
              <w:rPr>
                <w:rFonts w:cs="Arial"/>
                <w:color w:val="000000"/>
                <w:sz w:val="16"/>
                <w:szCs w:val="16"/>
              </w:rPr>
              <w:t>20,4</w:t>
            </w:r>
          </w:p>
        </w:tc>
        <w:tc>
          <w:tcPr>
            <w:tcW w:w="595" w:type="dxa"/>
            <w:tcBorders>
              <w:top w:val="nil"/>
              <w:left w:val="nil"/>
              <w:bottom w:val="nil"/>
              <w:right w:val="nil"/>
            </w:tcBorders>
            <w:shd w:val="clear" w:color="auto" w:fill="auto"/>
            <w:noWrap/>
            <w:vAlign w:val="center"/>
            <w:hideMark/>
          </w:tcPr>
          <w:p w14:paraId="78BE953C" w14:textId="3DC6AEAB" w:rsidR="00E83157" w:rsidRPr="00D92E20" w:rsidRDefault="00E83157" w:rsidP="00E83157">
            <w:pPr>
              <w:spacing w:after="0" w:line="240" w:lineRule="auto"/>
              <w:jc w:val="center"/>
              <w:rPr>
                <w:rFonts w:cs="Arial"/>
                <w:color w:val="000000"/>
                <w:sz w:val="16"/>
                <w:szCs w:val="16"/>
              </w:rPr>
            </w:pPr>
            <w:r>
              <w:rPr>
                <w:rFonts w:cs="Arial"/>
                <w:color w:val="000000"/>
                <w:sz w:val="16"/>
                <w:szCs w:val="16"/>
              </w:rPr>
              <w:t>23,1</w:t>
            </w:r>
          </w:p>
        </w:tc>
        <w:tc>
          <w:tcPr>
            <w:tcW w:w="595" w:type="dxa"/>
            <w:tcBorders>
              <w:top w:val="nil"/>
              <w:left w:val="nil"/>
              <w:bottom w:val="nil"/>
              <w:right w:val="nil"/>
            </w:tcBorders>
            <w:shd w:val="clear" w:color="auto" w:fill="auto"/>
            <w:noWrap/>
            <w:vAlign w:val="center"/>
            <w:hideMark/>
          </w:tcPr>
          <w:p w14:paraId="42701209" w14:textId="307677F4" w:rsidR="00E83157" w:rsidRPr="00D92E20" w:rsidRDefault="00E83157" w:rsidP="00E83157">
            <w:pPr>
              <w:spacing w:after="0" w:line="240" w:lineRule="auto"/>
              <w:jc w:val="center"/>
              <w:rPr>
                <w:rFonts w:cs="Arial"/>
                <w:color w:val="000000"/>
                <w:sz w:val="16"/>
                <w:szCs w:val="16"/>
              </w:rPr>
            </w:pPr>
            <w:r>
              <w:rPr>
                <w:rFonts w:cs="Arial"/>
                <w:color w:val="000000"/>
                <w:sz w:val="16"/>
                <w:szCs w:val="16"/>
              </w:rPr>
              <w:t>28,6</w:t>
            </w:r>
          </w:p>
        </w:tc>
      </w:tr>
      <w:tr w:rsidR="00E83157" w:rsidRPr="00D92E20" w14:paraId="12EAC8D4"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301487"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6990774D" w14:textId="1B6E4B3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15,9</w:t>
            </w:r>
          </w:p>
        </w:tc>
        <w:tc>
          <w:tcPr>
            <w:tcW w:w="595" w:type="dxa"/>
            <w:tcBorders>
              <w:top w:val="nil"/>
              <w:left w:val="nil"/>
              <w:bottom w:val="nil"/>
              <w:right w:val="nil"/>
            </w:tcBorders>
            <w:shd w:val="clear" w:color="auto" w:fill="auto"/>
            <w:noWrap/>
            <w:vAlign w:val="center"/>
            <w:hideMark/>
          </w:tcPr>
          <w:p w14:paraId="663DB344" w14:textId="07AEE67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12,6</w:t>
            </w:r>
          </w:p>
        </w:tc>
        <w:tc>
          <w:tcPr>
            <w:tcW w:w="595" w:type="dxa"/>
            <w:tcBorders>
              <w:top w:val="nil"/>
              <w:left w:val="nil"/>
              <w:bottom w:val="nil"/>
              <w:right w:val="nil"/>
            </w:tcBorders>
            <w:shd w:val="clear" w:color="auto" w:fill="auto"/>
            <w:noWrap/>
            <w:vAlign w:val="center"/>
            <w:hideMark/>
          </w:tcPr>
          <w:p w14:paraId="68131FED" w14:textId="2E45369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15,5</w:t>
            </w:r>
          </w:p>
        </w:tc>
        <w:tc>
          <w:tcPr>
            <w:tcW w:w="595" w:type="dxa"/>
            <w:tcBorders>
              <w:top w:val="nil"/>
              <w:left w:val="nil"/>
              <w:bottom w:val="nil"/>
              <w:right w:val="nil"/>
            </w:tcBorders>
            <w:shd w:val="clear" w:color="auto" w:fill="auto"/>
            <w:noWrap/>
            <w:vAlign w:val="center"/>
            <w:hideMark/>
          </w:tcPr>
          <w:p w14:paraId="40BCBA56" w14:textId="6F039CD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13,7</w:t>
            </w:r>
          </w:p>
        </w:tc>
        <w:tc>
          <w:tcPr>
            <w:tcW w:w="595" w:type="dxa"/>
            <w:tcBorders>
              <w:top w:val="nil"/>
              <w:left w:val="nil"/>
              <w:bottom w:val="nil"/>
              <w:right w:val="nil"/>
            </w:tcBorders>
            <w:shd w:val="clear" w:color="auto" w:fill="auto"/>
            <w:noWrap/>
            <w:vAlign w:val="center"/>
            <w:hideMark/>
          </w:tcPr>
          <w:p w14:paraId="23455D05" w14:textId="16D56AB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17,9</w:t>
            </w:r>
          </w:p>
        </w:tc>
        <w:tc>
          <w:tcPr>
            <w:tcW w:w="595" w:type="dxa"/>
            <w:tcBorders>
              <w:top w:val="nil"/>
              <w:left w:val="nil"/>
              <w:bottom w:val="nil"/>
              <w:right w:val="nil"/>
            </w:tcBorders>
            <w:shd w:val="clear" w:color="auto" w:fill="auto"/>
            <w:noWrap/>
            <w:vAlign w:val="center"/>
            <w:hideMark/>
          </w:tcPr>
          <w:p w14:paraId="370E523F" w14:textId="182CF17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17,6</w:t>
            </w:r>
          </w:p>
        </w:tc>
        <w:tc>
          <w:tcPr>
            <w:tcW w:w="595" w:type="dxa"/>
            <w:tcBorders>
              <w:top w:val="nil"/>
              <w:left w:val="nil"/>
              <w:bottom w:val="nil"/>
              <w:right w:val="nil"/>
            </w:tcBorders>
            <w:shd w:val="clear" w:color="auto" w:fill="auto"/>
            <w:noWrap/>
            <w:vAlign w:val="center"/>
            <w:hideMark/>
          </w:tcPr>
          <w:p w14:paraId="3B761507" w14:textId="507AFE7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19,5</w:t>
            </w:r>
          </w:p>
        </w:tc>
        <w:tc>
          <w:tcPr>
            <w:tcW w:w="595" w:type="dxa"/>
            <w:tcBorders>
              <w:top w:val="nil"/>
              <w:left w:val="nil"/>
              <w:bottom w:val="nil"/>
              <w:right w:val="nil"/>
            </w:tcBorders>
            <w:shd w:val="clear" w:color="auto" w:fill="auto"/>
            <w:noWrap/>
            <w:vAlign w:val="center"/>
            <w:hideMark/>
          </w:tcPr>
          <w:p w14:paraId="3C1174BA" w14:textId="2EB510F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22,0</w:t>
            </w:r>
          </w:p>
        </w:tc>
        <w:tc>
          <w:tcPr>
            <w:tcW w:w="595" w:type="dxa"/>
            <w:tcBorders>
              <w:top w:val="nil"/>
              <w:left w:val="nil"/>
              <w:bottom w:val="nil"/>
              <w:right w:val="nil"/>
            </w:tcBorders>
            <w:shd w:val="clear" w:color="auto" w:fill="auto"/>
            <w:noWrap/>
            <w:vAlign w:val="center"/>
            <w:hideMark/>
          </w:tcPr>
          <w:p w14:paraId="04B7CC7B" w14:textId="4009E541" w:rsidR="00E83157" w:rsidRPr="00D92E20" w:rsidRDefault="00E83157" w:rsidP="00E83157">
            <w:pPr>
              <w:spacing w:after="0" w:line="240" w:lineRule="auto"/>
              <w:jc w:val="center"/>
              <w:rPr>
                <w:rFonts w:cs="Arial"/>
                <w:color w:val="000000"/>
                <w:sz w:val="16"/>
                <w:szCs w:val="16"/>
              </w:rPr>
            </w:pPr>
            <w:r>
              <w:rPr>
                <w:rFonts w:cs="Arial"/>
                <w:color w:val="000000"/>
                <w:sz w:val="16"/>
                <w:szCs w:val="16"/>
              </w:rPr>
              <w:t>20,2</w:t>
            </w:r>
          </w:p>
        </w:tc>
        <w:tc>
          <w:tcPr>
            <w:tcW w:w="595" w:type="dxa"/>
            <w:tcBorders>
              <w:top w:val="nil"/>
              <w:left w:val="nil"/>
              <w:bottom w:val="nil"/>
              <w:right w:val="nil"/>
            </w:tcBorders>
            <w:shd w:val="clear" w:color="auto" w:fill="auto"/>
            <w:noWrap/>
            <w:vAlign w:val="center"/>
            <w:hideMark/>
          </w:tcPr>
          <w:p w14:paraId="1A2C340C" w14:textId="3B0EF8C8" w:rsidR="00E83157" w:rsidRPr="00D92E20" w:rsidRDefault="00E83157" w:rsidP="00E83157">
            <w:pPr>
              <w:spacing w:after="0" w:line="240" w:lineRule="auto"/>
              <w:jc w:val="center"/>
              <w:rPr>
                <w:rFonts w:cs="Arial"/>
                <w:color w:val="000000"/>
                <w:sz w:val="16"/>
                <w:szCs w:val="16"/>
              </w:rPr>
            </w:pPr>
            <w:r>
              <w:rPr>
                <w:rFonts w:cs="Arial"/>
                <w:color w:val="000000"/>
                <w:sz w:val="16"/>
                <w:szCs w:val="16"/>
              </w:rPr>
              <w:t>23,1</w:t>
            </w:r>
          </w:p>
        </w:tc>
        <w:tc>
          <w:tcPr>
            <w:tcW w:w="595" w:type="dxa"/>
            <w:tcBorders>
              <w:top w:val="nil"/>
              <w:left w:val="nil"/>
              <w:bottom w:val="nil"/>
              <w:right w:val="nil"/>
            </w:tcBorders>
            <w:shd w:val="clear" w:color="auto" w:fill="auto"/>
            <w:noWrap/>
            <w:vAlign w:val="center"/>
            <w:hideMark/>
          </w:tcPr>
          <w:p w14:paraId="2CD56E07" w14:textId="48FD9872" w:rsidR="00E83157" w:rsidRPr="00D92E20" w:rsidRDefault="00E83157" w:rsidP="00E83157">
            <w:pPr>
              <w:spacing w:after="0" w:line="240" w:lineRule="auto"/>
              <w:jc w:val="center"/>
              <w:rPr>
                <w:rFonts w:cs="Arial"/>
                <w:color w:val="000000"/>
                <w:sz w:val="16"/>
                <w:szCs w:val="16"/>
              </w:rPr>
            </w:pPr>
            <w:r>
              <w:rPr>
                <w:rFonts w:cs="Arial"/>
                <w:color w:val="000000"/>
                <w:sz w:val="16"/>
                <w:szCs w:val="16"/>
              </w:rPr>
              <w:t>32,0</w:t>
            </w:r>
          </w:p>
        </w:tc>
      </w:tr>
      <w:tr w:rsidR="00E83157" w:rsidRPr="00D92E20" w14:paraId="587A321D"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54272F07" w14:textId="28347C46"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43FA5A" w14:textId="57E42D5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13,8</w:t>
            </w:r>
          </w:p>
        </w:tc>
        <w:tc>
          <w:tcPr>
            <w:tcW w:w="595" w:type="dxa"/>
            <w:tcBorders>
              <w:top w:val="nil"/>
              <w:left w:val="nil"/>
              <w:bottom w:val="nil"/>
              <w:right w:val="nil"/>
            </w:tcBorders>
            <w:shd w:val="clear" w:color="auto" w:fill="auto"/>
            <w:noWrap/>
            <w:vAlign w:val="center"/>
            <w:hideMark/>
          </w:tcPr>
          <w:p w14:paraId="10E85498" w14:textId="68411C2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11,4</w:t>
            </w:r>
          </w:p>
        </w:tc>
        <w:tc>
          <w:tcPr>
            <w:tcW w:w="595" w:type="dxa"/>
            <w:tcBorders>
              <w:top w:val="nil"/>
              <w:left w:val="nil"/>
              <w:bottom w:val="nil"/>
              <w:right w:val="nil"/>
            </w:tcBorders>
            <w:shd w:val="clear" w:color="auto" w:fill="auto"/>
            <w:noWrap/>
            <w:vAlign w:val="center"/>
            <w:hideMark/>
          </w:tcPr>
          <w:p w14:paraId="3C021579" w14:textId="7F2A2AD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12,9</w:t>
            </w:r>
          </w:p>
        </w:tc>
        <w:tc>
          <w:tcPr>
            <w:tcW w:w="595" w:type="dxa"/>
            <w:tcBorders>
              <w:top w:val="nil"/>
              <w:left w:val="nil"/>
              <w:bottom w:val="nil"/>
              <w:right w:val="nil"/>
            </w:tcBorders>
            <w:shd w:val="clear" w:color="auto" w:fill="auto"/>
            <w:noWrap/>
            <w:vAlign w:val="center"/>
            <w:hideMark/>
          </w:tcPr>
          <w:p w14:paraId="36FE9D06" w14:textId="6396011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12,1</w:t>
            </w:r>
          </w:p>
        </w:tc>
        <w:tc>
          <w:tcPr>
            <w:tcW w:w="595" w:type="dxa"/>
            <w:tcBorders>
              <w:top w:val="nil"/>
              <w:left w:val="nil"/>
              <w:bottom w:val="nil"/>
              <w:right w:val="nil"/>
            </w:tcBorders>
            <w:shd w:val="clear" w:color="auto" w:fill="auto"/>
            <w:noWrap/>
            <w:vAlign w:val="center"/>
            <w:hideMark/>
          </w:tcPr>
          <w:p w14:paraId="60DAAF64" w14:textId="3AC360D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14,6</w:t>
            </w:r>
          </w:p>
        </w:tc>
        <w:tc>
          <w:tcPr>
            <w:tcW w:w="595" w:type="dxa"/>
            <w:tcBorders>
              <w:top w:val="nil"/>
              <w:left w:val="nil"/>
              <w:bottom w:val="nil"/>
              <w:right w:val="nil"/>
            </w:tcBorders>
            <w:shd w:val="clear" w:color="auto" w:fill="auto"/>
            <w:noWrap/>
            <w:vAlign w:val="center"/>
            <w:hideMark/>
          </w:tcPr>
          <w:p w14:paraId="408782B8" w14:textId="351BDDD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14,7</w:t>
            </w:r>
          </w:p>
        </w:tc>
        <w:tc>
          <w:tcPr>
            <w:tcW w:w="595" w:type="dxa"/>
            <w:tcBorders>
              <w:top w:val="nil"/>
              <w:left w:val="nil"/>
              <w:bottom w:val="nil"/>
              <w:right w:val="nil"/>
            </w:tcBorders>
            <w:shd w:val="clear" w:color="auto" w:fill="auto"/>
            <w:noWrap/>
            <w:vAlign w:val="center"/>
            <w:hideMark/>
          </w:tcPr>
          <w:p w14:paraId="29AE9C32" w14:textId="54E5F32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15,1</w:t>
            </w:r>
          </w:p>
        </w:tc>
        <w:tc>
          <w:tcPr>
            <w:tcW w:w="595" w:type="dxa"/>
            <w:tcBorders>
              <w:top w:val="nil"/>
              <w:left w:val="nil"/>
              <w:bottom w:val="nil"/>
              <w:right w:val="nil"/>
            </w:tcBorders>
            <w:shd w:val="clear" w:color="auto" w:fill="auto"/>
            <w:noWrap/>
            <w:vAlign w:val="center"/>
            <w:hideMark/>
          </w:tcPr>
          <w:p w14:paraId="2AAAEB5A" w14:textId="714D925C"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16,4</w:t>
            </w:r>
          </w:p>
        </w:tc>
        <w:tc>
          <w:tcPr>
            <w:tcW w:w="595" w:type="dxa"/>
            <w:tcBorders>
              <w:top w:val="nil"/>
              <w:left w:val="nil"/>
              <w:bottom w:val="nil"/>
              <w:right w:val="nil"/>
            </w:tcBorders>
            <w:shd w:val="clear" w:color="auto" w:fill="auto"/>
            <w:noWrap/>
            <w:vAlign w:val="center"/>
            <w:hideMark/>
          </w:tcPr>
          <w:p w14:paraId="7A13B695" w14:textId="17252A57" w:rsidR="00E83157" w:rsidRPr="00D92E20" w:rsidRDefault="00E83157" w:rsidP="00E83157">
            <w:pPr>
              <w:spacing w:after="0" w:line="240" w:lineRule="auto"/>
              <w:jc w:val="center"/>
              <w:rPr>
                <w:rFonts w:cs="Arial"/>
                <w:color w:val="000000"/>
                <w:sz w:val="16"/>
                <w:szCs w:val="16"/>
              </w:rPr>
            </w:pPr>
            <w:r>
              <w:rPr>
                <w:rFonts w:cs="Arial"/>
                <w:color w:val="000000"/>
                <w:sz w:val="16"/>
                <w:szCs w:val="16"/>
              </w:rPr>
              <w:t>15,8</w:t>
            </w:r>
          </w:p>
        </w:tc>
        <w:tc>
          <w:tcPr>
            <w:tcW w:w="595" w:type="dxa"/>
            <w:tcBorders>
              <w:top w:val="nil"/>
              <w:left w:val="nil"/>
              <w:bottom w:val="nil"/>
              <w:right w:val="nil"/>
            </w:tcBorders>
            <w:shd w:val="clear" w:color="auto" w:fill="auto"/>
            <w:noWrap/>
            <w:vAlign w:val="center"/>
            <w:hideMark/>
          </w:tcPr>
          <w:p w14:paraId="615058A1" w14:textId="381D7500" w:rsidR="00E83157" w:rsidRPr="00D92E20" w:rsidRDefault="00E83157" w:rsidP="00E83157">
            <w:pPr>
              <w:spacing w:after="0" w:line="240" w:lineRule="auto"/>
              <w:jc w:val="center"/>
              <w:rPr>
                <w:rFonts w:cs="Arial"/>
                <w:color w:val="000000"/>
                <w:sz w:val="16"/>
                <w:szCs w:val="16"/>
              </w:rPr>
            </w:pPr>
            <w:r>
              <w:rPr>
                <w:rFonts w:cs="Arial"/>
                <w:color w:val="000000"/>
                <w:sz w:val="16"/>
                <w:szCs w:val="16"/>
              </w:rPr>
              <w:t>21,6</w:t>
            </w:r>
          </w:p>
        </w:tc>
        <w:tc>
          <w:tcPr>
            <w:tcW w:w="595" w:type="dxa"/>
            <w:tcBorders>
              <w:top w:val="nil"/>
              <w:left w:val="nil"/>
              <w:bottom w:val="nil"/>
              <w:right w:val="nil"/>
            </w:tcBorders>
            <w:shd w:val="clear" w:color="auto" w:fill="auto"/>
            <w:noWrap/>
            <w:vAlign w:val="center"/>
            <w:hideMark/>
          </w:tcPr>
          <w:p w14:paraId="626504E8" w14:textId="6E2B7752" w:rsidR="00E83157" w:rsidRPr="00D92E20" w:rsidRDefault="00E83157" w:rsidP="00E83157">
            <w:pPr>
              <w:spacing w:after="0" w:line="240" w:lineRule="auto"/>
              <w:jc w:val="center"/>
              <w:rPr>
                <w:rFonts w:cs="Arial"/>
                <w:color w:val="000000"/>
                <w:sz w:val="16"/>
                <w:szCs w:val="16"/>
              </w:rPr>
            </w:pPr>
            <w:r>
              <w:rPr>
                <w:rFonts w:cs="Arial"/>
                <w:color w:val="000000"/>
                <w:sz w:val="16"/>
                <w:szCs w:val="16"/>
              </w:rPr>
              <w:t>16,8</w:t>
            </w:r>
          </w:p>
        </w:tc>
      </w:tr>
      <w:tr w:rsidR="00E83157" w:rsidRPr="00D92E20" w14:paraId="3B9A1697"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E169B6"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7CA14986" w14:textId="13733E9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15,0</w:t>
            </w:r>
          </w:p>
        </w:tc>
        <w:tc>
          <w:tcPr>
            <w:tcW w:w="595" w:type="dxa"/>
            <w:tcBorders>
              <w:top w:val="nil"/>
              <w:left w:val="nil"/>
              <w:bottom w:val="nil"/>
              <w:right w:val="nil"/>
            </w:tcBorders>
            <w:shd w:val="clear" w:color="auto" w:fill="auto"/>
            <w:noWrap/>
            <w:vAlign w:val="center"/>
            <w:hideMark/>
          </w:tcPr>
          <w:p w14:paraId="528E94C9" w14:textId="753846F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10,8</w:t>
            </w:r>
          </w:p>
        </w:tc>
        <w:tc>
          <w:tcPr>
            <w:tcW w:w="595" w:type="dxa"/>
            <w:tcBorders>
              <w:top w:val="nil"/>
              <w:left w:val="nil"/>
              <w:bottom w:val="nil"/>
              <w:right w:val="nil"/>
            </w:tcBorders>
            <w:shd w:val="clear" w:color="auto" w:fill="auto"/>
            <w:noWrap/>
            <w:vAlign w:val="center"/>
            <w:hideMark/>
          </w:tcPr>
          <w:p w14:paraId="42EECDA5" w14:textId="41EB196C"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13,1</w:t>
            </w:r>
          </w:p>
        </w:tc>
        <w:tc>
          <w:tcPr>
            <w:tcW w:w="595" w:type="dxa"/>
            <w:tcBorders>
              <w:top w:val="nil"/>
              <w:left w:val="nil"/>
              <w:bottom w:val="nil"/>
              <w:right w:val="nil"/>
            </w:tcBorders>
            <w:shd w:val="clear" w:color="auto" w:fill="auto"/>
            <w:noWrap/>
            <w:vAlign w:val="center"/>
            <w:hideMark/>
          </w:tcPr>
          <w:p w14:paraId="5E53F8A0" w14:textId="3D7C366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11,1</w:t>
            </w:r>
          </w:p>
        </w:tc>
        <w:tc>
          <w:tcPr>
            <w:tcW w:w="595" w:type="dxa"/>
            <w:tcBorders>
              <w:top w:val="nil"/>
              <w:left w:val="nil"/>
              <w:bottom w:val="nil"/>
              <w:right w:val="nil"/>
            </w:tcBorders>
            <w:shd w:val="clear" w:color="auto" w:fill="auto"/>
            <w:noWrap/>
            <w:vAlign w:val="center"/>
            <w:hideMark/>
          </w:tcPr>
          <w:p w14:paraId="5675E91E" w14:textId="5F1570B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13,4</w:t>
            </w:r>
          </w:p>
        </w:tc>
        <w:tc>
          <w:tcPr>
            <w:tcW w:w="595" w:type="dxa"/>
            <w:tcBorders>
              <w:top w:val="nil"/>
              <w:left w:val="nil"/>
              <w:bottom w:val="nil"/>
              <w:right w:val="nil"/>
            </w:tcBorders>
            <w:shd w:val="clear" w:color="auto" w:fill="auto"/>
            <w:noWrap/>
            <w:vAlign w:val="center"/>
            <w:hideMark/>
          </w:tcPr>
          <w:p w14:paraId="047CF952" w14:textId="02694E0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12,7</w:t>
            </w:r>
          </w:p>
        </w:tc>
        <w:tc>
          <w:tcPr>
            <w:tcW w:w="595" w:type="dxa"/>
            <w:tcBorders>
              <w:top w:val="nil"/>
              <w:left w:val="nil"/>
              <w:bottom w:val="nil"/>
              <w:right w:val="nil"/>
            </w:tcBorders>
            <w:shd w:val="clear" w:color="auto" w:fill="auto"/>
            <w:noWrap/>
            <w:vAlign w:val="center"/>
            <w:hideMark/>
          </w:tcPr>
          <w:p w14:paraId="497574F6" w14:textId="37365F5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13,5</w:t>
            </w:r>
          </w:p>
        </w:tc>
        <w:tc>
          <w:tcPr>
            <w:tcW w:w="595" w:type="dxa"/>
            <w:tcBorders>
              <w:top w:val="nil"/>
              <w:left w:val="nil"/>
              <w:bottom w:val="nil"/>
              <w:right w:val="nil"/>
            </w:tcBorders>
            <w:shd w:val="clear" w:color="auto" w:fill="auto"/>
            <w:noWrap/>
            <w:vAlign w:val="center"/>
            <w:hideMark/>
          </w:tcPr>
          <w:p w14:paraId="3A14E7B8" w14:textId="20C77FC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14,4</w:t>
            </w:r>
          </w:p>
        </w:tc>
        <w:tc>
          <w:tcPr>
            <w:tcW w:w="595" w:type="dxa"/>
            <w:tcBorders>
              <w:top w:val="nil"/>
              <w:left w:val="nil"/>
              <w:bottom w:val="nil"/>
              <w:right w:val="nil"/>
            </w:tcBorders>
            <w:shd w:val="clear" w:color="auto" w:fill="auto"/>
            <w:noWrap/>
            <w:vAlign w:val="center"/>
            <w:hideMark/>
          </w:tcPr>
          <w:p w14:paraId="4F0A5C54" w14:textId="1903D48C" w:rsidR="00E83157" w:rsidRPr="00D92E20" w:rsidRDefault="00E83157" w:rsidP="00E83157">
            <w:pPr>
              <w:spacing w:after="0" w:line="240" w:lineRule="auto"/>
              <w:jc w:val="center"/>
              <w:rPr>
                <w:rFonts w:cs="Arial"/>
                <w:color w:val="000000"/>
                <w:sz w:val="16"/>
                <w:szCs w:val="16"/>
              </w:rPr>
            </w:pPr>
            <w:r>
              <w:rPr>
                <w:rFonts w:cs="Arial"/>
                <w:color w:val="000000"/>
                <w:sz w:val="16"/>
                <w:szCs w:val="16"/>
              </w:rPr>
              <w:t>13,5</w:t>
            </w:r>
          </w:p>
        </w:tc>
        <w:tc>
          <w:tcPr>
            <w:tcW w:w="595" w:type="dxa"/>
            <w:tcBorders>
              <w:top w:val="nil"/>
              <w:left w:val="nil"/>
              <w:bottom w:val="nil"/>
              <w:right w:val="nil"/>
            </w:tcBorders>
            <w:shd w:val="clear" w:color="auto" w:fill="auto"/>
            <w:noWrap/>
            <w:vAlign w:val="center"/>
            <w:hideMark/>
          </w:tcPr>
          <w:p w14:paraId="5B84DE3A" w14:textId="1BC8E6BC" w:rsidR="00E83157" w:rsidRPr="00D92E20" w:rsidRDefault="00E83157" w:rsidP="00E83157">
            <w:pPr>
              <w:spacing w:after="0" w:line="240" w:lineRule="auto"/>
              <w:jc w:val="center"/>
              <w:rPr>
                <w:rFonts w:cs="Arial"/>
                <w:color w:val="000000"/>
                <w:sz w:val="16"/>
                <w:szCs w:val="16"/>
              </w:rPr>
            </w:pPr>
            <w:r>
              <w:rPr>
                <w:rFonts w:cs="Arial"/>
                <w:color w:val="000000"/>
                <w:sz w:val="16"/>
                <w:szCs w:val="16"/>
              </w:rPr>
              <w:t>12,9</w:t>
            </w:r>
          </w:p>
        </w:tc>
        <w:tc>
          <w:tcPr>
            <w:tcW w:w="595" w:type="dxa"/>
            <w:tcBorders>
              <w:top w:val="nil"/>
              <w:left w:val="nil"/>
              <w:bottom w:val="nil"/>
              <w:right w:val="nil"/>
            </w:tcBorders>
            <w:shd w:val="clear" w:color="auto" w:fill="auto"/>
            <w:noWrap/>
            <w:vAlign w:val="center"/>
            <w:hideMark/>
          </w:tcPr>
          <w:p w14:paraId="134E3D80" w14:textId="46157D32" w:rsidR="00E83157" w:rsidRPr="00D92E20" w:rsidRDefault="00E83157" w:rsidP="00E83157">
            <w:pPr>
              <w:spacing w:after="0" w:line="240" w:lineRule="auto"/>
              <w:jc w:val="center"/>
              <w:rPr>
                <w:rFonts w:cs="Arial"/>
                <w:color w:val="000000"/>
                <w:sz w:val="16"/>
                <w:szCs w:val="16"/>
              </w:rPr>
            </w:pPr>
            <w:r>
              <w:rPr>
                <w:rFonts w:cs="Arial"/>
                <w:color w:val="000000"/>
                <w:sz w:val="16"/>
                <w:szCs w:val="16"/>
              </w:rPr>
              <w:t>13,2</w:t>
            </w:r>
          </w:p>
        </w:tc>
      </w:tr>
      <w:tr w:rsidR="00E83157" w:rsidRPr="00D92E20" w14:paraId="5C3D548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21617673"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309DA37" w14:textId="2058162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17,0</w:t>
            </w:r>
          </w:p>
        </w:tc>
        <w:tc>
          <w:tcPr>
            <w:tcW w:w="595" w:type="dxa"/>
            <w:tcBorders>
              <w:top w:val="nil"/>
              <w:left w:val="nil"/>
              <w:bottom w:val="nil"/>
              <w:right w:val="nil"/>
            </w:tcBorders>
            <w:shd w:val="clear" w:color="auto" w:fill="auto"/>
            <w:noWrap/>
            <w:vAlign w:val="center"/>
            <w:hideMark/>
          </w:tcPr>
          <w:p w14:paraId="1C0551EA" w14:textId="683BA91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12,0</w:t>
            </w:r>
          </w:p>
        </w:tc>
        <w:tc>
          <w:tcPr>
            <w:tcW w:w="595" w:type="dxa"/>
            <w:tcBorders>
              <w:top w:val="nil"/>
              <w:left w:val="nil"/>
              <w:bottom w:val="nil"/>
              <w:right w:val="nil"/>
            </w:tcBorders>
            <w:shd w:val="clear" w:color="auto" w:fill="auto"/>
            <w:noWrap/>
            <w:vAlign w:val="center"/>
            <w:hideMark/>
          </w:tcPr>
          <w:p w14:paraId="132440FF" w14:textId="47A4B57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14,9</w:t>
            </w:r>
          </w:p>
        </w:tc>
        <w:tc>
          <w:tcPr>
            <w:tcW w:w="595" w:type="dxa"/>
            <w:tcBorders>
              <w:top w:val="nil"/>
              <w:left w:val="nil"/>
              <w:bottom w:val="nil"/>
              <w:right w:val="nil"/>
            </w:tcBorders>
            <w:shd w:val="clear" w:color="auto" w:fill="auto"/>
            <w:noWrap/>
            <w:vAlign w:val="center"/>
            <w:hideMark/>
          </w:tcPr>
          <w:p w14:paraId="70DE38F2" w14:textId="442E125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12,9</w:t>
            </w:r>
          </w:p>
        </w:tc>
        <w:tc>
          <w:tcPr>
            <w:tcW w:w="595" w:type="dxa"/>
            <w:tcBorders>
              <w:top w:val="nil"/>
              <w:left w:val="nil"/>
              <w:bottom w:val="nil"/>
              <w:right w:val="nil"/>
            </w:tcBorders>
            <w:shd w:val="clear" w:color="auto" w:fill="auto"/>
            <w:noWrap/>
            <w:vAlign w:val="center"/>
            <w:hideMark/>
          </w:tcPr>
          <w:p w14:paraId="183B929A" w14:textId="1C2A52B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16,1</w:t>
            </w:r>
          </w:p>
        </w:tc>
        <w:tc>
          <w:tcPr>
            <w:tcW w:w="595" w:type="dxa"/>
            <w:tcBorders>
              <w:top w:val="nil"/>
              <w:left w:val="nil"/>
              <w:bottom w:val="nil"/>
              <w:right w:val="nil"/>
            </w:tcBorders>
            <w:shd w:val="clear" w:color="auto" w:fill="auto"/>
            <w:noWrap/>
            <w:vAlign w:val="center"/>
            <w:hideMark/>
          </w:tcPr>
          <w:p w14:paraId="4073ECFF" w14:textId="5DA6133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14,7</w:t>
            </w:r>
          </w:p>
        </w:tc>
        <w:tc>
          <w:tcPr>
            <w:tcW w:w="595" w:type="dxa"/>
            <w:tcBorders>
              <w:top w:val="nil"/>
              <w:left w:val="nil"/>
              <w:bottom w:val="nil"/>
              <w:right w:val="nil"/>
            </w:tcBorders>
            <w:shd w:val="clear" w:color="auto" w:fill="auto"/>
            <w:noWrap/>
            <w:vAlign w:val="center"/>
            <w:hideMark/>
          </w:tcPr>
          <w:p w14:paraId="3A57BE51" w14:textId="10B8091C"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15,1</w:t>
            </w:r>
          </w:p>
        </w:tc>
        <w:tc>
          <w:tcPr>
            <w:tcW w:w="595" w:type="dxa"/>
            <w:tcBorders>
              <w:top w:val="nil"/>
              <w:left w:val="nil"/>
              <w:bottom w:val="nil"/>
              <w:right w:val="nil"/>
            </w:tcBorders>
            <w:shd w:val="clear" w:color="auto" w:fill="auto"/>
            <w:noWrap/>
            <w:vAlign w:val="center"/>
            <w:hideMark/>
          </w:tcPr>
          <w:p w14:paraId="532CEE6F" w14:textId="287C333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16,4</w:t>
            </w:r>
          </w:p>
        </w:tc>
        <w:tc>
          <w:tcPr>
            <w:tcW w:w="595" w:type="dxa"/>
            <w:tcBorders>
              <w:top w:val="nil"/>
              <w:left w:val="nil"/>
              <w:bottom w:val="nil"/>
              <w:right w:val="nil"/>
            </w:tcBorders>
            <w:shd w:val="clear" w:color="auto" w:fill="auto"/>
            <w:noWrap/>
            <w:vAlign w:val="center"/>
            <w:hideMark/>
          </w:tcPr>
          <w:p w14:paraId="7DC3FD53" w14:textId="0665A210" w:rsidR="00E83157" w:rsidRPr="00D92E20" w:rsidRDefault="00E83157" w:rsidP="00E83157">
            <w:pPr>
              <w:spacing w:after="0" w:line="240" w:lineRule="auto"/>
              <w:jc w:val="center"/>
              <w:rPr>
                <w:rFonts w:cs="Arial"/>
                <w:color w:val="000000"/>
                <w:sz w:val="16"/>
                <w:szCs w:val="16"/>
              </w:rPr>
            </w:pPr>
            <w:r>
              <w:rPr>
                <w:rFonts w:cs="Arial"/>
                <w:color w:val="000000"/>
                <w:sz w:val="16"/>
                <w:szCs w:val="16"/>
              </w:rPr>
              <w:t>15,0</w:t>
            </w:r>
          </w:p>
        </w:tc>
        <w:tc>
          <w:tcPr>
            <w:tcW w:w="595" w:type="dxa"/>
            <w:tcBorders>
              <w:top w:val="nil"/>
              <w:left w:val="nil"/>
              <w:bottom w:val="nil"/>
              <w:right w:val="nil"/>
            </w:tcBorders>
            <w:shd w:val="clear" w:color="auto" w:fill="auto"/>
            <w:noWrap/>
            <w:vAlign w:val="center"/>
            <w:hideMark/>
          </w:tcPr>
          <w:p w14:paraId="62DA53A9" w14:textId="1A28EA20" w:rsidR="00E83157" w:rsidRPr="00D92E20" w:rsidRDefault="00E83157" w:rsidP="00E83157">
            <w:pPr>
              <w:spacing w:after="0" w:line="240" w:lineRule="auto"/>
              <w:jc w:val="center"/>
              <w:rPr>
                <w:rFonts w:cs="Arial"/>
                <w:color w:val="000000"/>
                <w:sz w:val="16"/>
                <w:szCs w:val="16"/>
              </w:rPr>
            </w:pPr>
            <w:r>
              <w:rPr>
                <w:rFonts w:cs="Arial"/>
                <w:color w:val="000000"/>
                <w:sz w:val="16"/>
                <w:szCs w:val="16"/>
              </w:rPr>
              <w:t>14,7</w:t>
            </w:r>
          </w:p>
        </w:tc>
        <w:tc>
          <w:tcPr>
            <w:tcW w:w="595" w:type="dxa"/>
            <w:tcBorders>
              <w:top w:val="nil"/>
              <w:left w:val="nil"/>
              <w:bottom w:val="nil"/>
              <w:right w:val="nil"/>
            </w:tcBorders>
            <w:shd w:val="clear" w:color="auto" w:fill="auto"/>
            <w:noWrap/>
            <w:vAlign w:val="center"/>
            <w:hideMark/>
          </w:tcPr>
          <w:p w14:paraId="6CC853A2" w14:textId="60E4F48F" w:rsidR="00E83157" w:rsidRPr="00D92E20" w:rsidRDefault="00E83157" w:rsidP="00E83157">
            <w:pPr>
              <w:spacing w:after="0" w:line="240" w:lineRule="auto"/>
              <w:jc w:val="center"/>
              <w:rPr>
                <w:rFonts w:cs="Arial"/>
                <w:color w:val="000000"/>
                <w:sz w:val="16"/>
                <w:szCs w:val="16"/>
              </w:rPr>
            </w:pPr>
            <w:r>
              <w:rPr>
                <w:rFonts w:cs="Arial"/>
                <w:color w:val="000000"/>
                <w:sz w:val="16"/>
                <w:szCs w:val="16"/>
              </w:rPr>
              <w:t>14,9</w:t>
            </w:r>
          </w:p>
        </w:tc>
      </w:tr>
      <w:tr w:rsidR="00E83157" w:rsidRPr="00D92E20" w14:paraId="5D27C71E"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7DFAD02"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1AFCFEE5" w14:textId="3988829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10,5</w:t>
            </w:r>
          </w:p>
        </w:tc>
        <w:tc>
          <w:tcPr>
            <w:tcW w:w="595" w:type="dxa"/>
            <w:tcBorders>
              <w:top w:val="nil"/>
              <w:left w:val="nil"/>
              <w:bottom w:val="nil"/>
              <w:right w:val="nil"/>
            </w:tcBorders>
            <w:shd w:val="clear" w:color="auto" w:fill="auto"/>
            <w:noWrap/>
            <w:vAlign w:val="center"/>
            <w:hideMark/>
          </w:tcPr>
          <w:p w14:paraId="76CB5082" w14:textId="2328574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7,4</w:t>
            </w:r>
          </w:p>
        </w:tc>
        <w:tc>
          <w:tcPr>
            <w:tcW w:w="595" w:type="dxa"/>
            <w:tcBorders>
              <w:top w:val="nil"/>
              <w:left w:val="nil"/>
              <w:bottom w:val="nil"/>
              <w:right w:val="nil"/>
            </w:tcBorders>
            <w:shd w:val="clear" w:color="auto" w:fill="auto"/>
            <w:noWrap/>
            <w:vAlign w:val="center"/>
            <w:hideMark/>
          </w:tcPr>
          <w:p w14:paraId="70DC89B4" w14:textId="0DB49BC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8,3</w:t>
            </w:r>
          </w:p>
        </w:tc>
        <w:tc>
          <w:tcPr>
            <w:tcW w:w="595" w:type="dxa"/>
            <w:tcBorders>
              <w:top w:val="nil"/>
              <w:left w:val="nil"/>
              <w:bottom w:val="nil"/>
              <w:right w:val="nil"/>
            </w:tcBorders>
            <w:shd w:val="clear" w:color="auto" w:fill="auto"/>
            <w:noWrap/>
            <w:vAlign w:val="center"/>
            <w:hideMark/>
          </w:tcPr>
          <w:p w14:paraId="579BAF9B" w14:textId="0B23B26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7,2</w:t>
            </w:r>
          </w:p>
        </w:tc>
        <w:tc>
          <w:tcPr>
            <w:tcW w:w="595" w:type="dxa"/>
            <w:tcBorders>
              <w:top w:val="nil"/>
              <w:left w:val="nil"/>
              <w:bottom w:val="nil"/>
              <w:right w:val="nil"/>
            </w:tcBorders>
            <w:shd w:val="clear" w:color="auto" w:fill="auto"/>
            <w:noWrap/>
            <w:vAlign w:val="center"/>
            <w:hideMark/>
          </w:tcPr>
          <w:p w14:paraId="0AACB8D6" w14:textId="60E54B8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9,1</w:t>
            </w:r>
          </w:p>
        </w:tc>
        <w:tc>
          <w:tcPr>
            <w:tcW w:w="595" w:type="dxa"/>
            <w:tcBorders>
              <w:top w:val="nil"/>
              <w:left w:val="nil"/>
              <w:bottom w:val="nil"/>
              <w:right w:val="nil"/>
            </w:tcBorders>
            <w:shd w:val="clear" w:color="auto" w:fill="auto"/>
            <w:noWrap/>
            <w:vAlign w:val="center"/>
            <w:hideMark/>
          </w:tcPr>
          <w:p w14:paraId="1F3B8FF5" w14:textId="28AA31D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8,6</w:t>
            </w:r>
          </w:p>
        </w:tc>
        <w:tc>
          <w:tcPr>
            <w:tcW w:w="595" w:type="dxa"/>
            <w:tcBorders>
              <w:top w:val="nil"/>
              <w:left w:val="nil"/>
              <w:bottom w:val="nil"/>
              <w:right w:val="nil"/>
            </w:tcBorders>
            <w:shd w:val="clear" w:color="auto" w:fill="auto"/>
            <w:noWrap/>
            <w:vAlign w:val="center"/>
            <w:hideMark/>
          </w:tcPr>
          <w:p w14:paraId="4B0E75E8" w14:textId="2EEBE04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8,5</w:t>
            </w:r>
          </w:p>
        </w:tc>
        <w:tc>
          <w:tcPr>
            <w:tcW w:w="595" w:type="dxa"/>
            <w:tcBorders>
              <w:top w:val="nil"/>
              <w:left w:val="nil"/>
              <w:bottom w:val="nil"/>
              <w:right w:val="nil"/>
            </w:tcBorders>
            <w:shd w:val="clear" w:color="auto" w:fill="auto"/>
            <w:noWrap/>
            <w:vAlign w:val="center"/>
            <w:hideMark/>
          </w:tcPr>
          <w:p w14:paraId="04CE1F33" w14:textId="7B0A971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9,6</w:t>
            </w:r>
          </w:p>
        </w:tc>
        <w:tc>
          <w:tcPr>
            <w:tcW w:w="595" w:type="dxa"/>
            <w:tcBorders>
              <w:top w:val="nil"/>
              <w:left w:val="nil"/>
              <w:bottom w:val="nil"/>
              <w:right w:val="nil"/>
            </w:tcBorders>
            <w:shd w:val="clear" w:color="auto" w:fill="auto"/>
            <w:noWrap/>
            <w:vAlign w:val="center"/>
            <w:hideMark/>
          </w:tcPr>
          <w:p w14:paraId="728F99CD" w14:textId="7B794327" w:rsidR="00E83157" w:rsidRPr="00D92E20" w:rsidRDefault="00E83157" w:rsidP="00E83157">
            <w:pPr>
              <w:spacing w:after="0" w:line="240" w:lineRule="auto"/>
              <w:jc w:val="center"/>
              <w:rPr>
                <w:rFonts w:cs="Arial"/>
                <w:color w:val="000000"/>
                <w:sz w:val="16"/>
                <w:szCs w:val="16"/>
              </w:rPr>
            </w:pPr>
            <w:r>
              <w:rPr>
                <w:rFonts w:cs="Arial"/>
                <w:color w:val="000000"/>
                <w:sz w:val="16"/>
                <w:szCs w:val="16"/>
              </w:rPr>
              <w:t>9,2</w:t>
            </w:r>
          </w:p>
        </w:tc>
        <w:tc>
          <w:tcPr>
            <w:tcW w:w="595" w:type="dxa"/>
            <w:tcBorders>
              <w:top w:val="nil"/>
              <w:left w:val="nil"/>
              <w:bottom w:val="nil"/>
              <w:right w:val="nil"/>
            </w:tcBorders>
            <w:shd w:val="clear" w:color="auto" w:fill="auto"/>
            <w:noWrap/>
            <w:vAlign w:val="center"/>
            <w:hideMark/>
          </w:tcPr>
          <w:p w14:paraId="0A0C491C" w14:textId="30F2953B" w:rsidR="00E83157" w:rsidRPr="00D92E20" w:rsidRDefault="00E83157" w:rsidP="00E83157">
            <w:pPr>
              <w:spacing w:after="0" w:line="240" w:lineRule="auto"/>
              <w:jc w:val="center"/>
              <w:rPr>
                <w:rFonts w:cs="Arial"/>
                <w:color w:val="000000"/>
                <w:sz w:val="16"/>
                <w:szCs w:val="16"/>
              </w:rPr>
            </w:pPr>
            <w:r>
              <w:rPr>
                <w:rFonts w:cs="Arial"/>
                <w:color w:val="000000"/>
                <w:sz w:val="16"/>
                <w:szCs w:val="16"/>
              </w:rPr>
              <w:t>11,2</w:t>
            </w:r>
          </w:p>
        </w:tc>
        <w:tc>
          <w:tcPr>
            <w:tcW w:w="595" w:type="dxa"/>
            <w:tcBorders>
              <w:top w:val="nil"/>
              <w:left w:val="nil"/>
              <w:bottom w:val="nil"/>
              <w:right w:val="nil"/>
            </w:tcBorders>
            <w:shd w:val="clear" w:color="auto" w:fill="auto"/>
            <w:noWrap/>
            <w:vAlign w:val="center"/>
            <w:hideMark/>
          </w:tcPr>
          <w:p w14:paraId="145D5F90" w14:textId="59A5B0E5" w:rsidR="00E83157" w:rsidRPr="00D92E20" w:rsidRDefault="00E83157" w:rsidP="00E83157">
            <w:pPr>
              <w:spacing w:after="0" w:line="240" w:lineRule="auto"/>
              <w:jc w:val="center"/>
              <w:rPr>
                <w:rFonts w:cs="Arial"/>
                <w:color w:val="000000"/>
                <w:sz w:val="16"/>
                <w:szCs w:val="16"/>
              </w:rPr>
            </w:pPr>
            <w:r>
              <w:rPr>
                <w:rFonts w:cs="Arial"/>
                <w:color w:val="000000"/>
                <w:sz w:val="16"/>
                <w:szCs w:val="16"/>
              </w:rPr>
              <w:t>14,0</w:t>
            </w:r>
          </w:p>
        </w:tc>
      </w:tr>
      <w:tr w:rsidR="00E83157" w:rsidRPr="00D92E20" w14:paraId="46C3E7DC"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311B2257" w14:textId="77777777" w:rsidR="00E83157"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5A0E9F64" w14:textId="0E489CC2" w:rsidR="00E83157" w:rsidRPr="00D92E20" w:rsidRDefault="00E83157" w:rsidP="00E83157">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E05A2D4" w14:textId="05EF61A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11,8</w:t>
            </w:r>
          </w:p>
        </w:tc>
        <w:tc>
          <w:tcPr>
            <w:tcW w:w="595" w:type="dxa"/>
            <w:tcBorders>
              <w:top w:val="nil"/>
              <w:left w:val="nil"/>
              <w:bottom w:val="nil"/>
              <w:right w:val="nil"/>
            </w:tcBorders>
            <w:shd w:val="clear" w:color="auto" w:fill="auto"/>
            <w:noWrap/>
            <w:vAlign w:val="center"/>
            <w:hideMark/>
          </w:tcPr>
          <w:p w14:paraId="3944A79C" w14:textId="6274F10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9,3</w:t>
            </w:r>
          </w:p>
        </w:tc>
        <w:tc>
          <w:tcPr>
            <w:tcW w:w="595" w:type="dxa"/>
            <w:tcBorders>
              <w:top w:val="nil"/>
              <w:left w:val="nil"/>
              <w:bottom w:val="nil"/>
              <w:right w:val="nil"/>
            </w:tcBorders>
            <w:shd w:val="clear" w:color="auto" w:fill="auto"/>
            <w:noWrap/>
            <w:vAlign w:val="center"/>
            <w:hideMark/>
          </w:tcPr>
          <w:p w14:paraId="19DEEA9C" w14:textId="6D6FBD4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11,4</w:t>
            </w:r>
          </w:p>
        </w:tc>
        <w:tc>
          <w:tcPr>
            <w:tcW w:w="595" w:type="dxa"/>
            <w:tcBorders>
              <w:top w:val="nil"/>
              <w:left w:val="nil"/>
              <w:bottom w:val="nil"/>
              <w:right w:val="nil"/>
            </w:tcBorders>
            <w:shd w:val="clear" w:color="auto" w:fill="auto"/>
            <w:noWrap/>
            <w:vAlign w:val="center"/>
            <w:hideMark/>
          </w:tcPr>
          <w:p w14:paraId="17DB1B78" w14:textId="7A6C997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9,5</w:t>
            </w:r>
          </w:p>
        </w:tc>
        <w:tc>
          <w:tcPr>
            <w:tcW w:w="595" w:type="dxa"/>
            <w:tcBorders>
              <w:top w:val="nil"/>
              <w:left w:val="nil"/>
              <w:bottom w:val="nil"/>
              <w:right w:val="nil"/>
            </w:tcBorders>
            <w:shd w:val="clear" w:color="auto" w:fill="auto"/>
            <w:noWrap/>
            <w:vAlign w:val="center"/>
            <w:hideMark/>
          </w:tcPr>
          <w:p w14:paraId="4BB9984B" w14:textId="67C3E0E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12,1</w:t>
            </w:r>
          </w:p>
        </w:tc>
        <w:tc>
          <w:tcPr>
            <w:tcW w:w="595" w:type="dxa"/>
            <w:tcBorders>
              <w:top w:val="nil"/>
              <w:left w:val="nil"/>
              <w:bottom w:val="nil"/>
              <w:right w:val="nil"/>
            </w:tcBorders>
            <w:shd w:val="clear" w:color="auto" w:fill="auto"/>
            <w:noWrap/>
            <w:vAlign w:val="center"/>
            <w:hideMark/>
          </w:tcPr>
          <w:p w14:paraId="2A145CF3" w14:textId="6028816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11,7</w:t>
            </w:r>
          </w:p>
        </w:tc>
        <w:tc>
          <w:tcPr>
            <w:tcW w:w="595" w:type="dxa"/>
            <w:tcBorders>
              <w:top w:val="nil"/>
              <w:left w:val="nil"/>
              <w:bottom w:val="nil"/>
              <w:right w:val="nil"/>
            </w:tcBorders>
            <w:shd w:val="clear" w:color="auto" w:fill="auto"/>
            <w:noWrap/>
            <w:vAlign w:val="center"/>
            <w:hideMark/>
          </w:tcPr>
          <w:p w14:paraId="6A3E98BD" w14:textId="7D383B09"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12,2</w:t>
            </w:r>
          </w:p>
        </w:tc>
        <w:tc>
          <w:tcPr>
            <w:tcW w:w="595" w:type="dxa"/>
            <w:tcBorders>
              <w:top w:val="nil"/>
              <w:left w:val="nil"/>
              <w:bottom w:val="nil"/>
              <w:right w:val="nil"/>
            </w:tcBorders>
            <w:shd w:val="clear" w:color="auto" w:fill="auto"/>
            <w:noWrap/>
            <w:vAlign w:val="center"/>
            <w:hideMark/>
          </w:tcPr>
          <w:p w14:paraId="7E7668EB" w14:textId="6A1B3D7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12,9</w:t>
            </w:r>
          </w:p>
        </w:tc>
        <w:tc>
          <w:tcPr>
            <w:tcW w:w="595" w:type="dxa"/>
            <w:tcBorders>
              <w:top w:val="nil"/>
              <w:left w:val="nil"/>
              <w:bottom w:val="nil"/>
              <w:right w:val="nil"/>
            </w:tcBorders>
            <w:shd w:val="clear" w:color="auto" w:fill="auto"/>
            <w:noWrap/>
            <w:vAlign w:val="center"/>
            <w:hideMark/>
          </w:tcPr>
          <w:p w14:paraId="1FA3EC8B" w14:textId="6A6B4EFA" w:rsidR="00E83157" w:rsidRPr="00D92E20" w:rsidRDefault="00E83157" w:rsidP="00E83157">
            <w:pPr>
              <w:spacing w:after="0" w:line="240" w:lineRule="auto"/>
              <w:jc w:val="center"/>
              <w:rPr>
                <w:rFonts w:cs="Arial"/>
                <w:color w:val="000000"/>
                <w:sz w:val="16"/>
                <w:szCs w:val="16"/>
              </w:rPr>
            </w:pPr>
            <w:r>
              <w:rPr>
                <w:rFonts w:cs="Arial"/>
                <w:color w:val="000000"/>
                <w:sz w:val="16"/>
                <w:szCs w:val="16"/>
              </w:rPr>
              <w:t>11,6</w:t>
            </w:r>
          </w:p>
        </w:tc>
        <w:tc>
          <w:tcPr>
            <w:tcW w:w="595" w:type="dxa"/>
            <w:tcBorders>
              <w:top w:val="nil"/>
              <w:left w:val="nil"/>
              <w:bottom w:val="nil"/>
              <w:right w:val="nil"/>
            </w:tcBorders>
            <w:shd w:val="clear" w:color="auto" w:fill="auto"/>
            <w:noWrap/>
            <w:vAlign w:val="center"/>
            <w:hideMark/>
          </w:tcPr>
          <w:p w14:paraId="6EB65CFF" w14:textId="7162022E" w:rsidR="00E83157" w:rsidRPr="00D92E20" w:rsidRDefault="00E83157" w:rsidP="00E83157">
            <w:pPr>
              <w:spacing w:after="0" w:line="240" w:lineRule="auto"/>
              <w:jc w:val="center"/>
              <w:rPr>
                <w:rFonts w:cs="Arial"/>
                <w:color w:val="000000"/>
                <w:sz w:val="16"/>
                <w:szCs w:val="16"/>
              </w:rPr>
            </w:pPr>
            <w:r>
              <w:rPr>
                <w:rFonts w:cs="Arial"/>
                <w:color w:val="000000"/>
                <w:sz w:val="16"/>
                <w:szCs w:val="16"/>
              </w:rPr>
              <w:t>12,8</w:t>
            </w:r>
          </w:p>
        </w:tc>
        <w:tc>
          <w:tcPr>
            <w:tcW w:w="595" w:type="dxa"/>
            <w:tcBorders>
              <w:top w:val="nil"/>
              <w:left w:val="nil"/>
              <w:bottom w:val="nil"/>
              <w:right w:val="nil"/>
            </w:tcBorders>
            <w:shd w:val="clear" w:color="auto" w:fill="auto"/>
            <w:noWrap/>
            <w:vAlign w:val="center"/>
            <w:hideMark/>
          </w:tcPr>
          <w:p w14:paraId="651A8DEF" w14:textId="4122F19F" w:rsidR="00E83157" w:rsidRPr="00D92E20" w:rsidRDefault="00E83157" w:rsidP="00E83157">
            <w:pPr>
              <w:spacing w:after="0" w:line="240" w:lineRule="auto"/>
              <w:jc w:val="center"/>
              <w:rPr>
                <w:rFonts w:cs="Arial"/>
                <w:color w:val="000000"/>
                <w:sz w:val="16"/>
                <w:szCs w:val="16"/>
              </w:rPr>
            </w:pPr>
            <w:r>
              <w:rPr>
                <w:rFonts w:cs="Arial"/>
                <w:color w:val="000000"/>
                <w:sz w:val="16"/>
                <w:szCs w:val="16"/>
              </w:rPr>
              <w:t>15,3</w:t>
            </w:r>
          </w:p>
        </w:tc>
      </w:tr>
      <w:tr w:rsidR="00E83157" w:rsidRPr="00D92E20" w14:paraId="6A01A253"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4A2BB2F" w14:textId="41D7D056"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51F3F93A" w14:textId="292A8FF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21,8</w:t>
            </w:r>
          </w:p>
        </w:tc>
        <w:tc>
          <w:tcPr>
            <w:tcW w:w="595" w:type="dxa"/>
            <w:tcBorders>
              <w:top w:val="nil"/>
              <w:left w:val="nil"/>
              <w:bottom w:val="nil"/>
              <w:right w:val="nil"/>
            </w:tcBorders>
            <w:shd w:val="clear" w:color="auto" w:fill="auto"/>
            <w:noWrap/>
            <w:vAlign w:val="center"/>
            <w:hideMark/>
          </w:tcPr>
          <w:p w14:paraId="17AD0947" w14:textId="728A0C7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15,1</w:t>
            </w:r>
          </w:p>
        </w:tc>
        <w:tc>
          <w:tcPr>
            <w:tcW w:w="595" w:type="dxa"/>
            <w:tcBorders>
              <w:top w:val="nil"/>
              <w:left w:val="nil"/>
              <w:bottom w:val="nil"/>
              <w:right w:val="nil"/>
            </w:tcBorders>
            <w:shd w:val="clear" w:color="auto" w:fill="auto"/>
            <w:noWrap/>
            <w:vAlign w:val="center"/>
            <w:hideMark/>
          </w:tcPr>
          <w:p w14:paraId="6449AF26" w14:textId="2E91095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18,9</w:t>
            </w:r>
          </w:p>
        </w:tc>
        <w:tc>
          <w:tcPr>
            <w:tcW w:w="595" w:type="dxa"/>
            <w:tcBorders>
              <w:top w:val="nil"/>
              <w:left w:val="nil"/>
              <w:bottom w:val="nil"/>
              <w:right w:val="nil"/>
            </w:tcBorders>
            <w:shd w:val="clear" w:color="auto" w:fill="auto"/>
            <w:noWrap/>
            <w:vAlign w:val="center"/>
            <w:hideMark/>
          </w:tcPr>
          <w:p w14:paraId="79D13425" w14:textId="1B20094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19,4</w:t>
            </w:r>
          </w:p>
        </w:tc>
        <w:tc>
          <w:tcPr>
            <w:tcW w:w="595" w:type="dxa"/>
            <w:tcBorders>
              <w:top w:val="nil"/>
              <w:left w:val="nil"/>
              <w:bottom w:val="nil"/>
              <w:right w:val="nil"/>
            </w:tcBorders>
            <w:shd w:val="clear" w:color="auto" w:fill="auto"/>
            <w:noWrap/>
            <w:vAlign w:val="center"/>
            <w:hideMark/>
          </w:tcPr>
          <w:p w14:paraId="69CA6C7F" w14:textId="38A9063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25,6</w:t>
            </w:r>
          </w:p>
        </w:tc>
        <w:tc>
          <w:tcPr>
            <w:tcW w:w="595" w:type="dxa"/>
            <w:tcBorders>
              <w:top w:val="nil"/>
              <w:left w:val="nil"/>
              <w:bottom w:val="nil"/>
              <w:right w:val="nil"/>
            </w:tcBorders>
            <w:shd w:val="clear" w:color="auto" w:fill="auto"/>
            <w:noWrap/>
            <w:vAlign w:val="center"/>
            <w:hideMark/>
          </w:tcPr>
          <w:p w14:paraId="15B1241F" w14:textId="4FD423F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26,1</w:t>
            </w:r>
          </w:p>
        </w:tc>
        <w:tc>
          <w:tcPr>
            <w:tcW w:w="595" w:type="dxa"/>
            <w:tcBorders>
              <w:top w:val="nil"/>
              <w:left w:val="nil"/>
              <w:bottom w:val="nil"/>
              <w:right w:val="nil"/>
            </w:tcBorders>
            <w:shd w:val="clear" w:color="auto" w:fill="auto"/>
            <w:noWrap/>
            <w:vAlign w:val="center"/>
            <w:hideMark/>
          </w:tcPr>
          <w:p w14:paraId="47C386E3" w14:textId="4031586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26,2</w:t>
            </w:r>
          </w:p>
        </w:tc>
        <w:tc>
          <w:tcPr>
            <w:tcW w:w="595" w:type="dxa"/>
            <w:tcBorders>
              <w:top w:val="nil"/>
              <w:left w:val="nil"/>
              <w:bottom w:val="nil"/>
              <w:right w:val="nil"/>
            </w:tcBorders>
            <w:shd w:val="clear" w:color="auto" w:fill="auto"/>
            <w:noWrap/>
            <w:vAlign w:val="center"/>
            <w:hideMark/>
          </w:tcPr>
          <w:p w14:paraId="331A9333" w14:textId="44DDF71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26,2</w:t>
            </w:r>
          </w:p>
        </w:tc>
        <w:tc>
          <w:tcPr>
            <w:tcW w:w="595" w:type="dxa"/>
            <w:tcBorders>
              <w:top w:val="nil"/>
              <w:left w:val="nil"/>
              <w:bottom w:val="nil"/>
              <w:right w:val="nil"/>
            </w:tcBorders>
            <w:shd w:val="clear" w:color="auto" w:fill="auto"/>
            <w:noWrap/>
            <w:vAlign w:val="center"/>
            <w:hideMark/>
          </w:tcPr>
          <w:p w14:paraId="1D8DD21D" w14:textId="02F89503" w:rsidR="00E83157" w:rsidRPr="00D92E20" w:rsidRDefault="00E83157" w:rsidP="00E83157">
            <w:pPr>
              <w:spacing w:after="0" w:line="240" w:lineRule="auto"/>
              <w:jc w:val="center"/>
              <w:rPr>
                <w:rFonts w:cs="Arial"/>
                <w:color w:val="000000"/>
                <w:sz w:val="16"/>
                <w:szCs w:val="16"/>
              </w:rPr>
            </w:pPr>
            <w:r>
              <w:rPr>
                <w:rFonts w:cs="Arial"/>
                <w:color w:val="000000"/>
                <w:sz w:val="16"/>
                <w:szCs w:val="16"/>
              </w:rPr>
              <w:t>23,5</w:t>
            </w:r>
          </w:p>
        </w:tc>
        <w:tc>
          <w:tcPr>
            <w:tcW w:w="595" w:type="dxa"/>
            <w:tcBorders>
              <w:top w:val="nil"/>
              <w:left w:val="nil"/>
              <w:bottom w:val="nil"/>
              <w:right w:val="nil"/>
            </w:tcBorders>
            <w:shd w:val="clear" w:color="auto" w:fill="auto"/>
            <w:noWrap/>
            <w:vAlign w:val="center"/>
            <w:hideMark/>
          </w:tcPr>
          <w:p w14:paraId="64C25A0E" w14:textId="69EEE983" w:rsidR="00E83157" w:rsidRPr="00D92E20" w:rsidRDefault="00E83157" w:rsidP="00E83157">
            <w:pPr>
              <w:spacing w:after="0" w:line="240" w:lineRule="auto"/>
              <w:jc w:val="center"/>
              <w:rPr>
                <w:rFonts w:cs="Arial"/>
                <w:color w:val="000000"/>
                <w:sz w:val="16"/>
                <w:szCs w:val="16"/>
              </w:rPr>
            </w:pPr>
            <w:r>
              <w:rPr>
                <w:rFonts w:cs="Arial"/>
                <w:color w:val="000000"/>
                <w:sz w:val="16"/>
                <w:szCs w:val="16"/>
              </w:rPr>
              <w:t>26,8</w:t>
            </w:r>
          </w:p>
        </w:tc>
        <w:tc>
          <w:tcPr>
            <w:tcW w:w="595" w:type="dxa"/>
            <w:tcBorders>
              <w:top w:val="nil"/>
              <w:left w:val="nil"/>
              <w:bottom w:val="nil"/>
              <w:right w:val="nil"/>
            </w:tcBorders>
            <w:shd w:val="clear" w:color="auto" w:fill="auto"/>
            <w:noWrap/>
            <w:vAlign w:val="center"/>
            <w:hideMark/>
          </w:tcPr>
          <w:p w14:paraId="0F05BBC8" w14:textId="2E4FE76D" w:rsidR="00E83157" w:rsidRPr="00D92E20" w:rsidRDefault="00E83157" w:rsidP="00E83157">
            <w:pPr>
              <w:spacing w:after="0" w:line="240" w:lineRule="auto"/>
              <w:jc w:val="center"/>
              <w:rPr>
                <w:rFonts w:cs="Arial"/>
                <w:color w:val="000000"/>
                <w:sz w:val="16"/>
                <w:szCs w:val="16"/>
              </w:rPr>
            </w:pPr>
            <w:r>
              <w:rPr>
                <w:rFonts w:cs="Arial"/>
                <w:color w:val="000000"/>
                <w:sz w:val="16"/>
                <w:szCs w:val="16"/>
              </w:rPr>
              <w:t>35,3</w:t>
            </w:r>
          </w:p>
        </w:tc>
      </w:tr>
      <w:tr w:rsidR="00E83157" w:rsidRPr="00D92E20" w14:paraId="475E315D" w14:textId="77777777" w:rsidTr="00E83157">
        <w:trPr>
          <w:trHeight w:val="480"/>
        </w:trPr>
        <w:tc>
          <w:tcPr>
            <w:tcW w:w="3146" w:type="dxa"/>
            <w:tcBorders>
              <w:top w:val="nil"/>
              <w:left w:val="nil"/>
              <w:bottom w:val="nil"/>
              <w:right w:val="single" w:sz="4" w:space="0" w:color="auto"/>
            </w:tcBorders>
            <w:shd w:val="clear" w:color="auto" w:fill="auto"/>
            <w:vAlign w:val="center"/>
            <w:hideMark/>
          </w:tcPr>
          <w:p w14:paraId="5BBD2C9B"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03652A14" w14:textId="7C01D77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17,1</w:t>
            </w:r>
          </w:p>
        </w:tc>
        <w:tc>
          <w:tcPr>
            <w:tcW w:w="595" w:type="dxa"/>
            <w:tcBorders>
              <w:top w:val="nil"/>
              <w:left w:val="nil"/>
              <w:bottom w:val="nil"/>
              <w:right w:val="nil"/>
            </w:tcBorders>
            <w:shd w:val="clear" w:color="auto" w:fill="auto"/>
            <w:noWrap/>
            <w:vAlign w:val="center"/>
            <w:hideMark/>
          </w:tcPr>
          <w:p w14:paraId="5B0BE6BA" w14:textId="3DA84E6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13,0</w:t>
            </w:r>
          </w:p>
        </w:tc>
        <w:tc>
          <w:tcPr>
            <w:tcW w:w="595" w:type="dxa"/>
            <w:tcBorders>
              <w:top w:val="nil"/>
              <w:left w:val="nil"/>
              <w:bottom w:val="nil"/>
              <w:right w:val="nil"/>
            </w:tcBorders>
            <w:shd w:val="clear" w:color="auto" w:fill="auto"/>
            <w:noWrap/>
            <w:vAlign w:val="center"/>
            <w:hideMark/>
          </w:tcPr>
          <w:p w14:paraId="729F66E0" w14:textId="24C37E8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16,5</w:t>
            </w:r>
          </w:p>
        </w:tc>
        <w:tc>
          <w:tcPr>
            <w:tcW w:w="595" w:type="dxa"/>
            <w:tcBorders>
              <w:top w:val="nil"/>
              <w:left w:val="nil"/>
              <w:bottom w:val="nil"/>
              <w:right w:val="nil"/>
            </w:tcBorders>
            <w:shd w:val="clear" w:color="auto" w:fill="auto"/>
            <w:noWrap/>
            <w:vAlign w:val="center"/>
            <w:hideMark/>
          </w:tcPr>
          <w:p w14:paraId="683AA27F" w14:textId="69CFB88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13,5</w:t>
            </w:r>
          </w:p>
        </w:tc>
        <w:tc>
          <w:tcPr>
            <w:tcW w:w="595" w:type="dxa"/>
            <w:tcBorders>
              <w:top w:val="nil"/>
              <w:left w:val="nil"/>
              <w:bottom w:val="nil"/>
              <w:right w:val="nil"/>
            </w:tcBorders>
            <w:shd w:val="clear" w:color="auto" w:fill="auto"/>
            <w:noWrap/>
            <w:vAlign w:val="center"/>
            <w:hideMark/>
          </w:tcPr>
          <w:p w14:paraId="2C78DD8C" w14:textId="0AA66FB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18,5</w:t>
            </w:r>
          </w:p>
        </w:tc>
        <w:tc>
          <w:tcPr>
            <w:tcW w:w="595" w:type="dxa"/>
            <w:tcBorders>
              <w:top w:val="nil"/>
              <w:left w:val="nil"/>
              <w:bottom w:val="nil"/>
              <w:right w:val="nil"/>
            </w:tcBorders>
            <w:shd w:val="clear" w:color="auto" w:fill="auto"/>
            <w:noWrap/>
            <w:vAlign w:val="center"/>
            <w:hideMark/>
          </w:tcPr>
          <w:p w14:paraId="33D7FD8E" w14:textId="55F6DD3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17,0</w:t>
            </w:r>
          </w:p>
        </w:tc>
        <w:tc>
          <w:tcPr>
            <w:tcW w:w="595" w:type="dxa"/>
            <w:tcBorders>
              <w:top w:val="nil"/>
              <w:left w:val="nil"/>
              <w:bottom w:val="nil"/>
              <w:right w:val="nil"/>
            </w:tcBorders>
            <w:shd w:val="clear" w:color="auto" w:fill="auto"/>
            <w:noWrap/>
            <w:vAlign w:val="center"/>
            <w:hideMark/>
          </w:tcPr>
          <w:p w14:paraId="0027052F" w14:textId="1544A5A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17,9</w:t>
            </w:r>
          </w:p>
        </w:tc>
        <w:tc>
          <w:tcPr>
            <w:tcW w:w="595" w:type="dxa"/>
            <w:tcBorders>
              <w:top w:val="nil"/>
              <w:left w:val="nil"/>
              <w:bottom w:val="nil"/>
              <w:right w:val="nil"/>
            </w:tcBorders>
            <w:shd w:val="clear" w:color="auto" w:fill="auto"/>
            <w:noWrap/>
            <w:vAlign w:val="center"/>
            <w:hideMark/>
          </w:tcPr>
          <w:p w14:paraId="73FE9252" w14:textId="208C1C2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19,9</w:t>
            </w:r>
          </w:p>
        </w:tc>
        <w:tc>
          <w:tcPr>
            <w:tcW w:w="595" w:type="dxa"/>
            <w:tcBorders>
              <w:top w:val="nil"/>
              <w:left w:val="nil"/>
              <w:bottom w:val="nil"/>
              <w:right w:val="nil"/>
            </w:tcBorders>
            <w:shd w:val="clear" w:color="auto" w:fill="auto"/>
            <w:noWrap/>
            <w:vAlign w:val="center"/>
            <w:hideMark/>
          </w:tcPr>
          <w:p w14:paraId="0840411D" w14:textId="6B921A83" w:rsidR="00E83157" w:rsidRPr="00D92E20" w:rsidRDefault="00E83157" w:rsidP="00E83157">
            <w:pPr>
              <w:spacing w:after="0" w:line="240" w:lineRule="auto"/>
              <w:jc w:val="center"/>
              <w:rPr>
                <w:rFonts w:cs="Arial"/>
                <w:color w:val="000000"/>
                <w:sz w:val="16"/>
                <w:szCs w:val="16"/>
              </w:rPr>
            </w:pPr>
            <w:r>
              <w:rPr>
                <w:rFonts w:cs="Arial"/>
                <w:color w:val="000000"/>
                <w:sz w:val="16"/>
                <w:szCs w:val="16"/>
              </w:rPr>
              <w:t>18,0</w:t>
            </w:r>
          </w:p>
        </w:tc>
        <w:tc>
          <w:tcPr>
            <w:tcW w:w="595" w:type="dxa"/>
            <w:tcBorders>
              <w:top w:val="nil"/>
              <w:left w:val="nil"/>
              <w:bottom w:val="nil"/>
              <w:right w:val="nil"/>
            </w:tcBorders>
            <w:shd w:val="clear" w:color="auto" w:fill="auto"/>
            <w:noWrap/>
            <w:vAlign w:val="center"/>
            <w:hideMark/>
          </w:tcPr>
          <w:p w14:paraId="240EB800" w14:textId="04C33C4B" w:rsidR="00E83157" w:rsidRPr="00D92E20" w:rsidRDefault="00E83157" w:rsidP="00E83157">
            <w:pPr>
              <w:spacing w:after="0" w:line="240" w:lineRule="auto"/>
              <w:jc w:val="center"/>
              <w:rPr>
                <w:rFonts w:cs="Arial"/>
                <w:color w:val="000000"/>
                <w:sz w:val="16"/>
                <w:szCs w:val="16"/>
              </w:rPr>
            </w:pPr>
            <w:r>
              <w:rPr>
                <w:rFonts w:cs="Arial"/>
                <w:color w:val="000000"/>
                <w:sz w:val="16"/>
                <w:szCs w:val="16"/>
              </w:rPr>
              <w:t>19,0</w:t>
            </w:r>
          </w:p>
        </w:tc>
        <w:tc>
          <w:tcPr>
            <w:tcW w:w="595" w:type="dxa"/>
            <w:tcBorders>
              <w:top w:val="nil"/>
              <w:left w:val="nil"/>
              <w:bottom w:val="nil"/>
              <w:right w:val="nil"/>
            </w:tcBorders>
            <w:shd w:val="clear" w:color="auto" w:fill="auto"/>
            <w:noWrap/>
            <w:vAlign w:val="center"/>
            <w:hideMark/>
          </w:tcPr>
          <w:p w14:paraId="63B58FE5" w14:textId="24B1FB26" w:rsidR="00E83157" w:rsidRPr="00D92E20" w:rsidRDefault="00E83157" w:rsidP="00E83157">
            <w:pPr>
              <w:spacing w:after="0" w:line="240" w:lineRule="auto"/>
              <w:jc w:val="center"/>
              <w:rPr>
                <w:rFonts w:cs="Arial"/>
                <w:color w:val="000000"/>
                <w:sz w:val="16"/>
                <w:szCs w:val="16"/>
              </w:rPr>
            </w:pPr>
            <w:r>
              <w:rPr>
                <w:rFonts w:cs="Arial"/>
                <w:color w:val="000000"/>
                <w:sz w:val="16"/>
                <w:szCs w:val="16"/>
              </w:rPr>
              <w:t>27,3</w:t>
            </w:r>
          </w:p>
        </w:tc>
      </w:tr>
      <w:tr w:rsidR="00E83157" w:rsidRPr="00D92E20" w14:paraId="3CF6C9D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03988937"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DD4C0F3" w14:textId="29E21C86"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16,6</w:t>
            </w:r>
          </w:p>
        </w:tc>
        <w:tc>
          <w:tcPr>
            <w:tcW w:w="595" w:type="dxa"/>
            <w:tcBorders>
              <w:top w:val="nil"/>
              <w:left w:val="nil"/>
              <w:bottom w:val="nil"/>
              <w:right w:val="nil"/>
            </w:tcBorders>
            <w:shd w:val="clear" w:color="auto" w:fill="auto"/>
            <w:noWrap/>
            <w:vAlign w:val="center"/>
            <w:hideMark/>
          </w:tcPr>
          <w:p w14:paraId="35FAE612" w14:textId="0CADE85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12,1</w:t>
            </w:r>
          </w:p>
        </w:tc>
        <w:tc>
          <w:tcPr>
            <w:tcW w:w="595" w:type="dxa"/>
            <w:tcBorders>
              <w:top w:val="nil"/>
              <w:left w:val="nil"/>
              <w:bottom w:val="nil"/>
              <w:right w:val="nil"/>
            </w:tcBorders>
            <w:shd w:val="clear" w:color="auto" w:fill="auto"/>
            <w:noWrap/>
            <w:vAlign w:val="center"/>
            <w:hideMark/>
          </w:tcPr>
          <w:p w14:paraId="7559186D" w14:textId="5C13751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15,7</w:t>
            </w:r>
          </w:p>
        </w:tc>
        <w:tc>
          <w:tcPr>
            <w:tcW w:w="595" w:type="dxa"/>
            <w:tcBorders>
              <w:top w:val="nil"/>
              <w:left w:val="nil"/>
              <w:bottom w:val="nil"/>
              <w:right w:val="nil"/>
            </w:tcBorders>
            <w:shd w:val="clear" w:color="auto" w:fill="auto"/>
            <w:noWrap/>
            <w:vAlign w:val="center"/>
            <w:hideMark/>
          </w:tcPr>
          <w:p w14:paraId="760B1045" w14:textId="7A21F75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13,2</w:t>
            </w:r>
          </w:p>
        </w:tc>
        <w:tc>
          <w:tcPr>
            <w:tcW w:w="595" w:type="dxa"/>
            <w:tcBorders>
              <w:top w:val="nil"/>
              <w:left w:val="nil"/>
              <w:bottom w:val="nil"/>
              <w:right w:val="nil"/>
            </w:tcBorders>
            <w:shd w:val="clear" w:color="auto" w:fill="auto"/>
            <w:noWrap/>
            <w:vAlign w:val="center"/>
            <w:hideMark/>
          </w:tcPr>
          <w:p w14:paraId="217C1EE1" w14:textId="6DFD699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19,4</w:t>
            </w:r>
          </w:p>
        </w:tc>
        <w:tc>
          <w:tcPr>
            <w:tcW w:w="595" w:type="dxa"/>
            <w:tcBorders>
              <w:top w:val="nil"/>
              <w:left w:val="nil"/>
              <w:bottom w:val="nil"/>
              <w:right w:val="nil"/>
            </w:tcBorders>
            <w:shd w:val="clear" w:color="auto" w:fill="auto"/>
            <w:noWrap/>
            <w:vAlign w:val="center"/>
            <w:hideMark/>
          </w:tcPr>
          <w:p w14:paraId="31B9624D" w14:textId="5FA3CB7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18,1</w:t>
            </w:r>
          </w:p>
        </w:tc>
        <w:tc>
          <w:tcPr>
            <w:tcW w:w="595" w:type="dxa"/>
            <w:tcBorders>
              <w:top w:val="nil"/>
              <w:left w:val="nil"/>
              <w:bottom w:val="nil"/>
              <w:right w:val="nil"/>
            </w:tcBorders>
            <w:shd w:val="clear" w:color="auto" w:fill="auto"/>
            <w:noWrap/>
            <w:vAlign w:val="center"/>
            <w:hideMark/>
          </w:tcPr>
          <w:p w14:paraId="2FFCDF2B" w14:textId="7C551DF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20,3</w:t>
            </w:r>
          </w:p>
        </w:tc>
        <w:tc>
          <w:tcPr>
            <w:tcW w:w="595" w:type="dxa"/>
            <w:tcBorders>
              <w:top w:val="nil"/>
              <w:left w:val="nil"/>
              <w:bottom w:val="nil"/>
              <w:right w:val="nil"/>
            </w:tcBorders>
            <w:shd w:val="clear" w:color="auto" w:fill="auto"/>
            <w:noWrap/>
            <w:vAlign w:val="center"/>
            <w:hideMark/>
          </w:tcPr>
          <w:p w14:paraId="130A3B22" w14:textId="76235C1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22,6</w:t>
            </w:r>
          </w:p>
        </w:tc>
        <w:tc>
          <w:tcPr>
            <w:tcW w:w="595" w:type="dxa"/>
            <w:tcBorders>
              <w:top w:val="nil"/>
              <w:left w:val="nil"/>
              <w:bottom w:val="nil"/>
              <w:right w:val="nil"/>
            </w:tcBorders>
            <w:shd w:val="clear" w:color="auto" w:fill="auto"/>
            <w:noWrap/>
            <w:vAlign w:val="center"/>
            <w:hideMark/>
          </w:tcPr>
          <w:p w14:paraId="0A8B37E9" w14:textId="40EA7F88" w:rsidR="00E83157" w:rsidRPr="00D92E20" w:rsidRDefault="00E83157" w:rsidP="00E83157">
            <w:pPr>
              <w:spacing w:after="0" w:line="240" w:lineRule="auto"/>
              <w:jc w:val="center"/>
              <w:rPr>
                <w:rFonts w:cs="Arial"/>
                <w:color w:val="000000"/>
                <w:sz w:val="16"/>
                <w:szCs w:val="16"/>
              </w:rPr>
            </w:pPr>
            <w:r>
              <w:rPr>
                <w:rFonts w:cs="Arial"/>
                <w:color w:val="000000"/>
                <w:sz w:val="16"/>
                <w:szCs w:val="16"/>
              </w:rPr>
              <w:t>20,3</w:t>
            </w:r>
          </w:p>
        </w:tc>
        <w:tc>
          <w:tcPr>
            <w:tcW w:w="595" w:type="dxa"/>
            <w:tcBorders>
              <w:top w:val="nil"/>
              <w:left w:val="nil"/>
              <w:bottom w:val="nil"/>
              <w:right w:val="nil"/>
            </w:tcBorders>
            <w:shd w:val="clear" w:color="auto" w:fill="auto"/>
            <w:noWrap/>
            <w:vAlign w:val="center"/>
            <w:hideMark/>
          </w:tcPr>
          <w:p w14:paraId="19EC8DBC" w14:textId="3E8BFFE5" w:rsidR="00E83157" w:rsidRPr="00D92E20" w:rsidRDefault="00E83157" w:rsidP="00E83157">
            <w:pPr>
              <w:spacing w:after="0" w:line="240" w:lineRule="auto"/>
              <w:jc w:val="center"/>
              <w:rPr>
                <w:rFonts w:cs="Arial"/>
                <w:color w:val="000000"/>
                <w:sz w:val="16"/>
                <w:szCs w:val="16"/>
              </w:rPr>
            </w:pPr>
            <w:r>
              <w:rPr>
                <w:rFonts w:cs="Arial"/>
                <w:color w:val="000000"/>
                <w:sz w:val="16"/>
                <w:szCs w:val="16"/>
              </w:rPr>
              <w:t>17,6</w:t>
            </w:r>
          </w:p>
        </w:tc>
        <w:tc>
          <w:tcPr>
            <w:tcW w:w="595" w:type="dxa"/>
            <w:tcBorders>
              <w:top w:val="nil"/>
              <w:left w:val="nil"/>
              <w:bottom w:val="nil"/>
              <w:right w:val="nil"/>
            </w:tcBorders>
            <w:shd w:val="clear" w:color="auto" w:fill="auto"/>
            <w:noWrap/>
            <w:vAlign w:val="center"/>
            <w:hideMark/>
          </w:tcPr>
          <w:p w14:paraId="23061F98" w14:textId="3290284A" w:rsidR="00E83157" w:rsidRPr="00D92E20" w:rsidRDefault="00E83157" w:rsidP="00E83157">
            <w:pPr>
              <w:spacing w:after="0" w:line="240" w:lineRule="auto"/>
              <w:jc w:val="center"/>
              <w:rPr>
                <w:rFonts w:cs="Arial"/>
                <w:color w:val="000000"/>
                <w:sz w:val="16"/>
                <w:szCs w:val="16"/>
              </w:rPr>
            </w:pPr>
            <w:r>
              <w:rPr>
                <w:rFonts w:cs="Arial"/>
                <w:color w:val="000000"/>
                <w:sz w:val="16"/>
                <w:szCs w:val="16"/>
              </w:rPr>
              <w:t>23,9</w:t>
            </w:r>
          </w:p>
        </w:tc>
      </w:tr>
      <w:tr w:rsidR="00E83157" w:rsidRPr="00D92E20" w14:paraId="0A38C105"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62A9D262"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27F8E9EC" w14:textId="759A4C4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14,7</w:t>
            </w:r>
          </w:p>
        </w:tc>
        <w:tc>
          <w:tcPr>
            <w:tcW w:w="595" w:type="dxa"/>
            <w:tcBorders>
              <w:top w:val="nil"/>
              <w:left w:val="nil"/>
              <w:bottom w:val="nil"/>
              <w:right w:val="nil"/>
            </w:tcBorders>
            <w:shd w:val="clear" w:color="auto" w:fill="auto"/>
            <w:noWrap/>
            <w:vAlign w:val="center"/>
            <w:hideMark/>
          </w:tcPr>
          <w:p w14:paraId="1332C0EE" w14:textId="4E94DE67"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12,0</w:t>
            </w:r>
          </w:p>
        </w:tc>
        <w:tc>
          <w:tcPr>
            <w:tcW w:w="595" w:type="dxa"/>
            <w:tcBorders>
              <w:top w:val="nil"/>
              <w:left w:val="nil"/>
              <w:bottom w:val="nil"/>
              <w:right w:val="nil"/>
            </w:tcBorders>
            <w:shd w:val="clear" w:color="auto" w:fill="auto"/>
            <w:noWrap/>
            <w:vAlign w:val="center"/>
            <w:hideMark/>
          </w:tcPr>
          <w:p w14:paraId="1D2014CC" w14:textId="65125C1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14,9</w:t>
            </w:r>
          </w:p>
        </w:tc>
        <w:tc>
          <w:tcPr>
            <w:tcW w:w="595" w:type="dxa"/>
            <w:tcBorders>
              <w:top w:val="nil"/>
              <w:left w:val="nil"/>
              <w:bottom w:val="nil"/>
              <w:right w:val="nil"/>
            </w:tcBorders>
            <w:shd w:val="clear" w:color="auto" w:fill="auto"/>
            <w:noWrap/>
            <w:vAlign w:val="center"/>
            <w:hideMark/>
          </w:tcPr>
          <w:p w14:paraId="72CAA1A2" w14:textId="7D21DB8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13,2</w:t>
            </w:r>
          </w:p>
        </w:tc>
        <w:tc>
          <w:tcPr>
            <w:tcW w:w="595" w:type="dxa"/>
            <w:tcBorders>
              <w:top w:val="nil"/>
              <w:left w:val="nil"/>
              <w:bottom w:val="nil"/>
              <w:right w:val="nil"/>
            </w:tcBorders>
            <w:shd w:val="clear" w:color="auto" w:fill="auto"/>
            <w:noWrap/>
            <w:vAlign w:val="center"/>
            <w:hideMark/>
          </w:tcPr>
          <w:p w14:paraId="62A7C7A6" w14:textId="2EDD470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17,3</w:t>
            </w:r>
          </w:p>
        </w:tc>
        <w:tc>
          <w:tcPr>
            <w:tcW w:w="595" w:type="dxa"/>
            <w:tcBorders>
              <w:top w:val="nil"/>
              <w:left w:val="nil"/>
              <w:bottom w:val="nil"/>
              <w:right w:val="nil"/>
            </w:tcBorders>
            <w:shd w:val="clear" w:color="auto" w:fill="auto"/>
            <w:noWrap/>
            <w:vAlign w:val="center"/>
            <w:hideMark/>
          </w:tcPr>
          <w:p w14:paraId="59A318A0" w14:textId="26BDB15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16,8</w:t>
            </w:r>
          </w:p>
        </w:tc>
        <w:tc>
          <w:tcPr>
            <w:tcW w:w="595" w:type="dxa"/>
            <w:tcBorders>
              <w:top w:val="nil"/>
              <w:left w:val="nil"/>
              <w:bottom w:val="nil"/>
              <w:right w:val="nil"/>
            </w:tcBorders>
            <w:shd w:val="clear" w:color="auto" w:fill="auto"/>
            <w:noWrap/>
            <w:vAlign w:val="center"/>
            <w:hideMark/>
          </w:tcPr>
          <w:p w14:paraId="60F48C7D" w14:textId="6FD7B1E3"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18,0</w:t>
            </w:r>
          </w:p>
        </w:tc>
        <w:tc>
          <w:tcPr>
            <w:tcW w:w="595" w:type="dxa"/>
            <w:tcBorders>
              <w:top w:val="nil"/>
              <w:left w:val="nil"/>
              <w:bottom w:val="nil"/>
              <w:right w:val="nil"/>
            </w:tcBorders>
            <w:shd w:val="clear" w:color="auto" w:fill="auto"/>
            <w:noWrap/>
            <w:vAlign w:val="center"/>
            <w:hideMark/>
          </w:tcPr>
          <w:p w14:paraId="20BE7380" w14:textId="0EC38DF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19,7</w:t>
            </w:r>
          </w:p>
        </w:tc>
        <w:tc>
          <w:tcPr>
            <w:tcW w:w="595" w:type="dxa"/>
            <w:tcBorders>
              <w:top w:val="nil"/>
              <w:left w:val="nil"/>
              <w:bottom w:val="nil"/>
              <w:right w:val="nil"/>
            </w:tcBorders>
            <w:shd w:val="clear" w:color="auto" w:fill="auto"/>
            <w:noWrap/>
            <w:vAlign w:val="center"/>
            <w:hideMark/>
          </w:tcPr>
          <w:p w14:paraId="4561B20B" w14:textId="6BC1CC05" w:rsidR="00E83157" w:rsidRPr="00D92E20" w:rsidRDefault="00E83157" w:rsidP="00E83157">
            <w:pPr>
              <w:spacing w:after="0" w:line="240" w:lineRule="auto"/>
              <w:jc w:val="center"/>
              <w:rPr>
                <w:rFonts w:cs="Arial"/>
                <w:color w:val="000000"/>
                <w:sz w:val="16"/>
                <w:szCs w:val="16"/>
              </w:rPr>
            </w:pPr>
            <w:r>
              <w:rPr>
                <w:rFonts w:cs="Arial"/>
                <w:color w:val="000000"/>
                <w:sz w:val="16"/>
                <w:szCs w:val="16"/>
              </w:rPr>
              <w:t>18,5</w:t>
            </w:r>
          </w:p>
        </w:tc>
        <w:tc>
          <w:tcPr>
            <w:tcW w:w="595" w:type="dxa"/>
            <w:tcBorders>
              <w:top w:val="nil"/>
              <w:left w:val="nil"/>
              <w:bottom w:val="nil"/>
              <w:right w:val="nil"/>
            </w:tcBorders>
            <w:shd w:val="clear" w:color="auto" w:fill="auto"/>
            <w:noWrap/>
            <w:vAlign w:val="center"/>
            <w:hideMark/>
          </w:tcPr>
          <w:p w14:paraId="4FF820D8" w14:textId="5CA7B9AF" w:rsidR="00E83157" w:rsidRPr="00D92E20" w:rsidRDefault="00E83157" w:rsidP="00E83157">
            <w:pPr>
              <w:spacing w:after="0" w:line="240" w:lineRule="auto"/>
              <w:jc w:val="center"/>
              <w:rPr>
                <w:rFonts w:cs="Arial"/>
                <w:color w:val="000000"/>
                <w:sz w:val="16"/>
                <w:szCs w:val="16"/>
              </w:rPr>
            </w:pPr>
            <w:r>
              <w:rPr>
                <w:rFonts w:cs="Arial"/>
                <w:color w:val="000000"/>
                <w:sz w:val="16"/>
                <w:szCs w:val="16"/>
              </w:rPr>
              <w:t>23,7</w:t>
            </w:r>
          </w:p>
        </w:tc>
        <w:tc>
          <w:tcPr>
            <w:tcW w:w="595" w:type="dxa"/>
            <w:tcBorders>
              <w:top w:val="nil"/>
              <w:left w:val="nil"/>
              <w:bottom w:val="nil"/>
              <w:right w:val="nil"/>
            </w:tcBorders>
            <w:shd w:val="clear" w:color="auto" w:fill="auto"/>
            <w:noWrap/>
            <w:vAlign w:val="center"/>
            <w:hideMark/>
          </w:tcPr>
          <w:p w14:paraId="7D10D7EE" w14:textId="5F183FAB" w:rsidR="00E83157" w:rsidRPr="00D92E20" w:rsidRDefault="00E83157" w:rsidP="00E83157">
            <w:pPr>
              <w:spacing w:after="0" w:line="240" w:lineRule="auto"/>
              <w:jc w:val="center"/>
              <w:rPr>
                <w:rFonts w:cs="Arial"/>
                <w:color w:val="000000"/>
                <w:sz w:val="16"/>
                <w:szCs w:val="16"/>
              </w:rPr>
            </w:pPr>
            <w:r>
              <w:rPr>
                <w:rFonts w:cs="Arial"/>
                <w:color w:val="000000"/>
                <w:sz w:val="16"/>
                <w:szCs w:val="16"/>
              </w:rPr>
              <w:t>26,3</w:t>
            </w:r>
          </w:p>
        </w:tc>
      </w:tr>
      <w:tr w:rsidR="00E83157" w:rsidRPr="00D92E20" w14:paraId="5806C05B"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4264A433" w14:textId="77777777" w:rsidR="00E83157"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3E51A486" w14:textId="4F9985AF" w:rsidR="00E83157" w:rsidRPr="00D92E20" w:rsidRDefault="00E83157" w:rsidP="00E83157">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D217C00" w14:textId="44CA003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12,8</w:t>
            </w:r>
          </w:p>
        </w:tc>
        <w:tc>
          <w:tcPr>
            <w:tcW w:w="595" w:type="dxa"/>
            <w:tcBorders>
              <w:top w:val="nil"/>
              <w:left w:val="nil"/>
              <w:bottom w:val="nil"/>
              <w:right w:val="nil"/>
            </w:tcBorders>
            <w:shd w:val="clear" w:color="auto" w:fill="auto"/>
            <w:noWrap/>
            <w:vAlign w:val="center"/>
            <w:hideMark/>
          </w:tcPr>
          <w:p w14:paraId="689EE53D" w14:textId="1BBEC8AB"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9,6</w:t>
            </w:r>
          </w:p>
        </w:tc>
        <w:tc>
          <w:tcPr>
            <w:tcW w:w="595" w:type="dxa"/>
            <w:tcBorders>
              <w:top w:val="nil"/>
              <w:left w:val="nil"/>
              <w:bottom w:val="nil"/>
              <w:right w:val="nil"/>
            </w:tcBorders>
            <w:shd w:val="clear" w:color="auto" w:fill="auto"/>
            <w:noWrap/>
            <w:vAlign w:val="center"/>
            <w:hideMark/>
          </w:tcPr>
          <w:p w14:paraId="32CD3BD0" w14:textId="020E972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12,2</w:t>
            </w:r>
          </w:p>
        </w:tc>
        <w:tc>
          <w:tcPr>
            <w:tcW w:w="595" w:type="dxa"/>
            <w:tcBorders>
              <w:top w:val="nil"/>
              <w:left w:val="nil"/>
              <w:bottom w:val="nil"/>
              <w:right w:val="nil"/>
            </w:tcBorders>
            <w:shd w:val="clear" w:color="auto" w:fill="auto"/>
            <w:noWrap/>
            <w:vAlign w:val="center"/>
            <w:hideMark/>
          </w:tcPr>
          <w:p w14:paraId="067C6E90" w14:textId="67FF1B18"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10,5</w:t>
            </w:r>
          </w:p>
        </w:tc>
        <w:tc>
          <w:tcPr>
            <w:tcW w:w="595" w:type="dxa"/>
            <w:tcBorders>
              <w:top w:val="nil"/>
              <w:left w:val="nil"/>
              <w:bottom w:val="nil"/>
              <w:right w:val="nil"/>
            </w:tcBorders>
            <w:shd w:val="clear" w:color="auto" w:fill="auto"/>
            <w:noWrap/>
            <w:vAlign w:val="center"/>
            <w:hideMark/>
          </w:tcPr>
          <w:p w14:paraId="6EAA2F2D" w14:textId="0891970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14,0</w:t>
            </w:r>
          </w:p>
        </w:tc>
        <w:tc>
          <w:tcPr>
            <w:tcW w:w="595" w:type="dxa"/>
            <w:tcBorders>
              <w:top w:val="nil"/>
              <w:left w:val="nil"/>
              <w:bottom w:val="nil"/>
              <w:right w:val="nil"/>
            </w:tcBorders>
            <w:shd w:val="clear" w:color="auto" w:fill="auto"/>
            <w:noWrap/>
            <w:vAlign w:val="center"/>
            <w:hideMark/>
          </w:tcPr>
          <w:p w14:paraId="11E0B947" w14:textId="35711DF2"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13,6</w:t>
            </w:r>
          </w:p>
        </w:tc>
        <w:tc>
          <w:tcPr>
            <w:tcW w:w="595" w:type="dxa"/>
            <w:tcBorders>
              <w:top w:val="nil"/>
              <w:left w:val="nil"/>
              <w:bottom w:val="nil"/>
              <w:right w:val="nil"/>
            </w:tcBorders>
            <w:shd w:val="clear" w:color="auto" w:fill="auto"/>
            <w:noWrap/>
            <w:vAlign w:val="center"/>
            <w:hideMark/>
          </w:tcPr>
          <w:p w14:paraId="753089DE" w14:textId="5E2C9274"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14,2</w:t>
            </w:r>
          </w:p>
        </w:tc>
        <w:tc>
          <w:tcPr>
            <w:tcW w:w="595" w:type="dxa"/>
            <w:tcBorders>
              <w:top w:val="nil"/>
              <w:left w:val="nil"/>
              <w:bottom w:val="nil"/>
              <w:right w:val="nil"/>
            </w:tcBorders>
            <w:shd w:val="clear" w:color="auto" w:fill="auto"/>
            <w:noWrap/>
            <w:vAlign w:val="center"/>
            <w:hideMark/>
          </w:tcPr>
          <w:p w14:paraId="622608E0" w14:textId="395698BE"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15,5</w:t>
            </w:r>
          </w:p>
        </w:tc>
        <w:tc>
          <w:tcPr>
            <w:tcW w:w="595" w:type="dxa"/>
            <w:tcBorders>
              <w:top w:val="nil"/>
              <w:left w:val="nil"/>
              <w:bottom w:val="nil"/>
              <w:right w:val="nil"/>
            </w:tcBorders>
            <w:shd w:val="clear" w:color="auto" w:fill="auto"/>
            <w:noWrap/>
            <w:vAlign w:val="center"/>
            <w:hideMark/>
          </w:tcPr>
          <w:p w14:paraId="682F63B2" w14:textId="770ACC86" w:rsidR="00E83157" w:rsidRPr="00D92E20" w:rsidRDefault="00E83157" w:rsidP="00E83157">
            <w:pPr>
              <w:spacing w:after="0" w:line="240" w:lineRule="auto"/>
              <w:jc w:val="center"/>
              <w:rPr>
                <w:rFonts w:cs="Arial"/>
                <w:color w:val="000000"/>
                <w:sz w:val="16"/>
                <w:szCs w:val="16"/>
              </w:rPr>
            </w:pPr>
            <w:r>
              <w:rPr>
                <w:rFonts w:cs="Arial"/>
                <w:color w:val="000000"/>
                <w:sz w:val="16"/>
                <w:szCs w:val="16"/>
              </w:rPr>
              <w:t>14,7</w:t>
            </w:r>
          </w:p>
        </w:tc>
        <w:tc>
          <w:tcPr>
            <w:tcW w:w="595" w:type="dxa"/>
            <w:tcBorders>
              <w:top w:val="nil"/>
              <w:left w:val="nil"/>
              <w:bottom w:val="nil"/>
              <w:right w:val="nil"/>
            </w:tcBorders>
            <w:shd w:val="clear" w:color="auto" w:fill="auto"/>
            <w:noWrap/>
            <w:vAlign w:val="center"/>
            <w:hideMark/>
          </w:tcPr>
          <w:p w14:paraId="7D109A32" w14:textId="003EC283" w:rsidR="00E83157" w:rsidRPr="00D92E20" w:rsidRDefault="00E83157" w:rsidP="00E83157">
            <w:pPr>
              <w:spacing w:after="0" w:line="240" w:lineRule="auto"/>
              <w:jc w:val="center"/>
              <w:rPr>
                <w:rFonts w:cs="Arial"/>
                <w:color w:val="000000"/>
                <w:sz w:val="16"/>
                <w:szCs w:val="16"/>
              </w:rPr>
            </w:pPr>
            <w:r>
              <w:rPr>
                <w:rFonts w:cs="Arial"/>
                <w:color w:val="000000"/>
                <w:sz w:val="16"/>
                <w:szCs w:val="16"/>
              </w:rPr>
              <w:t>16,1</w:t>
            </w:r>
          </w:p>
        </w:tc>
        <w:tc>
          <w:tcPr>
            <w:tcW w:w="595" w:type="dxa"/>
            <w:tcBorders>
              <w:top w:val="nil"/>
              <w:left w:val="nil"/>
              <w:bottom w:val="nil"/>
              <w:right w:val="nil"/>
            </w:tcBorders>
            <w:shd w:val="clear" w:color="auto" w:fill="auto"/>
            <w:noWrap/>
            <w:vAlign w:val="center"/>
            <w:hideMark/>
          </w:tcPr>
          <w:p w14:paraId="00F87E02" w14:textId="06B31370" w:rsidR="00E83157" w:rsidRPr="00D92E20" w:rsidRDefault="00E83157" w:rsidP="00E83157">
            <w:pPr>
              <w:spacing w:after="0" w:line="240" w:lineRule="auto"/>
              <w:jc w:val="center"/>
              <w:rPr>
                <w:rFonts w:cs="Arial"/>
                <w:color w:val="000000"/>
                <w:sz w:val="16"/>
                <w:szCs w:val="16"/>
              </w:rPr>
            </w:pPr>
            <w:r>
              <w:rPr>
                <w:rFonts w:cs="Arial"/>
                <w:color w:val="000000"/>
                <w:sz w:val="16"/>
                <w:szCs w:val="16"/>
              </w:rPr>
              <w:t>15,9</w:t>
            </w:r>
          </w:p>
        </w:tc>
      </w:tr>
      <w:tr w:rsidR="00E83157" w:rsidRPr="00D92E20" w14:paraId="3EB67DA0" w14:textId="77777777" w:rsidTr="00E83157">
        <w:trPr>
          <w:trHeight w:val="300"/>
        </w:trPr>
        <w:tc>
          <w:tcPr>
            <w:tcW w:w="3146" w:type="dxa"/>
            <w:tcBorders>
              <w:top w:val="nil"/>
              <w:left w:val="nil"/>
              <w:bottom w:val="nil"/>
              <w:right w:val="single" w:sz="4" w:space="0" w:color="auto"/>
            </w:tcBorders>
            <w:shd w:val="clear" w:color="auto" w:fill="auto"/>
            <w:vAlign w:val="center"/>
            <w:hideMark/>
          </w:tcPr>
          <w:p w14:paraId="160E54A7" w14:textId="77777777" w:rsidR="00E83157" w:rsidRPr="00D92E20" w:rsidRDefault="00E83157" w:rsidP="00E83157">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3ED257B2" w14:textId="7CC2BF11"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13,8</w:t>
            </w:r>
          </w:p>
        </w:tc>
        <w:tc>
          <w:tcPr>
            <w:tcW w:w="595" w:type="dxa"/>
            <w:tcBorders>
              <w:top w:val="nil"/>
              <w:left w:val="nil"/>
              <w:bottom w:val="nil"/>
              <w:right w:val="nil"/>
            </w:tcBorders>
            <w:shd w:val="clear" w:color="auto" w:fill="auto"/>
            <w:noWrap/>
            <w:vAlign w:val="center"/>
            <w:hideMark/>
          </w:tcPr>
          <w:p w14:paraId="267B1704" w14:textId="793F576F"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11,1</w:t>
            </w:r>
          </w:p>
        </w:tc>
        <w:tc>
          <w:tcPr>
            <w:tcW w:w="595" w:type="dxa"/>
            <w:tcBorders>
              <w:top w:val="nil"/>
              <w:left w:val="nil"/>
              <w:bottom w:val="nil"/>
              <w:right w:val="nil"/>
            </w:tcBorders>
            <w:shd w:val="clear" w:color="auto" w:fill="auto"/>
            <w:noWrap/>
            <w:vAlign w:val="center"/>
            <w:hideMark/>
          </w:tcPr>
          <w:p w14:paraId="5B2EB5A4" w14:textId="3646BF7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13,5</w:t>
            </w:r>
          </w:p>
        </w:tc>
        <w:tc>
          <w:tcPr>
            <w:tcW w:w="595" w:type="dxa"/>
            <w:tcBorders>
              <w:top w:val="nil"/>
              <w:left w:val="nil"/>
              <w:bottom w:val="nil"/>
              <w:right w:val="nil"/>
            </w:tcBorders>
            <w:shd w:val="clear" w:color="auto" w:fill="auto"/>
            <w:noWrap/>
            <w:vAlign w:val="center"/>
            <w:hideMark/>
          </w:tcPr>
          <w:p w14:paraId="29FB2F78" w14:textId="7D6DB5B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11,9</w:t>
            </w:r>
          </w:p>
        </w:tc>
        <w:tc>
          <w:tcPr>
            <w:tcW w:w="595" w:type="dxa"/>
            <w:tcBorders>
              <w:top w:val="nil"/>
              <w:left w:val="nil"/>
              <w:bottom w:val="nil"/>
              <w:right w:val="nil"/>
            </w:tcBorders>
            <w:shd w:val="clear" w:color="auto" w:fill="auto"/>
            <w:noWrap/>
            <w:vAlign w:val="center"/>
            <w:hideMark/>
          </w:tcPr>
          <w:p w14:paraId="2458CEBC" w14:textId="21C1A435"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15,1</w:t>
            </w:r>
          </w:p>
        </w:tc>
        <w:tc>
          <w:tcPr>
            <w:tcW w:w="595" w:type="dxa"/>
            <w:tcBorders>
              <w:top w:val="nil"/>
              <w:left w:val="nil"/>
              <w:bottom w:val="nil"/>
              <w:right w:val="nil"/>
            </w:tcBorders>
            <w:shd w:val="clear" w:color="auto" w:fill="auto"/>
            <w:noWrap/>
            <w:vAlign w:val="center"/>
            <w:hideMark/>
          </w:tcPr>
          <w:p w14:paraId="7DFFC85A" w14:textId="577F9430"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15,2</w:t>
            </w:r>
          </w:p>
        </w:tc>
        <w:tc>
          <w:tcPr>
            <w:tcW w:w="595" w:type="dxa"/>
            <w:tcBorders>
              <w:top w:val="nil"/>
              <w:left w:val="nil"/>
              <w:bottom w:val="nil"/>
              <w:right w:val="nil"/>
            </w:tcBorders>
            <w:shd w:val="clear" w:color="auto" w:fill="auto"/>
            <w:noWrap/>
            <w:vAlign w:val="center"/>
            <w:hideMark/>
          </w:tcPr>
          <w:p w14:paraId="58B61E87" w14:textId="3BACDA3D"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15,5</w:t>
            </w:r>
          </w:p>
        </w:tc>
        <w:tc>
          <w:tcPr>
            <w:tcW w:w="595" w:type="dxa"/>
            <w:tcBorders>
              <w:top w:val="nil"/>
              <w:left w:val="nil"/>
              <w:bottom w:val="nil"/>
              <w:right w:val="nil"/>
            </w:tcBorders>
            <w:shd w:val="clear" w:color="auto" w:fill="auto"/>
            <w:noWrap/>
            <w:vAlign w:val="center"/>
            <w:hideMark/>
          </w:tcPr>
          <w:p w14:paraId="5DBE085E" w14:textId="5464364A" w:rsidR="00E83157" w:rsidRPr="00D92E20" w:rsidRDefault="00E83157" w:rsidP="00E83157">
            <w:pPr>
              <w:spacing w:after="0" w:line="240" w:lineRule="auto"/>
              <w:jc w:val="center"/>
              <w:rPr>
                <w:rFonts w:cs="Arial"/>
                <w:color w:val="000000"/>
                <w:sz w:val="16"/>
                <w:szCs w:val="16"/>
              </w:rPr>
            </w:pPr>
            <w:r>
              <w:rPr>
                <w:rFonts w:ascii="Arial CE" w:hAnsi="Arial CE" w:cs="Calibri"/>
                <w:sz w:val="16"/>
                <w:szCs w:val="16"/>
              </w:rPr>
              <w:t>16,9</w:t>
            </w:r>
          </w:p>
        </w:tc>
        <w:tc>
          <w:tcPr>
            <w:tcW w:w="595" w:type="dxa"/>
            <w:tcBorders>
              <w:top w:val="nil"/>
              <w:left w:val="nil"/>
              <w:bottom w:val="nil"/>
              <w:right w:val="nil"/>
            </w:tcBorders>
            <w:shd w:val="clear" w:color="auto" w:fill="auto"/>
            <w:noWrap/>
            <w:vAlign w:val="center"/>
            <w:hideMark/>
          </w:tcPr>
          <w:p w14:paraId="5E53EA7E" w14:textId="0C207D30" w:rsidR="00E83157" w:rsidRPr="00D92E20" w:rsidRDefault="00E83157" w:rsidP="00E83157">
            <w:pPr>
              <w:spacing w:after="0" w:line="240" w:lineRule="auto"/>
              <w:jc w:val="center"/>
              <w:rPr>
                <w:rFonts w:cs="Arial"/>
                <w:color w:val="000000"/>
                <w:sz w:val="16"/>
                <w:szCs w:val="16"/>
              </w:rPr>
            </w:pPr>
            <w:r>
              <w:rPr>
                <w:rFonts w:cs="Arial"/>
                <w:color w:val="000000"/>
                <w:sz w:val="16"/>
                <w:szCs w:val="16"/>
              </w:rPr>
              <w:t>16,2</w:t>
            </w:r>
          </w:p>
        </w:tc>
        <w:tc>
          <w:tcPr>
            <w:tcW w:w="595" w:type="dxa"/>
            <w:tcBorders>
              <w:top w:val="nil"/>
              <w:left w:val="nil"/>
              <w:bottom w:val="nil"/>
              <w:right w:val="nil"/>
            </w:tcBorders>
            <w:shd w:val="clear" w:color="auto" w:fill="auto"/>
            <w:noWrap/>
            <w:vAlign w:val="center"/>
            <w:hideMark/>
          </w:tcPr>
          <w:p w14:paraId="5457D6A3" w14:textId="2C01052E" w:rsidR="00E83157" w:rsidRPr="00D92E20" w:rsidRDefault="00E83157" w:rsidP="00E83157">
            <w:pPr>
              <w:spacing w:after="0" w:line="240" w:lineRule="auto"/>
              <w:jc w:val="center"/>
              <w:rPr>
                <w:rFonts w:cs="Arial"/>
                <w:color w:val="000000"/>
                <w:sz w:val="16"/>
                <w:szCs w:val="16"/>
              </w:rPr>
            </w:pPr>
            <w:r>
              <w:rPr>
                <w:rFonts w:cs="Arial"/>
                <w:color w:val="000000"/>
                <w:sz w:val="16"/>
                <w:szCs w:val="16"/>
              </w:rPr>
              <w:t>18,6</w:t>
            </w:r>
          </w:p>
        </w:tc>
        <w:tc>
          <w:tcPr>
            <w:tcW w:w="595" w:type="dxa"/>
            <w:tcBorders>
              <w:top w:val="nil"/>
              <w:left w:val="nil"/>
              <w:bottom w:val="nil"/>
              <w:right w:val="nil"/>
            </w:tcBorders>
            <w:shd w:val="clear" w:color="auto" w:fill="auto"/>
            <w:noWrap/>
            <w:vAlign w:val="center"/>
            <w:hideMark/>
          </w:tcPr>
          <w:p w14:paraId="48D21683" w14:textId="63F51473" w:rsidR="00E83157" w:rsidRPr="00D92E20" w:rsidRDefault="00E83157" w:rsidP="00E83157">
            <w:pPr>
              <w:spacing w:after="0" w:line="240" w:lineRule="auto"/>
              <w:jc w:val="center"/>
              <w:rPr>
                <w:rFonts w:cs="Arial"/>
                <w:color w:val="000000"/>
                <w:sz w:val="16"/>
                <w:szCs w:val="16"/>
              </w:rPr>
            </w:pPr>
            <w:r>
              <w:rPr>
                <w:rFonts w:cs="Arial"/>
                <w:color w:val="000000"/>
                <w:sz w:val="16"/>
                <w:szCs w:val="16"/>
              </w:rPr>
              <w:t>21,1</w:t>
            </w:r>
          </w:p>
        </w:tc>
      </w:tr>
    </w:tbl>
    <w:p w14:paraId="79FE3B63" w14:textId="77777777" w:rsidR="008126FD" w:rsidRPr="00D92E20" w:rsidRDefault="008126FD" w:rsidP="008126FD">
      <w:pPr>
        <w:spacing w:before="120"/>
        <w:rPr>
          <w:sz w:val="16"/>
        </w:rPr>
      </w:pPr>
      <w:r w:rsidRPr="00D92E20">
        <w:rPr>
          <w:sz w:val="16"/>
        </w:rPr>
        <w:t>Zdroj: ČSÚ</w:t>
      </w:r>
    </w:p>
    <w:p w14:paraId="2939441F" w14:textId="26492707" w:rsidR="008126FD" w:rsidRPr="00D92E20" w:rsidRDefault="008126FD" w:rsidP="00BA6B4E">
      <w:pPr>
        <w:spacing w:before="120" w:after="120"/>
        <w:jc w:val="both"/>
      </w:pPr>
      <w:r w:rsidRPr="00D92E20">
        <w:t xml:space="preserve">Z pohledu </w:t>
      </w:r>
      <w:r w:rsidRPr="00D92E20">
        <w:rPr>
          <w:b/>
        </w:rPr>
        <w:t>územního členění</w:t>
      </w:r>
      <w:r w:rsidRPr="00D92E20">
        <w:t xml:space="preserve"> bylo v</w:t>
      </w:r>
      <w:r w:rsidR="00E83157">
        <w:t> 1. pol. 2021</w:t>
      </w:r>
      <w:r w:rsidRPr="00D92E20">
        <w:t xml:space="preserve"> nejvíce případů pracovní neschopnosti na 100 pojištěnců hlášeno v Libereckém (</w:t>
      </w:r>
      <w:r w:rsidR="00E83157">
        <w:t>39</w:t>
      </w:r>
      <w:r w:rsidR="00013A43" w:rsidRPr="00D92E20">
        <w:t>),</w:t>
      </w:r>
      <w:r w:rsidRPr="00D92E20">
        <w:t xml:space="preserve"> </w:t>
      </w:r>
      <w:r w:rsidR="00E83157">
        <w:t>Královéhradeckém</w:t>
      </w:r>
      <w:r w:rsidRPr="00D92E20">
        <w:t xml:space="preserve"> (</w:t>
      </w:r>
      <w:r w:rsidR="00E83157">
        <w:t>38),</w:t>
      </w:r>
      <w:r w:rsidR="00013A43" w:rsidRPr="00D92E20">
        <w:t xml:space="preserve"> </w:t>
      </w:r>
      <w:r w:rsidR="00E83157">
        <w:t xml:space="preserve">Plzeňském a Karlovarském </w:t>
      </w:r>
      <w:r w:rsidRPr="00D92E20">
        <w:t>kraji</w:t>
      </w:r>
      <w:r w:rsidR="00013A43" w:rsidRPr="00D92E20">
        <w:t xml:space="preserve"> (</w:t>
      </w:r>
      <w:r w:rsidR="00E83157">
        <w:t>oba shodně 37</w:t>
      </w:r>
      <w:r w:rsidR="00013A43" w:rsidRPr="00D92E20">
        <w:t>)</w:t>
      </w:r>
      <w:r w:rsidRPr="00D92E20">
        <w:t xml:space="preserve">. Jak již </w:t>
      </w:r>
      <w:r w:rsidRPr="00D92E20">
        <w:lastRenderedPageBreak/>
        <w:t xml:space="preserve">bylo zmíněno výše, průměr za Českou republiku činil </w:t>
      </w:r>
      <w:r w:rsidR="00FC5D79">
        <w:t>30</w:t>
      </w:r>
      <w:r w:rsidRPr="00D92E20">
        <w:t xml:space="preserve"> případů, přičemž podprůměrné hodnoty vykazovaly následující 2 kraje: Hlavní město Praha (</w:t>
      </w:r>
      <w:r w:rsidR="00FC5D79">
        <w:t>22</w:t>
      </w:r>
      <w:r w:rsidRPr="00D92E20">
        <w:t>) a Jihomoravský kraj (</w:t>
      </w:r>
      <w:r w:rsidR="00FC5D79">
        <w:t>27</w:t>
      </w:r>
      <w:r w:rsidRPr="00D92E20">
        <w:t xml:space="preserve">). Rozdíl dvou extrémních krajů představoval </w:t>
      </w:r>
      <w:r w:rsidR="00FC5D79">
        <w:t>17</w:t>
      </w:r>
      <w:r w:rsidRPr="00D92E20">
        <w:t xml:space="preserve"> případů pracovní neschopnosti na 100 pojištěnců. </w:t>
      </w:r>
      <w:r w:rsidR="00FC5D79">
        <w:t xml:space="preserve">V 1. pol. 2020 rozdíl činil 11 neschopností. </w:t>
      </w:r>
      <w:r w:rsidRPr="00D92E20">
        <w:t xml:space="preserve">Hodnoty tohoto sledovaného ukazatele oproti </w:t>
      </w:r>
      <w:r w:rsidR="00FC5D79">
        <w:t>1. pol. 2020</w:t>
      </w:r>
      <w:r w:rsidRPr="00D92E20">
        <w:t xml:space="preserve"> meziročně vzrostly ve všech krajích, což je patrné z grafu 2.</w:t>
      </w:r>
      <w:r w:rsidR="004C5ABF" w:rsidRPr="00D92E20">
        <w:t>6</w:t>
      </w:r>
      <w:r w:rsidRPr="00D92E20">
        <w:t>. Nejvíce v</w:t>
      </w:r>
      <w:r w:rsidR="00FC5D79">
        <w:t> Karlovarském a Královéhradeckém</w:t>
      </w:r>
      <w:r w:rsidRPr="00D92E20">
        <w:t xml:space="preserve"> </w:t>
      </w:r>
      <w:r w:rsidR="00FC5D79">
        <w:t xml:space="preserve">kraji </w:t>
      </w:r>
      <w:r w:rsidRPr="00D92E20">
        <w:t>(+</w:t>
      </w:r>
      <w:r w:rsidR="00FC5D79">
        <w:t>12</w:t>
      </w:r>
      <w:r w:rsidRPr="00D92E20">
        <w:t>). Na</w:t>
      </w:r>
      <w:r w:rsidR="004C5ABF" w:rsidRPr="00D92E20">
        <w:t>opak nejnižší nárůst zaznamenala Praha</w:t>
      </w:r>
      <w:r w:rsidRPr="00D92E20">
        <w:t xml:space="preserve"> (+</w:t>
      </w:r>
      <w:r w:rsidR="00FC5D79">
        <w:t>4</w:t>
      </w:r>
      <w:r w:rsidRPr="00D92E20">
        <w:t>).</w:t>
      </w:r>
    </w:p>
    <w:p w14:paraId="14F7162E" w14:textId="0D4282B1" w:rsidR="008126FD" w:rsidRPr="00D92E20" w:rsidRDefault="004A31C1" w:rsidP="00BA6B4E">
      <w:pPr>
        <w:spacing w:before="120" w:after="120"/>
        <w:jc w:val="both"/>
      </w:pPr>
      <w:r>
        <w:t>P</w:t>
      </w:r>
      <w:r w:rsidR="008126FD" w:rsidRPr="00D92E20">
        <w:t>oč</w:t>
      </w:r>
      <w:r>
        <w:t>e</w:t>
      </w:r>
      <w:r w:rsidR="008126FD" w:rsidRPr="00D92E20">
        <w:t xml:space="preserve">t případů dočasné pracovní neschopnosti dle územního členění </w:t>
      </w:r>
      <w:r>
        <w:t>je</w:t>
      </w:r>
      <w:r w:rsidR="008126FD" w:rsidRPr="00D92E20">
        <w:t xml:space="preserve"> značně ovlivněn strukturou zaměstnanosti, charakterem převažující ekonomické činnosti a mírou nezaměstnanosti v daném regionu. Je nutno zohlednit též </w:t>
      </w:r>
      <w:r w:rsidR="008126FD" w:rsidRPr="00D92E20">
        <w:rPr>
          <w:b/>
        </w:rPr>
        <w:t>metodiku zpracování dat, kdy rozlišení dle krajů a okresů vychází z údaje o sídle útvaru</w:t>
      </w:r>
      <w:r w:rsidR="008126FD" w:rsidRPr="00D92E20">
        <w:t>, který vede evidenci mezd zaměstnavateli osoby</w:t>
      </w:r>
      <w:r w:rsidR="00297326">
        <w:t>, která je</w:t>
      </w:r>
      <w:r w:rsidR="008126FD" w:rsidRPr="00D92E20">
        <w:t xml:space="preserve"> v pracovní neschopnosti.</w:t>
      </w:r>
    </w:p>
    <w:p w14:paraId="3C4A9CD7" w14:textId="04CBAF0B" w:rsidR="00013A43" w:rsidRDefault="00FC5D79" w:rsidP="00FC5D79">
      <w:pPr>
        <w:rPr>
          <w:b/>
        </w:rPr>
      </w:pPr>
      <w:r w:rsidRPr="00FC5D79">
        <w:rPr>
          <w:b/>
        </w:rPr>
        <w:t xml:space="preserve">Graf 2.6: Nově hlášené případy dočasné pracovní neschopnosti na 100 pojištěnců podle krajů ČR, </w:t>
      </w:r>
      <w:r w:rsidR="0064296A">
        <w:rPr>
          <w:b/>
        </w:rPr>
        <w:br/>
      </w:r>
      <w:r w:rsidRPr="00FC5D79">
        <w:rPr>
          <w:b/>
        </w:rPr>
        <w:t>1. pol. 2020 a 2021</w:t>
      </w:r>
    </w:p>
    <w:p w14:paraId="7F02C3B7" w14:textId="779AFC5A" w:rsidR="00FC5D79" w:rsidRPr="00D92E20" w:rsidRDefault="00FC5D79" w:rsidP="00FC5D79">
      <w:pPr>
        <w:rPr>
          <w:b/>
          <w:spacing w:val="-7"/>
        </w:rPr>
      </w:pPr>
      <w:r>
        <w:rPr>
          <w:noProof/>
        </w:rPr>
        <w:drawing>
          <wp:inline distT="0" distB="0" distL="0" distR="0" wp14:anchorId="0FCFFDD0" wp14:editId="6195EC7F">
            <wp:extent cx="6120130" cy="3646170"/>
            <wp:effectExtent l="0" t="0" r="13970" b="1143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6FC07F" w14:textId="268D3E2A" w:rsidR="00013A43" w:rsidRPr="00D92E20" w:rsidRDefault="00013A43" w:rsidP="00BA6B4E">
      <w:pPr>
        <w:spacing w:before="120" w:after="120"/>
        <w:rPr>
          <w:sz w:val="16"/>
        </w:rPr>
      </w:pPr>
      <w:r w:rsidRPr="00D92E20">
        <w:rPr>
          <w:sz w:val="16"/>
        </w:rPr>
        <w:t>Zdroj: ČSÚ</w:t>
      </w:r>
    </w:p>
    <w:p w14:paraId="72E1A7AF" w14:textId="5547C62A" w:rsidR="004A31C1" w:rsidRDefault="004A31C1" w:rsidP="004A31C1">
      <w:pPr>
        <w:spacing w:before="120" w:after="120"/>
        <w:jc w:val="both"/>
      </w:pPr>
      <w:r>
        <w:t>Rozdíly v pracovní neschopnosti lze zkoumat i podle</w:t>
      </w:r>
      <w:r w:rsidRPr="00D92E20">
        <w:t xml:space="preserve"> </w:t>
      </w:r>
      <w:r w:rsidRPr="00D92E20">
        <w:rPr>
          <w:b/>
        </w:rPr>
        <w:t>velikost podniku</w:t>
      </w:r>
      <w:r w:rsidRPr="00D92E20">
        <w:t>. V relativním pojetí při přepočtu na</w:t>
      </w:r>
      <w:r w:rsidR="00CD63E8">
        <w:t> </w:t>
      </w:r>
      <w:r w:rsidRPr="00D92E20">
        <w:t>100</w:t>
      </w:r>
      <w:r w:rsidR="00CD63E8">
        <w:t> </w:t>
      </w:r>
      <w:r w:rsidRPr="00D92E20">
        <w:t xml:space="preserve">pojištěnců dominovaly </w:t>
      </w:r>
      <w:r>
        <w:t>velké firmy zaměstnávající</w:t>
      </w:r>
      <w:r w:rsidRPr="00D92E20">
        <w:t xml:space="preserve"> </w:t>
      </w:r>
      <w:r>
        <w:t>250–</w:t>
      </w:r>
      <w:r w:rsidRPr="00D92E20">
        <w:t>4</w:t>
      </w:r>
      <w:r>
        <w:t>99 zaměstnanců,</w:t>
      </w:r>
      <w:r w:rsidRPr="00D92E20">
        <w:t xml:space="preserve"> spolu s</w:t>
      </w:r>
      <w:r>
        <w:t>e středně velkými podniky, které mají 100–249 zaměstnanců.</w:t>
      </w:r>
      <w:r w:rsidRPr="00D92E20">
        <w:t xml:space="preserve"> </w:t>
      </w:r>
      <w:r>
        <w:t>Tyto firmy</w:t>
      </w:r>
      <w:r w:rsidRPr="00D92E20">
        <w:t xml:space="preserve"> během </w:t>
      </w:r>
      <w:r>
        <w:t>1. pol. 2021</w:t>
      </w:r>
      <w:r w:rsidRPr="00D92E20">
        <w:t xml:space="preserve"> </w:t>
      </w:r>
      <w:r>
        <w:t xml:space="preserve">v průměru </w:t>
      </w:r>
      <w:r w:rsidRPr="00D92E20">
        <w:t xml:space="preserve">zaznamenaly </w:t>
      </w:r>
      <w:r>
        <w:t>35, resp.</w:t>
      </w:r>
      <w:r w:rsidR="00CD63E8">
        <w:t> </w:t>
      </w:r>
      <w:r>
        <w:t>34</w:t>
      </w:r>
      <w:r w:rsidR="00CD63E8">
        <w:t> </w:t>
      </w:r>
      <w:r w:rsidRPr="00D92E20">
        <w:t xml:space="preserve">případů pracovních neschopností v přepočtu na 100 pojištěnců. Daleko méně případů pracovní neschopnosti vykázaly firmy mající do 50 zaměstnanců, kde na 100 pojištěnců připadlo </w:t>
      </w:r>
      <w:r>
        <w:t>24</w:t>
      </w:r>
      <w:r w:rsidRPr="00D92E20">
        <w:t xml:space="preserve"> hlášení. A zcela nejméně případů bylo zaznamenáno u OSVČ, a sice </w:t>
      </w:r>
      <w:r>
        <w:t>10</w:t>
      </w:r>
      <w:r w:rsidRPr="00D92E20">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4CAD3B68" w14:textId="7B0579E7" w:rsidR="004A31C1" w:rsidRPr="00D92E20" w:rsidRDefault="004A31C1" w:rsidP="004A31C1">
      <w:pPr>
        <w:spacing w:before="120" w:after="120"/>
        <w:jc w:val="both"/>
      </w:pPr>
      <w:r w:rsidRPr="00D92E20">
        <w:t xml:space="preserve">Dalším kritériem, podle kterého </w:t>
      </w:r>
      <w:r>
        <w:t>je možné</w:t>
      </w:r>
      <w:r w:rsidRPr="00D92E20">
        <w:t xml:space="preserve"> hodnotit pracovní neschopnost nemocensky pojištěných, je rozdělení na </w:t>
      </w:r>
      <w:r w:rsidRPr="00D92E20">
        <w:rPr>
          <w:b/>
        </w:rPr>
        <w:t xml:space="preserve">podniky domácí vs. </w:t>
      </w:r>
      <w:r w:rsidRPr="00D92E20">
        <w:t xml:space="preserve">podniky </w:t>
      </w:r>
      <w:r w:rsidRPr="00D92E20">
        <w:rPr>
          <w:b/>
        </w:rPr>
        <w:t>pod zahraniční kontrolou</w:t>
      </w:r>
      <w:r w:rsidRPr="00D92E20">
        <w:t>. Např. v nefinančních podnicích pod zahraniční kontrolou v</w:t>
      </w:r>
      <w:r>
        <w:t> 1. pol. 2021</w:t>
      </w:r>
      <w:r w:rsidRPr="00D92E20">
        <w:t xml:space="preserve"> připadlo na 100 nemocensky pojištěných </w:t>
      </w:r>
      <w:r>
        <w:t>37</w:t>
      </w:r>
      <w:r w:rsidRPr="00D92E20">
        <w:t xml:space="preserve"> nahlášených případů v porovnání s </w:t>
      </w:r>
      <w:r>
        <w:t>30</w:t>
      </w:r>
      <w:r w:rsidRPr="00D92E20">
        <w:t xml:space="preserve"> případy v domácích nefinančních podnicích. Pracovní neschopnost zaměstnanců v domácích podnicích </w:t>
      </w:r>
      <w:r w:rsidRPr="00D92E20">
        <w:lastRenderedPageBreak/>
        <w:t>však trvala v průměru o necelých 6 dní déle (</w:t>
      </w:r>
      <w:r>
        <w:t>38,5 dne</w:t>
      </w:r>
      <w:r w:rsidRPr="00D92E20">
        <w:t>) než u podniků pod zahraniční kontrolou (3</w:t>
      </w:r>
      <w:r>
        <w:t>2,8</w:t>
      </w:r>
      <w:r w:rsidRPr="00D92E20">
        <w:t xml:space="preserve"> dn</w:t>
      </w:r>
      <w:r>
        <w:t>e</w:t>
      </w:r>
      <w:r w:rsidRPr="00D92E20">
        <w:t>).</w:t>
      </w:r>
      <w:r>
        <w:t xml:space="preserve"> Podrobnější údaje za nefinanční podniky viz tabulková příloha – část 7.</w:t>
      </w:r>
    </w:p>
    <w:p w14:paraId="40B46A2A" w14:textId="4AF7D848" w:rsidR="00E404AC" w:rsidRPr="004A31C1" w:rsidRDefault="00B0095F" w:rsidP="00FC5D79">
      <w:pPr>
        <w:pStyle w:val="Seznam"/>
        <w:spacing w:after="120"/>
        <w:jc w:val="both"/>
        <w:rPr>
          <w:b/>
        </w:rPr>
      </w:pPr>
      <w:r w:rsidRPr="004A31C1">
        <w:rPr>
          <w:b/>
        </w:rPr>
        <w:t xml:space="preserve">Tab. 2.3: </w:t>
      </w:r>
      <w:r w:rsidR="00FC5D79" w:rsidRPr="004A31C1">
        <w:rPr>
          <w:b/>
        </w:rPr>
        <w:t xml:space="preserve">Nově hlášené případy dočasné pracovní neschopnosti na 100 pojištěnců podle krajů ČR, </w:t>
      </w:r>
      <w:r w:rsidR="004A31C1">
        <w:rPr>
          <w:b/>
        </w:rPr>
        <w:br/>
      </w:r>
      <w:r w:rsidR="00FC5D79" w:rsidRPr="004A31C1">
        <w:rPr>
          <w:b/>
        </w:rPr>
        <w:t>1. pol. 2011–1. pol. 2021</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FC5D79" w:rsidRPr="00D92E20" w14:paraId="6DBAC428" w14:textId="77777777" w:rsidTr="00B0095F">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6459A84B" w14:textId="77777777" w:rsidR="00FC5D79" w:rsidRPr="00D92E20" w:rsidRDefault="00FC5D79" w:rsidP="00FC5D79">
            <w:pPr>
              <w:spacing w:after="0" w:line="240" w:lineRule="auto"/>
              <w:jc w:val="center"/>
              <w:rPr>
                <w:rFonts w:cs="Arial"/>
                <w:color w:val="000000"/>
                <w:sz w:val="16"/>
                <w:szCs w:val="16"/>
              </w:rPr>
            </w:pPr>
            <w:r w:rsidRPr="00D92E2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5E9A39AF" w14:textId="1CF80730"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697" w:type="dxa"/>
            <w:tcBorders>
              <w:top w:val="single" w:sz="4" w:space="0" w:color="auto"/>
              <w:left w:val="nil"/>
              <w:bottom w:val="single" w:sz="4" w:space="0" w:color="auto"/>
              <w:right w:val="nil"/>
            </w:tcBorders>
            <w:shd w:val="clear" w:color="000000" w:fill="F5DADD"/>
            <w:noWrap/>
            <w:vAlign w:val="center"/>
            <w:hideMark/>
          </w:tcPr>
          <w:p w14:paraId="5DA3D2C0" w14:textId="797ADD91"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70D90A54" w14:textId="1567FEC0"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516E3F03" w14:textId="3A0F114F"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D7431BB" w14:textId="01B1C7C6"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3DA48C08" w14:textId="51DEA0A9"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6C9CD21D" w14:textId="282E95B8"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5735A01D" w14:textId="11110B2D" w:rsidR="00FC5D79" w:rsidRPr="00D92E20" w:rsidRDefault="00FC5D79" w:rsidP="00FC5D79">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3F4C62DC" w14:textId="065D6AFD" w:rsidR="00FC5D79" w:rsidRPr="00D92E20" w:rsidRDefault="00FC5D79" w:rsidP="00FC5D79">
            <w:pPr>
              <w:spacing w:after="0" w:line="240" w:lineRule="auto"/>
              <w:jc w:val="center"/>
              <w:rPr>
                <w:rFonts w:cs="Arial"/>
                <w:color w:val="000000"/>
                <w:sz w:val="16"/>
                <w:szCs w:val="16"/>
              </w:rPr>
            </w:pPr>
            <w:r>
              <w:rPr>
                <w:rFonts w:cs="Arial"/>
                <w:sz w:val="16"/>
                <w:szCs w:val="16"/>
              </w:rPr>
              <w:t>1. pol. 2019</w:t>
            </w:r>
          </w:p>
        </w:tc>
        <w:tc>
          <w:tcPr>
            <w:tcW w:w="697" w:type="dxa"/>
            <w:tcBorders>
              <w:top w:val="single" w:sz="4" w:space="0" w:color="auto"/>
              <w:left w:val="nil"/>
              <w:bottom w:val="single" w:sz="4" w:space="0" w:color="auto"/>
              <w:right w:val="nil"/>
            </w:tcBorders>
            <w:shd w:val="clear" w:color="000000" w:fill="F5DADD"/>
            <w:noWrap/>
            <w:vAlign w:val="center"/>
            <w:hideMark/>
          </w:tcPr>
          <w:p w14:paraId="70796218" w14:textId="0DEAF92E" w:rsidR="00FC5D79" w:rsidRPr="00D92E20" w:rsidRDefault="00FC5D79" w:rsidP="00FC5D79">
            <w:pPr>
              <w:spacing w:after="0" w:line="240" w:lineRule="auto"/>
              <w:jc w:val="center"/>
              <w:rPr>
                <w:rFonts w:cs="Arial"/>
                <w:color w:val="000000"/>
                <w:sz w:val="16"/>
                <w:szCs w:val="16"/>
              </w:rPr>
            </w:pPr>
            <w:r>
              <w:rPr>
                <w:rFonts w:cs="Arial"/>
                <w:sz w:val="16"/>
                <w:szCs w:val="16"/>
              </w:rPr>
              <w:t>1. pol. 2020</w:t>
            </w:r>
          </w:p>
        </w:tc>
        <w:tc>
          <w:tcPr>
            <w:tcW w:w="697" w:type="dxa"/>
            <w:tcBorders>
              <w:top w:val="single" w:sz="4" w:space="0" w:color="auto"/>
              <w:left w:val="nil"/>
              <w:bottom w:val="single" w:sz="4" w:space="0" w:color="auto"/>
              <w:right w:val="nil"/>
            </w:tcBorders>
            <w:shd w:val="clear" w:color="000000" w:fill="F5DADD"/>
            <w:noWrap/>
            <w:vAlign w:val="center"/>
            <w:hideMark/>
          </w:tcPr>
          <w:p w14:paraId="7BB51A31" w14:textId="0AE07BE9" w:rsidR="00FC5D79" w:rsidRPr="00D92E20" w:rsidRDefault="00FC5D79" w:rsidP="00FC5D79">
            <w:pPr>
              <w:spacing w:after="0" w:line="240" w:lineRule="auto"/>
              <w:jc w:val="center"/>
              <w:rPr>
                <w:rFonts w:cs="Arial"/>
                <w:color w:val="000000"/>
                <w:sz w:val="16"/>
                <w:szCs w:val="16"/>
              </w:rPr>
            </w:pPr>
            <w:r>
              <w:rPr>
                <w:rFonts w:cs="Arial"/>
                <w:sz w:val="16"/>
                <w:szCs w:val="16"/>
              </w:rPr>
              <w:t>1. pol. 2021</w:t>
            </w:r>
          </w:p>
        </w:tc>
      </w:tr>
      <w:tr w:rsidR="00FC5D79" w:rsidRPr="00D92E20" w14:paraId="12D385F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1042433" w14:textId="77777777" w:rsidR="00FC5D79" w:rsidRPr="00D92E20" w:rsidRDefault="00FC5D79" w:rsidP="00FC5D79">
            <w:pPr>
              <w:spacing w:after="0" w:line="240" w:lineRule="auto"/>
              <w:rPr>
                <w:rFonts w:cs="Arial"/>
                <w:b/>
                <w:bCs/>
                <w:color w:val="000000"/>
                <w:sz w:val="16"/>
                <w:szCs w:val="16"/>
              </w:rPr>
            </w:pPr>
            <w:r w:rsidRPr="00D92E2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06ED8123" w14:textId="18430007" w:rsidR="00FC5D79" w:rsidRPr="00D92E20" w:rsidRDefault="00FC5D79" w:rsidP="00FC5D79">
            <w:pPr>
              <w:spacing w:after="0" w:line="240" w:lineRule="auto"/>
              <w:jc w:val="center"/>
              <w:rPr>
                <w:rFonts w:cs="Arial"/>
                <w:b/>
                <w:bCs/>
                <w:color w:val="000000"/>
                <w:sz w:val="16"/>
                <w:szCs w:val="16"/>
              </w:rPr>
            </w:pPr>
            <w:r>
              <w:rPr>
                <w:rFonts w:cs="Arial"/>
                <w:b/>
                <w:bCs/>
                <w:sz w:val="16"/>
                <w:szCs w:val="16"/>
              </w:rPr>
              <w:t>17,0</w:t>
            </w:r>
          </w:p>
        </w:tc>
        <w:tc>
          <w:tcPr>
            <w:tcW w:w="697" w:type="dxa"/>
            <w:tcBorders>
              <w:top w:val="nil"/>
              <w:left w:val="nil"/>
              <w:bottom w:val="nil"/>
              <w:right w:val="nil"/>
            </w:tcBorders>
            <w:shd w:val="clear" w:color="auto" w:fill="auto"/>
            <w:noWrap/>
            <w:vAlign w:val="center"/>
            <w:hideMark/>
          </w:tcPr>
          <w:p w14:paraId="607FCF90" w14:textId="019C7E26" w:rsidR="00FC5D79" w:rsidRPr="00D92E20" w:rsidRDefault="00FC5D79" w:rsidP="00FC5D79">
            <w:pPr>
              <w:spacing w:after="0" w:line="240" w:lineRule="auto"/>
              <w:jc w:val="center"/>
              <w:rPr>
                <w:rFonts w:cs="Arial"/>
                <w:b/>
                <w:bCs/>
                <w:color w:val="000000"/>
                <w:sz w:val="16"/>
                <w:szCs w:val="16"/>
              </w:rPr>
            </w:pPr>
            <w:r>
              <w:rPr>
                <w:rFonts w:cs="Arial"/>
                <w:b/>
                <w:bCs/>
                <w:sz w:val="16"/>
                <w:szCs w:val="16"/>
              </w:rPr>
              <w:t>13,6</w:t>
            </w:r>
          </w:p>
        </w:tc>
        <w:tc>
          <w:tcPr>
            <w:tcW w:w="697" w:type="dxa"/>
            <w:tcBorders>
              <w:top w:val="nil"/>
              <w:left w:val="nil"/>
              <w:bottom w:val="nil"/>
              <w:right w:val="nil"/>
            </w:tcBorders>
            <w:shd w:val="clear" w:color="auto" w:fill="auto"/>
            <w:noWrap/>
            <w:vAlign w:val="center"/>
            <w:hideMark/>
          </w:tcPr>
          <w:p w14:paraId="224ABBD4" w14:textId="7CA04432" w:rsidR="00FC5D79" w:rsidRPr="00D92E20" w:rsidRDefault="00FC5D79" w:rsidP="00FC5D79">
            <w:pPr>
              <w:spacing w:after="0" w:line="240" w:lineRule="auto"/>
              <w:jc w:val="center"/>
              <w:rPr>
                <w:rFonts w:cs="Arial"/>
                <w:b/>
                <w:bCs/>
                <w:color w:val="000000"/>
                <w:sz w:val="16"/>
                <w:szCs w:val="16"/>
              </w:rPr>
            </w:pPr>
            <w:r>
              <w:rPr>
                <w:rFonts w:cs="Arial"/>
                <w:b/>
                <w:bCs/>
                <w:sz w:val="16"/>
                <w:szCs w:val="16"/>
              </w:rPr>
              <w:t>17,1</w:t>
            </w:r>
          </w:p>
        </w:tc>
        <w:tc>
          <w:tcPr>
            <w:tcW w:w="697" w:type="dxa"/>
            <w:tcBorders>
              <w:top w:val="nil"/>
              <w:left w:val="nil"/>
              <w:bottom w:val="nil"/>
              <w:right w:val="nil"/>
            </w:tcBorders>
            <w:shd w:val="clear" w:color="auto" w:fill="auto"/>
            <w:noWrap/>
            <w:vAlign w:val="center"/>
            <w:hideMark/>
          </w:tcPr>
          <w:p w14:paraId="281478CD" w14:textId="615EB385" w:rsidR="00FC5D79" w:rsidRPr="00D92E20" w:rsidRDefault="00FC5D79" w:rsidP="00FC5D79">
            <w:pPr>
              <w:spacing w:after="0" w:line="240" w:lineRule="auto"/>
              <w:jc w:val="center"/>
              <w:rPr>
                <w:rFonts w:cs="Arial"/>
                <w:b/>
                <w:bCs/>
                <w:color w:val="000000"/>
                <w:sz w:val="16"/>
                <w:szCs w:val="16"/>
              </w:rPr>
            </w:pPr>
            <w:r>
              <w:rPr>
                <w:rFonts w:cs="Arial"/>
                <w:b/>
                <w:bCs/>
                <w:sz w:val="16"/>
                <w:szCs w:val="16"/>
              </w:rPr>
              <w:t>15,1</w:t>
            </w:r>
          </w:p>
        </w:tc>
        <w:tc>
          <w:tcPr>
            <w:tcW w:w="697" w:type="dxa"/>
            <w:tcBorders>
              <w:top w:val="nil"/>
              <w:left w:val="nil"/>
              <w:bottom w:val="nil"/>
              <w:right w:val="nil"/>
            </w:tcBorders>
            <w:shd w:val="clear" w:color="auto" w:fill="auto"/>
            <w:noWrap/>
            <w:vAlign w:val="center"/>
            <w:hideMark/>
          </w:tcPr>
          <w:p w14:paraId="346B2092" w14:textId="3EBF9C9C" w:rsidR="00FC5D79" w:rsidRPr="00D92E20" w:rsidRDefault="00FC5D79" w:rsidP="00FC5D79">
            <w:pPr>
              <w:spacing w:after="0" w:line="240" w:lineRule="auto"/>
              <w:jc w:val="center"/>
              <w:rPr>
                <w:rFonts w:cs="Arial"/>
                <w:b/>
                <w:bCs/>
                <w:color w:val="000000"/>
                <w:sz w:val="16"/>
                <w:szCs w:val="16"/>
              </w:rPr>
            </w:pPr>
            <w:r>
              <w:rPr>
                <w:rFonts w:cs="Arial"/>
                <w:b/>
                <w:bCs/>
                <w:sz w:val="16"/>
                <w:szCs w:val="16"/>
              </w:rPr>
              <w:t>19,5</w:t>
            </w:r>
          </w:p>
        </w:tc>
        <w:tc>
          <w:tcPr>
            <w:tcW w:w="697" w:type="dxa"/>
            <w:tcBorders>
              <w:top w:val="nil"/>
              <w:left w:val="nil"/>
              <w:bottom w:val="nil"/>
              <w:right w:val="nil"/>
            </w:tcBorders>
            <w:shd w:val="clear" w:color="auto" w:fill="auto"/>
            <w:noWrap/>
            <w:vAlign w:val="center"/>
            <w:hideMark/>
          </w:tcPr>
          <w:p w14:paraId="0CCD618D" w14:textId="73B181B8"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19,3</w:t>
            </w:r>
          </w:p>
        </w:tc>
        <w:tc>
          <w:tcPr>
            <w:tcW w:w="697" w:type="dxa"/>
            <w:tcBorders>
              <w:top w:val="nil"/>
              <w:left w:val="nil"/>
              <w:bottom w:val="nil"/>
              <w:right w:val="nil"/>
            </w:tcBorders>
            <w:shd w:val="clear" w:color="auto" w:fill="auto"/>
            <w:noWrap/>
            <w:vAlign w:val="center"/>
            <w:hideMark/>
          </w:tcPr>
          <w:p w14:paraId="3E240FE7" w14:textId="1FF1716B"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20,4</w:t>
            </w:r>
          </w:p>
        </w:tc>
        <w:tc>
          <w:tcPr>
            <w:tcW w:w="697" w:type="dxa"/>
            <w:tcBorders>
              <w:top w:val="nil"/>
              <w:left w:val="nil"/>
              <w:bottom w:val="nil"/>
              <w:right w:val="nil"/>
            </w:tcBorders>
            <w:shd w:val="clear" w:color="auto" w:fill="auto"/>
            <w:noWrap/>
            <w:vAlign w:val="center"/>
            <w:hideMark/>
          </w:tcPr>
          <w:p w14:paraId="0882D4CF" w14:textId="5CAAAA6A"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22,1</w:t>
            </w:r>
          </w:p>
        </w:tc>
        <w:tc>
          <w:tcPr>
            <w:tcW w:w="697" w:type="dxa"/>
            <w:tcBorders>
              <w:top w:val="nil"/>
              <w:left w:val="nil"/>
              <w:bottom w:val="nil"/>
              <w:right w:val="nil"/>
            </w:tcBorders>
            <w:shd w:val="clear" w:color="auto" w:fill="auto"/>
            <w:noWrap/>
            <w:vAlign w:val="center"/>
            <w:hideMark/>
          </w:tcPr>
          <w:p w14:paraId="1E2AAC0B" w14:textId="54C7F665"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20,6</w:t>
            </w:r>
          </w:p>
        </w:tc>
        <w:tc>
          <w:tcPr>
            <w:tcW w:w="697" w:type="dxa"/>
            <w:tcBorders>
              <w:top w:val="nil"/>
              <w:left w:val="nil"/>
              <w:bottom w:val="nil"/>
              <w:right w:val="nil"/>
            </w:tcBorders>
            <w:shd w:val="clear" w:color="auto" w:fill="auto"/>
            <w:noWrap/>
            <w:vAlign w:val="center"/>
            <w:hideMark/>
          </w:tcPr>
          <w:p w14:paraId="6616E73A" w14:textId="5626F287"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22,8</w:t>
            </w:r>
          </w:p>
        </w:tc>
        <w:tc>
          <w:tcPr>
            <w:tcW w:w="697" w:type="dxa"/>
            <w:tcBorders>
              <w:top w:val="nil"/>
              <w:left w:val="nil"/>
              <w:bottom w:val="nil"/>
              <w:right w:val="nil"/>
            </w:tcBorders>
            <w:shd w:val="clear" w:color="auto" w:fill="auto"/>
            <w:noWrap/>
            <w:vAlign w:val="center"/>
            <w:hideMark/>
          </w:tcPr>
          <w:p w14:paraId="17B195FB" w14:textId="5354AB2B" w:rsidR="00FC5D79" w:rsidRPr="00D92E20" w:rsidRDefault="00FC5D79" w:rsidP="00FC5D79">
            <w:pPr>
              <w:spacing w:after="0" w:line="240" w:lineRule="auto"/>
              <w:jc w:val="center"/>
              <w:rPr>
                <w:rFonts w:cs="Arial"/>
                <w:b/>
                <w:bCs/>
                <w:color w:val="000000"/>
                <w:sz w:val="16"/>
                <w:szCs w:val="16"/>
              </w:rPr>
            </w:pPr>
            <w:r>
              <w:rPr>
                <w:rFonts w:cs="Arial"/>
                <w:b/>
                <w:bCs/>
                <w:color w:val="000000"/>
                <w:sz w:val="16"/>
                <w:szCs w:val="16"/>
              </w:rPr>
              <w:t>29,8</w:t>
            </w:r>
          </w:p>
        </w:tc>
      </w:tr>
      <w:tr w:rsidR="00FC5D79" w:rsidRPr="00D92E20" w14:paraId="01FB752B"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57C72F05"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0F63A7F0" w14:textId="540476A4" w:rsidR="00FC5D79" w:rsidRPr="00D92E20" w:rsidRDefault="00FC5D79" w:rsidP="00FC5D79">
            <w:pPr>
              <w:spacing w:after="0" w:line="240" w:lineRule="auto"/>
              <w:jc w:val="center"/>
              <w:rPr>
                <w:rFonts w:cs="Arial"/>
                <w:color w:val="000000"/>
                <w:sz w:val="16"/>
                <w:szCs w:val="16"/>
              </w:rPr>
            </w:pPr>
            <w:r>
              <w:rPr>
                <w:rFonts w:cs="Arial"/>
                <w:sz w:val="16"/>
                <w:szCs w:val="16"/>
              </w:rPr>
              <w:t>16,0</w:t>
            </w:r>
          </w:p>
        </w:tc>
        <w:tc>
          <w:tcPr>
            <w:tcW w:w="697" w:type="dxa"/>
            <w:tcBorders>
              <w:top w:val="nil"/>
              <w:left w:val="nil"/>
              <w:bottom w:val="nil"/>
              <w:right w:val="nil"/>
            </w:tcBorders>
            <w:shd w:val="clear" w:color="auto" w:fill="auto"/>
            <w:noWrap/>
            <w:vAlign w:val="center"/>
            <w:hideMark/>
          </w:tcPr>
          <w:p w14:paraId="7D2E62D9" w14:textId="5323124D" w:rsidR="00FC5D79" w:rsidRPr="00D92E20" w:rsidRDefault="00FC5D79" w:rsidP="00FC5D79">
            <w:pPr>
              <w:spacing w:after="0" w:line="240" w:lineRule="auto"/>
              <w:jc w:val="center"/>
              <w:rPr>
                <w:rFonts w:cs="Arial"/>
                <w:color w:val="000000"/>
                <w:sz w:val="16"/>
                <w:szCs w:val="16"/>
              </w:rPr>
            </w:pPr>
            <w:r>
              <w:rPr>
                <w:rFonts w:cs="Arial"/>
                <w:sz w:val="16"/>
                <w:szCs w:val="16"/>
              </w:rPr>
              <w:t>11,3</w:t>
            </w:r>
          </w:p>
        </w:tc>
        <w:tc>
          <w:tcPr>
            <w:tcW w:w="697" w:type="dxa"/>
            <w:tcBorders>
              <w:top w:val="nil"/>
              <w:left w:val="nil"/>
              <w:bottom w:val="nil"/>
              <w:right w:val="nil"/>
            </w:tcBorders>
            <w:shd w:val="clear" w:color="auto" w:fill="auto"/>
            <w:noWrap/>
            <w:vAlign w:val="center"/>
            <w:hideMark/>
          </w:tcPr>
          <w:p w14:paraId="779315AA" w14:textId="2A64D80C" w:rsidR="00FC5D79" w:rsidRPr="00D92E20" w:rsidRDefault="00FC5D79" w:rsidP="00FC5D79">
            <w:pPr>
              <w:spacing w:after="0" w:line="240" w:lineRule="auto"/>
              <w:jc w:val="center"/>
              <w:rPr>
                <w:rFonts w:cs="Arial"/>
                <w:color w:val="000000"/>
                <w:sz w:val="16"/>
                <w:szCs w:val="16"/>
              </w:rPr>
            </w:pPr>
            <w:r>
              <w:rPr>
                <w:rFonts w:cs="Arial"/>
                <w:sz w:val="16"/>
                <w:szCs w:val="16"/>
              </w:rPr>
              <w:t>14,5</w:t>
            </w:r>
          </w:p>
        </w:tc>
        <w:tc>
          <w:tcPr>
            <w:tcW w:w="697" w:type="dxa"/>
            <w:tcBorders>
              <w:top w:val="nil"/>
              <w:left w:val="nil"/>
              <w:bottom w:val="nil"/>
              <w:right w:val="nil"/>
            </w:tcBorders>
            <w:shd w:val="clear" w:color="auto" w:fill="auto"/>
            <w:noWrap/>
            <w:vAlign w:val="center"/>
            <w:hideMark/>
          </w:tcPr>
          <w:p w14:paraId="60B31E41" w14:textId="7DC4FDD2" w:rsidR="00FC5D79" w:rsidRPr="00D92E20" w:rsidRDefault="00FC5D79" w:rsidP="00FC5D79">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529C9B6C" w14:textId="0517F5B2" w:rsidR="00FC5D79" w:rsidRPr="00D92E20" w:rsidRDefault="00FC5D79" w:rsidP="00FC5D79">
            <w:pPr>
              <w:spacing w:after="0" w:line="240" w:lineRule="auto"/>
              <w:jc w:val="center"/>
              <w:rPr>
                <w:rFonts w:cs="Arial"/>
                <w:color w:val="000000"/>
                <w:sz w:val="16"/>
                <w:szCs w:val="16"/>
              </w:rPr>
            </w:pPr>
            <w:r>
              <w:rPr>
                <w:rFonts w:cs="Arial"/>
                <w:sz w:val="16"/>
                <w:szCs w:val="16"/>
              </w:rPr>
              <w:t>16,6</w:t>
            </w:r>
          </w:p>
        </w:tc>
        <w:tc>
          <w:tcPr>
            <w:tcW w:w="697" w:type="dxa"/>
            <w:tcBorders>
              <w:top w:val="nil"/>
              <w:left w:val="nil"/>
              <w:bottom w:val="nil"/>
              <w:right w:val="nil"/>
            </w:tcBorders>
            <w:shd w:val="clear" w:color="auto" w:fill="auto"/>
            <w:noWrap/>
            <w:vAlign w:val="center"/>
            <w:hideMark/>
          </w:tcPr>
          <w:p w14:paraId="5D036915" w14:textId="4DFF74D7" w:rsidR="00FC5D79" w:rsidRPr="00D92E20" w:rsidRDefault="00FC5D79" w:rsidP="00FC5D79">
            <w:pPr>
              <w:spacing w:after="0" w:line="240" w:lineRule="auto"/>
              <w:jc w:val="center"/>
              <w:rPr>
                <w:rFonts w:cs="Arial"/>
                <w:color w:val="000000"/>
                <w:sz w:val="16"/>
                <w:szCs w:val="16"/>
              </w:rPr>
            </w:pPr>
            <w:r>
              <w:rPr>
                <w:rFonts w:cs="Arial"/>
                <w:color w:val="000000"/>
                <w:sz w:val="16"/>
                <w:szCs w:val="16"/>
              </w:rPr>
              <w:t>16,1</w:t>
            </w:r>
          </w:p>
        </w:tc>
        <w:tc>
          <w:tcPr>
            <w:tcW w:w="697" w:type="dxa"/>
            <w:tcBorders>
              <w:top w:val="nil"/>
              <w:left w:val="nil"/>
              <w:bottom w:val="nil"/>
              <w:right w:val="nil"/>
            </w:tcBorders>
            <w:shd w:val="clear" w:color="auto" w:fill="auto"/>
            <w:noWrap/>
            <w:vAlign w:val="center"/>
            <w:hideMark/>
          </w:tcPr>
          <w:p w14:paraId="66E32537" w14:textId="0F1B38C5" w:rsidR="00FC5D79" w:rsidRPr="00D92E20" w:rsidRDefault="00FC5D79" w:rsidP="00FC5D79">
            <w:pPr>
              <w:spacing w:after="0" w:line="240" w:lineRule="auto"/>
              <w:jc w:val="center"/>
              <w:rPr>
                <w:rFonts w:cs="Arial"/>
                <w:color w:val="000000"/>
                <w:sz w:val="16"/>
                <w:szCs w:val="16"/>
              </w:rPr>
            </w:pPr>
            <w:r>
              <w:rPr>
                <w:rFonts w:cs="Arial"/>
                <w:color w:val="000000"/>
                <w:sz w:val="16"/>
                <w:szCs w:val="16"/>
              </w:rPr>
              <w:t>16,7</w:t>
            </w:r>
          </w:p>
        </w:tc>
        <w:tc>
          <w:tcPr>
            <w:tcW w:w="697" w:type="dxa"/>
            <w:tcBorders>
              <w:top w:val="nil"/>
              <w:left w:val="nil"/>
              <w:bottom w:val="nil"/>
              <w:right w:val="nil"/>
            </w:tcBorders>
            <w:shd w:val="clear" w:color="auto" w:fill="auto"/>
            <w:noWrap/>
            <w:vAlign w:val="center"/>
            <w:hideMark/>
          </w:tcPr>
          <w:p w14:paraId="33179FF9" w14:textId="7D32C667" w:rsidR="00FC5D79" w:rsidRPr="00D92E20" w:rsidRDefault="00FC5D79" w:rsidP="00FC5D79">
            <w:pPr>
              <w:spacing w:after="0" w:line="240" w:lineRule="auto"/>
              <w:jc w:val="center"/>
              <w:rPr>
                <w:rFonts w:cs="Arial"/>
                <w:color w:val="000000"/>
                <w:sz w:val="16"/>
                <w:szCs w:val="16"/>
              </w:rPr>
            </w:pPr>
            <w:r>
              <w:rPr>
                <w:rFonts w:cs="Arial"/>
                <w:color w:val="000000"/>
                <w:sz w:val="16"/>
                <w:szCs w:val="16"/>
              </w:rPr>
              <w:t>17,8</w:t>
            </w:r>
          </w:p>
        </w:tc>
        <w:tc>
          <w:tcPr>
            <w:tcW w:w="697" w:type="dxa"/>
            <w:tcBorders>
              <w:top w:val="nil"/>
              <w:left w:val="nil"/>
              <w:bottom w:val="nil"/>
              <w:right w:val="nil"/>
            </w:tcBorders>
            <w:shd w:val="clear" w:color="auto" w:fill="auto"/>
            <w:noWrap/>
            <w:vAlign w:val="center"/>
            <w:hideMark/>
          </w:tcPr>
          <w:p w14:paraId="2C60EA00" w14:textId="2F23F857" w:rsidR="00FC5D79" w:rsidRPr="00D92E20" w:rsidRDefault="00FC5D79" w:rsidP="00FC5D79">
            <w:pPr>
              <w:spacing w:after="0" w:line="240" w:lineRule="auto"/>
              <w:jc w:val="center"/>
              <w:rPr>
                <w:rFonts w:cs="Arial"/>
                <w:color w:val="000000"/>
                <w:sz w:val="16"/>
                <w:szCs w:val="16"/>
              </w:rPr>
            </w:pPr>
            <w:r>
              <w:rPr>
                <w:rFonts w:cs="Arial"/>
                <w:color w:val="000000"/>
                <w:sz w:val="16"/>
                <w:szCs w:val="16"/>
              </w:rPr>
              <w:t>16,6</w:t>
            </w:r>
          </w:p>
        </w:tc>
        <w:tc>
          <w:tcPr>
            <w:tcW w:w="697" w:type="dxa"/>
            <w:tcBorders>
              <w:top w:val="nil"/>
              <w:left w:val="nil"/>
              <w:bottom w:val="nil"/>
              <w:right w:val="nil"/>
            </w:tcBorders>
            <w:shd w:val="clear" w:color="auto" w:fill="auto"/>
            <w:noWrap/>
            <w:vAlign w:val="center"/>
            <w:hideMark/>
          </w:tcPr>
          <w:p w14:paraId="1CFDD3F9" w14:textId="60B8E22F" w:rsidR="00FC5D79" w:rsidRPr="00D92E20" w:rsidRDefault="00FC5D79" w:rsidP="00FC5D79">
            <w:pPr>
              <w:spacing w:after="0" w:line="240" w:lineRule="auto"/>
              <w:jc w:val="center"/>
              <w:rPr>
                <w:rFonts w:cs="Arial"/>
                <w:color w:val="000000"/>
                <w:sz w:val="16"/>
                <w:szCs w:val="16"/>
              </w:rPr>
            </w:pPr>
            <w:r>
              <w:rPr>
                <w:rFonts w:cs="Arial"/>
                <w:color w:val="000000"/>
                <w:sz w:val="16"/>
                <w:szCs w:val="16"/>
              </w:rPr>
              <w:t>18,2</w:t>
            </w:r>
          </w:p>
        </w:tc>
        <w:tc>
          <w:tcPr>
            <w:tcW w:w="697" w:type="dxa"/>
            <w:tcBorders>
              <w:top w:val="nil"/>
              <w:left w:val="nil"/>
              <w:bottom w:val="nil"/>
              <w:right w:val="nil"/>
            </w:tcBorders>
            <w:shd w:val="clear" w:color="auto" w:fill="auto"/>
            <w:noWrap/>
            <w:vAlign w:val="center"/>
            <w:hideMark/>
          </w:tcPr>
          <w:p w14:paraId="50B9C65B" w14:textId="76D45FA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21,7</w:t>
            </w:r>
          </w:p>
        </w:tc>
      </w:tr>
      <w:tr w:rsidR="00FC5D79" w:rsidRPr="00D92E20" w14:paraId="65794476"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6CA9983"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56FF47C" w14:textId="3CA35699" w:rsidR="00FC5D79" w:rsidRPr="00D92E20" w:rsidRDefault="00FC5D79" w:rsidP="00FC5D79">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730304DF" w14:textId="22CA78C3" w:rsidR="00FC5D79" w:rsidRPr="00D92E20" w:rsidRDefault="00FC5D79" w:rsidP="00FC5D79">
            <w:pPr>
              <w:spacing w:after="0" w:line="240" w:lineRule="auto"/>
              <w:jc w:val="center"/>
              <w:rPr>
                <w:rFonts w:cs="Arial"/>
                <w:color w:val="000000"/>
                <w:sz w:val="16"/>
                <w:szCs w:val="16"/>
              </w:rPr>
            </w:pPr>
            <w:r>
              <w:rPr>
                <w:rFonts w:cs="Arial"/>
                <w:sz w:val="16"/>
                <w:szCs w:val="16"/>
              </w:rPr>
              <w:t>14,1</w:t>
            </w:r>
          </w:p>
        </w:tc>
        <w:tc>
          <w:tcPr>
            <w:tcW w:w="697" w:type="dxa"/>
            <w:tcBorders>
              <w:top w:val="nil"/>
              <w:left w:val="nil"/>
              <w:bottom w:val="nil"/>
              <w:right w:val="nil"/>
            </w:tcBorders>
            <w:shd w:val="clear" w:color="auto" w:fill="auto"/>
            <w:noWrap/>
            <w:vAlign w:val="center"/>
            <w:hideMark/>
          </w:tcPr>
          <w:p w14:paraId="55DED852" w14:textId="09D71BF7" w:rsidR="00FC5D79" w:rsidRPr="00D92E20" w:rsidRDefault="00FC5D79" w:rsidP="00FC5D79">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611D9EA0" w14:textId="0DFE6FF3" w:rsidR="00FC5D79" w:rsidRPr="00D92E20" w:rsidRDefault="00FC5D79" w:rsidP="00FC5D79">
            <w:pPr>
              <w:spacing w:after="0" w:line="240" w:lineRule="auto"/>
              <w:jc w:val="center"/>
              <w:rPr>
                <w:rFonts w:cs="Arial"/>
                <w:color w:val="000000"/>
                <w:sz w:val="16"/>
                <w:szCs w:val="16"/>
              </w:rPr>
            </w:pPr>
            <w:r>
              <w:rPr>
                <w:rFonts w:cs="Arial"/>
                <w:sz w:val="16"/>
                <w:szCs w:val="16"/>
              </w:rPr>
              <w:t>16,1</w:t>
            </w:r>
          </w:p>
        </w:tc>
        <w:tc>
          <w:tcPr>
            <w:tcW w:w="697" w:type="dxa"/>
            <w:tcBorders>
              <w:top w:val="nil"/>
              <w:left w:val="nil"/>
              <w:bottom w:val="nil"/>
              <w:right w:val="nil"/>
            </w:tcBorders>
            <w:shd w:val="clear" w:color="auto" w:fill="auto"/>
            <w:noWrap/>
            <w:vAlign w:val="center"/>
            <w:hideMark/>
          </w:tcPr>
          <w:p w14:paraId="485B3BFD" w14:textId="6F742657" w:rsidR="00FC5D79" w:rsidRPr="00D92E20" w:rsidRDefault="00FC5D79" w:rsidP="00FC5D79">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6F1926E8" w14:textId="68C4A52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20,7</w:t>
            </w:r>
          </w:p>
        </w:tc>
        <w:tc>
          <w:tcPr>
            <w:tcW w:w="697" w:type="dxa"/>
            <w:tcBorders>
              <w:top w:val="nil"/>
              <w:left w:val="nil"/>
              <w:bottom w:val="nil"/>
              <w:right w:val="nil"/>
            </w:tcBorders>
            <w:shd w:val="clear" w:color="auto" w:fill="auto"/>
            <w:noWrap/>
            <w:vAlign w:val="center"/>
            <w:hideMark/>
          </w:tcPr>
          <w:p w14:paraId="32F695DB" w14:textId="4C4D843D"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21,6</w:t>
            </w:r>
          </w:p>
        </w:tc>
        <w:tc>
          <w:tcPr>
            <w:tcW w:w="697" w:type="dxa"/>
            <w:tcBorders>
              <w:top w:val="nil"/>
              <w:left w:val="nil"/>
              <w:bottom w:val="nil"/>
              <w:right w:val="nil"/>
            </w:tcBorders>
            <w:shd w:val="clear" w:color="auto" w:fill="auto"/>
            <w:noWrap/>
            <w:vAlign w:val="center"/>
            <w:hideMark/>
          </w:tcPr>
          <w:p w14:paraId="38DFCAE6" w14:textId="55061C0F"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7C77B94F" w14:textId="578B04F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180D1126" w14:textId="64DF3649"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4857A59D" w14:textId="431100A3" w:rsidR="00FC5D79" w:rsidRPr="00D92E20" w:rsidRDefault="00FC5D79" w:rsidP="00FC5D79">
            <w:pPr>
              <w:spacing w:after="0" w:line="240" w:lineRule="auto"/>
              <w:jc w:val="center"/>
              <w:rPr>
                <w:rFonts w:cs="Arial"/>
                <w:color w:val="000000"/>
                <w:sz w:val="16"/>
                <w:szCs w:val="16"/>
              </w:rPr>
            </w:pPr>
            <w:r>
              <w:rPr>
                <w:rFonts w:cs="Arial"/>
                <w:color w:val="000000"/>
                <w:sz w:val="16"/>
                <w:szCs w:val="16"/>
              </w:rPr>
              <w:t>33,9</w:t>
            </w:r>
          </w:p>
        </w:tc>
      </w:tr>
      <w:tr w:rsidR="00FC5D79" w:rsidRPr="00D92E20" w14:paraId="210F9474"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444731"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6E6C2B51" w14:textId="352F1940" w:rsidR="00FC5D79" w:rsidRPr="00D92E20" w:rsidRDefault="00FC5D79" w:rsidP="00FC5D79">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46C6C0D4" w14:textId="74CBF944" w:rsidR="00FC5D79" w:rsidRPr="00D92E20" w:rsidRDefault="00FC5D79" w:rsidP="00FC5D79">
            <w:pPr>
              <w:spacing w:after="0" w:line="240" w:lineRule="auto"/>
              <w:jc w:val="center"/>
              <w:rPr>
                <w:rFonts w:cs="Arial"/>
                <w:color w:val="000000"/>
                <w:sz w:val="16"/>
                <w:szCs w:val="16"/>
              </w:rPr>
            </w:pPr>
            <w:r>
              <w:rPr>
                <w:rFonts w:cs="Arial"/>
                <w:sz w:val="16"/>
                <w:szCs w:val="16"/>
              </w:rPr>
              <w:t>14,9</w:t>
            </w:r>
          </w:p>
        </w:tc>
        <w:tc>
          <w:tcPr>
            <w:tcW w:w="697" w:type="dxa"/>
            <w:tcBorders>
              <w:top w:val="nil"/>
              <w:left w:val="nil"/>
              <w:bottom w:val="nil"/>
              <w:right w:val="nil"/>
            </w:tcBorders>
            <w:shd w:val="clear" w:color="auto" w:fill="auto"/>
            <w:noWrap/>
            <w:vAlign w:val="center"/>
            <w:hideMark/>
          </w:tcPr>
          <w:p w14:paraId="51E06F57" w14:textId="75C30682" w:rsidR="00FC5D79" w:rsidRPr="00D92E20" w:rsidRDefault="00FC5D79" w:rsidP="00FC5D79">
            <w:pPr>
              <w:spacing w:after="0" w:line="240" w:lineRule="auto"/>
              <w:jc w:val="center"/>
              <w:rPr>
                <w:rFonts w:cs="Arial"/>
                <w:color w:val="000000"/>
                <w:sz w:val="16"/>
                <w:szCs w:val="16"/>
              </w:rPr>
            </w:pPr>
            <w:r>
              <w:rPr>
                <w:rFonts w:cs="Arial"/>
                <w:sz w:val="16"/>
                <w:szCs w:val="16"/>
              </w:rPr>
              <w:t>19,7</w:t>
            </w:r>
          </w:p>
        </w:tc>
        <w:tc>
          <w:tcPr>
            <w:tcW w:w="697" w:type="dxa"/>
            <w:tcBorders>
              <w:top w:val="nil"/>
              <w:left w:val="nil"/>
              <w:bottom w:val="nil"/>
              <w:right w:val="nil"/>
            </w:tcBorders>
            <w:shd w:val="clear" w:color="auto" w:fill="auto"/>
            <w:noWrap/>
            <w:vAlign w:val="center"/>
            <w:hideMark/>
          </w:tcPr>
          <w:p w14:paraId="2A1C2CC8" w14:textId="323B63FC" w:rsidR="00FC5D79" w:rsidRPr="00D92E20" w:rsidRDefault="00FC5D79" w:rsidP="00FC5D79">
            <w:pPr>
              <w:spacing w:after="0" w:line="240" w:lineRule="auto"/>
              <w:jc w:val="center"/>
              <w:rPr>
                <w:rFonts w:cs="Arial"/>
                <w:color w:val="000000"/>
                <w:sz w:val="16"/>
                <w:szCs w:val="16"/>
              </w:rPr>
            </w:pPr>
            <w:r>
              <w:rPr>
                <w:rFonts w:cs="Arial"/>
                <w:sz w:val="16"/>
                <w:szCs w:val="16"/>
              </w:rPr>
              <w:t>17,1</w:t>
            </w:r>
          </w:p>
        </w:tc>
        <w:tc>
          <w:tcPr>
            <w:tcW w:w="697" w:type="dxa"/>
            <w:tcBorders>
              <w:top w:val="nil"/>
              <w:left w:val="nil"/>
              <w:bottom w:val="nil"/>
              <w:right w:val="nil"/>
            </w:tcBorders>
            <w:shd w:val="clear" w:color="auto" w:fill="auto"/>
            <w:noWrap/>
            <w:vAlign w:val="center"/>
            <w:hideMark/>
          </w:tcPr>
          <w:p w14:paraId="15EEB5C6" w14:textId="2370A390" w:rsidR="00FC5D79" w:rsidRPr="00D92E20" w:rsidRDefault="00FC5D79" w:rsidP="00FC5D79">
            <w:pPr>
              <w:spacing w:after="0" w:line="240" w:lineRule="auto"/>
              <w:jc w:val="center"/>
              <w:rPr>
                <w:rFonts w:cs="Arial"/>
                <w:color w:val="000000"/>
                <w:sz w:val="16"/>
                <w:szCs w:val="16"/>
              </w:rPr>
            </w:pPr>
            <w:r>
              <w:rPr>
                <w:rFonts w:cs="Arial"/>
                <w:sz w:val="16"/>
                <w:szCs w:val="16"/>
              </w:rPr>
              <w:t>22,4</w:t>
            </w:r>
          </w:p>
        </w:tc>
        <w:tc>
          <w:tcPr>
            <w:tcW w:w="697" w:type="dxa"/>
            <w:tcBorders>
              <w:top w:val="nil"/>
              <w:left w:val="nil"/>
              <w:bottom w:val="nil"/>
              <w:right w:val="nil"/>
            </w:tcBorders>
            <w:shd w:val="clear" w:color="auto" w:fill="auto"/>
            <w:noWrap/>
            <w:vAlign w:val="center"/>
            <w:hideMark/>
          </w:tcPr>
          <w:p w14:paraId="01C01A7D" w14:textId="2AE38406"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41C4F1AC" w14:textId="186CAEF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3B78192C" w14:textId="1FB8CFA0"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24,8</w:t>
            </w:r>
          </w:p>
        </w:tc>
        <w:tc>
          <w:tcPr>
            <w:tcW w:w="697" w:type="dxa"/>
            <w:tcBorders>
              <w:top w:val="nil"/>
              <w:left w:val="nil"/>
              <w:bottom w:val="nil"/>
              <w:right w:val="nil"/>
            </w:tcBorders>
            <w:shd w:val="clear" w:color="auto" w:fill="auto"/>
            <w:noWrap/>
            <w:vAlign w:val="center"/>
            <w:hideMark/>
          </w:tcPr>
          <w:p w14:paraId="096A749F" w14:textId="36931D45"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22,6</w:t>
            </w:r>
          </w:p>
        </w:tc>
        <w:tc>
          <w:tcPr>
            <w:tcW w:w="697" w:type="dxa"/>
            <w:tcBorders>
              <w:top w:val="nil"/>
              <w:left w:val="nil"/>
              <w:bottom w:val="nil"/>
              <w:right w:val="nil"/>
            </w:tcBorders>
            <w:shd w:val="clear" w:color="auto" w:fill="auto"/>
            <w:noWrap/>
            <w:vAlign w:val="center"/>
            <w:hideMark/>
          </w:tcPr>
          <w:p w14:paraId="54089DC0" w14:textId="799EADD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6998AC1C" w14:textId="0F578676" w:rsidR="00FC5D79" w:rsidRPr="00D92E20" w:rsidRDefault="00FC5D79" w:rsidP="00FC5D79">
            <w:pPr>
              <w:spacing w:after="0" w:line="240" w:lineRule="auto"/>
              <w:jc w:val="center"/>
              <w:rPr>
                <w:rFonts w:cs="Arial"/>
                <w:color w:val="000000"/>
                <w:sz w:val="16"/>
                <w:szCs w:val="16"/>
              </w:rPr>
            </w:pPr>
            <w:r>
              <w:rPr>
                <w:rFonts w:cs="Arial"/>
                <w:color w:val="000000"/>
                <w:sz w:val="16"/>
                <w:szCs w:val="16"/>
              </w:rPr>
              <w:t>33,1</w:t>
            </w:r>
          </w:p>
        </w:tc>
      </w:tr>
      <w:tr w:rsidR="00FC5D79" w:rsidRPr="00D92E20" w14:paraId="28924A07"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DBED74B"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4D563814" w14:textId="1EC849F1" w:rsidR="00FC5D79" w:rsidRPr="00D92E20" w:rsidRDefault="00FC5D79" w:rsidP="00FC5D79">
            <w:pPr>
              <w:spacing w:after="0" w:line="240" w:lineRule="auto"/>
              <w:jc w:val="center"/>
              <w:rPr>
                <w:rFonts w:cs="Arial"/>
                <w:color w:val="000000"/>
                <w:sz w:val="16"/>
                <w:szCs w:val="16"/>
              </w:rPr>
            </w:pPr>
            <w:r>
              <w:rPr>
                <w:rFonts w:cs="Arial"/>
                <w:sz w:val="16"/>
                <w:szCs w:val="16"/>
              </w:rPr>
              <w:t>19,1</w:t>
            </w:r>
          </w:p>
        </w:tc>
        <w:tc>
          <w:tcPr>
            <w:tcW w:w="697" w:type="dxa"/>
            <w:tcBorders>
              <w:top w:val="nil"/>
              <w:left w:val="nil"/>
              <w:bottom w:val="nil"/>
              <w:right w:val="nil"/>
            </w:tcBorders>
            <w:shd w:val="clear" w:color="auto" w:fill="auto"/>
            <w:noWrap/>
            <w:vAlign w:val="center"/>
            <w:hideMark/>
          </w:tcPr>
          <w:p w14:paraId="7FB23D64" w14:textId="3B047B92" w:rsidR="00FC5D79" w:rsidRPr="00D92E20" w:rsidRDefault="00FC5D79" w:rsidP="00FC5D79">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73EA1545" w14:textId="0593F2C1" w:rsidR="00FC5D79" w:rsidRPr="00D92E20" w:rsidRDefault="00FC5D79" w:rsidP="00FC5D79">
            <w:pPr>
              <w:spacing w:after="0" w:line="240" w:lineRule="auto"/>
              <w:jc w:val="center"/>
              <w:rPr>
                <w:rFonts w:cs="Arial"/>
                <w:color w:val="000000"/>
                <w:sz w:val="16"/>
                <w:szCs w:val="16"/>
              </w:rPr>
            </w:pPr>
            <w:r>
              <w:rPr>
                <w:rFonts w:cs="Arial"/>
                <w:sz w:val="16"/>
                <w:szCs w:val="16"/>
              </w:rPr>
              <w:t>19,8</w:t>
            </w:r>
          </w:p>
        </w:tc>
        <w:tc>
          <w:tcPr>
            <w:tcW w:w="697" w:type="dxa"/>
            <w:tcBorders>
              <w:top w:val="nil"/>
              <w:left w:val="nil"/>
              <w:bottom w:val="nil"/>
              <w:right w:val="nil"/>
            </w:tcBorders>
            <w:shd w:val="clear" w:color="auto" w:fill="auto"/>
            <w:noWrap/>
            <w:vAlign w:val="center"/>
            <w:hideMark/>
          </w:tcPr>
          <w:p w14:paraId="763EE04A" w14:textId="50AF0C04" w:rsidR="00FC5D79" w:rsidRPr="00D92E20" w:rsidRDefault="00FC5D79" w:rsidP="00FC5D79">
            <w:pPr>
              <w:spacing w:after="0" w:line="240" w:lineRule="auto"/>
              <w:jc w:val="center"/>
              <w:rPr>
                <w:rFonts w:cs="Arial"/>
                <w:color w:val="000000"/>
                <w:sz w:val="16"/>
                <w:szCs w:val="16"/>
              </w:rPr>
            </w:pPr>
            <w:r>
              <w:rPr>
                <w:rFonts w:cs="Arial"/>
                <w:sz w:val="16"/>
                <w:szCs w:val="16"/>
              </w:rPr>
              <w:t>18,2</w:t>
            </w:r>
          </w:p>
        </w:tc>
        <w:tc>
          <w:tcPr>
            <w:tcW w:w="697" w:type="dxa"/>
            <w:tcBorders>
              <w:top w:val="nil"/>
              <w:left w:val="nil"/>
              <w:bottom w:val="nil"/>
              <w:right w:val="nil"/>
            </w:tcBorders>
            <w:shd w:val="clear" w:color="auto" w:fill="auto"/>
            <w:noWrap/>
            <w:vAlign w:val="center"/>
            <w:hideMark/>
          </w:tcPr>
          <w:p w14:paraId="652F6A32" w14:textId="79CEC598" w:rsidR="00FC5D79" w:rsidRPr="00D92E20" w:rsidRDefault="00FC5D79" w:rsidP="00FC5D79">
            <w:pPr>
              <w:spacing w:after="0" w:line="240" w:lineRule="auto"/>
              <w:jc w:val="center"/>
              <w:rPr>
                <w:rFonts w:cs="Arial"/>
                <w:color w:val="000000"/>
                <w:sz w:val="16"/>
                <w:szCs w:val="16"/>
              </w:rPr>
            </w:pPr>
            <w:r>
              <w:rPr>
                <w:rFonts w:cs="Arial"/>
                <w:sz w:val="16"/>
                <w:szCs w:val="16"/>
              </w:rPr>
              <w:t>24,0</w:t>
            </w:r>
          </w:p>
        </w:tc>
        <w:tc>
          <w:tcPr>
            <w:tcW w:w="697" w:type="dxa"/>
            <w:tcBorders>
              <w:top w:val="nil"/>
              <w:left w:val="nil"/>
              <w:bottom w:val="nil"/>
              <w:right w:val="nil"/>
            </w:tcBorders>
            <w:shd w:val="clear" w:color="auto" w:fill="auto"/>
            <w:noWrap/>
            <w:vAlign w:val="center"/>
            <w:hideMark/>
          </w:tcPr>
          <w:p w14:paraId="6709EEFB" w14:textId="09597C79"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22,8</w:t>
            </w:r>
          </w:p>
        </w:tc>
        <w:tc>
          <w:tcPr>
            <w:tcW w:w="697" w:type="dxa"/>
            <w:tcBorders>
              <w:top w:val="nil"/>
              <w:left w:val="nil"/>
              <w:bottom w:val="nil"/>
              <w:right w:val="nil"/>
            </w:tcBorders>
            <w:shd w:val="clear" w:color="auto" w:fill="auto"/>
            <w:noWrap/>
            <w:vAlign w:val="center"/>
            <w:hideMark/>
          </w:tcPr>
          <w:p w14:paraId="032205D4" w14:textId="77C82DF2"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24,5</w:t>
            </w:r>
          </w:p>
        </w:tc>
        <w:tc>
          <w:tcPr>
            <w:tcW w:w="697" w:type="dxa"/>
            <w:tcBorders>
              <w:top w:val="nil"/>
              <w:left w:val="nil"/>
              <w:bottom w:val="nil"/>
              <w:right w:val="nil"/>
            </w:tcBorders>
            <w:shd w:val="clear" w:color="auto" w:fill="auto"/>
            <w:noWrap/>
            <w:vAlign w:val="center"/>
            <w:hideMark/>
          </w:tcPr>
          <w:p w14:paraId="4B46460B" w14:textId="33BE41B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26,2</w:t>
            </w:r>
          </w:p>
        </w:tc>
        <w:tc>
          <w:tcPr>
            <w:tcW w:w="697" w:type="dxa"/>
            <w:tcBorders>
              <w:top w:val="nil"/>
              <w:left w:val="nil"/>
              <w:bottom w:val="nil"/>
              <w:right w:val="nil"/>
            </w:tcBorders>
            <w:shd w:val="clear" w:color="auto" w:fill="auto"/>
            <w:noWrap/>
            <w:vAlign w:val="center"/>
            <w:hideMark/>
          </w:tcPr>
          <w:p w14:paraId="61F9FE65" w14:textId="0CD5006A"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24,1</w:t>
            </w:r>
          </w:p>
        </w:tc>
        <w:tc>
          <w:tcPr>
            <w:tcW w:w="697" w:type="dxa"/>
            <w:tcBorders>
              <w:top w:val="nil"/>
              <w:left w:val="nil"/>
              <w:bottom w:val="nil"/>
              <w:right w:val="nil"/>
            </w:tcBorders>
            <w:shd w:val="clear" w:color="auto" w:fill="auto"/>
            <w:noWrap/>
            <w:vAlign w:val="center"/>
            <w:hideMark/>
          </w:tcPr>
          <w:p w14:paraId="4EA156D6" w14:textId="0953FAAD"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1E8D2A08" w14:textId="0D00C4B7" w:rsidR="00FC5D79" w:rsidRPr="00D92E20" w:rsidRDefault="00FC5D79" w:rsidP="00FC5D79">
            <w:pPr>
              <w:spacing w:after="0" w:line="240" w:lineRule="auto"/>
              <w:jc w:val="center"/>
              <w:rPr>
                <w:rFonts w:cs="Arial"/>
                <w:color w:val="000000"/>
                <w:sz w:val="16"/>
                <w:szCs w:val="16"/>
              </w:rPr>
            </w:pPr>
            <w:r>
              <w:rPr>
                <w:rFonts w:cs="Arial"/>
                <w:color w:val="000000"/>
                <w:sz w:val="16"/>
                <w:szCs w:val="16"/>
              </w:rPr>
              <w:t>37,3</w:t>
            </w:r>
          </w:p>
        </w:tc>
      </w:tr>
      <w:tr w:rsidR="00FC5D79" w:rsidRPr="00D92E20" w14:paraId="1628DC7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0F2EAF36"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0D0454BB" w14:textId="70256A3E" w:rsidR="00FC5D79" w:rsidRPr="00D92E20" w:rsidRDefault="00FC5D79" w:rsidP="00FC5D79">
            <w:pPr>
              <w:spacing w:after="0" w:line="240" w:lineRule="auto"/>
              <w:jc w:val="center"/>
              <w:rPr>
                <w:rFonts w:cs="Arial"/>
                <w:color w:val="000000"/>
                <w:sz w:val="16"/>
                <w:szCs w:val="16"/>
              </w:rPr>
            </w:pPr>
            <w:r>
              <w:rPr>
                <w:rFonts w:cs="Arial"/>
                <w:sz w:val="16"/>
                <w:szCs w:val="16"/>
              </w:rPr>
              <w:t>18,0</w:t>
            </w:r>
          </w:p>
        </w:tc>
        <w:tc>
          <w:tcPr>
            <w:tcW w:w="697" w:type="dxa"/>
            <w:tcBorders>
              <w:top w:val="nil"/>
              <w:left w:val="nil"/>
              <w:bottom w:val="nil"/>
              <w:right w:val="nil"/>
            </w:tcBorders>
            <w:shd w:val="clear" w:color="auto" w:fill="auto"/>
            <w:noWrap/>
            <w:vAlign w:val="center"/>
            <w:hideMark/>
          </w:tcPr>
          <w:p w14:paraId="7A33408E" w14:textId="00DD6FFB" w:rsidR="00FC5D79" w:rsidRPr="00D92E20" w:rsidRDefault="00FC5D79" w:rsidP="00FC5D79">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1B407163" w14:textId="6DDFFEC8" w:rsidR="00FC5D79" w:rsidRPr="00D92E20" w:rsidRDefault="00FC5D79" w:rsidP="00FC5D79">
            <w:pPr>
              <w:spacing w:after="0" w:line="240" w:lineRule="auto"/>
              <w:jc w:val="center"/>
              <w:rPr>
                <w:rFonts w:cs="Arial"/>
                <w:color w:val="000000"/>
                <w:sz w:val="16"/>
                <w:szCs w:val="16"/>
              </w:rPr>
            </w:pPr>
            <w:r>
              <w:rPr>
                <w:rFonts w:cs="Arial"/>
                <w:sz w:val="16"/>
                <w:szCs w:val="16"/>
              </w:rPr>
              <w:t>18,4</w:t>
            </w:r>
          </w:p>
        </w:tc>
        <w:tc>
          <w:tcPr>
            <w:tcW w:w="697" w:type="dxa"/>
            <w:tcBorders>
              <w:top w:val="nil"/>
              <w:left w:val="nil"/>
              <w:bottom w:val="nil"/>
              <w:right w:val="nil"/>
            </w:tcBorders>
            <w:shd w:val="clear" w:color="auto" w:fill="auto"/>
            <w:noWrap/>
            <w:vAlign w:val="center"/>
            <w:hideMark/>
          </w:tcPr>
          <w:p w14:paraId="124AA8BA" w14:textId="7D5DADED" w:rsidR="00FC5D79" w:rsidRPr="00D92E20" w:rsidRDefault="00FC5D79" w:rsidP="00FC5D79">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55379F2B" w14:textId="5B597057" w:rsidR="00FC5D79" w:rsidRPr="00D92E20" w:rsidRDefault="00FC5D79" w:rsidP="00FC5D79">
            <w:pPr>
              <w:spacing w:after="0" w:line="240" w:lineRule="auto"/>
              <w:jc w:val="center"/>
              <w:rPr>
                <w:rFonts w:cs="Arial"/>
                <w:color w:val="000000"/>
                <w:sz w:val="16"/>
                <w:szCs w:val="16"/>
              </w:rPr>
            </w:pPr>
            <w:r>
              <w:rPr>
                <w:rFonts w:cs="Arial"/>
                <w:sz w:val="16"/>
                <w:szCs w:val="16"/>
              </w:rPr>
              <w:t>23,2</w:t>
            </w:r>
          </w:p>
        </w:tc>
        <w:tc>
          <w:tcPr>
            <w:tcW w:w="697" w:type="dxa"/>
            <w:tcBorders>
              <w:top w:val="nil"/>
              <w:left w:val="nil"/>
              <w:bottom w:val="nil"/>
              <w:right w:val="nil"/>
            </w:tcBorders>
            <w:shd w:val="clear" w:color="auto" w:fill="auto"/>
            <w:noWrap/>
            <w:vAlign w:val="center"/>
            <w:hideMark/>
          </w:tcPr>
          <w:p w14:paraId="51E205EB" w14:textId="1CD565F1"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6709E548" w14:textId="4631E99A"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23,2</w:t>
            </w:r>
          </w:p>
        </w:tc>
        <w:tc>
          <w:tcPr>
            <w:tcW w:w="697" w:type="dxa"/>
            <w:tcBorders>
              <w:top w:val="nil"/>
              <w:left w:val="nil"/>
              <w:bottom w:val="nil"/>
              <w:right w:val="nil"/>
            </w:tcBorders>
            <w:shd w:val="clear" w:color="auto" w:fill="auto"/>
            <w:noWrap/>
            <w:vAlign w:val="center"/>
            <w:hideMark/>
          </w:tcPr>
          <w:p w14:paraId="01ADDDFE" w14:textId="18BDA4A7"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0629FCCB" w14:textId="5DDB01E9"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23,3</w:t>
            </w:r>
          </w:p>
        </w:tc>
        <w:tc>
          <w:tcPr>
            <w:tcW w:w="697" w:type="dxa"/>
            <w:tcBorders>
              <w:top w:val="nil"/>
              <w:left w:val="nil"/>
              <w:bottom w:val="nil"/>
              <w:right w:val="nil"/>
            </w:tcBorders>
            <w:shd w:val="clear" w:color="auto" w:fill="auto"/>
            <w:noWrap/>
            <w:vAlign w:val="center"/>
            <w:hideMark/>
          </w:tcPr>
          <w:p w14:paraId="13D3AEF9" w14:textId="364A554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3AEC4BE8" w14:textId="6F083BD0" w:rsidR="00FC5D79" w:rsidRPr="00D92E20" w:rsidRDefault="00FC5D79" w:rsidP="00FC5D79">
            <w:pPr>
              <w:spacing w:after="0" w:line="240" w:lineRule="auto"/>
              <w:jc w:val="center"/>
              <w:rPr>
                <w:rFonts w:cs="Arial"/>
                <w:color w:val="000000"/>
                <w:sz w:val="16"/>
                <w:szCs w:val="16"/>
              </w:rPr>
            </w:pPr>
            <w:r>
              <w:rPr>
                <w:rFonts w:cs="Arial"/>
                <w:color w:val="000000"/>
                <w:sz w:val="16"/>
                <w:szCs w:val="16"/>
              </w:rPr>
              <w:t>36,7</w:t>
            </w:r>
          </w:p>
        </w:tc>
      </w:tr>
      <w:tr w:rsidR="00FC5D79" w:rsidRPr="00D92E20" w14:paraId="76EFBC1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89F5112"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52F5F914" w14:textId="4CC2D85D" w:rsidR="00FC5D79" w:rsidRPr="00D92E20" w:rsidRDefault="00FC5D79" w:rsidP="00FC5D79">
            <w:pPr>
              <w:spacing w:after="0" w:line="240" w:lineRule="auto"/>
              <w:jc w:val="center"/>
              <w:rPr>
                <w:rFonts w:cs="Arial"/>
                <w:color w:val="000000"/>
                <w:sz w:val="16"/>
                <w:szCs w:val="16"/>
              </w:rPr>
            </w:pPr>
            <w:r>
              <w:rPr>
                <w:rFonts w:cs="Arial"/>
                <w:sz w:val="16"/>
                <w:szCs w:val="16"/>
              </w:rPr>
              <w:t>16,5</w:t>
            </w:r>
          </w:p>
        </w:tc>
        <w:tc>
          <w:tcPr>
            <w:tcW w:w="697" w:type="dxa"/>
            <w:tcBorders>
              <w:top w:val="nil"/>
              <w:left w:val="nil"/>
              <w:bottom w:val="nil"/>
              <w:right w:val="nil"/>
            </w:tcBorders>
            <w:shd w:val="clear" w:color="auto" w:fill="auto"/>
            <w:noWrap/>
            <w:vAlign w:val="center"/>
            <w:hideMark/>
          </w:tcPr>
          <w:p w14:paraId="4161506D" w14:textId="349983C1" w:rsidR="00FC5D79" w:rsidRPr="00D92E20" w:rsidRDefault="00FC5D79" w:rsidP="00FC5D79">
            <w:pPr>
              <w:spacing w:after="0" w:line="240" w:lineRule="auto"/>
              <w:jc w:val="center"/>
              <w:rPr>
                <w:rFonts w:cs="Arial"/>
                <w:color w:val="000000"/>
                <w:sz w:val="16"/>
                <w:szCs w:val="16"/>
              </w:rPr>
            </w:pPr>
            <w:r>
              <w:rPr>
                <w:rFonts w:cs="Arial"/>
                <w:sz w:val="16"/>
                <w:szCs w:val="16"/>
              </w:rPr>
              <w:t>13,6</w:t>
            </w:r>
          </w:p>
        </w:tc>
        <w:tc>
          <w:tcPr>
            <w:tcW w:w="697" w:type="dxa"/>
            <w:tcBorders>
              <w:top w:val="nil"/>
              <w:left w:val="nil"/>
              <w:bottom w:val="nil"/>
              <w:right w:val="nil"/>
            </w:tcBorders>
            <w:shd w:val="clear" w:color="auto" w:fill="auto"/>
            <w:noWrap/>
            <w:vAlign w:val="center"/>
            <w:hideMark/>
          </w:tcPr>
          <w:p w14:paraId="4D574F79" w14:textId="0AB2BBA3" w:rsidR="00FC5D79" w:rsidRPr="00D92E20" w:rsidRDefault="00FC5D79" w:rsidP="00FC5D79">
            <w:pPr>
              <w:spacing w:after="0" w:line="240" w:lineRule="auto"/>
              <w:jc w:val="center"/>
              <w:rPr>
                <w:rFonts w:cs="Arial"/>
                <w:color w:val="000000"/>
                <w:sz w:val="16"/>
                <w:szCs w:val="16"/>
              </w:rPr>
            </w:pPr>
            <w:r>
              <w:rPr>
                <w:rFonts w:cs="Arial"/>
                <w:sz w:val="16"/>
                <w:szCs w:val="16"/>
              </w:rPr>
              <w:t>17,5</w:t>
            </w:r>
          </w:p>
        </w:tc>
        <w:tc>
          <w:tcPr>
            <w:tcW w:w="697" w:type="dxa"/>
            <w:tcBorders>
              <w:top w:val="nil"/>
              <w:left w:val="nil"/>
              <w:bottom w:val="nil"/>
              <w:right w:val="nil"/>
            </w:tcBorders>
            <w:shd w:val="clear" w:color="auto" w:fill="auto"/>
            <w:noWrap/>
            <w:vAlign w:val="center"/>
            <w:hideMark/>
          </w:tcPr>
          <w:p w14:paraId="2990A1AF" w14:textId="5A1575DB" w:rsidR="00FC5D79" w:rsidRPr="00D92E20" w:rsidRDefault="00FC5D79" w:rsidP="00FC5D79">
            <w:pPr>
              <w:spacing w:after="0" w:line="240" w:lineRule="auto"/>
              <w:jc w:val="center"/>
              <w:rPr>
                <w:rFonts w:cs="Arial"/>
                <w:color w:val="000000"/>
                <w:sz w:val="16"/>
                <w:szCs w:val="16"/>
              </w:rPr>
            </w:pPr>
            <w:r>
              <w:rPr>
                <w:rFonts w:cs="Arial"/>
                <w:sz w:val="16"/>
                <w:szCs w:val="16"/>
              </w:rPr>
              <w:t>15,4</w:t>
            </w:r>
          </w:p>
        </w:tc>
        <w:tc>
          <w:tcPr>
            <w:tcW w:w="697" w:type="dxa"/>
            <w:tcBorders>
              <w:top w:val="nil"/>
              <w:left w:val="nil"/>
              <w:bottom w:val="nil"/>
              <w:right w:val="nil"/>
            </w:tcBorders>
            <w:shd w:val="clear" w:color="auto" w:fill="auto"/>
            <w:noWrap/>
            <w:vAlign w:val="center"/>
            <w:hideMark/>
          </w:tcPr>
          <w:p w14:paraId="2C97906A" w14:textId="228EE550" w:rsidR="00FC5D79" w:rsidRPr="00D92E20" w:rsidRDefault="00FC5D79" w:rsidP="00FC5D79">
            <w:pPr>
              <w:spacing w:after="0" w:line="240" w:lineRule="auto"/>
              <w:jc w:val="center"/>
              <w:rPr>
                <w:rFonts w:cs="Arial"/>
                <w:color w:val="000000"/>
                <w:sz w:val="16"/>
                <w:szCs w:val="16"/>
              </w:rPr>
            </w:pPr>
            <w:r>
              <w:rPr>
                <w:rFonts w:cs="Arial"/>
                <w:sz w:val="16"/>
                <w:szCs w:val="16"/>
              </w:rPr>
              <w:t>19,9</w:t>
            </w:r>
          </w:p>
        </w:tc>
        <w:tc>
          <w:tcPr>
            <w:tcW w:w="697" w:type="dxa"/>
            <w:tcBorders>
              <w:top w:val="nil"/>
              <w:left w:val="nil"/>
              <w:bottom w:val="nil"/>
              <w:right w:val="nil"/>
            </w:tcBorders>
            <w:shd w:val="clear" w:color="auto" w:fill="auto"/>
            <w:noWrap/>
            <w:vAlign w:val="center"/>
            <w:hideMark/>
          </w:tcPr>
          <w:p w14:paraId="4D8C042E" w14:textId="1ECEBF82"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20,5</w:t>
            </w:r>
          </w:p>
        </w:tc>
        <w:tc>
          <w:tcPr>
            <w:tcW w:w="697" w:type="dxa"/>
            <w:tcBorders>
              <w:top w:val="nil"/>
              <w:left w:val="nil"/>
              <w:bottom w:val="nil"/>
              <w:right w:val="nil"/>
            </w:tcBorders>
            <w:shd w:val="clear" w:color="auto" w:fill="auto"/>
            <w:noWrap/>
            <w:vAlign w:val="center"/>
            <w:hideMark/>
          </w:tcPr>
          <w:p w14:paraId="0F89321B" w14:textId="116AF369"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1D53DDAC" w14:textId="1D0ABB29"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356BDB3D" w14:textId="7C2611A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05C67F24" w14:textId="072C844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23,7</w:t>
            </w:r>
          </w:p>
        </w:tc>
        <w:tc>
          <w:tcPr>
            <w:tcW w:w="697" w:type="dxa"/>
            <w:tcBorders>
              <w:top w:val="nil"/>
              <w:left w:val="nil"/>
              <w:bottom w:val="nil"/>
              <w:right w:val="nil"/>
            </w:tcBorders>
            <w:shd w:val="clear" w:color="auto" w:fill="auto"/>
            <w:noWrap/>
            <w:vAlign w:val="center"/>
            <w:hideMark/>
          </w:tcPr>
          <w:p w14:paraId="2B084299" w14:textId="7EB3DE6A" w:rsidR="00FC5D79" w:rsidRPr="00D92E20" w:rsidRDefault="00FC5D79" w:rsidP="00FC5D79">
            <w:pPr>
              <w:spacing w:after="0" w:line="240" w:lineRule="auto"/>
              <w:jc w:val="center"/>
              <w:rPr>
                <w:rFonts w:cs="Arial"/>
                <w:color w:val="000000"/>
                <w:sz w:val="16"/>
                <w:szCs w:val="16"/>
              </w:rPr>
            </w:pPr>
            <w:r>
              <w:rPr>
                <w:rFonts w:cs="Arial"/>
                <w:color w:val="000000"/>
                <w:sz w:val="16"/>
                <w:szCs w:val="16"/>
              </w:rPr>
              <w:t>35,2</w:t>
            </w:r>
          </w:p>
        </w:tc>
      </w:tr>
      <w:tr w:rsidR="00FC5D79" w:rsidRPr="00D92E20" w14:paraId="0662012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6100716"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0FECC883" w14:textId="2676DE1C" w:rsidR="00FC5D79" w:rsidRPr="00D92E20" w:rsidRDefault="00FC5D79" w:rsidP="00FC5D79">
            <w:pPr>
              <w:spacing w:after="0" w:line="240" w:lineRule="auto"/>
              <w:jc w:val="center"/>
              <w:rPr>
                <w:rFonts w:cs="Arial"/>
                <w:color w:val="000000"/>
                <w:sz w:val="16"/>
                <w:szCs w:val="16"/>
              </w:rPr>
            </w:pPr>
            <w:r>
              <w:rPr>
                <w:rFonts w:cs="Arial"/>
                <w:sz w:val="16"/>
                <w:szCs w:val="16"/>
              </w:rPr>
              <w:t>18,3</w:t>
            </w:r>
          </w:p>
        </w:tc>
        <w:tc>
          <w:tcPr>
            <w:tcW w:w="697" w:type="dxa"/>
            <w:tcBorders>
              <w:top w:val="nil"/>
              <w:left w:val="nil"/>
              <w:bottom w:val="nil"/>
              <w:right w:val="nil"/>
            </w:tcBorders>
            <w:shd w:val="clear" w:color="auto" w:fill="auto"/>
            <w:noWrap/>
            <w:vAlign w:val="center"/>
            <w:hideMark/>
          </w:tcPr>
          <w:p w14:paraId="09D50430" w14:textId="0CE829CB" w:rsidR="00FC5D79" w:rsidRPr="00D92E20" w:rsidRDefault="00FC5D79" w:rsidP="00FC5D79">
            <w:pPr>
              <w:spacing w:after="0" w:line="240" w:lineRule="auto"/>
              <w:jc w:val="center"/>
              <w:rPr>
                <w:rFonts w:cs="Arial"/>
                <w:color w:val="000000"/>
                <w:sz w:val="16"/>
                <w:szCs w:val="16"/>
              </w:rPr>
            </w:pPr>
            <w:r>
              <w:rPr>
                <w:rFonts w:cs="Arial"/>
                <w:sz w:val="16"/>
                <w:szCs w:val="16"/>
              </w:rPr>
              <w:t>15,5</w:t>
            </w:r>
          </w:p>
        </w:tc>
        <w:tc>
          <w:tcPr>
            <w:tcW w:w="697" w:type="dxa"/>
            <w:tcBorders>
              <w:top w:val="nil"/>
              <w:left w:val="nil"/>
              <w:bottom w:val="nil"/>
              <w:right w:val="nil"/>
            </w:tcBorders>
            <w:shd w:val="clear" w:color="auto" w:fill="auto"/>
            <w:noWrap/>
            <w:vAlign w:val="center"/>
            <w:hideMark/>
          </w:tcPr>
          <w:p w14:paraId="4C0E5A90" w14:textId="026D9349" w:rsidR="00FC5D79" w:rsidRPr="00D92E20" w:rsidRDefault="00FC5D79" w:rsidP="00FC5D79">
            <w:pPr>
              <w:spacing w:after="0" w:line="240" w:lineRule="auto"/>
              <w:jc w:val="center"/>
              <w:rPr>
                <w:rFonts w:cs="Arial"/>
                <w:color w:val="000000"/>
                <w:sz w:val="16"/>
                <w:szCs w:val="16"/>
              </w:rPr>
            </w:pPr>
            <w:r>
              <w:rPr>
                <w:rFonts w:cs="Arial"/>
                <w:sz w:val="16"/>
                <w:szCs w:val="16"/>
              </w:rPr>
              <w:t>20,5</w:t>
            </w:r>
          </w:p>
        </w:tc>
        <w:tc>
          <w:tcPr>
            <w:tcW w:w="697" w:type="dxa"/>
            <w:tcBorders>
              <w:top w:val="nil"/>
              <w:left w:val="nil"/>
              <w:bottom w:val="nil"/>
              <w:right w:val="nil"/>
            </w:tcBorders>
            <w:shd w:val="clear" w:color="auto" w:fill="auto"/>
            <w:noWrap/>
            <w:vAlign w:val="center"/>
            <w:hideMark/>
          </w:tcPr>
          <w:p w14:paraId="5DB517D5" w14:textId="6E7F5656" w:rsidR="00FC5D79" w:rsidRPr="00D92E20" w:rsidRDefault="00FC5D79" w:rsidP="00FC5D79">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07603833" w14:textId="37430019" w:rsidR="00FC5D79" w:rsidRPr="00D92E20" w:rsidRDefault="00FC5D79" w:rsidP="00FC5D79">
            <w:pPr>
              <w:spacing w:after="0" w:line="240" w:lineRule="auto"/>
              <w:jc w:val="center"/>
              <w:rPr>
                <w:rFonts w:cs="Arial"/>
                <w:color w:val="000000"/>
                <w:sz w:val="16"/>
                <w:szCs w:val="16"/>
              </w:rPr>
            </w:pPr>
            <w:r>
              <w:rPr>
                <w:rFonts w:cs="Arial"/>
                <w:sz w:val="16"/>
                <w:szCs w:val="16"/>
              </w:rPr>
              <w:t>22,2</w:t>
            </w:r>
          </w:p>
        </w:tc>
        <w:tc>
          <w:tcPr>
            <w:tcW w:w="697" w:type="dxa"/>
            <w:tcBorders>
              <w:top w:val="nil"/>
              <w:left w:val="nil"/>
              <w:bottom w:val="nil"/>
              <w:right w:val="nil"/>
            </w:tcBorders>
            <w:shd w:val="clear" w:color="auto" w:fill="auto"/>
            <w:noWrap/>
            <w:vAlign w:val="center"/>
            <w:hideMark/>
          </w:tcPr>
          <w:p w14:paraId="1158ACA2" w14:textId="3DC7B0E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11E38DDC" w14:textId="5F7F071F"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24,2</w:t>
            </w:r>
          </w:p>
        </w:tc>
        <w:tc>
          <w:tcPr>
            <w:tcW w:w="697" w:type="dxa"/>
            <w:tcBorders>
              <w:top w:val="nil"/>
              <w:left w:val="nil"/>
              <w:bottom w:val="nil"/>
              <w:right w:val="nil"/>
            </w:tcBorders>
            <w:shd w:val="clear" w:color="auto" w:fill="auto"/>
            <w:noWrap/>
            <w:vAlign w:val="center"/>
            <w:hideMark/>
          </w:tcPr>
          <w:p w14:paraId="61C5DD94" w14:textId="05BFF287" w:rsidR="00FC5D79" w:rsidRPr="00D92E20" w:rsidRDefault="00FC5D79" w:rsidP="00FC5D79">
            <w:pPr>
              <w:spacing w:after="0" w:line="240" w:lineRule="auto"/>
              <w:jc w:val="center"/>
              <w:rPr>
                <w:rFonts w:cs="Arial"/>
                <w:color w:val="000000"/>
                <w:sz w:val="16"/>
                <w:szCs w:val="16"/>
              </w:rPr>
            </w:pPr>
            <w:r>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7ED25A7E" w14:textId="1DF8B874"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25,1</w:t>
            </w:r>
          </w:p>
        </w:tc>
        <w:tc>
          <w:tcPr>
            <w:tcW w:w="697" w:type="dxa"/>
            <w:tcBorders>
              <w:top w:val="nil"/>
              <w:left w:val="nil"/>
              <w:bottom w:val="nil"/>
              <w:right w:val="nil"/>
            </w:tcBorders>
            <w:shd w:val="clear" w:color="auto" w:fill="auto"/>
            <w:noWrap/>
            <w:vAlign w:val="center"/>
            <w:hideMark/>
          </w:tcPr>
          <w:p w14:paraId="66E68AE8" w14:textId="5C08BB4D" w:rsidR="00FC5D79" w:rsidRPr="00D92E20" w:rsidRDefault="00FC5D79" w:rsidP="00FC5D79">
            <w:pPr>
              <w:spacing w:after="0" w:line="240" w:lineRule="auto"/>
              <w:jc w:val="center"/>
              <w:rPr>
                <w:rFonts w:cs="Arial"/>
                <w:color w:val="000000"/>
                <w:sz w:val="16"/>
                <w:szCs w:val="16"/>
              </w:rPr>
            </w:pPr>
            <w:r>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356BDF4B" w14:textId="4F837A9E" w:rsidR="00FC5D79" w:rsidRPr="00D92E20" w:rsidRDefault="00FC5D79" w:rsidP="00FC5D79">
            <w:pPr>
              <w:spacing w:after="0" w:line="240" w:lineRule="auto"/>
              <w:jc w:val="center"/>
              <w:rPr>
                <w:rFonts w:cs="Arial"/>
                <w:color w:val="000000"/>
                <w:sz w:val="16"/>
                <w:szCs w:val="16"/>
              </w:rPr>
            </w:pPr>
            <w:r>
              <w:rPr>
                <w:rFonts w:cs="Arial"/>
                <w:color w:val="000000"/>
                <w:sz w:val="16"/>
                <w:szCs w:val="16"/>
              </w:rPr>
              <w:t>39,1</w:t>
            </w:r>
          </w:p>
        </w:tc>
      </w:tr>
      <w:tr w:rsidR="00FC5D79" w:rsidRPr="00D92E20" w14:paraId="60B411BD"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D25ABA"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8EF888F" w14:textId="68476F9D" w:rsidR="00FC5D79" w:rsidRPr="00D92E20" w:rsidRDefault="00FC5D79" w:rsidP="00FC5D79">
            <w:pPr>
              <w:spacing w:after="0" w:line="240" w:lineRule="auto"/>
              <w:jc w:val="center"/>
              <w:rPr>
                <w:rFonts w:cs="Arial"/>
                <w:color w:val="000000"/>
                <w:sz w:val="16"/>
                <w:szCs w:val="16"/>
              </w:rPr>
            </w:pPr>
            <w:r>
              <w:rPr>
                <w:rFonts w:cs="Arial"/>
                <w:sz w:val="16"/>
                <w:szCs w:val="16"/>
              </w:rPr>
              <w:t>17,5</w:t>
            </w:r>
          </w:p>
        </w:tc>
        <w:tc>
          <w:tcPr>
            <w:tcW w:w="697" w:type="dxa"/>
            <w:tcBorders>
              <w:top w:val="nil"/>
              <w:left w:val="nil"/>
              <w:bottom w:val="nil"/>
              <w:right w:val="nil"/>
            </w:tcBorders>
            <w:shd w:val="clear" w:color="auto" w:fill="auto"/>
            <w:noWrap/>
            <w:vAlign w:val="center"/>
            <w:hideMark/>
          </w:tcPr>
          <w:p w14:paraId="58569A82" w14:textId="5137A14B" w:rsidR="00FC5D79" w:rsidRPr="00D92E20" w:rsidRDefault="00FC5D79" w:rsidP="00FC5D79">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0D724EC9" w14:textId="7A942F5F" w:rsidR="00FC5D79" w:rsidRPr="00D92E20" w:rsidRDefault="00FC5D79" w:rsidP="00FC5D79">
            <w:pPr>
              <w:spacing w:after="0" w:line="240" w:lineRule="auto"/>
              <w:jc w:val="center"/>
              <w:rPr>
                <w:rFonts w:cs="Arial"/>
                <w:color w:val="000000"/>
                <w:sz w:val="16"/>
                <w:szCs w:val="16"/>
              </w:rPr>
            </w:pPr>
            <w:r>
              <w:rPr>
                <w:rFonts w:cs="Arial"/>
                <w:sz w:val="16"/>
                <w:szCs w:val="16"/>
              </w:rPr>
              <w:t>18,3</w:t>
            </w:r>
          </w:p>
        </w:tc>
        <w:tc>
          <w:tcPr>
            <w:tcW w:w="697" w:type="dxa"/>
            <w:tcBorders>
              <w:top w:val="nil"/>
              <w:left w:val="nil"/>
              <w:bottom w:val="nil"/>
              <w:right w:val="nil"/>
            </w:tcBorders>
            <w:shd w:val="clear" w:color="auto" w:fill="auto"/>
            <w:noWrap/>
            <w:vAlign w:val="center"/>
            <w:hideMark/>
          </w:tcPr>
          <w:p w14:paraId="75453B86" w14:textId="31691A9D" w:rsidR="00FC5D79" w:rsidRPr="00D92E20" w:rsidRDefault="00FC5D79" w:rsidP="00FC5D79">
            <w:pPr>
              <w:spacing w:after="0" w:line="240" w:lineRule="auto"/>
              <w:jc w:val="center"/>
              <w:rPr>
                <w:rFonts w:cs="Arial"/>
                <w:color w:val="000000"/>
                <w:sz w:val="16"/>
                <w:szCs w:val="16"/>
              </w:rPr>
            </w:pPr>
            <w:r>
              <w:rPr>
                <w:rFonts w:cs="Arial"/>
                <w:sz w:val="16"/>
                <w:szCs w:val="16"/>
              </w:rPr>
              <w:t>15,7</w:t>
            </w:r>
          </w:p>
        </w:tc>
        <w:tc>
          <w:tcPr>
            <w:tcW w:w="697" w:type="dxa"/>
            <w:tcBorders>
              <w:top w:val="nil"/>
              <w:left w:val="nil"/>
              <w:bottom w:val="nil"/>
              <w:right w:val="nil"/>
            </w:tcBorders>
            <w:shd w:val="clear" w:color="auto" w:fill="auto"/>
            <w:noWrap/>
            <w:vAlign w:val="center"/>
            <w:hideMark/>
          </w:tcPr>
          <w:p w14:paraId="7C0980F5" w14:textId="24BEEB2F" w:rsidR="00FC5D79" w:rsidRPr="00D92E20" w:rsidRDefault="00FC5D79" w:rsidP="00FC5D79">
            <w:pPr>
              <w:spacing w:after="0" w:line="240" w:lineRule="auto"/>
              <w:jc w:val="center"/>
              <w:rPr>
                <w:rFonts w:cs="Arial"/>
                <w:color w:val="000000"/>
                <w:sz w:val="16"/>
                <w:szCs w:val="16"/>
              </w:rPr>
            </w:pPr>
            <w:r>
              <w:rPr>
                <w:rFonts w:cs="Arial"/>
                <w:sz w:val="16"/>
                <w:szCs w:val="16"/>
              </w:rPr>
              <w:t>20,2</w:t>
            </w:r>
          </w:p>
        </w:tc>
        <w:tc>
          <w:tcPr>
            <w:tcW w:w="697" w:type="dxa"/>
            <w:tcBorders>
              <w:top w:val="nil"/>
              <w:left w:val="nil"/>
              <w:bottom w:val="nil"/>
              <w:right w:val="nil"/>
            </w:tcBorders>
            <w:shd w:val="clear" w:color="auto" w:fill="auto"/>
            <w:noWrap/>
            <w:vAlign w:val="center"/>
            <w:hideMark/>
          </w:tcPr>
          <w:p w14:paraId="13A52BD2" w14:textId="02015AB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21,2</w:t>
            </w:r>
          </w:p>
        </w:tc>
        <w:tc>
          <w:tcPr>
            <w:tcW w:w="697" w:type="dxa"/>
            <w:tcBorders>
              <w:top w:val="nil"/>
              <w:left w:val="nil"/>
              <w:bottom w:val="nil"/>
              <w:right w:val="nil"/>
            </w:tcBorders>
            <w:shd w:val="clear" w:color="auto" w:fill="auto"/>
            <w:noWrap/>
            <w:vAlign w:val="center"/>
            <w:hideMark/>
          </w:tcPr>
          <w:p w14:paraId="428ED1A9" w14:textId="42BEC92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7C0E06F9" w14:textId="1B0852F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25,0</w:t>
            </w:r>
          </w:p>
        </w:tc>
        <w:tc>
          <w:tcPr>
            <w:tcW w:w="697" w:type="dxa"/>
            <w:tcBorders>
              <w:top w:val="nil"/>
              <w:left w:val="nil"/>
              <w:bottom w:val="nil"/>
              <w:right w:val="nil"/>
            </w:tcBorders>
            <w:shd w:val="clear" w:color="auto" w:fill="auto"/>
            <w:noWrap/>
            <w:vAlign w:val="center"/>
            <w:hideMark/>
          </w:tcPr>
          <w:p w14:paraId="412E82B5" w14:textId="09836DC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23,6</w:t>
            </w:r>
          </w:p>
        </w:tc>
        <w:tc>
          <w:tcPr>
            <w:tcW w:w="697" w:type="dxa"/>
            <w:tcBorders>
              <w:top w:val="nil"/>
              <w:left w:val="nil"/>
              <w:bottom w:val="nil"/>
              <w:right w:val="nil"/>
            </w:tcBorders>
            <w:shd w:val="clear" w:color="auto" w:fill="auto"/>
            <w:noWrap/>
            <w:vAlign w:val="center"/>
            <w:hideMark/>
          </w:tcPr>
          <w:p w14:paraId="30592429" w14:textId="3BE7CDF4"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25,5</w:t>
            </w:r>
          </w:p>
        </w:tc>
        <w:tc>
          <w:tcPr>
            <w:tcW w:w="697" w:type="dxa"/>
            <w:tcBorders>
              <w:top w:val="nil"/>
              <w:left w:val="nil"/>
              <w:bottom w:val="nil"/>
              <w:right w:val="nil"/>
            </w:tcBorders>
            <w:shd w:val="clear" w:color="auto" w:fill="auto"/>
            <w:noWrap/>
            <w:vAlign w:val="center"/>
            <w:hideMark/>
          </w:tcPr>
          <w:p w14:paraId="66CCFA88" w14:textId="6FA37D4D" w:rsidR="00FC5D79" w:rsidRPr="00D92E20" w:rsidRDefault="00FC5D79" w:rsidP="00FC5D79">
            <w:pPr>
              <w:spacing w:after="0" w:line="240" w:lineRule="auto"/>
              <w:jc w:val="center"/>
              <w:rPr>
                <w:rFonts w:cs="Arial"/>
                <w:color w:val="000000"/>
                <w:sz w:val="16"/>
                <w:szCs w:val="16"/>
              </w:rPr>
            </w:pPr>
            <w:r>
              <w:rPr>
                <w:rFonts w:cs="Arial"/>
                <w:color w:val="000000"/>
                <w:sz w:val="16"/>
                <w:szCs w:val="16"/>
              </w:rPr>
              <w:t>37,5</w:t>
            </w:r>
          </w:p>
        </w:tc>
      </w:tr>
      <w:tr w:rsidR="00FC5D79" w:rsidRPr="00D92E20" w14:paraId="42CC30AE"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71973CC"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267C47C8" w14:textId="34B85BC0" w:rsidR="00FC5D79" w:rsidRPr="00D92E20" w:rsidRDefault="00FC5D79" w:rsidP="00FC5D79">
            <w:pPr>
              <w:spacing w:after="0" w:line="240" w:lineRule="auto"/>
              <w:jc w:val="center"/>
              <w:rPr>
                <w:rFonts w:cs="Arial"/>
                <w:color w:val="000000"/>
                <w:sz w:val="16"/>
                <w:szCs w:val="16"/>
              </w:rPr>
            </w:pPr>
            <w:r>
              <w:rPr>
                <w:rFonts w:cs="Arial"/>
                <w:sz w:val="16"/>
                <w:szCs w:val="16"/>
              </w:rPr>
              <w:t>17,8</w:t>
            </w:r>
          </w:p>
        </w:tc>
        <w:tc>
          <w:tcPr>
            <w:tcW w:w="697" w:type="dxa"/>
            <w:tcBorders>
              <w:top w:val="nil"/>
              <w:left w:val="nil"/>
              <w:bottom w:val="nil"/>
              <w:right w:val="nil"/>
            </w:tcBorders>
            <w:shd w:val="clear" w:color="auto" w:fill="auto"/>
            <w:noWrap/>
            <w:vAlign w:val="center"/>
            <w:hideMark/>
          </w:tcPr>
          <w:p w14:paraId="08DA8213" w14:textId="0C0425F2" w:rsidR="00FC5D79" w:rsidRPr="00D92E20" w:rsidRDefault="00FC5D79" w:rsidP="00FC5D79">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41BCD224" w14:textId="5935E09A" w:rsidR="00FC5D79" w:rsidRPr="00D92E20" w:rsidRDefault="00FC5D79" w:rsidP="00FC5D79">
            <w:pPr>
              <w:spacing w:after="0" w:line="240" w:lineRule="auto"/>
              <w:jc w:val="center"/>
              <w:rPr>
                <w:rFonts w:cs="Arial"/>
                <w:color w:val="000000"/>
                <w:sz w:val="16"/>
                <w:szCs w:val="16"/>
              </w:rPr>
            </w:pPr>
            <w:r>
              <w:rPr>
                <w:rFonts w:cs="Arial"/>
                <w:sz w:val="16"/>
                <w:szCs w:val="16"/>
              </w:rPr>
              <w:t>17,8</w:t>
            </w:r>
          </w:p>
        </w:tc>
        <w:tc>
          <w:tcPr>
            <w:tcW w:w="697" w:type="dxa"/>
            <w:tcBorders>
              <w:top w:val="nil"/>
              <w:left w:val="nil"/>
              <w:bottom w:val="nil"/>
              <w:right w:val="nil"/>
            </w:tcBorders>
            <w:shd w:val="clear" w:color="auto" w:fill="auto"/>
            <w:noWrap/>
            <w:vAlign w:val="center"/>
            <w:hideMark/>
          </w:tcPr>
          <w:p w14:paraId="03D6949C" w14:textId="42A7B4ED" w:rsidR="00FC5D79" w:rsidRPr="00D92E20" w:rsidRDefault="00FC5D79" w:rsidP="00FC5D79">
            <w:pPr>
              <w:spacing w:after="0" w:line="240" w:lineRule="auto"/>
              <w:jc w:val="center"/>
              <w:rPr>
                <w:rFonts w:cs="Arial"/>
                <w:color w:val="000000"/>
                <w:sz w:val="16"/>
                <w:szCs w:val="16"/>
              </w:rPr>
            </w:pPr>
            <w:r>
              <w:rPr>
                <w:rFonts w:cs="Arial"/>
                <w:sz w:val="16"/>
                <w:szCs w:val="16"/>
              </w:rPr>
              <w:t>15,8</w:t>
            </w:r>
          </w:p>
        </w:tc>
        <w:tc>
          <w:tcPr>
            <w:tcW w:w="697" w:type="dxa"/>
            <w:tcBorders>
              <w:top w:val="nil"/>
              <w:left w:val="nil"/>
              <w:bottom w:val="nil"/>
              <w:right w:val="nil"/>
            </w:tcBorders>
            <w:shd w:val="clear" w:color="auto" w:fill="auto"/>
            <w:noWrap/>
            <w:vAlign w:val="center"/>
            <w:hideMark/>
          </w:tcPr>
          <w:p w14:paraId="5A0FDCDE" w14:textId="1C0CB243" w:rsidR="00FC5D79" w:rsidRPr="00D92E20" w:rsidRDefault="00FC5D79" w:rsidP="00FC5D79">
            <w:pPr>
              <w:spacing w:after="0" w:line="240" w:lineRule="auto"/>
              <w:jc w:val="center"/>
              <w:rPr>
                <w:rFonts w:cs="Arial"/>
                <w:color w:val="000000"/>
                <w:sz w:val="16"/>
                <w:szCs w:val="16"/>
              </w:rPr>
            </w:pPr>
            <w:r>
              <w:rPr>
                <w:rFonts w:cs="Arial"/>
                <w:sz w:val="16"/>
                <w:szCs w:val="16"/>
              </w:rPr>
              <w:t>20,6</w:t>
            </w:r>
          </w:p>
        </w:tc>
        <w:tc>
          <w:tcPr>
            <w:tcW w:w="697" w:type="dxa"/>
            <w:tcBorders>
              <w:top w:val="nil"/>
              <w:left w:val="nil"/>
              <w:bottom w:val="nil"/>
              <w:right w:val="nil"/>
            </w:tcBorders>
            <w:shd w:val="clear" w:color="auto" w:fill="auto"/>
            <w:noWrap/>
            <w:vAlign w:val="center"/>
            <w:hideMark/>
          </w:tcPr>
          <w:p w14:paraId="2D991355" w14:textId="058B325A"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64875FD2" w14:textId="438374CD"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21,7</w:t>
            </w:r>
          </w:p>
        </w:tc>
        <w:tc>
          <w:tcPr>
            <w:tcW w:w="697" w:type="dxa"/>
            <w:tcBorders>
              <w:top w:val="nil"/>
              <w:left w:val="nil"/>
              <w:bottom w:val="nil"/>
              <w:right w:val="nil"/>
            </w:tcBorders>
            <w:shd w:val="clear" w:color="auto" w:fill="auto"/>
            <w:noWrap/>
            <w:vAlign w:val="center"/>
            <w:hideMark/>
          </w:tcPr>
          <w:p w14:paraId="3873E11E" w14:textId="0E24F936"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24,0</w:t>
            </w:r>
          </w:p>
        </w:tc>
        <w:tc>
          <w:tcPr>
            <w:tcW w:w="697" w:type="dxa"/>
            <w:tcBorders>
              <w:top w:val="nil"/>
              <w:left w:val="nil"/>
              <w:bottom w:val="nil"/>
              <w:right w:val="nil"/>
            </w:tcBorders>
            <w:shd w:val="clear" w:color="auto" w:fill="auto"/>
            <w:noWrap/>
            <w:vAlign w:val="center"/>
            <w:hideMark/>
          </w:tcPr>
          <w:p w14:paraId="50900FF8" w14:textId="344699C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41C16F4A" w14:textId="24ECF3F1"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23,4</w:t>
            </w:r>
          </w:p>
        </w:tc>
        <w:tc>
          <w:tcPr>
            <w:tcW w:w="697" w:type="dxa"/>
            <w:tcBorders>
              <w:top w:val="nil"/>
              <w:left w:val="nil"/>
              <w:bottom w:val="nil"/>
              <w:right w:val="nil"/>
            </w:tcBorders>
            <w:shd w:val="clear" w:color="auto" w:fill="auto"/>
            <w:noWrap/>
            <w:vAlign w:val="center"/>
            <w:hideMark/>
          </w:tcPr>
          <w:p w14:paraId="34D74DB0" w14:textId="7874D15B" w:rsidR="00FC5D79" w:rsidRPr="00D92E20" w:rsidRDefault="00FC5D79" w:rsidP="00FC5D79">
            <w:pPr>
              <w:spacing w:after="0" w:line="240" w:lineRule="auto"/>
              <w:jc w:val="center"/>
              <w:rPr>
                <w:rFonts w:cs="Arial"/>
                <w:color w:val="000000"/>
                <w:sz w:val="16"/>
                <w:szCs w:val="16"/>
              </w:rPr>
            </w:pPr>
            <w:r>
              <w:rPr>
                <w:rFonts w:cs="Arial"/>
                <w:color w:val="000000"/>
                <w:sz w:val="16"/>
                <w:szCs w:val="16"/>
              </w:rPr>
              <w:t>34,2</w:t>
            </w:r>
          </w:p>
        </w:tc>
      </w:tr>
      <w:tr w:rsidR="00FC5D79" w:rsidRPr="00D92E20" w14:paraId="5EF84AB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E745196"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3F6AC12F" w14:textId="256075AD" w:rsidR="00FC5D79" w:rsidRPr="00D92E20" w:rsidRDefault="00FC5D79" w:rsidP="00FC5D79">
            <w:pPr>
              <w:spacing w:after="0" w:line="240" w:lineRule="auto"/>
              <w:jc w:val="center"/>
              <w:rPr>
                <w:rFonts w:cs="Arial"/>
                <w:color w:val="000000"/>
                <w:sz w:val="16"/>
                <w:szCs w:val="16"/>
              </w:rPr>
            </w:pPr>
            <w:r>
              <w:rPr>
                <w:rFonts w:cs="Arial"/>
                <w:sz w:val="16"/>
                <w:szCs w:val="16"/>
              </w:rPr>
              <w:t>17,5</w:t>
            </w:r>
          </w:p>
        </w:tc>
        <w:tc>
          <w:tcPr>
            <w:tcW w:w="697" w:type="dxa"/>
            <w:tcBorders>
              <w:top w:val="nil"/>
              <w:left w:val="nil"/>
              <w:bottom w:val="nil"/>
              <w:right w:val="nil"/>
            </w:tcBorders>
            <w:shd w:val="clear" w:color="auto" w:fill="auto"/>
            <w:noWrap/>
            <w:vAlign w:val="center"/>
            <w:hideMark/>
          </w:tcPr>
          <w:p w14:paraId="7D81EBCE" w14:textId="12C9A79B" w:rsidR="00FC5D79" w:rsidRPr="00D92E20" w:rsidRDefault="00FC5D79" w:rsidP="00FC5D79">
            <w:pPr>
              <w:spacing w:after="0" w:line="240" w:lineRule="auto"/>
              <w:jc w:val="center"/>
              <w:rPr>
                <w:rFonts w:cs="Arial"/>
                <w:color w:val="000000"/>
                <w:sz w:val="16"/>
                <w:szCs w:val="16"/>
              </w:rPr>
            </w:pPr>
            <w:r>
              <w:rPr>
                <w:rFonts w:cs="Arial"/>
                <w:sz w:val="16"/>
                <w:szCs w:val="16"/>
              </w:rPr>
              <w:t>15,1</w:t>
            </w:r>
          </w:p>
        </w:tc>
        <w:tc>
          <w:tcPr>
            <w:tcW w:w="697" w:type="dxa"/>
            <w:tcBorders>
              <w:top w:val="nil"/>
              <w:left w:val="nil"/>
              <w:bottom w:val="nil"/>
              <w:right w:val="nil"/>
            </w:tcBorders>
            <w:shd w:val="clear" w:color="auto" w:fill="auto"/>
            <w:noWrap/>
            <w:vAlign w:val="center"/>
            <w:hideMark/>
          </w:tcPr>
          <w:p w14:paraId="7C4045D4" w14:textId="06B48C4F" w:rsidR="00FC5D79" w:rsidRPr="00D92E20" w:rsidRDefault="00FC5D79" w:rsidP="00FC5D79">
            <w:pPr>
              <w:spacing w:after="0" w:line="240" w:lineRule="auto"/>
              <w:jc w:val="center"/>
              <w:rPr>
                <w:rFonts w:cs="Arial"/>
                <w:color w:val="000000"/>
                <w:sz w:val="16"/>
                <w:szCs w:val="16"/>
              </w:rPr>
            </w:pPr>
            <w:r>
              <w:rPr>
                <w:rFonts w:cs="Arial"/>
                <w:sz w:val="16"/>
                <w:szCs w:val="16"/>
              </w:rPr>
              <w:t>18,7</w:t>
            </w:r>
          </w:p>
        </w:tc>
        <w:tc>
          <w:tcPr>
            <w:tcW w:w="697" w:type="dxa"/>
            <w:tcBorders>
              <w:top w:val="nil"/>
              <w:left w:val="nil"/>
              <w:bottom w:val="nil"/>
              <w:right w:val="nil"/>
            </w:tcBorders>
            <w:shd w:val="clear" w:color="auto" w:fill="auto"/>
            <w:noWrap/>
            <w:vAlign w:val="center"/>
            <w:hideMark/>
          </w:tcPr>
          <w:p w14:paraId="48C3C9EE" w14:textId="198C4A0D" w:rsidR="00FC5D79" w:rsidRPr="00D92E20" w:rsidRDefault="00FC5D79" w:rsidP="00FC5D79">
            <w:pPr>
              <w:spacing w:after="0" w:line="240" w:lineRule="auto"/>
              <w:jc w:val="center"/>
              <w:rPr>
                <w:rFonts w:cs="Arial"/>
                <w:color w:val="000000"/>
                <w:sz w:val="16"/>
                <w:szCs w:val="16"/>
              </w:rPr>
            </w:pPr>
            <w:r>
              <w:rPr>
                <w:rFonts w:cs="Arial"/>
                <w:sz w:val="16"/>
                <w:szCs w:val="16"/>
              </w:rPr>
              <w:t>16,5</w:t>
            </w:r>
          </w:p>
        </w:tc>
        <w:tc>
          <w:tcPr>
            <w:tcW w:w="697" w:type="dxa"/>
            <w:tcBorders>
              <w:top w:val="nil"/>
              <w:left w:val="nil"/>
              <w:bottom w:val="nil"/>
              <w:right w:val="nil"/>
            </w:tcBorders>
            <w:shd w:val="clear" w:color="auto" w:fill="auto"/>
            <w:noWrap/>
            <w:vAlign w:val="center"/>
            <w:hideMark/>
          </w:tcPr>
          <w:p w14:paraId="1A26894D" w14:textId="73B33F9E" w:rsidR="00FC5D79" w:rsidRPr="00D92E20" w:rsidRDefault="00FC5D79" w:rsidP="00FC5D79">
            <w:pPr>
              <w:spacing w:after="0" w:line="240" w:lineRule="auto"/>
              <w:jc w:val="center"/>
              <w:rPr>
                <w:rFonts w:cs="Arial"/>
                <w:color w:val="000000"/>
                <w:sz w:val="16"/>
                <w:szCs w:val="16"/>
              </w:rPr>
            </w:pPr>
            <w:r>
              <w:rPr>
                <w:rFonts w:cs="Arial"/>
                <w:sz w:val="16"/>
                <w:szCs w:val="16"/>
              </w:rPr>
              <w:t>21,9</w:t>
            </w:r>
          </w:p>
        </w:tc>
        <w:tc>
          <w:tcPr>
            <w:tcW w:w="697" w:type="dxa"/>
            <w:tcBorders>
              <w:top w:val="nil"/>
              <w:left w:val="nil"/>
              <w:bottom w:val="nil"/>
              <w:right w:val="nil"/>
            </w:tcBorders>
            <w:shd w:val="clear" w:color="auto" w:fill="auto"/>
            <w:noWrap/>
            <w:vAlign w:val="center"/>
            <w:hideMark/>
          </w:tcPr>
          <w:p w14:paraId="536E20A5" w14:textId="185E4A85"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21,0</w:t>
            </w:r>
          </w:p>
        </w:tc>
        <w:tc>
          <w:tcPr>
            <w:tcW w:w="697" w:type="dxa"/>
            <w:tcBorders>
              <w:top w:val="nil"/>
              <w:left w:val="nil"/>
              <w:bottom w:val="nil"/>
              <w:right w:val="nil"/>
            </w:tcBorders>
            <w:shd w:val="clear" w:color="auto" w:fill="auto"/>
            <w:noWrap/>
            <w:vAlign w:val="center"/>
            <w:hideMark/>
          </w:tcPr>
          <w:p w14:paraId="42E73355" w14:textId="429E740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22,3</w:t>
            </w:r>
          </w:p>
        </w:tc>
        <w:tc>
          <w:tcPr>
            <w:tcW w:w="697" w:type="dxa"/>
            <w:tcBorders>
              <w:top w:val="nil"/>
              <w:left w:val="nil"/>
              <w:bottom w:val="nil"/>
              <w:right w:val="nil"/>
            </w:tcBorders>
            <w:shd w:val="clear" w:color="auto" w:fill="auto"/>
            <w:noWrap/>
            <w:vAlign w:val="center"/>
            <w:hideMark/>
          </w:tcPr>
          <w:p w14:paraId="3AA9121B" w14:textId="5930370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24,3</w:t>
            </w:r>
          </w:p>
        </w:tc>
        <w:tc>
          <w:tcPr>
            <w:tcW w:w="697" w:type="dxa"/>
            <w:tcBorders>
              <w:top w:val="nil"/>
              <w:left w:val="nil"/>
              <w:bottom w:val="nil"/>
              <w:right w:val="nil"/>
            </w:tcBorders>
            <w:shd w:val="clear" w:color="auto" w:fill="auto"/>
            <w:noWrap/>
            <w:vAlign w:val="center"/>
            <w:hideMark/>
          </w:tcPr>
          <w:p w14:paraId="03286191" w14:textId="403124D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22,5</w:t>
            </w:r>
          </w:p>
        </w:tc>
        <w:tc>
          <w:tcPr>
            <w:tcW w:w="697" w:type="dxa"/>
            <w:tcBorders>
              <w:top w:val="nil"/>
              <w:left w:val="nil"/>
              <w:bottom w:val="nil"/>
              <w:right w:val="nil"/>
            </w:tcBorders>
            <w:shd w:val="clear" w:color="auto" w:fill="auto"/>
            <w:noWrap/>
            <w:vAlign w:val="center"/>
            <w:hideMark/>
          </w:tcPr>
          <w:p w14:paraId="3F339D4A" w14:textId="535CEBBC"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3A2600C5" w14:textId="71A44925" w:rsidR="00FC5D79" w:rsidRPr="00D92E20" w:rsidRDefault="00FC5D79" w:rsidP="00FC5D79">
            <w:pPr>
              <w:spacing w:after="0" w:line="240" w:lineRule="auto"/>
              <w:jc w:val="center"/>
              <w:rPr>
                <w:rFonts w:cs="Arial"/>
                <w:color w:val="000000"/>
                <w:sz w:val="16"/>
                <w:szCs w:val="16"/>
              </w:rPr>
            </w:pPr>
            <w:r>
              <w:rPr>
                <w:rFonts w:cs="Arial"/>
                <w:color w:val="000000"/>
                <w:sz w:val="16"/>
                <w:szCs w:val="16"/>
              </w:rPr>
              <w:t>31,0</w:t>
            </w:r>
          </w:p>
        </w:tc>
      </w:tr>
      <w:tr w:rsidR="00FC5D79" w:rsidRPr="00D92E20" w14:paraId="512F85A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6578E25"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17F513B6" w14:textId="2924C132" w:rsidR="00FC5D79" w:rsidRPr="00D92E20" w:rsidRDefault="00FC5D79" w:rsidP="00FC5D79">
            <w:pPr>
              <w:spacing w:after="0" w:line="240" w:lineRule="auto"/>
              <w:jc w:val="center"/>
              <w:rPr>
                <w:rFonts w:cs="Arial"/>
                <w:color w:val="000000"/>
                <w:sz w:val="16"/>
                <w:szCs w:val="16"/>
              </w:rPr>
            </w:pPr>
            <w:r>
              <w:rPr>
                <w:rFonts w:cs="Arial"/>
                <w:sz w:val="16"/>
                <w:szCs w:val="16"/>
              </w:rPr>
              <w:t>16,3</w:t>
            </w:r>
          </w:p>
        </w:tc>
        <w:tc>
          <w:tcPr>
            <w:tcW w:w="697" w:type="dxa"/>
            <w:tcBorders>
              <w:top w:val="nil"/>
              <w:left w:val="nil"/>
              <w:bottom w:val="nil"/>
              <w:right w:val="nil"/>
            </w:tcBorders>
            <w:shd w:val="clear" w:color="auto" w:fill="auto"/>
            <w:noWrap/>
            <w:vAlign w:val="center"/>
            <w:hideMark/>
          </w:tcPr>
          <w:p w14:paraId="3001E0BE" w14:textId="61F405E9" w:rsidR="00FC5D79" w:rsidRPr="00D92E20" w:rsidRDefault="00FC5D79" w:rsidP="00FC5D79">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5317B8A2" w14:textId="5F5EAD43" w:rsidR="00FC5D79" w:rsidRPr="00D92E20" w:rsidRDefault="00FC5D79" w:rsidP="00FC5D79">
            <w:pPr>
              <w:spacing w:after="0" w:line="240" w:lineRule="auto"/>
              <w:jc w:val="center"/>
              <w:rPr>
                <w:rFonts w:cs="Arial"/>
                <w:color w:val="000000"/>
                <w:sz w:val="16"/>
                <w:szCs w:val="16"/>
              </w:rPr>
            </w:pPr>
            <w:r>
              <w:rPr>
                <w:rFonts w:cs="Arial"/>
                <w:sz w:val="16"/>
                <w:szCs w:val="16"/>
              </w:rPr>
              <w:t>17,0</w:t>
            </w:r>
          </w:p>
        </w:tc>
        <w:tc>
          <w:tcPr>
            <w:tcW w:w="697" w:type="dxa"/>
            <w:tcBorders>
              <w:top w:val="nil"/>
              <w:left w:val="nil"/>
              <w:bottom w:val="nil"/>
              <w:right w:val="nil"/>
            </w:tcBorders>
            <w:shd w:val="clear" w:color="auto" w:fill="auto"/>
            <w:noWrap/>
            <w:vAlign w:val="center"/>
            <w:hideMark/>
          </w:tcPr>
          <w:p w14:paraId="5012F000" w14:textId="33BB4ED5" w:rsidR="00FC5D79" w:rsidRPr="00D92E20" w:rsidRDefault="00FC5D79" w:rsidP="00FC5D79">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018DFEFB" w14:textId="33DBF774" w:rsidR="00FC5D79" w:rsidRPr="00D92E20" w:rsidRDefault="00FC5D79" w:rsidP="00FC5D79">
            <w:pPr>
              <w:spacing w:after="0" w:line="240" w:lineRule="auto"/>
              <w:jc w:val="center"/>
              <w:rPr>
                <w:rFonts w:cs="Arial"/>
                <w:color w:val="000000"/>
                <w:sz w:val="16"/>
                <w:szCs w:val="16"/>
              </w:rPr>
            </w:pPr>
            <w:r>
              <w:rPr>
                <w:rFonts w:cs="Arial"/>
                <w:sz w:val="16"/>
                <w:szCs w:val="16"/>
              </w:rPr>
              <w:t>19,1</w:t>
            </w:r>
          </w:p>
        </w:tc>
        <w:tc>
          <w:tcPr>
            <w:tcW w:w="697" w:type="dxa"/>
            <w:tcBorders>
              <w:top w:val="nil"/>
              <w:left w:val="nil"/>
              <w:bottom w:val="nil"/>
              <w:right w:val="nil"/>
            </w:tcBorders>
            <w:shd w:val="clear" w:color="auto" w:fill="auto"/>
            <w:noWrap/>
            <w:vAlign w:val="center"/>
            <w:hideMark/>
          </w:tcPr>
          <w:p w14:paraId="3F7B8188" w14:textId="5753549D" w:rsidR="00FC5D79" w:rsidRPr="00D92E20" w:rsidRDefault="00FC5D79" w:rsidP="00FC5D79">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0025078B" w14:textId="21945A57"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279F02DD" w14:textId="503340FD"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1A3DA7F0" w14:textId="157F5D9D" w:rsidR="00FC5D79" w:rsidRPr="00D92E20" w:rsidRDefault="00FC5D79" w:rsidP="00FC5D79">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4A606745" w14:textId="23B108B6"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21,9</w:t>
            </w:r>
          </w:p>
        </w:tc>
        <w:tc>
          <w:tcPr>
            <w:tcW w:w="697" w:type="dxa"/>
            <w:tcBorders>
              <w:top w:val="nil"/>
              <w:left w:val="nil"/>
              <w:bottom w:val="nil"/>
              <w:right w:val="nil"/>
            </w:tcBorders>
            <w:shd w:val="clear" w:color="auto" w:fill="auto"/>
            <w:noWrap/>
            <w:vAlign w:val="center"/>
            <w:hideMark/>
          </w:tcPr>
          <w:p w14:paraId="6F66AE09" w14:textId="1C8B679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27,1</w:t>
            </w:r>
          </w:p>
        </w:tc>
      </w:tr>
      <w:tr w:rsidR="00FC5D79" w:rsidRPr="00D92E20" w14:paraId="40F22C5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7275793"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2B575834" w14:textId="6BB38C28" w:rsidR="00FC5D79" w:rsidRPr="00D92E20" w:rsidRDefault="00FC5D79" w:rsidP="00FC5D79">
            <w:pPr>
              <w:spacing w:after="0" w:line="240" w:lineRule="auto"/>
              <w:jc w:val="center"/>
              <w:rPr>
                <w:rFonts w:cs="Arial"/>
                <w:color w:val="000000"/>
                <w:sz w:val="16"/>
                <w:szCs w:val="16"/>
              </w:rPr>
            </w:pPr>
            <w:r>
              <w:rPr>
                <w:rFonts w:cs="Arial"/>
                <w:sz w:val="16"/>
                <w:szCs w:val="16"/>
              </w:rPr>
              <w:t>15,2</w:t>
            </w:r>
          </w:p>
        </w:tc>
        <w:tc>
          <w:tcPr>
            <w:tcW w:w="697" w:type="dxa"/>
            <w:tcBorders>
              <w:top w:val="nil"/>
              <w:left w:val="nil"/>
              <w:bottom w:val="nil"/>
              <w:right w:val="nil"/>
            </w:tcBorders>
            <w:shd w:val="clear" w:color="auto" w:fill="auto"/>
            <w:noWrap/>
            <w:vAlign w:val="center"/>
            <w:hideMark/>
          </w:tcPr>
          <w:p w14:paraId="50DF8666" w14:textId="53C4FF4E" w:rsidR="00FC5D79" w:rsidRPr="00D92E20" w:rsidRDefault="00FC5D79" w:rsidP="00FC5D79">
            <w:pPr>
              <w:spacing w:after="0" w:line="240" w:lineRule="auto"/>
              <w:jc w:val="center"/>
              <w:rPr>
                <w:rFonts w:cs="Arial"/>
                <w:color w:val="000000"/>
                <w:sz w:val="16"/>
                <w:szCs w:val="16"/>
              </w:rPr>
            </w:pPr>
            <w:r>
              <w:rPr>
                <w:rFonts w:cs="Arial"/>
                <w:sz w:val="16"/>
                <w:szCs w:val="16"/>
              </w:rPr>
              <w:t>13,0</w:t>
            </w:r>
          </w:p>
        </w:tc>
        <w:tc>
          <w:tcPr>
            <w:tcW w:w="697" w:type="dxa"/>
            <w:tcBorders>
              <w:top w:val="nil"/>
              <w:left w:val="nil"/>
              <w:bottom w:val="nil"/>
              <w:right w:val="nil"/>
            </w:tcBorders>
            <w:shd w:val="clear" w:color="auto" w:fill="auto"/>
            <w:noWrap/>
            <w:vAlign w:val="center"/>
            <w:hideMark/>
          </w:tcPr>
          <w:p w14:paraId="2A33EA25" w14:textId="0D85D33D" w:rsidR="00FC5D79" w:rsidRPr="00D92E20" w:rsidRDefault="00FC5D79" w:rsidP="00FC5D79">
            <w:pPr>
              <w:spacing w:after="0" w:line="240" w:lineRule="auto"/>
              <w:jc w:val="center"/>
              <w:rPr>
                <w:rFonts w:cs="Arial"/>
                <w:color w:val="000000"/>
                <w:sz w:val="16"/>
                <w:szCs w:val="16"/>
              </w:rPr>
            </w:pPr>
            <w:r>
              <w:rPr>
                <w:rFonts w:cs="Arial"/>
                <w:sz w:val="16"/>
                <w:szCs w:val="16"/>
              </w:rPr>
              <w:t>15,9</w:t>
            </w:r>
          </w:p>
        </w:tc>
        <w:tc>
          <w:tcPr>
            <w:tcW w:w="697" w:type="dxa"/>
            <w:tcBorders>
              <w:top w:val="nil"/>
              <w:left w:val="nil"/>
              <w:bottom w:val="nil"/>
              <w:right w:val="nil"/>
            </w:tcBorders>
            <w:shd w:val="clear" w:color="auto" w:fill="auto"/>
            <w:noWrap/>
            <w:vAlign w:val="center"/>
            <w:hideMark/>
          </w:tcPr>
          <w:p w14:paraId="24AA6748" w14:textId="0A928577" w:rsidR="00FC5D79" w:rsidRPr="00D92E20" w:rsidRDefault="00FC5D79" w:rsidP="00FC5D79">
            <w:pPr>
              <w:spacing w:after="0" w:line="240" w:lineRule="auto"/>
              <w:jc w:val="center"/>
              <w:rPr>
                <w:rFonts w:cs="Arial"/>
                <w:color w:val="000000"/>
                <w:sz w:val="16"/>
                <w:szCs w:val="16"/>
              </w:rPr>
            </w:pPr>
            <w:r>
              <w:rPr>
                <w:rFonts w:cs="Arial"/>
                <w:sz w:val="16"/>
                <w:szCs w:val="16"/>
              </w:rPr>
              <w:t>13,5</w:t>
            </w:r>
          </w:p>
        </w:tc>
        <w:tc>
          <w:tcPr>
            <w:tcW w:w="697" w:type="dxa"/>
            <w:tcBorders>
              <w:top w:val="nil"/>
              <w:left w:val="nil"/>
              <w:bottom w:val="nil"/>
              <w:right w:val="nil"/>
            </w:tcBorders>
            <w:shd w:val="clear" w:color="auto" w:fill="auto"/>
            <w:noWrap/>
            <w:vAlign w:val="center"/>
            <w:hideMark/>
          </w:tcPr>
          <w:p w14:paraId="384906D4" w14:textId="31012E0F" w:rsidR="00FC5D79" w:rsidRPr="00D92E20" w:rsidRDefault="00FC5D79" w:rsidP="00FC5D79">
            <w:pPr>
              <w:spacing w:after="0" w:line="240" w:lineRule="auto"/>
              <w:jc w:val="center"/>
              <w:rPr>
                <w:rFonts w:cs="Arial"/>
                <w:color w:val="000000"/>
                <w:sz w:val="16"/>
                <w:szCs w:val="16"/>
              </w:rPr>
            </w:pPr>
            <w:r>
              <w:rPr>
                <w:rFonts w:cs="Arial"/>
                <w:sz w:val="16"/>
                <w:szCs w:val="16"/>
              </w:rPr>
              <w:t>18,6</w:t>
            </w:r>
          </w:p>
        </w:tc>
        <w:tc>
          <w:tcPr>
            <w:tcW w:w="697" w:type="dxa"/>
            <w:tcBorders>
              <w:top w:val="nil"/>
              <w:left w:val="nil"/>
              <w:bottom w:val="nil"/>
              <w:right w:val="nil"/>
            </w:tcBorders>
            <w:shd w:val="clear" w:color="auto" w:fill="auto"/>
            <w:noWrap/>
            <w:vAlign w:val="center"/>
            <w:hideMark/>
          </w:tcPr>
          <w:p w14:paraId="6497CC67" w14:textId="544D682C" w:rsidR="00FC5D79" w:rsidRPr="00D92E20" w:rsidRDefault="00FC5D79" w:rsidP="00FC5D79">
            <w:pPr>
              <w:spacing w:after="0" w:line="240" w:lineRule="auto"/>
              <w:jc w:val="center"/>
              <w:rPr>
                <w:rFonts w:cs="Arial"/>
                <w:color w:val="000000"/>
                <w:sz w:val="16"/>
                <w:szCs w:val="16"/>
              </w:rPr>
            </w:pPr>
            <w:r>
              <w:rPr>
                <w:rFonts w:cs="Arial"/>
                <w:color w:val="000000"/>
                <w:sz w:val="16"/>
                <w:szCs w:val="16"/>
              </w:rPr>
              <w:t>18,5</w:t>
            </w:r>
          </w:p>
        </w:tc>
        <w:tc>
          <w:tcPr>
            <w:tcW w:w="697" w:type="dxa"/>
            <w:tcBorders>
              <w:top w:val="nil"/>
              <w:left w:val="nil"/>
              <w:bottom w:val="nil"/>
              <w:right w:val="nil"/>
            </w:tcBorders>
            <w:shd w:val="clear" w:color="auto" w:fill="auto"/>
            <w:noWrap/>
            <w:vAlign w:val="center"/>
            <w:hideMark/>
          </w:tcPr>
          <w:p w14:paraId="2E898002" w14:textId="42D90217" w:rsidR="00FC5D79" w:rsidRPr="00D92E20" w:rsidRDefault="00FC5D79" w:rsidP="00FC5D79">
            <w:pPr>
              <w:spacing w:after="0" w:line="240" w:lineRule="auto"/>
              <w:jc w:val="center"/>
              <w:rPr>
                <w:rFonts w:cs="Arial"/>
                <w:color w:val="000000"/>
                <w:sz w:val="16"/>
                <w:szCs w:val="16"/>
              </w:rPr>
            </w:pPr>
            <w:r>
              <w:rPr>
                <w:rFonts w:cs="Arial"/>
                <w:color w:val="000000"/>
                <w:sz w:val="16"/>
                <w:szCs w:val="16"/>
              </w:rPr>
              <w:t>19,9</w:t>
            </w:r>
          </w:p>
        </w:tc>
        <w:tc>
          <w:tcPr>
            <w:tcW w:w="697" w:type="dxa"/>
            <w:tcBorders>
              <w:top w:val="nil"/>
              <w:left w:val="nil"/>
              <w:bottom w:val="nil"/>
              <w:right w:val="nil"/>
            </w:tcBorders>
            <w:shd w:val="clear" w:color="auto" w:fill="auto"/>
            <w:noWrap/>
            <w:vAlign w:val="center"/>
            <w:hideMark/>
          </w:tcPr>
          <w:p w14:paraId="6C00987A" w14:textId="0DE209C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21,4</w:t>
            </w:r>
          </w:p>
        </w:tc>
        <w:tc>
          <w:tcPr>
            <w:tcW w:w="697" w:type="dxa"/>
            <w:tcBorders>
              <w:top w:val="nil"/>
              <w:left w:val="nil"/>
              <w:bottom w:val="nil"/>
              <w:right w:val="nil"/>
            </w:tcBorders>
            <w:shd w:val="clear" w:color="auto" w:fill="auto"/>
            <w:noWrap/>
            <w:vAlign w:val="center"/>
            <w:hideMark/>
          </w:tcPr>
          <w:p w14:paraId="6DE672A9" w14:textId="6068FA01"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20,3</w:t>
            </w:r>
          </w:p>
        </w:tc>
        <w:tc>
          <w:tcPr>
            <w:tcW w:w="697" w:type="dxa"/>
            <w:tcBorders>
              <w:top w:val="nil"/>
              <w:left w:val="nil"/>
              <w:bottom w:val="nil"/>
              <w:right w:val="nil"/>
            </w:tcBorders>
            <w:shd w:val="clear" w:color="auto" w:fill="auto"/>
            <w:noWrap/>
            <w:vAlign w:val="center"/>
            <w:hideMark/>
          </w:tcPr>
          <w:p w14:paraId="3CC99E6D" w14:textId="181EEBC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1DCF9E21" w14:textId="7D71D096" w:rsidR="00FC5D79" w:rsidRPr="00D92E20" w:rsidRDefault="00FC5D79" w:rsidP="00FC5D79">
            <w:pPr>
              <w:spacing w:after="0" w:line="240" w:lineRule="auto"/>
              <w:jc w:val="center"/>
              <w:rPr>
                <w:rFonts w:cs="Arial"/>
                <w:color w:val="000000"/>
                <w:sz w:val="16"/>
                <w:szCs w:val="16"/>
              </w:rPr>
            </w:pPr>
            <w:r>
              <w:rPr>
                <w:rFonts w:cs="Arial"/>
                <w:color w:val="000000"/>
                <w:sz w:val="16"/>
                <w:szCs w:val="16"/>
              </w:rPr>
              <w:t>30,1</w:t>
            </w:r>
          </w:p>
        </w:tc>
      </w:tr>
      <w:tr w:rsidR="00FC5D79" w:rsidRPr="00D92E20" w14:paraId="5D483365"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59C8D21"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01DEFE50" w14:textId="6DF6B8B9" w:rsidR="00FC5D79" w:rsidRPr="00D92E20" w:rsidRDefault="00FC5D79" w:rsidP="00FC5D79">
            <w:pPr>
              <w:spacing w:after="0" w:line="240" w:lineRule="auto"/>
              <w:jc w:val="center"/>
              <w:rPr>
                <w:rFonts w:cs="Arial"/>
                <w:color w:val="000000"/>
                <w:sz w:val="16"/>
                <w:szCs w:val="16"/>
              </w:rPr>
            </w:pPr>
            <w:r>
              <w:rPr>
                <w:rFonts w:cs="Arial"/>
                <w:sz w:val="16"/>
                <w:szCs w:val="16"/>
              </w:rPr>
              <w:t>16,6</w:t>
            </w:r>
          </w:p>
        </w:tc>
        <w:tc>
          <w:tcPr>
            <w:tcW w:w="697" w:type="dxa"/>
            <w:tcBorders>
              <w:top w:val="nil"/>
              <w:left w:val="nil"/>
              <w:bottom w:val="nil"/>
              <w:right w:val="nil"/>
            </w:tcBorders>
            <w:shd w:val="clear" w:color="auto" w:fill="auto"/>
            <w:noWrap/>
            <w:vAlign w:val="center"/>
            <w:hideMark/>
          </w:tcPr>
          <w:p w14:paraId="62CEF5F0" w14:textId="454604FF" w:rsidR="00FC5D79" w:rsidRPr="00D92E20" w:rsidRDefault="00FC5D79" w:rsidP="00FC5D79">
            <w:pPr>
              <w:spacing w:after="0" w:line="240" w:lineRule="auto"/>
              <w:jc w:val="center"/>
              <w:rPr>
                <w:rFonts w:cs="Arial"/>
                <w:color w:val="000000"/>
                <w:sz w:val="16"/>
                <w:szCs w:val="16"/>
              </w:rPr>
            </w:pPr>
            <w:r>
              <w:rPr>
                <w:rFonts w:cs="Arial"/>
                <w:sz w:val="16"/>
                <w:szCs w:val="16"/>
              </w:rPr>
              <w:t>14,3</w:t>
            </w:r>
          </w:p>
        </w:tc>
        <w:tc>
          <w:tcPr>
            <w:tcW w:w="697" w:type="dxa"/>
            <w:tcBorders>
              <w:top w:val="nil"/>
              <w:left w:val="nil"/>
              <w:bottom w:val="nil"/>
              <w:right w:val="nil"/>
            </w:tcBorders>
            <w:shd w:val="clear" w:color="auto" w:fill="auto"/>
            <w:noWrap/>
            <w:vAlign w:val="center"/>
            <w:hideMark/>
          </w:tcPr>
          <w:p w14:paraId="38BDDED8" w14:textId="237D1C89" w:rsidR="00FC5D79" w:rsidRPr="00D92E20" w:rsidRDefault="00FC5D79" w:rsidP="00FC5D79">
            <w:pPr>
              <w:spacing w:after="0" w:line="240" w:lineRule="auto"/>
              <w:jc w:val="center"/>
              <w:rPr>
                <w:rFonts w:cs="Arial"/>
                <w:color w:val="000000"/>
                <w:sz w:val="16"/>
                <w:szCs w:val="16"/>
              </w:rPr>
            </w:pPr>
            <w:r>
              <w:rPr>
                <w:rFonts w:cs="Arial"/>
                <w:sz w:val="16"/>
                <w:szCs w:val="16"/>
              </w:rPr>
              <w:t>17,4</w:t>
            </w:r>
          </w:p>
        </w:tc>
        <w:tc>
          <w:tcPr>
            <w:tcW w:w="697" w:type="dxa"/>
            <w:tcBorders>
              <w:top w:val="nil"/>
              <w:left w:val="nil"/>
              <w:bottom w:val="nil"/>
              <w:right w:val="nil"/>
            </w:tcBorders>
            <w:shd w:val="clear" w:color="auto" w:fill="auto"/>
            <w:noWrap/>
            <w:vAlign w:val="center"/>
            <w:hideMark/>
          </w:tcPr>
          <w:p w14:paraId="671AC91A" w14:textId="069D6D5C" w:rsidR="00FC5D79" w:rsidRPr="00D92E20" w:rsidRDefault="00FC5D79" w:rsidP="00FC5D79">
            <w:pPr>
              <w:spacing w:after="0" w:line="240" w:lineRule="auto"/>
              <w:jc w:val="center"/>
              <w:rPr>
                <w:rFonts w:cs="Arial"/>
                <w:color w:val="000000"/>
                <w:sz w:val="16"/>
                <w:szCs w:val="16"/>
              </w:rPr>
            </w:pPr>
            <w:r>
              <w:rPr>
                <w:rFonts w:cs="Arial"/>
                <w:sz w:val="16"/>
                <w:szCs w:val="16"/>
              </w:rPr>
              <w:t>14,7</w:t>
            </w:r>
          </w:p>
        </w:tc>
        <w:tc>
          <w:tcPr>
            <w:tcW w:w="697" w:type="dxa"/>
            <w:tcBorders>
              <w:top w:val="nil"/>
              <w:left w:val="nil"/>
              <w:bottom w:val="nil"/>
              <w:right w:val="nil"/>
            </w:tcBorders>
            <w:shd w:val="clear" w:color="auto" w:fill="auto"/>
            <w:noWrap/>
            <w:vAlign w:val="center"/>
            <w:hideMark/>
          </w:tcPr>
          <w:p w14:paraId="09A1D2F9" w14:textId="21AB7A52" w:rsidR="00FC5D79" w:rsidRPr="00D92E20" w:rsidRDefault="00FC5D79" w:rsidP="00FC5D79">
            <w:pPr>
              <w:spacing w:after="0" w:line="240" w:lineRule="auto"/>
              <w:jc w:val="center"/>
              <w:rPr>
                <w:rFonts w:cs="Arial"/>
                <w:color w:val="000000"/>
                <w:sz w:val="16"/>
                <w:szCs w:val="16"/>
              </w:rPr>
            </w:pPr>
            <w:r>
              <w:rPr>
                <w:rFonts w:cs="Arial"/>
                <w:sz w:val="16"/>
                <w:szCs w:val="16"/>
              </w:rPr>
              <w:t>20,4</w:t>
            </w:r>
          </w:p>
        </w:tc>
        <w:tc>
          <w:tcPr>
            <w:tcW w:w="697" w:type="dxa"/>
            <w:tcBorders>
              <w:top w:val="nil"/>
              <w:left w:val="nil"/>
              <w:bottom w:val="nil"/>
              <w:right w:val="nil"/>
            </w:tcBorders>
            <w:shd w:val="clear" w:color="auto" w:fill="auto"/>
            <w:noWrap/>
            <w:vAlign w:val="center"/>
            <w:hideMark/>
          </w:tcPr>
          <w:p w14:paraId="20275CD9" w14:textId="3BE2E208" w:rsidR="00FC5D79" w:rsidRPr="00D92E20" w:rsidRDefault="00FC5D79" w:rsidP="00FC5D79">
            <w:pPr>
              <w:spacing w:after="0" w:line="240" w:lineRule="auto"/>
              <w:jc w:val="center"/>
              <w:rPr>
                <w:rFonts w:cs="Arial"/>
                <w:color w:val="000000"/>
                <w:sz w:val="16"/>
                <w:szCs w:val="16"/>
              </w:rPr>
            </w:pPr>
            <w:r>
              <w:rPr>
                <w:rFonts w:cs="Arial"/>
                <w:color w:val="000000"/>
                <w:sz w:val="16"/>
                <w:szCs w:val="16"/>
              </w:rPr>
              <w:t>19,7</w:t>
            </w:r>
          </w:p>
        </w:tc>
        <w:tc>
          <w:tcPr>
            <w:tcW w:w="697" w:type="dxa"/>
            <w:tcBorders>
              <w:top w:val="nil"/>
              <w:left w:val="nil"/>
              <w:bottom w:val="nil"/>
              <w:right w:val="nil"/>
            </w:tcBorders>
            <w:shd w:val="clear" w:color="auto" w:fill="auto"/>
            <w:noWrap/>
            <w:vAlign w:val="center"/>
            <w:hideMark/>
          </w:tcPr>
          <w:p w14:paraId="2121A1C3" w14:textId="2B00486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224780C5" w14:textId="7B2908D0"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22,1</w:t>
            </w:r>
          </w:p>
        </w:tc>
        <w:tc>
          <w:tcPr>
            <w:tcW w:w="697" w:type="dxa"/>
            <w:tcBorders>
              <w:top w:val="nil"/>
              <w:left w:val="nil"/>
              <w:bottom w:val="nil"/>
              <w:right w:val="nil"/>
            </w:tcBorders>
            <w:shd w:val="clear" w:color="auto" w:fill="auto"/>
            <w:noWrap/>
            <w:vAlign w:val="center"/>
            <w:hideMark/>
          </w:tcPr>
          <w:p w14:paraId="2C23D19F" w14:textId="7C3BD49A"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21,3</w:t>
            </w:r>
          </w:p>
        </w:tc>
        <w:tc>
          <w:tcPr>
            <w:tcW w:w="697" w:type="dxa"/>
            <w:tcBorders>
              <w:top w:val="nil"/>
              <w:left w:val="nil"/>
              <w:bottom w:val="nil"/>
              <w:right w:val="nil"/>
            </w:tcBorders>
            <w:shd w:val="clear" w:color="auto" w:fill="auto"/>
            <w:noWrap/>
            <w:vAlign w:val="center"/>
            <w:hideMark/>
          </w:tcPr>
          <w:p w14:paraId="752D823F" w14:textId="352D355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24,9</w:t>
            </w:r>
          </w:p>
        </w:tc>
        <w:tc>
          <w:tcPr>
            <w:tcW w:w="697" w:type="dxa"/>
            <w:tcBorders>
              <w:top w:val="nil"/>
              <w:left w:val="nil"/>
              <w:bottom w:val="nil"/>
              <w:right w:val="nil"/>
            </w:tcBorders>
            <w:shd w:val="clear" w:color="auto" w:fill="auto"/>
            <w:noWrap/>
            <w:vAlign w:val="center"/>
            <w:hideMark/>
          </w:tcPr>
          <w:p w14:paraId="6DEAA1A5" w14:textId="7CAAD7F6" w:rsidR="00FC5D79" w:rsidRPr="00D92E20" w:rsidRDefault="00FC5D79" w:rsidP="00FC5D79">
            <w:pPr>
              <w:spacing w:after="0" w:line="240" w:lineRule="auto"/>
              <w:jc w:val="center"/>
              <w:rPr>
                <w:rFonts w:cs="Arial"/>
                <w:color w:val="000000"/>
                <w:sz w:val="16"/>
                <w:szCs w:val="16"/>
              </w:rPr>
            </w:pPr>
            <w:r>
              <w:rPr>
                <w:rFonts w:cs="Arial"/>
                <w:color w:val="000000"/>
                <w:sz w:val="16"/>
                <w:szCs w:val="16"/>
              </w:rPr>
              <w:t>29,9</w:t>
            </w:r>
          </w:p>
        </w:tc>
      </w:tr>
      <w:tr w:rsidR="00FC5D79" w:rsidRPr="00D92E20" w14:paraId="067173F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5E89EA8" w14:textId="77777777" w:rsidR="00FC5D79" w:rsidRPr="00D92E20" w:rsidRDefault="00FC5D79" w:rsidP="00FC5D79">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381B5B43" w14:textId="50479B10" w:rsidR="00FC5D79" w:rsidRPr="00D92E20" w:rsidRDefault="00FC5D79" w:rsidP="00FC5D79">
            <w:pPr>
              <w:spacing w:after="0" w:line="240" w:lineRule="auto"/>
              <w:jc w:val="center"/>
              <w:rPr>
                <w:rFonts w:cs="Arial"/>
                <w:color w:val="000000"/>
                <w:sz w:val="16"/>
                <w:szCs w:val="16"/>
              </w:rPr>
            </w:pPr>
            <w:r>
              <w:rPr>
                <w:rFonts w:cs="Arial"/>
                <w:sz w:val="16"/>
                <w:szCs w:val="16"/>
              </w:rPr>
              <w:t>17,7</w:t>
            </w:r>
          </w:p>
        </w:tc>
        <w:tc>
          <w:tcPr>
            <w:tcW w:w="697" w:type="dxa"/>
            <w:tcBorders>
              <w:top w:val="nil"/>
              <w:left w:val="nil"/>
              <w:bottom w:val="nil"/>
              <w:right w:val="nil"/>
            </w:tcBorders>
            <w:shd w:val="clear" w:color="auto" w:fill="auto"/>
            <w:noWrap/>
            <w:vAlign w:val="center"/>
            <w:hideMark/>
          </w:tcPr>
          <w:p w14:paraId="0C88F714" w14:textId="3DA30EFD" w:rsidR="00FC5D79" w:rsidRPr="00D92E20" w:rsidRDefault="00FC5D79" w:rsidP="00FC5D79">
            <w:pPr>
              <w:spacing w:after="0" w:line="240" w:lineRule="auto"/>
              <w:jc w:val="center"/>
              <w:rPr>
                <w:rFonts w:cs="Arial"/>
                <w:color w:val="000000"/>
                <w:sz w:val="16"/>
                <w:szCs w:val="16"/>
              </w:rPr>
            </w:pPr>
            <w:r>
              <w:rPr>
                <w:rFonts w:cs="Arial"/>
                <w:sz w:val="16"/>
                <w:szCs w:val="16"/>
              </w:rPr>
              <w:t>14,8</w:t>
            </w:r>
          </w:p>
        </w:tc>
        <w:tc>
          <w:tcPr>
            <w:tcW w:w="697" w:type="dxa"/>
            <w:tcBorders>
              <w:top w:val="nil"/>
              <w:left w:val="nil"/>
              <w:bottom w:val="nil"/>
              <w:right w:val="nil"/>
            </w:tcBorders>
            <w:shd w:val="clear" w:color="auto" w:fill="auto"/>
            <w:noWrap/>
            <w:vAlign w:val="center"/>
            <w:hideMark/>
          </w:tcPr>
          <w:p w14:paraId="7D7B76A8" w14:textId="3B2DEBD9" w:rsidR="00FC5D79" w:rsidRPr="00D92E20" w:rsidRDefault="00FC5D79" w:rsidP="00FC5D79">
            <w:pPr>
              <w:spacing w:after="0" w:line="240" w:lineRule="auto"/>
              <w:jc w:val="center"/>
              <w:rPr>
                <w:rFonts w:cs="Arial"/>
                <w:color w:val="000000"/>
                <w:sz w:val="16"/>
                <w:szCs w:val="16"/>
              </w:rPr>
            </w:pPr>
            <w:r>
              <w:rPr>
                <w:rFonts w:cs="Arial"/>
                <w:sz w:val="16"/>
                <w:szCs w:val="16"/>
              </w:rPr>
              <w:t>17,9</w:t>
            </w:r>
          </w:p>
        </w:tc>
        <w:tc>
          <w:tcPr>
            <w:tcW w:w="697" w:type="dxa"/>
            <w:tcBorders>
              <w:top w:val="nil"/>
              <w:left w:val="nil"/>
              <w:bottom w:val="nil"/>
              <w:right w:val="nil"/>
            </w:tcBorders>
            <w:shd w:val="clear" w:color="auto" w:fill="auto"/>
            <w:noWrap/>
            <w:vAlign w:val="center"/>
            <w:hideMark/>
          </w:tcPr>
          <w:p w14:paraId="0483F44F" w14:textId="69A95B13" w:rsidR="00FC5D79" w:rsidRPr="00D92E20" w:rsidRDefault="00FC5D79" w:rsidP="00FC5D79">
            <w:pPr>
              <w:spacing w:after="0" w:line="240" w:lineRule="auto"/>
              <w:jc w:val="center"/>
              <w:rPr>
                <w:rFonts w:cs="Arial"/>
                <w:color w:val="000000"/>
                <w:sz w:val="16"/>
                <w:szCs w:val="16"/>
              </w:rPr>
            </w:pPr>
            <w:r>
              <w:rPr>
                <w:rFonts w:cs="Arial"/>
                <w:sz w:val="16"/>
                <w:szCs w:val="16"/>
              </w:rPr>
              <w:t>15,3</w:t>
            </w:r>
          </w:p>
        </w:tc>
        <w:tc>
          <w:tcPr>
            <w:tcW w:w="697" w:type="dxa"/>
            <w:tcBorders>
              <w:top w:val="nil"/>
              <w:left w:val="nil"/>
              <w:bottom w:val="nil"/>
              <w:right w:val="nil"/>
            </w:tcBorders>
            <w:shd w:val="clear" w:color="auto" w:fill="auto"/>
            <w:noWrap/>
            <w:vAlign w:val="center"/>
            <w:hideMark/>
          </w:tcPr>
          <w:p w14:paraId="5540361E" w14:textId="2CD9E95D" w:rsidR="00FC5D79" w:rsidRPr="00D92E20" w:rsidRDefault="00FC5D79" w:rsidP="00FC5D79">
            <w:pPr>
              <w:spacing w:after="0" w:line="240" w:lineRule="auto"/>
              <w:jc w:val="center"/>
              <w:rPr>
                <w:rFonts w:cs="Arial"/>
                <w:color w:val="000000"/>
                <w:sz w:val="16"/>
                <w:szCs w:val="16"/>
              </w:rPr>
            </w:pPr>
            <w:r>
              <w:rPr>
                <w:rFonts w:cs="Arial"/>
                <w:sz w:val="16"/>
                <w:szCs w:val="16"/>
              </w:rPr>
              <w:t>20,0</w:t>
            </w:r>
          </w:p>
        </w:tc>
        <w:tc>
          <w:tcPr>
            <w:tcW w:w="697" w:type="dxa"/>
            <w:tcBorders>
              <w:top w:val="nil"/>
              <w:left w:val="nil"/>
              <w:bottom w:val="nil"/>
              <w:right w:val="nil"/>
            </w:tcBorders>
            <w:shd w:val="clear" w:color="auto" w:fill="auto"/>
            <w:noWrap/>
            <w:vAlign w:val="center"/>
            <w:hideMark/>
          </w:tcPr>
          <w:p w14:paraId="1B68F850" w14:textId="5849760B" w:rsidR="00FC5D79" w:rsidRPr="00D92E20" w:rsidRDefault="00FC5D79" w:rsidP="00FC5D79">
            <w:pPr>
              <w:spacing w:after="0" w:line="240" w:lineRule="auto"/>
              <w:jc w:val="center"/>
              <w:rPr>
                <w:rFonts w:cs="Arial"/>
                <w:color w:val="000000"/>
                <w:sz w:val="16"/>
                <w:szCs w:val="16"/>
              </w:rPr>
            </w:pPr>
            <w:r>
              <w:rPr>
                <w:rFonts w:cs="Arial"/>
                <w:color w:val="000000"/>
                <w:sz w:val="16"/>
                <w:szCs w:val="16"/>
              </w:rPr>
              <w:t>20,2</w:t>
            </w:r>
          </w:p>
        </w:tc>
        <w:tc>
          <w:tcPr>
            <w:tcW w:w="697" w:type="dxa"/>
            <w:tcBorders>
              <w:top w:val="nil"/>
              <w:left w:val="nil"/>
              <w:bottom w:val="nil"/>
              <w:right w:val="nil"/>
            </w:tcBorders>
            <w:shd w:val="clear" w:color="auto" w:fill="auto"/>
            <w:noWrap/>
            <w:vAlign w:val="center"/>
            <w:hideMark/>
          </w:tcPr>
          <w:p w14:paraId="250ADF9E" w14:textId="304FD2CF" w:rsidR="00FC5D79" w:rsidRPr="00D92E20" w:rsidRDefault="00FC5D79" w:rsidP="00FC5D79">
            <w:pPr>
              <w:spacing w:after="0" w:line="240" w:lineRule="auto"/>
              <w:jc w:val="center"/>
              <w:rPr>
                <w:rFonts w:cs="Arial"/>
                <w:color w:val="000000"/>
                <w:sz w:val="16"/>
                <w:szCs w:val="16"/>
              </w:rPr>
            </w:pPr>
            <w:r>
              <w:rPr>
                <w:rFonts w:cs="Arial"/>
                <w:color w:val="000000"/>
                <w:sz w:val="16"/>
                <w:szCs w:val="16"/>
              </w:rPr>
              <w:t>21,5</w:t>
            </w:r>
          </w:p>
        </w:tc>
        <w:tc>
          <w:tcPr>
            <w:tcW w:w="697" w:type="dxa"/>
            <w:tcBorders>
              <w:top w:val="nil"/>
              <w:left w:val="nil"/>
              <w:bottom w:val="nil"/>
              <w:right w:val="nil"/>
            </w:tcBorders>
            <w:shd w:val="clear" w:color="auto" w:fill="auto"/>
            <w:noWrap/>
            <w:vAlign w:val="center"/>
            <w:hideMark/>
          </w:tcPr>
          <w:p w14:paraId="2D317FF9" w14:textId="063048EE" w:rsidR="00FC5D79" w:rsidRPr="00D92E20" w:rsidRDefault="00FC5D79" w:rsidP="00FC5D79">
            <w:pPr>
              <w:spacing w:after="0" w:line="240" w:lineRule="auto"/>
              <w:jc w:val="center"/>
              <w:rPr>
                <w:rFonts w:cs="Arial"/>
                <w:color w:val="000000"/>
                <w:sz w:val="16"/>
                <w:szCs w:val="16"/>
              </w:rPr>
            </w:pPr>
            <w:r>
              <w:rPr>
                <w:rFonts w:cs="Arial"/>
                <w:color w:val="000000"/>
                <w:sz w:val="16"/>
                <w:szCs w:val="16"/>
              </w:rPr>
              <w:t>23,1</w:t>
            </w:r>
          </w:p>
        </w:tc>
        <w:tc>
          <w:tcPr>
            <w:tcW w:w="697" w:type="dxa"/>
            <w:tcBorders>
              <w:top w:val="nil"/>
              <w:left w:val="nil"/>
              <w:bottom w:val="nil"/>
              <w:right w:val="nil"/>
            </w:tcBorders>
            <w:shd w:val="clear" w:color="auto" w:fill="auto"/>
            <w:noWrap/>
            <w:vAlign w:val="center"/>
            <w:hideMark/>
          </w:tcPr>
          <w:p w14:paraId="5F07498C" w14:textId="6541C718" w:rsidR="00FC5D79" w:rsidRPr="00D92E20" w:rsidRDefault="00FC5D79" w:rsidP="00FC5D79">
            <w:pPr>
              <w:spacing w:after="0" w:line="240" w:lineRule="auto"/>
              <w:jc w:val="center"/>
              <w:rPr>
                <w:rFonts w:cs="Arial"/>
                <w:color w:val="000000"/>
                <w:sz w:val="16"/>
                <w:szCs w:val="16"/>
              </w:rPr>
            </w:pPr>
            <w:r>
              <w:rPr>
                <w:rFonts w:cs="Arial"/>
                <w:color w:val="000000"/>
                <w:sz w:val="16"/>
                <w:szCs w:val="16"/>
              </w:rPr>
              <w:t>22,0</w:t>
            </w:r>
          </w:p>
        </w:tc>
        <w:tc>
          <w:tcPr>
            <w:tcW w:w="697" w:type="dxa"/>
            <w:tcBorders>
              <w:top w:val="nil"/>
              <w:left w:val="nil"/>
              <w:bottom w:val="nil"/>
              <w:right w:val="nil"/>
            </w:tcBorders>
            <w:shd w:val="clear" w:color="auto" w:fill="auto"/>
            <w:noWrap/>
            <w:vAlign w:val="center"/>
            <w:hideMark/>
          </w:tcPr>
          <w:p w14:paraId="359D74C0" w14:textId="6ACAC056" w:rsidR="00FC5D79" w:rsidRPr="00D92E20" w:rsidRDefault="00FC5D79" w:rsidP="00FC5D79">
            <w:pPr>
              <w:spacing w:after="0" w:line="240" w:lineRule="auto"/>
              <w:jc w:val="center"/>
              <w:rPr>
                <w:rFonts w:cs="Arial"/>
                <w:color w:val="000000"/>
                <w:sz w:val="16"/>
                <w:szCs w:val="16"/>
              </w:rPr>
            </w:pPr>
            <w:r>
              <w:rPr>
                <w:rFonts w:cs="Arial"/>
                <w:color w:val="000000"/>
                <w:sz w:val="16"/>
                <w:szCs w:val="16"/>
              </w:rPr>
              <w:t>26,9</w:t>
            </w:r>
          </w:p>
        </w:tc>
        <w:tc>
          <w:tcPr>
            <w:tcW w:w="697" w:type="dxa"/>
            <w:tcBorders>
              <w:top w:val="nil"/>
              <w:left w:val="nil"/>
              <w:bottom w:val="nil"/>
              <w:right w:val="nil"/>
            </w:tcBorders>
            <w:shd w:val="clear" w:color="auto" w:fill="auto"/>
            <w:noWrap/>
            <w:vAlign w:val="center"/>
            <w:hideMark/>
          </w:tcPr>
          <w:p w14:paraId="7494AB02" w14:textId="11DAD8C0" w:rsidR="00FC5D79" w:rsidRPr="00D92E20" w:rsidRDefault="00FC5D79" w:rsidP="00FC5D79">
            <w:pPr>
              <w:spacing w:after="0" w:line="240" w:lineRule="auto"/>
              <w:jc w:val="center"/>
              <w:rPr>
                <w:rFonts w:cs="Arial"/>
                <w:color w:val="000000"/>
                <w:sz w:val="16"/>
                <w:szCs w:val="16"/>
              </w:rPr>
            </w:pPr>
            <w:r>
              <w:rPr>
                <w:rFonts w:cs="Arial"/>
                <w:color w:val="000000"/>
                <w:sz w:val="16"/>
                <w:szCs w:val="16"/>
              </w:rPr>
              <w:t>32,6</w:t>
            </w:r>
          </w:p>
        </w:tc>
      </w:tr>
    </w:tbl>
    <w:p w14:paraId="4979ED72" w14:textId="43D161DA" w:rsidR="00B0095F" w:rsidRPr="00D92E20" w:rsidRDefault="00B0095F" w:rsidP="00B0095F">
      <w:pPr>
        <w:spacing w:before="120"/>
        <w:rPr>
          <w:sz w:val="16"/>
        </w:rPr>
      </w:pPr>
      <w:r w:rsidRPr="00D92E20">
        <w:rPr>
          <w:sz w:val="16"/>
        </w:rPr>
        <w:t>Zdroj: ČSÚ</w:t>
      </w:r>
    </w:p>
    <w:p w14:paraId="659702C8" w14:textId="77777777" w:rsidR="0048385E" w:rsidRPr="00D92E20" w:rsidRDefault="0048385E" w:rsidP="00BA6B4E">
      <w:pPr>
        <w:pStyle w:val="Nadpis3"/>
        <w:numPr>
          <w:ilvl w:val="2"/>
          <w:numId w:val="21"/>
        </w:numPr>
        <w:spacing w:after="120"/>
        <w:ind w:left="709"/>
        <w:jc w:val="both"/>
      </w:pPr>
      <w:bookmarkStart w:id="9" w:name="_Toc70676750"/>
      <w:bookmarkStart w:id="10" w:name="_Toc70676872"/>
      <w:bookmarkStart w:id="11" w:name="_Toc70933090"/>
      <w:bookmarkStart w:id="12" w:name="_Toc70933155"/>
      <w:bookmarkStart w:id="13" w:name="_Toc70948573"/>
      <w:bookmarkStart w:id="14" w:name="_Toc70948602"/>
      <w:bookmarkStart w:id="15" w:name="_Toc70948631"/>
      <w:bookmarkStart w:id="16" w:name="_Toc70948675"/>
      <w:bookmarkStart w:id="17" w:name="_Toc70948904"/>
      <w:bookmarkStart w:id="18" w:name="_Toc54262801"/>
      <w:bookmarkStart w:id="19" w:name="_Toc86233479"/>
      <w:bookmarkEnd w:id="9"/>
      <w:bookmarkEnd w:id="10"/>
      <w:bookmarkEnd w:id="11"/>
      <w:bookmarkEnd w:id="12"/>
      <w:bookmarkEnd w:id="13"/>
      <w:bookmarkEnd w:id="14"/>
      <w:bookmarkEnd w:id="15"/>
      <w:bookmarkEnd w:id="16"/>
      <w:bookmarkEnd w:id="17"/>
      <w:r w:rsidRPr="00D92E20">
        <w:t>Délka trvání dočasné pracovní neschopnosti</w:t>
      </w:r>
      <w:bookmarkEnd w:id="18"/>
      <w:bookmarkEnd w:id="19"/>
    </w:p>
    <w:p w14:paraId="6D52A0B9" w14:textId="77777777" w:rsidR="0048385E" w:rsidRPr="00D92E20" w:rsidRDefault="0048385E" w:rsidP="00BA6B4E">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15ECD2E5" w14:textId="0E6A6A10" w:rsidR="0048385E" w:rsidRPr="00D92E20" w:rsidRDefault="0048385E" w:rsidP="00BA6B4E">
      <w:pPr>
        <w:pStyle w:val="Box1"/>
        <w:spacing w:before="120" w:after="120"/>
        <w:ind w:left="0"/>
        <w:contextualSpacing w:val="0"/>
        <w:jc w:val="both"/>
        <w:rPr>
          <w:b/>
          <w:i/>
        </w:rPr>
      </w:pPr>
      <w:r w:rsidRPr="00D92E20">
        <w:rPr>
          <w:b/>
          <w:i/>
        </w:rPr>
        <w:t>Počet kalendářních dnů pracovní neschopnosti</w:t>
      </w:r>
      <w:r w:rsidRPr="00D92E20">
        <w:rPr>
          <w:i/>
        </w:rPr>
        <w:t xml:space="preserve"> – ukazatel udává celkový počet kalendářních dnů, po které byli v daném období (</w:t>
      </w:r>
      <w:r w:rsidR="004B564D">
        <w:rPr>
          <w:i/>
        </w:rPr>
        <w:t>1. pololetí</w:t>
      </w:r>
      <w:r w:rsidRPr="00D92E20">
        <w:rPr>
          <w:i/>
        </w:rPr>
        <w:t>) nemocensky pojištění práce neschopni</w:t>
      </w:r>
      <w:r w:rsidR="007C6359">
        <w:rPr>
          <w:i/>
        </w:rPr>
        <w:t>.</w:t>
      </w:r>
      <w:r w:rsidRPr="00D92E20">
        <w:rPr>
          <w:i/>
        </w:rPr>
        <w:t xml:space="preserve"> Počet kalendářních dnů strávených v pracovní neschopnosti je zjišťován na základě hlášení o vzniku a ukončení pracovní neschopnosti. </w:t>
      </w:r>
      <w:r w:rsidR="00954E16" w:rsidRPr="00954E16">
        <w:rPr>
          <w:i/>
        </w:rPr>
        <w:t xml:space="preserve">Údaj zahrnuje dny pracovní neschopnosti vč. dnů u těch případů, které vznikly před sledovaným obdobím a v počtu nově hlášených případů dočasné pracovní neschopnosti za toto období zařazeny nejsou. Maximální doba zápočtu je délka sledovaného období (180 resp. 181 dnů za 1. pololetí)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39634E12" w14:textId="09C10A6F" w:rsidR="0048385E" w:rsidRPr="00D92E20" w:rsidRDefault="0048385E" w:rsidP="0048385E">
      <w:pPr>
        <w:pStyle w:val="Box1"/>
        <w:ind w:left="0"/>
        <w:jc w:val="both"/>
        <w:rPr>
          <w:i/>
        </w:rPr>
      </w:pPr>
      <w:r w:rsidRPr="00D92E20">
        <w:rPr>
          <w:b/>
          <w:i/>
        </w:rPr>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00954E16" w:rsidRPr="00954E16">
        <w:rPr>
          <w:i/>
        </w:rPr>
        <w:t>Nově hlášený případ musí být vzniklý ve sledovaném období, kdežto do dnů pracovní neschopnosti (maximálně v délce sledovaného období, tedy 180 resp. 181 dnů za 1. pol</w:t>
      </w:r>
      <w:r w:rsidR="00954E16">
        <w:rPr>
          <w:i/>
        </w:rPr>
        <w:t>oletí</w:t>
      </w:r>
      <w:r w:rsidR="00954E16" w:rsidRPr="00954E16">
        <w:rPr>
          <w:i/>
        </w:rPr>
        <w:t>) se započítávají i dny z případů PN, které mohly vzniknout již v předchozím období, ale byly ukončeny či nadále trvají v průběhu sledovaného období.</w:t>
      </w:r>
    </w:p>
    <w:p w14:paraId="31B6C8D4" w14:textId="77777777" w:rsidR="0048385E" w:rsidRPr="00D92E20" w:rsidRDefault="0048385E" w:rsidP="0048385E">
      <w:pPr>
        <w:pStyle w:val="Box1"/>
        <w:ind w:left="0"/>
        <w:jc w:val="both"/>
        <w:rPr>
          <w:i/>
          <w:u w:val="single"/>
        </w:rPr>
      </w:pPr>
      <w:r w:rsidRPr="00D92E20">
        <w:rPr>
          <w:i/>
          <w:u w:val="single"/>
        </w:rPr>
        <w:t>Způsob výpočtu:</w:t>
      </w:r>
    </w:p>
    <w:p w14:paraId="4C434103" w14:textId="77777777" w:rsidR="0048385E" w:rsidRPr="00D92E20" w:rsidRDefault="0048385E" w:rsidP="00BA6B4E">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131E20DE" w14:textId="7B507F1B" w:rsidR="004A31C1" w:rsidRDefault="004A31C1" w:rsidP="004A31C1">
      <w:pPr>
        <w:spacing w:before="120" w:after="120"/>
        <w:jc w:val="both"/>
      </w:pPr>
      <w:r w:rsidRPr="00D92E20">
        <w:t>Počet kalendářních dnů dočasné pracovní neschopnosti</w:t>
      </w:r>
      <w:r w:rsidRPr="00D92E20">
        <w:rPr>
          <w:b/>
        </w:rPr>
        <w:t xml:space="preserve"> </w:t>
      </w:r>
      <w:r w:rsidRPr="00D92E20">
        <w:t>meziročně vzrostl z</w:t>
      </w:r>
      <w:r>
        <w:t>e 47 402</w:t>
      </w:r>
      <w:r w:rsidRPr="00D92E20">
        <w:t xml:space="preserve"> tis. prostonaných dnů v</w:t>
      </w:r>
      <w:r>
        <w:t> 1. pol. 2020</w:t>
      </w:r>
      <w:r w:rsidRPr="00D92E20">
        <w:t xml:space="preserve"> na </w:t>
      </w:r>
      <w:r>
        <w:t>50 856</w:t>
      </w:r>
      <w:r w:rsidRPr="00D92E20">
        <w:t xml:space="preserve"> tis. dnů v</w:t>
      </w:r>
      <w:r>
        <w:t> 1. pol. 2021</w:t>
      </w:r>
      <w:r w:rsidRPr="00D92E20">
        <w:t xml:space="preserve"> (tj. o </w:t>
      </w:r>
      <w:r>
        <w:t xml:space="preserve">7 </w:t>
      </w:r>
      <w:r w:rsidRPr="00D92E20">
        <w:t xml:space="preserve">%). </w:t>
      </w:r>
      <w:r w:rsidRPr="003B26E3">
        <w:t>V porovnání s 1. pol. 2019 došlo k nárůstu počtu prostonaných dnů o více než pětinu.</w:t>
      </w:r>
      <w:r>
        <w:t xml:space="preserve"> Meziroční n</w:t>
      </w:r>
      <w:r w:rsidRPr="00D92E20">
        <w:t xml:space="preserve">árůst počtu kalendářních dnů připadá na vrub </w:t>
      </w:r>
      <w:r>
        <w:t xml:space="preserve">téměř výhradně </w:t>
      </w:r>
      <w:r w:rsidRPr="00D92E20">
        <w:t>nemocem (+</w:t>
      </w:r>
      <w:r>
        <w:t>3,7</w:t>
      </w:r>
      <w:r w:rsidRPr="00D92E20">
        <w:t xml:space="preserve"> mil.). Počty dnů pracovní neschopnosti pro pracovní úrazy</w:t>
      </w:r>
      <w:r>
        <w:t xml:space="preserve"> vzrostly</w:t>
      </w:r>
      <w:r w:rsidRPr="00D92E20">
        <w:t xml:space="preserve"> o 5</w:t>
      </w:r>
      <w:r>
        <w:t>1</w:t>
      </w:r>
      <w:r w:rsidRPr="00D92E20">
        <w:t xml:space="preserve"> tis.</w:t>
      </w:r>
      <w:r>
        <w:t xml:space="preserve"> a</w:t>
      </w:r>
      <w:r w:rsidR="00CD63E8">
        <w:t> </w:t>
      </w:r>
      <w:r w:rsidRPr="00D92E20">
        <w:t>pro</w:t>
      </w:r>
      <w:r w:rsidR="00CD63E8">
        <w:t> </w:t>
      </w:r>
      <w:r w:rsidRPr="00D92E20">
        <w:t xml:space="preserve">mimopracovní úrazy </w:t>
      </w:r>
      <w:r>
        <w:t>dokonce poklesly</w:t>
      </w:r>
      <w:r w:rsidRPr="00D92E20">
        <w:t xml:space="preserve"> o </w:t>
      </w:r>
      <w:r>
        <w:t>251 tis.</w:t>
      </w:r>
    </w:p>
    <w:p w14:paraId="6D9F76DA" w14:textId="2281922D" w:rsidR="004A31C1" w:rsidRDefault="004A31C1" w:rsidP="004A31C1">
      <w:pPr>
        <w:spacing w:before="120" w:after="120"/>
        <w:jc w:val="both"/>
        <w:rPr>
          <w:b/>
        </w:rPr>
      </w:pPr>
      <w:r w:rsidRPr="00D92E20">
        <w:lastRenderedPageBreak/>
        <w:t>Většina dnů pracovní neschopnosti (8</w:t>
      </w:r>
      <w:r>
        <w:t>9</w:t>
      </w:r>
      <w:r w:rsidRPr="00D92E20">
        <w:t xml:space="preserve"> %) je způsobena nemocí, v absolutním počtu </w:t>
      </w:r>
      <w:r>
        <w:t>45 205</w:t>
      </w:r>
      <w:r w:rsidRPr="00D92E20">
        <w:t xml:space="preserve"> tis. za</w:t>
      </w:r>
      <w:r w:rsidR="00CD63E8">
        <w:t> </w:t>
      </w:r>
      <w:r>
        <w:t>1.</w:t>
      </w:r>
      <w:r w:rsidR="00CD63E8">
        <w:t> </w:t>
      </w:r>
      <w:r>
        <w:t>pol.</w:t>
      </w:r>
      <w:r w:rsidR="00CD63E8">
        <w:t> </w:t>
      </w:r>
      <w:r>
        <w:t>2021</w:t>
      </w:r>
      <w:r w:rsidRPr="00D92E20">
        <w:t xml:space="preserve">. Ženy strávily v dočasné pracovní neschopnosti celkem </w:t>
      </w:r>
      <w:r>
        <w:t>26 950</w:t>
      </w:r>
      <w:r w:rsidRPr="00D92E20">
        <w:t xml:space="preserve"> tis. dnů, což je o </w:t>
      </w:r>
      <w:r>
        <w:t>3 043</w:t>
      </w:r>
      <w:r w:rsidRPr="00D92E20">
        <w:t xml:space="preserve"> tis. dnů více než muži. To, že ženy stráví na neschopence delší dobu, potvrzuje i dlouhodobější vývoj průměrné délky trvání dočasné pracovní neschopnosti znázorněný v tab. 2.5 či grafu 2.9.</w:t>
      </w:r>
    </w:p>
    <w:p w14:paraId="0C194611" w14:textId="521E408E" w:rsidR="00EA098E" w:rsidRPr="00D92E20" w:rsidRDefault="0048385E" w:rsidP="00BA6B4E">
      <w:pPr>
        <w:spacing w:after="0"/>
        <w:jc w:val="both"/>
        <w:rPr>
          <w:b/>
        </w:rPr>
      </w:pPr>
      <w:r w:rsidRPr="00D92E20">
        <w:rPr>
          <w:b/>
        </w:rPr>
        <w:t xml:space="preserve">Tab. 2.4: </w:t>
      </w:r>
      <w:r w:rsidR="004B564D" w:rsidRPr="004B564D">
        <w:rPr>
          <w:b/>
        </w:rPr>
        <w:t>Kalendářní dny dočasné pracovní neschopnosti podle příčiny a pohlaví, 1. pol. 2011–1. pol. 2021 (v tis.)</w:t>
      </w:r>
    </w:p>
    <w:tbl>
      <w:tblPr>
        <w:tblW w:w="9542" w:type="dxa"/>
        <w:tblCellMar>
          <w:left w:w="70" w:type="dxa"/>
          <w:right w:w="70" w:type="dxa"/>
        </w:tblCellMar>
        <w:tblLook w:val="04A0" w:firstRow="1" w:lastRow="0" w:firstColumn="1" w:lastColumn="0" w:noHBand="0" w:noVBand="1"/>
      </w:tblPr>
      <w:tblGrid>
        <w:gridCol w:w="1010"/>
        <w:gridCol w:w="711"/>
        <w:gridCol w:w="703"/>
        <w:gridCol w:w="704"/>
        <w:gridCol w:w="707"/>
        <w:gridCol w:w="704"/>
        <w:gridCol w:w="704"/>
        <w:gridCol w:w="754"/>
        <w:gridCol w:w="709"/>
        <w:gridCol w:w="709"/>
        <w:gridCol w:w="709"/>
        <w:gridCol w:w="709"/>
        <w:gridCol w:w="709"/>
      </w:tblGrid>
      <w:tr w:rsidR="004B564D" w:rsidRPr="00D92E20" w14:paraId="022C4014" w14:textId="77777777" w:rsidTr="004B564D">
        <w:trPr>
          <w:trHeight w:val="300"/>
        </w:trPr>
        <w:tc>
          <w:tcPr>
            <w:tcW w:w="1010" w:type="dxa"/>
            <w:vMerge w:val="restart"/>
            <w:tcBorders>
              <w:top w:val="single" w:sz="4" w:space="0" w:color="auto"/>
              <w:left w:val="nil"/>
              <w:bottom w:val="nil"/>
              <w:right w:val="single" w:sz="4" w:space="0" w:color="auto"/>
            </w:tcBorders>
            <w:shd w:val="clear" w:color="000000" w:fill="F5DADD"/>
            <w:vAlign w:val="center"/>
            <w:hideMark/>
          </w:tcPr>
          <w:p w14:paraId="40A1A5DC" w14:textId="37AD99E9" w:rsidR="004B564D" w:rsidRPr="00D92E20" w:rsidRDefault="004B564D" w:rsidP="004B564D">
            <w:pPr>
              <w:spacing w:after="0" w:line="240" w:lineRule="auto"/>
              <w:jc w:val="center"/>
              <w:rPr>
                <w:rFonts w:cs="Arial"/>
                <w:color w:val="000000"/>
                <w:sz w:val="16"/>
                <w:szCs w:val="16"/>
              </w:rPr>
            </w:pPr>
            <w:r>
              <w:rPr>
                <w:rFonts w:cs="Arial"/>
                <w:sz w:val="16"/>
                <w:szCs w:val="16"/>
              </w:rPr>
              <w:t>Období</w:t>
            </w:r>
          </w:p>
        </w:tc>
        <w:tc>
          <w:tcPr>
            <w:tcW w:w="711" w:type="dxa"/>
            <w:vMerge w:val="restart"/>
            <w:tcBorders>
              <w:top w:val="single" w:sz="4" w:space="0" w:color="auto"/>
              <w:left w:val="single" w:sz="4" w:space="0" w:color="auto"/>
              <w:bottom w:val="single" w:sz="4" w:space="0" w:color="000000"/>
              <w:right w:val="single" w:sz="4" w:space="0" w:color="auto"/>
            </w:tcBorders>
            <w:shd w:val="clear" w:color="000000" w:fill="F2DBDB"/>
            <w:vAlign w:val="center"/>
            <w:hideMark/>
          </w:tcPr>
          <w:p w14:paraId="1464BECB" w14:textId="77777777" w:rsidR="004B564D" w:rsidRPr="00D92E20" w:rsidRDefault="004B564D" w:rsidP="004B564D">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7" w:type="dxa"/>
            <w:gridSpan w:val="2"/>
            <w:tcBorders>
              <w:top w:val="single" w:sz="4" w:space="0" w:color="auto"/>
              <w:left w:val="nil"/>
              <w:bottom w:val="single" w:sz="4" w:space="0" w:color="auto"/>
              <w:right w:val="single" w:sz="4" w:space="0" w:color="auto"/>
            </w:tcBorders>
            <w:shd w:val="clear" w:color="000000" w:fill="F2DBDB"/>
            <w:vAlign w:val="center"/>
            <w:hideMark/>
          </w:tcPr>
          <w:p w14:paraId="77F82B5D"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single" w:sz="4" w:space="0" w:color="auto"/>
              <w:right w:val="single" w:sz="4" w:space="0" w:color="auto"/>
            </w:tcBorders>
            <w:shd w:val="clear" w:color="000000" w:fill="F2DBDB"/>
            <w:vAlign w:val="center"/>
            <w:hideMark/>
          </w:tcPr>
          <w:p w14:paraId="06A482C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nemoc</w:t>
            </w:r>
          </w:p>
        </w:tc>
        <w:tc>
          <w:tcPr>
            <w:tcW w:w="1408" w:type="dxa"/>
            <w:gridSpan w:val="2"/>
            <w:tcBorders>
              <w:top w:val="single" w:sz="4" w:space="0" w:color="auto"/>
              <w:left w:val="nil"/>
              <w:bottom w:val="single" w:sz="4" w:space="0" w:color="auto"/>
              <w:right w:val="single" w:sz="4" w:space="0" w:color="auto"/>
            </w:tcBorders>
            <w:shd w:val="clear" w:color="000000" w:fill="F2DBDB"/>
            <w:vAlign w:val="center"/>
            <w:hideMark/>
          </w:tcPr>
          <w:p w14:paraId="7039C6A9"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73872E56"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24099DA4"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1FF174EC"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Pro ostatní úrazy</w:t>
            </w:r>
          </w:p>
        </w:tc>
        <w:tc>
          <w:tcPr>
            <w:tcW w:w="1417" w:type="dxa"/>
            <w:gridSpan w:val="2"/>
            <w:tcBorders>
              <w:top w:val="single" w:sz="4" w:space="0" w:color="auto"/>
              <w:left w:val="nil"/>
              <w:bottom w:val="single" w:sz="4" w:space="0" w:color="auto"/>
            </w:tcBorders>
            <w:shd w:val="clear" w:color="000000" w:fill="F2DBDB"/>
            <w:vAlign w:val="center"/>
            <w:hideMark/>
          </w:tcPr>
          <w:p w14:paraId="0D1F3B2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podle pohlaví</w:t>
            </w:r>
          </w:p>
        </w:tc>
      </w:tr>
      <w:tr w:rsidR="004B564D" w:rsidRPr="00D92E20" w14:paraId="40A212C5" w14:textId="77777777" w:rsidTr="004B564D">
        <w:trPr>
          <w:trHeight w:val="300"/>
        </w:trPr>
        <w:tc>
          <w:tcPr>
            <w:tcW w:w="1010" w:type="dxa"/>
            <w:vMerge/>
            <w:tcBorders>
              <w:top w:val="single" w:sz="4" w:space="0" w:color="auto"/>
              <w:left w:val="nil"/>
              <w:bottom w:val="nil"/>
              <w:right w:val="single" w:sz="4" w:space="0" w:color="auto"/>
            </w:tcBorders>
            <w:vAlign w:val="center"/>
            <w:hideMark/>
          </w:tcPr>
          <w:p w14:paraId="76A2DFA2" w14:textId="77777777" w:rsidR="004B564D" w:rsidRPr="00D92E20" w:rsidRDefault="004B564D" w:rsidP="004B564D">
            <w:pPr>
              <w:spacing w:after="0" w:line="240" w:lineRule="auto"/>
              <w:rPr>
                <w:rFonts w:cs="Arial"/>
                <w:color w:val="000000"/>
                <w:sz w:val="16"/>
                <w:szCs w:val="16"/>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616A35AD" w14:textId="77777777" w:rsidR="004B564D" w:rsidRPr="00D92E20" w:rsidRDefault="004B564D" w:rsidP="004B564D">
            <w:pPr>
              <w:spacing w:after="0" w:line="240" w:lineRule="auto"/>
              <w:rPr>
                <w:rFonts w:cs="Arial"/>
                <w:b/>
                <w:bCs/>
                <w:color w:val="000000"/>
                <w:sz w:val="16"/>
                <w:szCs w:val="16"/>
              </w:rPr>
            </w:pPr>
          </w:p>
        </w:tc>
        <w:tc>
          <w:tcPr>
            <w:tcW w:w="703" w:type="dxa"/>
            <w:tcBorders>
              <w:top w:val="nil"/>
              <w:left w:val="nil"/>
              <w:bottom w:val="single" w:sz="4" w:space="0" w:color="auto"/>
              <w:right w:val="single" w:sz="4" w:space="0" w:color="auto"/>
            </w:tcBorders>
            <w:shd w:val="clear" w:color="000000" w:fill="F2DBDB"/>
            <w:vAlign w:val="center"/>
            <w:hideMark/>
          </w:tcPr>
          <w:p w14:paraId="429A06F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2A08FDE7"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single" w:sz="4" w:space="0" w:color="auto"/>
              <w:bottom w:val="single" w:sz="4" w:space="0" w:color="000000"/>
              <w:right w:val="single" w:sz="4" w:space="0" w:color="auto"/>
            </w:tcBorders>
            <w:vAlign w:val="center"/>
            <w:hideMark/>
          </w:tcPr>
          <w:p w14:paraId="36016328" w14:textId="77777777" w:rsidR="004B564D" w:rsidRPr="00D92E20" w:rsidRDefault="004B564D" w:rsidP="004B564D">
            <w:pPr>
              <w:spacing w:after="0" w:line="240" w:lineRule="auto"/>
              <w:rPr>
                <w:rFonts w:cs="Arial"/>
                <w:color w:val="000000"/>
                <w:sz w:val="16"/>
                <w:szCs w:val="16"/>
              </w:rPr>
            </w:pPr>
          </w:p>
        </w:tc>
        <w:tc>
          <w:tcPr>
            <w:tcW w:w="704" w:type="dxa"/>
            <w:tcBorders>
              <w:top w:val="nil"/>
              <w:left w:val="nil"/>
              <w:bottom w:val="single" w:sz="4" w:space="0" w:color="auto"/>
              <w:right w:val="single" w:sz="4" w:space="0" w:color="auto"/>
            </w:tcBorders>
            <w:shd w:val="clear" w:color="000000" w:fill="F2DBDB"/>
            <w:vAlign w:val="center"/>
            <w:hideMark/>
          </w:tcPr>
          <w:p w14:paraId="6E45C00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4" w:type="dxa"/>
            <w:tcBorders>
              <w:top w:val="nil"/>
              <w:left w:val="nil"/>
              <w:bottom w:val="single" w:sz="4" w:space="0" w:color="auto"/>
              <w:right w:val="single" w:sz="4" w:space="0" w:color="auto"/>
            </w:tcBorders>
            <w:shd w:val="clear" w:color="000000" w:fill="F2DBDB"/>
            <w:vAlign w:val="center"/>
            <w:hideMark/>
          </w:tcPr>
          <w:p w14:paraId="04E3FBB3"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393BB5F4"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42C026C2"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09BC780"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single" w:sz="4" w:space="0" w:color="auto"/>
              <w:bottom w:val="single" w:sz="4" w:space="0" w:color="000000"/>
              <w:right w:val="single" w:sz="4" w:space="0" w:color="auto"/>
            </w:tcBorders>
            <w:vAlign w:val="center"/>
            <w:hideMark/>
          </w:tcPr>
          <w:p w14:paraId="53417056" w14:textId="77777777" w:rsidR="004B564D" w:rsidRPr="00D92E20" w:rsidRDefault="004B564D" w:rsidP="004B564D">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107F703B"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04014ADF" w14:textId="77777777" w:rsidR="004B564D" w:rsidRPr="00D92E20" w:rsidRDefault="004B564D" w:rsidP="004B564D">
            <w:pPr>
              <w:spacing w:after="0" w:line="240" w:lineRule="auto"/>
              <w:jc w:val="center"/>
              <w:rPr>
                <w:rFonts w:cs="Arial"/>
                <w:color w:val="000000"/>
                <w:sz w:val="16"/>
                <w:szCs w:val="16"/>
              </w:rPr>
            </w:pPr>
            <w:r w:rsidRPr="00D92E20">
              <w:rPr>
                <w:rFonts w:cs="Arial"/>
                <w:color w:val="000000"/>
                <w:sz w:val="16"/>
                <w:szCs w:val="16"/>
              </w:rPr>
              <w:t>ženy</w:t>
            </w:r>
          </w:p>
        </w:tc>
      </w:tr>
      <w:tr w:rsidR="004B564D" w:rsidRPr="00D92E20" w14:paraId="4696E6BE" w14:textId="77777777" w:rsidTr="0050059C">
        <w:trPr>
          <w:trHeight w:val="300"/>
        </w:trPr>
        <w:tc>
          <w:tcPr>
            <w:tcW w:w="1010" w:type="dxa"/>
            <w:tcBorders>
              <w:top w:val="single" w:sz="4" w:space="0" w:color="auto"/>
              <w:left w:val="nil"/>
              <w:bottom w:val="nil"/>
              <w:right w:val="single" w:sz="4" w:space="0" w:color="auto"/>
            </w:tcBorders>
            <w:shd w:val="clear" w:color="auto" w:fill="auto"/>
            <w:vAlign w:val="center"/>
            <w:hideMark/>
          </w:tcPr>
          <w:p w14:paraId="24B6ED87" w14:textId="17756285" w:rsidR="004B564D" w:rsidRPr="00D92E20" w:rsidRDefault="004B564D" w:rsidP="004B564D">
            <w:pPr>
              <w:spacing w:after="0" w:line="240" w:lineRule="auto"/>
              <w:jc w:val="center"/>
              <w:rPr>
                <w:rFonts w:cs="Arial"/>
                <w:color w:val="000000"/>
                <w:sz w:val="16"/>
                <w:szCs w:val="16"/>
              </w:rPr>
            </w:pPr>
            <w:r>
              <w:rPr>
                <w:rFonts w:cs="Arial"/>
                <w:sz w:val="16"/>
                <w:szCs w:val="16"/>
              </w:rPr>
              <w:t>1. pol. 2011</w:t>
            </w:r>
          </w:p>
        </w:tc>
        <w:tc>
          <w:tcPr>
            <w:tcW w:w="711" w:type="dxa"/>
            <w:tcBorders>
              <w:top w:val="single" w:sz="4" w:space="0" w:color="auto"/>
              <w:left w:val="nil"/>
              <w:bottom w:val="nil"/>
              <w:right w:val="nil"/>
            </w:tcBorders>
            <w:shd w:val="clear" w:color="auto" w:fill="auto"/>
            <w:vAlign w:val="center"/>
            <w:hideMark/>
          </w:tcPr>
          <w:p w14:paraId="18C32558" w14:textId="2D1A3F84" w:rsidR="004B564D" w:rsidRPr="00D92E20" w:rsidRDefault="004B564D" w:rsidP="0050059C">
            <w:pPr>
              <w:spacing w:after="0" w:line="240" w:lineRule="auto"/>
              <w:jc w:val="right"/>
              <w:rPr>
                <w:rFonts w:cs="Arial"/>
                <w:color w:val="000000"/>
                <w:sz w:val="16"/>
                <w:szCs w:val="16"/>
              </w:rPr>
            </w:pPr>
            <w:r>
              <w:rPr>
                <w:rFonts w:cs="Arial"/>
                <w:sz w:val="16"/>
                <w:szCs w:val="16"/>
              </w:rPr>
              <w:t>30 388</w:t>
            </w:r>
          </w:p>
        </w:tc>
        <w:tc>
          <w:tcPr>
            <w:tcW w:w="703" w:type="dxa"/>
            <w:tcBorders>
              <w:top w:val="single" w:sz="4" w:space="0" w:color="auto"/>
              <w:left w:val="nil"/>
              <w:bottom w:val="nil"/>
              <w:right w:val="nil"/>
            </w:tcBorders>
            <w:shd w:val="clear" w:color="auto" w:fill="auto"/>
            <w:vAlign w:val="center"/>
            <w:hideMark/>
          </w:tcPr>
          <w:p w14:paraId="117C5785" w14:textId="13FF8B7D" w:rsidR="004B564D" w:rsidRPr="00D92E20" w:rsidRDefault="004B564D" w:rsidP="0050059C">
            <w:pPr>
              <w:spacing w:after="0" w:line="240" w:lineRule="auto"/>
              <w:jc w:val="right"/>
              <w:rPr>
                <w:rFonts w:cs="Arial"/>
                <w:color w:val="000000"/>
                <w:sz w:val="16"/>
                <w:szCs w:val="16"/>
              </w:rPr>
            </w:pPr>
            <w:r>
              <w:rPr>
                <w:rFonts w:cs="Arial"/>
                <w:sz w:val="16"/>
                <w:szCs w:val="16"/>
              </w:rPr>
              <w:t>14 270</w:t>
            </w:r>
          </w:p>
        </w:tc>
        <w:tc>
          <w:tcPr>
            <w:tcW w:w="704" w:type="dxa"/>
            <w:tcBorders>
              <w:top w:val="single" w:sz="4" w:space="0" w:color="auto"/>
              <w:left w:val="nil"/>
              <w:bottom w:val="nil"/>
              <w:right w:val="nil"/>
            </w:tcBorders>
            <w:shd w:val="clear" w:color="auto" w:fill="auto"/>
            <w:vAlign w:val="center"/>
            <w:hideMark/>
          </w:tcPr>
          <w:p w14:paraId="6A3645C8" w14:textId="3375C086" w:rsidR="004B564D" w:rsidRPr="00D92E20" w:rsidRDefault="004B564D" w:rsidP="0050059C">
            <w:pPr>
              <w:spacing w:after="0" w:line="240" w:lineRule="auto"/>
              <w:jc w:val="right"/>
              <w:rPr>
                <w:rFonts w:cs="Arial"/>
                <w:color w:val="000000"/>
                <w:sz w:val="16"/>
                <w:szCs w:val="16"/>
              </w:rPr>
            </w:pPr>
            <w:r>
              <w:rPr>
                <w:rFonts w:cs="Arial"/>
                <w:sz w:val="16"/>
                <w:szCs w:val="16"/>
              </w:rPr>
              <w:t>16 118</w:t>
            </w:r>
          </w:p>
        </w:tc>
        <w:tc>
          <w:tcPr>
            <w:tcW w:w="707" w:type="dxa"/>
            <w:tcBorders>
              <w:top w:val="single" w:sz="4" w:space="0" w:color="auto"/>
              <w:left w:val="single" w:sz="4" w:space="0" w:color="auto"/>
              <w:bottom w:val="nil"/>
              <w:right w:val="nil"/>
            </w:tcBorders>
            <w:shd w:val="clear" w:color="auto" w:fill="auto"/>
            <w:vAlign w:val="center"/>
            <w:hideMark/>
          </w:tcPr>
          <w:p w14:paraId="3F1FF9E6" w14:textId="6EC19FF2" w:rsidR="004B564D" w:rsidRPr="00D92E20" w:rsidRDefault="004B564D" w:rsidP="0050059C">
            <w:pPr>
              <w:spacing w:after="0" w:line="240" w:lineRule="auto"/>
              <w:jc w:val="right"/>
              <w:rPr>
                <w:rFonts w:cs="Arial"/>
                <w:color w:val="000000"/>
                <w:sz w:val="16"/>
                <w:szCs w:val="16"/>
              </w:rPr>
            </w:pPr>
            <w:r>
              <w:rPr>
                <w:rFonts w:cs="Arial"/>
                <w:sz w:val="16"/>
                <w:szCs w:val="16"/>
              </w:rPr>
              <w:t>26 746</w:t>
            </w:r>
          </w:p>
        </w:tc>
        <w:tc>
          <w:tcPr>
            <w:tcW w:w="704" w:type="dxa"/>
            <w:tcBorders>
              <w:top w:val="single" w:sz="4" w:space="0" w:color="auto"/>
              <w:left w:val="nil"/>
              <w:bottom w:val="nil"/>
              <w:right w:val="nil"/>
            </w:tcBorders>
            <w:shd w:val="clear" w:color="auto" w:fill="auto"/>
            <w:vAlign w:val="center"/>
            <w:hideMark/>
          </w:tcPr>
          <w:p w14:paraId="48C2CA24" w14:textId="51366C96" w:rsidR="004B564D" w:rsidRPr="00D92E20" w:rsidRDefault="004B564D" w:rsidP="0050059C">
            <w:pPr>
              <w:spacing w:after="0" w:line="240" w:lineRule="auto"/>
              <w:jc w:val="right"/>
              <w:rPr>
                <w:rFonts w:cs="Arial"/>
                <w:color w:val="000000"/>
                <w:sz w:val="16"/>
                <w:szCs w:val="16"/>
              </w:rPr>
            </w:pPr>
            <w:r>
              <w:rPr>
                <w:rFonts w:cs="Arial"/>
                <w:sz w:val="16"/>
                <w:szCs w:val="16"/>
              </w:rPr>
              <w:t>11 835</w:t>
            </w:r>
          </w:p>
        </w:tc>
        <w:tc>
          <w:tcPr>
            <w:tcW w:w="704" w:type="dxa"/>
            <w:tcBorders>
              <w:top w:val="single" w:sz="4" w:space="0" w:color="auto"/>
              <w:left w:val="nil"/>
              <w:bottom w:val="nil"/>
              <w:right w:val="single" w:sz="4" w:space="0" w:color="auto"/>
            </w:tcBorders>
            <w:shd w:val="clear" w:color="auto" w:fill="auto"/>
            <w:vAlign w:val="center"/>
            <w:hideMark/>
          </w:tcPr>
          <w:p w14:paraId="73D19BE5" w14:textId="39261257" w:rsidR="004B564D" w:rsidRPr="00D92E20" w:rsidRDefault="004B564D" w:rsidP="0050059C">
            <w:pPr>
              <w:spacing w:after="0" w:line="240" w:lineRule="auto"/>
              <w:jc w:val="right"/>
              <w:rPr>
                <w:rFonts w:cs="Arial"/>
                <w:color w:val="000000"/>
                <w:sz w:val="16"/>
                <w:szCs w:val="16"/>
              </w:rPr>
            </w:pPr>
            <w:r>
              <w:rPr>
                <w:rFonts w:cs="Arial"/>
                <w:sz w:val="16"/>
                <w:szCs w:val="16"/>
              </w:rPr>
              <w:t>14 910</w:t>
            </w:r>
          </w:p>
        </w:tc>
        <w:tc>
          <w:tcPr>
            <w:tcW w:w="754" w:type="dxa"/>
            <w:tcBorders>
              <w:top w:val="single" w:sz="4" w:space="0" w:color="auto"/>
              <w:left w:val="nil"/>
              <w:bottom w:val="nil"/>
              <w:right w:val="nil"/>
            </w:tcBorders>
            <w:shd w:val="clear" w:color="auto" w:fill="auto"/>
            <w:vAlign w:val="center"/>
            <w:hideMark/>
          </w:tcPr>
          <w:p w14:paraId="4B5691B5" w14:textId="3015863D" w:rsidR="004B564D" w:rsidRPr="00D92E20" w:rsidRDefault="004B564D" w:rsidP="0050059C">
            <w:pPr>
              <w:spacing w:after="0" w:line="240" w:lineRule="auto"/>
              <w:jc w:val="right"/>
              <w:rPr>
                <w:rFonts w:cs="Arial"/>
                <w:color w:val="000000"/>
                <w:sz w:val="16"/>
                <w:szCs w:val="16"/>
              </w:rPr>
            </w:pPr>
            <w:r>
              <w:rPr>
                <w:rFonts w:cs="Arial"/>
                <w:sz w:val="16"/>
                <w:szCs w:val="16"/>
              </w:rPr>
              <w:t>1 331</w:t>
            </w:r>
          </w:p>
        </w:tc>
        <w:tc>
          <w:tcPr>
            <w:tcW w:w="709" w:type="dxa"/>
            <w:tcBorders>
              <w:top w:val="single" w:sz="4" w:space="0" w:color="auto"/>
              <w:left w:val="nil"/>
              <w:bottom w:val="nil"/>
              <w:right w:val="nil"/>
            </w:tcBorders>
            <w:shd w:val="clear" w:color="auto" w:fill="auto"/>
            <w:vAlign w:val="center"/>
            <w:hideMark/>
          </w:tcPr>
          <w:p w14:paraId="5320ADC9" w14:textId="52B80303" w:rsidR="004B564D" w:rsidRPr="00D92E20" w:rsidRDefault="004B564D" w:rsidP="0050059C">
            <w:pPr>
              <w:spacing w:after="0" w:line="240" w:lineRule="auto"/>
              <w:jc w:val="right"/>
              <w:rPr>
                <w:rFonts w:cs="Arial"/>
                <w:color w:val="000000"/>
                <w:sz w:val="16"/>
                <w:szCs w:val="16"/>
              </w:rPr>
            </w:pPr>
            <w:r>
              <w:rPr>
                <w:rFonts w:cs="Arial"/>
                <w:sz w:val="16"/>
                <w:szCs w:val="16"/>
              </w:rPr>
              <w:t>942</w:t>
            </w:r>
          </w:p>
        </w:tc>
        <w:tc>
          <w:tcPr>
            <w:tcW w:w="709" w:type="dxa"/>
            <w:tcBorders>
              <w:top w:val="single" w:sz="4" w:space="0" w:color="auto"/>
              <w:left w:val="nil"/>
              <w:bottom w:val="nil"/>
              <w:right w:val="single" w:sz="4" w:space="0" w:color="auto"/>
            </w:tcBorders>
            <w:shd w:val="clear" w:color="auto" w:fill="auto"/>
            <w:vAlign w:val="center"/>
            <w:hideMark/>
          </w:tcPr>
          <w:p w14:paraId="27B7DA7A" w14:textId="7057E624" w:rsidR="004B564D" w:rsidRPr="00D92E20" w:rsidRDefault="004B564D" w:rsidP="0050059C">
            <w:pPr>
              <w:spacing w:after="0" w:line="240" w:lineRule="auto"/>
              <w:jc w:val="right"/>
              <w:rPr>
                <w:rFonts w:cs="Arial"/>
                <w:color w:val="000000"/>
                <w:sz w:val="16"/>
                <w:szCs w:val="16"/>
              </w:rPr>
            </w:pPr>
            <w:r>
              <w:rPr>
                <w:rFonts w:cs="Arial"/>
                <w:sz w:val="16"/>
                <w:szCs w:val="16"/>
              </w:rPr>
              <w:t>389</w:t>
            </w:r>
          </w:p>
        </w:tc>
        <w:tc>
          <w:tcPr>
            <w:tcW w:w="709" w:type="dxa"/>
            <w:tcBorders>
              <w:top w:val="single" w:sz="4" w:space="0" w:color="auto"/>
              <w:left w:val="nil"/>
              <w:bottom w:val="nil"/>
              <w:right w:val="nil"/>
            </w:tcBorders>
            <w:shd w:val="clear" w:color="auto" w:fill="auto"/>
            <w:vAlign w:val="center"/>
            <w:hideMark/>
          </w:tcPr>
          <w:p w14:paraId="534547B8" w14:textId="5E53F163" w:rsidR="004B564D" w:rsidRPr="00D92E20" w:rsidRDefault="004B564D" w:rsidP="0050059C">
            <w:pPr>
              <w:spacing w:after="0" w:line="240" w:lineRule="auto"/>
              <w:jc w:val="right"/>
              <w:rPr>
                <w:rFonts w:cs="Arial"/>
                <w:color w:val="000000"/>
                <w:sz w:val="16"/>
                <w:szCs w:val="16"/>
              </w:rPr>
            </w:pPr>
            <w:r>
              <w:rPr>
                <w:rFonts w:cs="Arial"/>
                <w:sz w:val="16"/>
                <w:szCs w:val="16"/>
              </w:rPr>
              <w:t>2 311</w:t>
            </w:r>
          </w:p>
        </w:tc>
        <w:tc>
          <w:tcPr>
            <w:tcW w:w="709" w:type="dxa"/>
            <w:tcBorders>
              <w:top w:val="single" w:sz="4" w:space="0" w:color="auto"/>
              <w:left w:val="nil"/>
              <w:bottom w:val="nil"/>
              <w:right w:val="nil"/>
            </w:tcBorders>
            <w:shd w:val="clear" w:color="auto" w:fill="auto"/>
            <w:vAlign w:val="center"/>
            <w:hideMark/>
          </w:tcPr>
          <w:p w14:paraId="23DD5009" w14:textId="69346F0E" w:rsidR="004B564D" w:rsidRPr="00D92E20" w:rsidRDefault="004B564D" w:rsidP="0050059C">
            <w:pPr>
              <w:spacing w:after="0" w:line="240" w:lineRule="auto"/>
              <w:jc w:val="right"/>
              <w:rPr>
                <w:rFonts w:cs="Arial"/>
                <w:color w:val="000000"/>
                <w:sz w:val="16"/>
                <w:szCs w:val="16"/>
              </w:rPr>
            </w:pPr>
            <w:r>
              <w:rPr>
                <w:rFonts w:cs="Arial"/>
                <w:sz w:val="16"/>
                <w:szCs w:val="16"/>
              </w:rPr>
              <w:t>1 492</w:t>
            </w:r>
          </w:p>
        </w:tc>
        <w:tc>
          <w:tcPr>
            <w:tcW w:w="709" w:type="dxa"/>
            <w:tcBorders>
              <w:top w:val="single" w:sz="4" w:space="0" w:color="auto"/>
              <w:left w:val="nil"/>
              <w:right w:val="nil"/>
            </w:tcBorders>
            <w:shd w:val="clear" w:color="auto" w:fill="auto"/>
            <w:vAlign w:val="center"/>
            <w:hideMark/>
          </w:tcPr>
          <w:p w14:paraId="7C543C36" w14:textId="4D59F0B6" w:rsidR="004B564D" w:rsidRPr="00D92E20" w:rsidRDefault="004B564D" w:rsidP="0050059C">
            <w:pPr>
              <w:spacing w:after="0" w:line="240" w:lineRule="auto"/>
              <w:jc w:val="right"/>
              <w:rPr>
                <w:rFonts w:cs="Arial"/>
                <w:color w:val="000000"/>
                <w:sz w:val="16"/>
                <w:szCs w:val="16"/>
              </w:rPr>
            </w:pPr>
            <w:r>
              <w:rPr>
                <w:rFonts w:cs="Arial"/>
                <w:sz w:val="16"/>
                <w:szCs w:val="16"/>
              </w:rPr>
              <w:t>819</w:t>
            </w:r>
          </w:p>
        </w:tc>
      </w:tr>
      <w:tr w:rsidR="004B564D" w:rsidRPr="00D92E20" w14:paraId="7A5E1111"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261EDC12" w14:textId="01ABDE32" w:rsidR="004B564D" w:rsidRPr="00D92E20" w:rsidRDefault="004B564D" w:rsidP="004B564D">
            <w:pPr>
              <w:spacing w:after="0" w:line="240" w:lineRule="auto"/>
              <w:jc w:val="center"/>
              <w:rPr>
                <w:rFonts w:cs="Arial"/>
                <w:color w:val="000000"/>
                <w:sz w:val="16"/>
                <w:szCs w:val="16"/>
              </w:rPr>
            </w:pPr>
            <w:r>
              <w:rPr>
                <w:rFonts w:cs="Arial"/>
                <w:sz w:val="16"/>
                <w:szCs w:val="16"/>
              </w:rPr>
              <w:t>1. pol. 2012</w:t>
            </w:r>
          </w:p>
        </w:tc>
        <w:tc>
          <w:tcPr>
            <w:tcW w:w="711" w:type="dxa"/>
            <w:tcBorders>
              <w:top w:val="nil"/>
              <w:left w:val="nil"/>
              <w:bottom w:val="nil"/>
              <w:right w:val="nil"/>
            </w:tcBorders>
            <w:shd w:val="clear" w:color="auto" w:fill="auto"/>
            <w:vAlign w:val="center"/>
            <w:hideMark/>
          </w:tcPr>
          <w:p w14:paraId="08ED583D" w14:textId="1FAAB5FD" w:rsidR="004B564D" w:rsidRPr="00D92E20" w:rsidRDefault="004B564D" w:rsidP="0050059C">
            <w:pPr>
              <w:spacing w:after="0" w:line="240" w:lineRule="auto"/>
              <w:jc w:val="right"/>
              <w:rPr>
                <w:rFonts w:cs="Arial"/>
                <w:color w:val="000000"/>
                <w:sz w:val="16"/>
                <w:szCs w:val="16"/>
              </w:rPr>
            </w:pPr>
            <w:r>
              <w:rPr>
                <w:rFonts w:cs="Arial"/>
                <w:sz w:val="16"/>
                <w:szCs w:val="16"/>
              </w:rPr>
              <w:t>28 973</w:t>
            </w:r>
          </w:p>
        </w:tc>
        <w:tc>
          <w:tcPr>
            <w:tcW w:w="703" w:type="dxa"/>
            <w:tcBorders>
              <w:top w:val="nil"/>
              <w:left w:val="nil"/>
              <w:bottom w:val="nil"/>
              <w:right w:val="nil"/>
            </w:tcBorders>
            <w:shd w:val="clear" w:color="auto" w:fill="auto"/>
            <w:vAlign w:val="center"/>
            <w:hideMark/>
          </w:tcPr>
          <w:p w14:paraId="145ECA65" w14:textId="70F6FC4E" w:rsidR="004B564D" w:rsidRPr="00D92E20" w:rsidRDefault="004B564D" w:rsidP="0050059C">
            <w:pPr>
              <w:spacing w:after="0" w:line="240" w:lineRule="auto"/>
              <w:jc w:val="right"/>
              <w:rPr>
                <w:rFonts w:cs="Arial"/>
                <w:color w:val="000000"/>
                <w:sz w:val="16"/>
                <w:szCs w:val="16"/>
              </w:rPr>
            </w:pPr>
            <w:r>
              <w:rPr>
                <w:rFonts w:cs="Arial"/>
                <w:sz w:val="16"/>
                <w:szCs w:val="16"/>
              </w:rPr>
              <w:t>13 410</w:t>
            </w:r>
          </w:p>
        </w:tc>
        <w:tc>
          <w:tcPr>
            <w:tcW w:w="704" w:type="dxa"/>
            <w:tcBorders>
              <w:top w:val="nil"/>
              <w:left w:val="nil"/>
              <w:bottom w:val="nil"/>
              <w:right w:val="nil"/>
            </w:tcBorders>
            <w:shd w:val="clear" w:color="auto" w:fill="auto"/>
            <w:vAlign w:val="center"/>
            <w:hideMark/>
          </w:tcPr>
          <w:p w14:paraId="13873AF1" w14:textId="28DB66C8" w:rsidR="004B564D" w:rsidRPr="00D92E20" w:rsidRDefault="004B564D" w:rsidP="0050059C">
            <w:pPr>
              <w:spacing w:after="0" w:line="240" w:lineRule="auto"/>
              <w:jc w:val="right"/>
              <w:rPr>
                <w:rFonts w:cs="Arial"/>
                <w:color w:val="000000"/>
                <w:sz w:val="16"/>
                <w:szCs w:val="16"/>
              </w:rPr>
            </w:pPr>
            <w:r>
              <w:rPr>
                <w:rFonts w:cs="Arial"/>
                <w:sz w:val="16"/>
                <w:szCs w:val="16"/>
              </w:rPr>
              <w:t>15 562</w:t>
            </w:r>
          </w:p>
        </w:tc>
        <w:tc>
          <w:tcPr>
            <w:tcW w:w="707" w:type="dxa"/>
            <w:tcBorders>
              <w:top w:val="nil"/>
              <w:left w:val="single" w:sz="4" w:space="0" w:color="auto"/>
              <w:bottom w:val="nil"/>
              <w:right w:val="nil"/>
            </w:tcBorders>
            <w:shd w:val="clear" w:color="auto" w:fill="auto"/>
            <w:vAlign w:val="center"/>
            <w:hideMark/>
          </w:tcPr>
          <w:p w14:paraId="45ECF682" w14:textId="7A9F7A02" w:rsidR="004B564D" w:rsidRPr="00D92E20" w:rsidRDefault="004B564D" w:rsidP="0050059C">
            <w:pPr>
              <w:spacing w:after="0" w:line="240" w:lineRule="auto"/>
              <w:jc w:val="right"/>
              <w:rPr>
                <w:rFonts w:cs="Arial"/>
                <w:color w:val="000000"/>
                <w:sz w:val="16"/>
                <w:szCs w:val="16"/>
              </w:rPr>
            </w:pPr>
            <w:r>
              <w:rPr>
                <w:rFonts w:cs="Arial"/>
                <w:sz w:val="16"/>
                <w:szCs w:val="16"/>
              </w:rPr>
              <w:t>24 670</w:t>
            </w:r>
          </w:p>
        </w:tc>
        <w:tc>
          <w:tcPr>
            <w:tcW w:w="704" w:type="dxa"/>
            <w:tcBorders>
              <w:top w:val="nil"/>
              <w:left w:val="nil"/>
              <w:bottom w:val="nil"/>
              <w:right w:val="nil"/>
            </w:tcBorders>
            <w:shd w:val="clear" w:color="auto" w:fill="auto"/>
            <w:vAlign w:val="center"/>
            <w:hideMark/>
          </w:tcPr>
          <w:p w14:paraId="2EB9B397" w14:textId="7111D397" w:rsidR="004B564D" w:rsidRPr="00D92E20" w:rsidRDefault="004B564D" w:rsidP="0050059C">
            <w:pPr>
              <w:spacing w:after="0" w:line="240" w:lineRule="auto"/>
              <w:jc w:val="right"/>
              <w:rPr>
                <w:rFonts w:cs="Arial"/>
                <w:color w:val="000000"/>
                <w:sz w:val="16"/>
                <w:szCs w:val="16"/>
              </w:rPr>
            </w:pPr>
            <w:r>
              <w:rPr>
                <w:rFonts w:cs="Arial"/>
                <w:sz w:val="16"/>
                <w:szCs w:val="16"/>
              </w:rPr>
              <w:t>10 595</w:t>
            </w:r>
          </w:p>
        </w:tc>
        <w:tc>
          <w:tcPr>
            <w:tcW w:w="704" w:type="dxa"/>
            <w:tcBorders>
              <w:top w:val="nil"/>
              <w:left w:val="nil"/>
              <w:bottom w:val="nil"/>
              <w:right w:val="single" w:sz="4" w:space="0" w:color="auto"/>
            </w:tcBorders>
            <w:shd w:val="clear" w:color="auto" w:fill="auto"/>
            <w:vAlign w:val="center"/>
            <w:hideMark/>
          </w:tcPr>
          <w:p w14:paraId="252B83F2" w14:textId="1ABDFB07" w:rsidR="004B564D" w:rsidRPr="00D92E20" w:rsidRDefault="004B564D" w:rsidP="0050059C">
            <w:pPr>
              <w:spacing w:after="0" w:line="240" w:lineRule="auto"/>
              <w:jc w:val="right"/>
              <w:rPr>
                <w:rFonts w:cs="Arial"/>
                <w:color w:val="000000"/>
                <w:sz w:val="16"/>
                <w:szCs w:val="16"/>
              </w:rPr>
            </w:pPr>
            <w:r>
              <w:rPr>
                <w:rFonts w:cs="Arial"/>
                <w:sz w:val="16"/>
                <w:szCs w:val="16"/>
              </w:rPr>
              <w:t>14 075</w:t>
            </w:r>
          </w:p>
        </w:tc>
        <w:tc>
          <w:tcPr>
            <w:tcW w:w="754" w:type="dxa"/>
            <w:tcBorders>
              <w:top w:val="nil"/>
              <w:left w:val="nil"/>
              <w:bottom w:val="nil"/>
              <w:right w:val="nil"/>
            </w:tcBorders>
            <w:shd w:val="clear" w:color="auto" w:fill="auto"/>
            <w:vAlign w:val="center"/>
            <w:hideMark/>
          </w:tcPr>
          <w:p w14:paraId="11719776" w14:textId="02416AC2" w:rsidR="004B564D" w:rsidRPr="00D92E20" w:rsidRDefault="004B564D" w:rsidP="0050059C">
            <w:pPr>
              <w:spacing w:after="0" w:line="240" w:lineRule="auto"/>
              <w:jc w:val="right"/>
              <w:rPr>
                <w:rFonts w:cs="Arial"/>
                <w:color w:val="000000"/>
                <w:sz w:val="16"/>
                <w:szCs w:val="16"/>
              </w:rPr>
            </w:pPr>
            <w:r>
              <w:rPr>
                <w:rFonts w:cs="Arial"/>
                <w:sz w:val="16"/>
                <w:szCs w:val="16"/>
              </w:rPr>
              <w:t>1 256</w:t>
            </w:r>
          </w:p>
        </w:tc>
        <w:tc>
          <w:tcPr>
            <w:tcW w:w="709" w:type="dxa"/>
            <w:tcBorders>
              <w:top w:val="nil"/>
              <w:left w:val="nil"/>
              <w:bottom w:val="nil"/>
              <w:right w:val="nil"/>
            </w:tcBorders>
            <w:shd w:val="clear" w:color="auto" w:fill="auto"/>
            <w:vAlign w:val="center"/>
            <w:hideMark/>
          </w:tcPr>
          <w:p w14:paraId="4DCC345A" w14:textId="50FE270D" w:rsidR="004B564D" w:rsidRPr="00D92E20" w:rsidRDefault="004B564D" w:rsidP="0050059C">
            <w:pPr>
              <w:spacing w:after="0" w:line="240" w:lineRule="auto"/>
              <w:jc w:val="right"/>
              <w:rPr>
                <w:rFonts w:cs="Arial"/>
                <w:color w:val="000000"/>
                <w:sz w:val="16"/>
                <w:szCs w:val="16"/>
              </w:rPr>
            </w:pPr>
            <w:r>
              <w:rPr>
                <w:rFonts w:cs="Arial"/>
                <w:sz w:val="16"/>
                <w:szCs w:val="16"/>
              </w:rPr>
              <w:t>899</w:t>
            </w:r>
          </w:p>
        </w:tc>
        <w:tc>
          <w:tcPr>
            <w:tcW w:w="709" w:type="dxa"/>
            <w:tcBorders>
              <w:top w:val="nil"/>
              <w:left w:val="nil"/>
              <w:bottom w:val="nil"/>
              <w:right w:val="single" w:sz="4" w:space="0" w:color="auto"/>
            </w:tcBorders>
            <w:shd w:val="clear" w:color="auto" w:fill="auto"/>
            <w:vAlign w:val="center"/>
            <w:hideMark/>
          </w:tcPr>
          <w:p w14:paraId="2E013A29" w14:textId="74EE634F" w:rsidR="004B564D" w:rsidRPr="00D92E20" w:rsidRDefault="004B564D" w:rsidP="0050059C">
            <w:pPr>
              <w:spacing w:after="0" w:line="240" w:lineRule="auto"/>
              <w:jc w:val="right"/>
              <w:rPr>
                <w:rFonts w:cs="Arial"/>
                <w:color w:val="000000"/>
                <w:sz w:val="16"/>
                <w:szCs w:val="16"/>
              </w:rPr>
            </w:pPr>
            <w:r>
              <w:rPr>
                <w:rFonts w:cs="Arial"/>
                <w:sz w:val="16"/>
                <w:szCs w:val="16"/>
              </w:rPr>
              <w:t>358</w:t>
            </w:r>
          </w:p>
        </w:tc>
        <w:tc>
          <w:tcPr>
            <w:tcW w:w="709" w:type="dxa"/>
            <w:tcBorders>
              <w:top w:val="nil"/>
              <w:left w:val="nil"/>
              <w:bottom w:val="nil"/>
              <w:right w:val="nil"/>
            </w:tcBorders>
            <w:shd w:val="clear" w:color="auto" w:fill="auto"/>
            <w:vAlign w:val="center"/>
            <w:hideMark/>
          </w:tcPr>
          <w:p w14:paraId="00210C18" w14:textId="4DC8EDD6" w:rsidR="004B564D" w:rsidRPr="00D92E20" w:rsidRDefault="004B564D" w:rsidP="0050059C">
            <w:pPr>
              <w:spacing w:after="0" w:line="240" w:lineRule="auto"/>
              <w:jc w:val="right"/>
              <w:rPr>
                <w:rFonts w:cs="Arial"/>
                <w:color w:val="000000"/>
                <w:sz w:val="16"/>
                <w:szCs w:val="16"/>
              </w:rPr>
            </w:pPr>
            <w:r>
              <w:rPr>
                <w:rFonts w:cs="Arial"/>
                <w:sz w:val="16"/>
                <w:szCs w:val="16"/>
              </w:rPr>
              <w:t>3 046</w:t>
            </w:r>
          </w:p>
        </w:tc>
        <w:tc>
          <w:tcPr>
            <w:tcW w:w="709" w:type="dxa"/>
            <w:tcBorders>
              <w:top w:val="nil"/>
              <w:left w:val="nil"/>
              <w:bottom w:val="nil"/>
              <w:right w:val="nil"/>
            </w:tcBorders>
            <w:shd w:val="clear" w:color="auto" w:fill="auto"/>
            <w:vAlign w:val="center"/>
            <w:hideMark/>
          </w:tcPr>
          <w:p w14:paraId="0ED995FE" w14:textId="64C37AC3" w:rsidR="004B564D" w:rsidRPr="00D92E20" w:rsidRDefault="004B564D" w:rsidP="0050059C">
            <w:pPr>
              <w:spacing w:after="0" w:line="240" w:lineRule="auto"/>
              <w:jc w:val="right"/>
              <w:rPr>
                <w:rFonts w:cs="Arial"/>
                <w:color w:val="000000"/>
                <w:sz w:val="16"/>
                <w:szCs w:val="16"/>
              </w:rPr>
            </w:pPr>
            <w:r>
              <w:rPr>
                <w:rFonts w:cs="Arial"/>
                <w:sz w:val="16"/>
                <w:szCs w:val="16"/>
              </w:rPr>
              <w:t>1 917</w:t>
            </w:r>
          </w:p>
        </w:tc>
        <w:tc>
          <w:tcPr>
            <w:tcW w:w="709" w:type="dxa"/>
            <w:tcBorders>
              <w:left w:val="nil"/>
              <w:bottom w:val="nil"/>
              <w:right w:val="nil"/>
            </w:tcBorders>
            <w:shd w:val="clear" w:color="auto" w:fill="auto"/>
            <w:vAlign w:val="center"/>
            <w:hideMark/>
          </w:tcPr>
          <w:p w14:paraId="4C5BD743" w14:textId="2DD8EB2D" w:rsidR="004B564D" w:rsidRPr="00D92E20" w:rsidRDefault="004B564D" w:rsidP="0050059C">
            <w:pPr>
              <w:spacing w:after="0" w:line="240" w:lineRule="auto"/>
              <w:jc w:val="right"/>
              <w:rPr>
                <w:rFonts w:cs="Arial"/>
                <w:color w:val="000000"/>
                <w:sz w:val="16"/>
                <w:szCs w:val="16"/>
              </w:rPr>
            </w:pPr>
            <w:r>
              <w:rPr>
                <w:rFonts w:cs="Arial"/>
                <w:sz w:val="16"/>
                <w:szCs w:val="16"/>
              </w:rPr>
              <w:t>1 129</w:t>
            </w:r>
          </w:p>
        </w:tc>
      </w:tr>
      <w:tr w:rsidR="004B564D" w:rsidRPr="00D92E20" w14:paraId="7AFDC618"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05C1A287" w14:textId="469574DF" w:rsidR="004B564D" w:rsidRPr="00D92E20" w:rsidRDefault="004B564D" w:rsidP="004B564D">
            <w:pPr>
              <w:spacing w:after="0" w:line="240" w:lineRule="auto"/>
              <w:jc w:val="center"/>
              <w:rPr>
                <w:rFonts w:cs="Arial"/>
                <w:color w:val="000000"/>
                <w:sz w:val="16"/>
                <w:szCs w:val="16"/>
              </w:rPr>
            </w:pPr>
            <w:r>
              <w:rPr>
                <w:rFonts w:cs="Arial"/>
                <w:sz w:val="16"/>
                <w:szCs w:val="16"/>
              </w:rPr>
              <w:t>1. pol. 2013</w:t>
            </w:r>
          </w:p>
        </w:tc>
        <w:tc>
          <w:tcPr>
            <w:tcW w:w="711" w:type="dxa"/>
            <w:tcBorders>
              <w:top w:val="nil"/>
              <w:left w:val="nil"/>
              <w:bottom w:val="nil"/>
              <w:right w:val="nil"/>
            </w:tcBorders>
            <w:shd w:val="clear" w:color="auto" w:fill="auto"/>
            <w:vAlign w:val="center"/>
            <w:hideMark/>
          </w:tcPr>
          <w:p w14:paraId="7084D780" w14:textId="5147587E" w:rsidR="004B564D" w:rsidRPr="00D92E20" w:rsidRDefault="004B564D" w:rsidP="0050059C">
            <w:pPr>
              <w:spacing w:after="0" w:line="240" w:lineRule="auto"/>
              <w:jc w:val="right"/>
              <w:rPr>
                <w:rFonts w:cs="Arial"/>
                <w:color w:val="000000"/>
                <w:sz w:val="16"/>
                <w:szCs w:val="16"/>
              </w:rPr>
            </w:pPr>
            <w:r>
              <w:rPr>
                <w:rFonts w:cs="Arial"/>
                <w:sz w:val="16"/>
                <w:szCs w:val="16"/>
              </w:rPr>
              <w:t>31 875</w:t>
            </w:r>
          </w:p>
        </w:tc>
        <w:tc>
          <w:tcPr>
            <w:tcW w:w="703" w:type="dxa"/>
            <w:tcBorders>
              <w:top w:val="nil"/>
              <w:left w:val="nil"/>
              <w:bottom w:val="nil"/>
              <w:right w:val="nil"/>
            </w:tcBorders>
            <w:shd w:val="clear" w:color="auto" w:fill="auto"/>
            <w:vAlign w:val="center"/>
            <w:hideMark/>
          </w:tcPr>
          <w:p w14:paraId="334C4E20" w14:textId="4FDF65EA" w:rsidR="004B564D" w:rsidRPr="00D92E20" w:rsidRDefault="004B564D" w:rsidP="0050059C">
            <w:pPr>
              <w:spacing w:after="0" w:line="240" w:lineRule="auto"/>
              <w:jc w:val="right"/>
              <w:rPr>
                <w:rFonts w:cs="Arial"/>
                <w:color w:val="000000"/>
                <w:sz w:val="16"/>
                <w:szCs w:val="16"/>
              </w:rPr>
            </w:pPr>
            <w:r>
              <w:rPr>
                <w:rFonts w:cs="Arial"/>
                <w:sz w:val="16"/>
                <w:szCs w:val="16"/>
              </w:rPr>
              <w:t>14 774</w:t>
            </w:r>
          </w:p>
        </w:tc>
        <w:tc>
          <w:tcPr>
            <w:tcW w:w="704" w:type="dxa"/>
            <w:tcBorders>
              <w:top w:val="nil"/>
              <w:left w:val="nil"/>
              <w:bottom w:val="nil"/>
              <w:right w:val="nil"/>
            </w:tcBorders>
            <w:shd w:val="clear" w:color="auto" w:fill="auto"/>
            <w:vAlign w:val="center"/>
            <w:hideMark/>
          </w:tcPr>
          <w:p w14:paraId="115DE896" w14:textId="181D5BF0" w:rsidR="004B564D" w:rsidRPr="00D92E20" w:rsidRDefault="004B564D" w:rsidP="0050059C">
            <w:pPr>
              <w:spacing w:after="0" w:line="240" w:lineRule="auto"/>
              <w:jc w:val="right"/>
              <w:rPr>
                <w:rFonts w:cs="Arial"/>
                <w:color w:val="000000"/>
                <w:sz w:val="16"/>
                <w:szCs w:val="16"/>
              </w:rPr>
            </w:pPr>
            <w:r>
              <w:rPr>
                <w:rFonts w:cs="Arial"/>
                <w:sz w:val="16"/>
                <w:szCs w:val="16"/>
              </w:rPr>
              <w:t>17 102</w:t>
            </w:r>
          </w:p>
        </w:tc>
        <w:tc>
          <w:tcPr>
            <w:tcW w:w="707" w:type="dxa"/>
            <w:tcBorders>
              <w:top w:val="nil"/>
              <w:left w:val="single" w:sz="4" w:space="0" w:color="auto"/>
              <w:bottom w:val="nil"/>
              <w:right w:val="nil"/>
            </w:tcBorders>
            <w:shd w:val="clear" w:color="auto" w:fill="auto"/>
            <w:vAlign w:val="center"/>
            <w:hideMark/>
          </w:tcPr>
          <w:p w14:paraId="5AB0767E" w14:textId="3584FDD8" w:rsidR="004B564D" w:rsidRPr="00D92E20" w:rsidRDefault="004B564D" w:rsidP="0050059C">
            <w:pPr>
              <w:spacing w:after="0" w:line="240" w:lineRule="auto"/>
              <w:jc w:val="right"/>
              <w:rPr>
                <w:rFonts w:cs="Arial"/>
                <w:color w:val="000000"/>
                <w:sz w:val="16"/>
                <w:szCs w:val="16"/>
              </w:rPr>
            </w:pPr>
            <w:r>
              <w:rPr>
                <w:rFonts w:cs="Arial"/>
                <w:sz w:val="16"/>
                <w:szCs w:val="16"/>
              </w:rPr>
              <w:t>27 253</w:t>
            </w:r>
          </w:p>
        </w:tc>
        <w:tc>
          <w:tcPr>
            <w:tcW w:w="704" w:type="dxa"/>
            <w:tcBorders>
              <w:top w:val="nil"/>
              <w:left w:val="nil"/>
              <w:bottom w:val="nil"/>
              <w:right w:val="nil"/>
            </w:tcBorders>
            <w:shd w:val="clear" w:color="auto" w:fill="auto"/>
            <w:vAlign w:val="center"/>
            <w:hideMark/>
          </w:tcPr>
          <w:p w14:paraId="3EBE9BDC" w14:textId="271DEFFA" w:rsidR="004B564D" w:rsidRPr="00D92E20" w:rsidRDefault="004B564D" w:rsidP="0050059C">
            <w:pPr>
              <w:spacing w:after="0" w:line="240" w:lineRule="auto"/>
              <w:jc w:val="right"/>
              <w:rPr>
                <w:rFonts w:cs="Arial"/>
                <w:color w:val="000000"/>
                <w:sz w:val="16"/>
                <w:szCs w:val="16"/>
              </w:rPr>
            </w:pPr>
            <w:r>
              <w:rPr>
                <w:rFonts w:cs="Arial"/>
                <w:sz w:val="16"/>
                <w:szCs w:val="16"/>
              </w:rPr>
              <w:t>11 805</w:t>
            </w:r>
          </w:p>
        </w:tc>
        <w:tc>
          <w:tcPr>
            <w:tcW w:w="704" w:type="dxa"/>
            <w:tcBorders>
              <w:top w:val="nil"/>
              <w:left w:val="nil"/>
              <w:bottom w:val="nil"/>
              <w:right w:val="single" w:sz="4" w:space="0" w:color="auto"/>
            </w:tcBorders>
            <w:shd w:val="clear" w:color="auto" w:fill="auto"/>
            <w:vAlign w:val="center"/>
            <w:hideMark/>
          </w:tcPr>
          <w:p w14:paraId="316E29D4" w14:textId="1415E985" w:rsidR="004B564D" w:rsidRPr="00D92E20" w:rsidRDefault="004B564D" w:rsidP="0050059C">
            <w:pPr>
              <w:spacing w:after="0" w:line="240" w:lineRule="auto"/>
              <w:jc w:val="right"/>
              <w:rPr>
                <w:rFonts w:cs="Arial"/>
                <w:color w:val="000000"/>
                <w:sz w:val="16"/>
                <w:szCs w:val="16"/>
              </w:rPr>
            </w:pPr>
            <w:r>
              <w:rPr>
                <w:rFonts w:cs="Arial"/>
                <w:sz w:val="16"/>
                <w:szCs w:val="16"/>
              </w:rPr>
              <w:t>15 448</w:t>
            </w:r>
          </w:p>
        </w:tc>
        <w:tc>
          <w:tcPr>
            <w:tcW w:w="754" w:type="dxa"/>
            <w:tcBorders>
              <w:top w:val="nil"/>
              <w:left w:val="nil"/>
              <w:bottom w:val="nil"/>
              <w:right w:val="nil"/>
            </w:tcBorders>
            <w:shd w:val="clear" w:color="auto" w:fill="auto"/>
            <w:vAlign w:val="center"/>
            <w:hideMark/>
          </w:tcPr>
          <w:p w14:paraId="6A477ADC" w14:textId="181060D1" w:rsidR="004B564D" w:rsidRPr="00D92E20" w:rsidRDefault="004B564D" w:rsidP="0050059C">
            <w:pPr>
              <w:spacing w:after="0" w:line="240" w:lineRule="auto"/>
              <w:jc w:val="right"/>
              <w:rPr>
                <w:rFonts w:cs="Arial"/>
                <w:color w:val="000000"/>
                <w:sz w:val="16"/>
                <w:szCs w:val="16"/>
              </w:rPr>
            </w:pPr>
            <w:r>
              <w:rPr>
                <w:rFonts w:cs="Arial"/>
                <w:sz w:val="16"/>
                <w:szCs w:val="16"/>
              </w:rPr>
              <w:t>1 237</w:t>
            </w:r>
          </w:p>
        </w:tc>
        <w:tc>
          <w:tcPr>
            <w:tcW w:w="709" w:type="dxa"/>
            <w:tcBorders>
              <w:top w:val="nil"/>
              <w:left w:val="nil"/>
              <w:bottom w:val="nil"/>
              <w:right w:val="nil"/>
            </w:tcBorders>
            <w:shd w:val="clear" w:color="auto" w:fill="auto"/>
            <w:vAlign w:val="center"/>
            <w:hideMark/>
          </w:tcPr>
          <w:p w14:paraId="534149C0" w14:textId="1F9BE632" w:rsidR="004B564D" w:rsidRPr="00D92E20" w:rsidRDefault="004B564D" w:rsidP="0050059C">
            <w:pPr>
              <w:spacing w:after="0" w:line="240" w:lineRule="auto"/>
              <w:jc w:val="right"/>
              <w:rPr>
                <w:rFonts w:cs="Arial"/>
                <w:color w:val="000000"/>
                <w:sz w:val="16"/>
                <w:szCs w:val="16"/>
              </w:rPr>
            </w:pPr>
            <w:r>
              <w:rPr>
                <w:rFonts w:cs="Arial"/>
                <w:sz w:val="16"/>
                <w:szCs w:val="16"/>
              </w:rPr>
              <w:t>866</w:t>
            </w:r>
          </w:p>
        </w:tc>
        <w:tc>
          <w:tcPr>
            <w:tcW w:w="709" w:type="dxa"/>
            <w:tcBorders>
              <w:top w:val="nil"/>
              <w:left w:val="nil"/>
              <w:bottom w:val="nil"/>
              <w:right w:val="single" w:sz="4" w:space="0" w:color="auto"/>
            </w:tcBorders>
            <w:shd w:val="clear" w:color="auto" w:fill="auto"/>
            <w:vAlign w:val="center"/>
            <w:hideMark/>
          </w:tcPr>
          <w:p w14:paraId="0AB71FF2" w14:textId="75920143" w:rsidR="004B564D" w:rsidRPr="00D92E20" w:rsidRDefault="004B564D" w:rsidP="0050059C">
            <w:pPr>
              <w:spacing w:after="0" w:line="240" w:lineRule="auto"/>
              <w:jc w:val="right"/>
              <w:rPr>
                <w:rFonts w:cs="Arial"/>
                <w:color w:val="000000"/>
                <w:sz w:val="16"/>
                <w:szCs w:val="16"/>
              </w:rPr>
            </w:pPr>
            <w:r>
              <w:rPr>
                <w:rFonts w:cs="Arial"/>
                <w:sz w:val="16"/>
                <w:szCs w:val="16"/>
              </w:rPr>
              <w:t>371</w:t>
            </w:r>
          </w:p>
        </w:tc>
        <w:tc>
          <w:tcPr>
            <w:tcW w:w="709" w:type="dxa"/>
            <w:tcBorders>
              <w:top w:val="nil"/>
              <w:left w:val="nil"/>
              <w:bottom w:val="nil"/>
              <w:right w:val="nil"/>
            </w:tcBorders>
            <w:shd w:val="clear" w:color="auto" w:fill="auto"/>
            <w:vAlign w:val="center"/>
            <w:hideMark/>
          </w:tcPr>
          <w:p w14:paraId="2E514E8C" w14:textId="387004D4" w:rsidR="004B564D" w:rsidRPr="00D92E20" w:rsidRDefault="004B564D" w:rsidP="0050059C">
            <w:pPr>
              <w:spacing w:after="0" w:line="240" w:lineRule="auto"/>
              <w:jc w:val="right"/>
              <w:rPr>
                <w:rFonts w:cs="Arial"/>
                <w:color w:val="000000"/>
                <w:sz w:val="16"/>
                <w:szCs w:val="16"/>
              </w:rPr>
            </w:pPr>
            <w:r>
              <w:rPr>
                <w:rFonts w:cs="Arial"/>
                <w:sz w:val="16"/>
                <w:szCs w:val="16"/>
              </w:rPr>
              <w:t>3 385</w:t>
            </w:r>
          </w:p>
        </w:tc>
        <w:tc>
          <w:tcPr>
            <w:tcW w:w="709" w:type="dxa"/>
            <w:tcBorders>
              <w:top w:val="nil"/>
              <w:left w:val="nil"/>
              <w:bottom w:val="nil"/>
              <w:right w:val="nil"/>
            </w:tcBorders>
            <w:shd w:val="clear" w:color="auto" w:fill="auto"/>
            <w:vAlign w:val="center"/>
            <w:hideMark/>
          </w:tcPr>
          <w:p w14:paraId="003F1D37" w14:textId="17EF368B" w:rsidR="004B564D" w:rsidRPr="00D92E20" w:rsidRDefault="004B564D" w:rsidP="0050059C">
            <w:pPr>
              <w:spacing w:after="0" w:line="240" w:lineRule="auto"/>
              <w:jc w:val="right"/>
              <w:rPr>
                <w:rFonts w:cs="Arial"/>
                <w:color w:val="000000"/>
                <w:sz w:val="16"/>
                <w:szCs w:val="16"/>
              </w:rPr>
            </w:pPr>
            <w:r>
              <w:rPr>
                <w:rFonts w:cs="Arial"/>
                <w:sz w:val="16"/>
                <w:szCs w:val="16"/>
              </w:rPr>
              <w:t>2 102</w:t>
            </w:r>
          </w:p>
        </w:tc>
        <w:tc>
          <w:tcPr>
            <w:tcW w:w="709" w:type="dxa"/>
            <w:tcBorders>
              <w:top w:val="nil"/>
              <w:left w:val="nil"/>
              <w:bottom w:val="nil"/>
              <w:right w:val="nil"/>
            </w:tcBorders>
            <w:shd w:val="clear" w:color="auto" w:fill="auto"/>
            <w:vAlign w:val="center"/>
            <w:hideMark/>
          </w:tcPr>
          <w:p w14:paraId="10507DFB" w14:textId="24412348" w:rsidR="004B564D" w:rsidRPr="00D92E20" w:rsidRDefault="004B564D" w:rsidP="0050059C">
            <w:pPr>
              <w:spacing w:after="0" w:line="240" w:lineRule="auto"/>
              <w:jc w:val="right"/>
              <w:rPr>
                <w:rFonts w:cs="Arial"/>
                <w:color w:val="000000"/>
                <w:sz w:val="16"/>
                <w:szCs w:val="16"/>
              </w:rPr>
            </w:pPr>
            <w:r>
              <w:rPr>
                <w:rFonts w:cs="Arial"/>
                <w:sz w:val="16"/>
                <w:szCs w:val="16"/>
              </w:rPr>
              <w:t>1 283</w:t>
            </w:r>
          </w:p>
        </w:tc>
      </w:tr>
      <w:tr w:rsidR="004B564D" w:rsidRPr="00D92E20" w14:paraId="4B1D7E8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74A592F7" w14:textId="27D69BF2" w:rsidR="004B564D" w:rsidRPr="00D92E20" w:rsidRDefault="004B564D" w:rsidP="004B564D">
            <w:pPr>
              <w:spacing w:after="0" w:line="240" w:lineRule="auto"/>
              <w:jc w:val="center"/>
              <w:rPr>
                <w:rFonts w:cs="Arial"/>
                <w:color w:val="000000"/>
                <w:sz w:val="16"/>
                <w:szCs w:val="16"/>
              </w:rPr>
            </w:pPr>
            <w:r>
              <w:rPr>
                <w:rFonts w:cs="Arial"/>
                <w:sz w:val="16"/>
                <w:szCs w:val="16"/>
              </w:rPr>
              <w:t>1. pol. 2014</w:t>
            </w:r>
          </w:p>
        </w:tc>
        <w:tc>
          <w:tcPr>
            <w:tcW w:w="711" w:type="dxa"/>
            <w:tcBorders>
              <w:top w:val="nil"/>
              <w:left w:val="nil"/>
              <w:bottom w:val="nil"/>
              <w:right w:val="nil"/>
            </w:tcBorders>
            <w:shd w:val="clear" w:color="auto" w:fill="auto"/>
            <w:vAlign w:val="center"/>
            <w:hideMark/>
          </w:tcPr>
          <w:p w14:paraId="0F03F0B7" w14:textId="1B9B6C7D" w:rsidR="004B564D" w:rsidRPr="00D92E20" w:rsidRDefault="004B564D" w:rsidP="0050059C">
            <w:pPr>
              <w:spacing w:after="0" w:line="240" w:lineRule="auto"/>
              <w:jc w:val="right"/>
              <w:rPr>
                <w:rFonts w:cs="Arial"/>
                <w:color w:val="000000"/>
                <w:sz w:val="16"/>
                <w:szCs w:val="16"/>
              </w:rPr>
            </w:pPr>
            <w:r>
              <w:rPr>
                <w:rFonts w:cs="Arial"/>
                <w:sz w:val="16"/>
                <w:szCs w:val="16"/>
              </w:rPr>
              <w:t>30 512</w:t>
            </w:r>
          </w:p>
        </w:tc>
        <w:tc>
          <w:tcPr>
            <w:tcW w:w="703" w:type="dxa"/>
            <w:tcBorders>
              <w:top w:val="nil"/>
              <w:left w:val="nil"/>
              <w:bottom w:val="nil"/>
              <w:right w:val="nil"/>
            </w:tcBorders>
            <w:shd w:val="clear" w:color="auto" w:fill="auto"/>
            <w:vAlign w:val="center"/>
            <w:hideMark/>
          </w:tcPr>
          <w:p w14:paraId="25364E03" w14:textId="238E6BA7" w:rsidR="004B564D" w:rsidRPr="00D92E20" w:rsidRDefault="004B564D" w:rsidP="0050059C">
            <w:pPr>
              <w:spacing w:after="0" w:line="240" w:lineRule="auto"/>
              <w:jc w:val="right"/>
              <w:rPr>
                <w:rFonts w:cs="Arial"/>
                <w:color w:val="000000"/>
                <w:sz w:val="16"/>
                <w:szCs w:val="16"/>
              </w:rPr>
            </w:pPr>
            <w:r>
              <w:rPr>
                <w:rFonts w:cs="Arial"/>
                <w:sz w:val="16"/>
                <w:szCs w:val="16"/>
              </w:rPr>
              <w:t>13 910</w:t>
            </w:r>
          </w:p>
        </w:tc>
        <w:tc>
          <w:tcPr>
            <w:tcW w:w="704" w:type="dxa"/>
            <w:tcBorders>
              <w:top w:val="nil"/>
              <w:left w:val="nil"/>
              <w:bottom w:val="nil"/>
              <w:right w:val="nil"/>
            </w:tcBorders>
            <w:shd w:val="clear" w:color="auto" w:fill="auto"/>
            <w:vAlign w:val="center"/>
            <w:hideMark/>
          </w:tcPr>
          <w:p w14:paraId="2F5B7F0A" w14:textId="7667AFC8" w:rsidR="004B564D" w:rsidRPr="00D92E20" w:rsidRDefault="004B564D" w:rsidP="0050059C">
            <w:pPr>
              <w:spacing w:after="0" w:line="240" w:lineRule="auto"/>
              <w:jc w:val="right"/>
              <w:rPr>
                <w:rFonts w:cs="Arial"/>
                <w:color w:val="000000"/>
                <w:sz w:val="16"/>
                <w:szCs w:val="16"/>
              </w:rPr>
            </w:pPr>
            <w:r>
              <w:rPr>
                <w:rFonts w:cs="Arial"/>
                <w:sz w:val="16"/>
                <w:szCs w:val="16"/>
              </w:rPr>
              <w:t>16 603</w:t>
            </w:r>
          </w:p>
        </w:tc>
        <w:tc>
          <w:tcPr>
            <w:tcW w:w="707" w:type="dxa"/>
            <w:tcBorders>
              <w:top w:val="nil"/>
              <w:left w:val="single" w:sz="4" w:space="0" w:color="auto"/>
              <w:bottom w:val="nil"/>
              <w:right w:val="nil"/>
            </w:tcBorders>
            <w:shd w:val="clear" w:color="auto" w:fill="auto"/>
            <w:vAlign w:val="center"/>
            <w:hideMark/>
          </w:tcPr>
          <w:p w14:paraId="64257414" w14:textId="6F85C50C" w:rsidR="004B564D" w:rsidRPr="00D92E20" w:rsidRDefault="004B564D" w:rsidP="0050059C">
            <w:pPr>
              <w:spacing w:after="0" w:line="240" w:lineRule="auto"/>
              <w:jc w:val="right"/>
              <w:rPr>
                <w:rFonts w:cs="Arial"/>
                <w:color w:val="000000"/>
                <w:sz w:val="16"/>
                <w:szCs w:val="16"/>
              </w:rPr>
            </w:pPr>
            <w:r>
              <w:rPr>
                <w:rFonts w:cs="Arial"/>
                <w:sz w:val="16"/>
                <w:szCs w:val="16"/>
              </w:rPr>
              <w:t>26 003</w:t>
            </w:r>
          </w:p>
        </w:tc>
        <w:tc>
          <w:tcPr>
            <w:tcW w:w="704" w:type="dxa"/>
            <w:tcBorders>
              <w:top w:val="nil"/>
              <w:left w:val="nil"/>
              <w:bottom w:val="nil"/>
              <w:right w:val="nil"/>
            </w:tcBorders>
            <w:shd w:val="clear" w:color="auto" w:fill="auto"/>
            <w:vAlign w:val="center"/>
            <w:hideMark/>
          </w:tcPr>
          <w:p w14:paraId="0BE30E1E" w14:textId="6A721D8A" w:rsidR="004B564D" w:rsidRPr="00D92E20" w:rsidRDefault="004B564D" w:rsidP="0050059C">
            <w:pPr>
              <w:spacing w:after="0" w:line="240" w:lineRule="auto"/>
              <w:jc w:val="right"/>
              <w:rPr>
                <w:rFonts w:cs="Arial"/>
                <w:color w:val="000000"/>
                <w:sz w:val="16"/>
                <w:szCs w:val="16"/>
              </w:rPr>
            </w:pPr>
            <w:r>
              <w:rPr>
                <w:rFonts w:cs="Arial"/>
                <w:sz w:val="16"/>
                <w:szCs w:val="16"/>
              </w:rPr>
              <w:t>10 966</w:t>
            </w:r>
          </w:p>
        </w:tc>
        <w:tc>
          <w:tcPr>
            <w:tcW w:w="704" w:type="dxa"/>
            <w:tcBorders>
              <w:top w:val="nil"/>
              <w:left w:val="nil"/>
              <w:bottom w:val="nil"/>
              <w:right w:val="single" w:sz="4" w:space="0" w:color="auto"/>
            </w:tcBorders>
            <w:shd w:val="clear" w:color="auto" w:fill="auto"/>
            <w:vAlign w:val="center"/>
            <w:hideMark/>
          </w:tcPr>
          <w:p w14:paraId="20A14920" w14:textId="6C486E9E" w:rsidR="004B564D" w:rsidRPr="00D92E20" w:rsidRDefault="004B564D" w:rsidP="0050059C">
            <w:pPr>
              <w:spacing w:after="0" w:line="240" w:lineRule="auto"/>
              <w:jc w:val="right"/>
              <w:rPr>
                <w:rFonts w:cs="Arial"/>
                <w:color w:val="000000"/>
                <w:sz w:val="16"/>
                <w:szCs w:val="16"/>
              </w:rPr>
            </w:pPr>
            <w:r>
              <w:rPr>
                <w:rFonts w:cs="Arial"/>
                <w:sz w:val="16"/>
                <w:szCs w:val="16"/>
              </w:rPr>
              <w:t>15 037</w:t>
            </w:r>
          </w:p>
        </w:tc>
        <w:tc>
          <w:tcPr>
            <w:tcW w:w="754" w:type="dxa"/>
            <w:tcBorders>
              <w:top w:val="nil"/>
              <w:left w:val="nil"/>
              <w:bottom w:val="nil"/>
              <w:right w:val="nil"/>
            </w:tcBorders>
            <w:shd w:val="clear" w:color="auto" w:fill="auto"/>
            <w:vAlign w:val="center"/>
            <w:hideMark/>
          </w:tcPr>
          <w:p w14:paraId="667F1B40" w14:textId="78BAA261" w:rsidR="004B564D" w:rsidRPr="00D92E20" w:rsidRDefault="004B564D" w:rsidP="0050059C">
            <w:pPr>
              <w:spacing w:after="0" w:line="240" w:lineRule="auto"/>
              <w:jc w:val="right"/>
              <w:rPr>
                <w:rFonts w:cs="Arial"/>
                <w:color w:val="000000"/>
                <w:sz w:val="16"/>
                <w:szCs w:val="16"/>
              </w:rPr>
            </w:pPr>
            <w:r>
              <w:rPr>
                <w:rFonts w:cs="Arial"/>
                <w:sz w:val="16"/>
                <w:szCs w:val="16"/>
              </w:rPr>
              <w:t>1 192</w:t>
            </w:r>
          </w:p>
        </w:tc>
        <w:tc>
          <w:tcPr>
            <w:tcW w:w="709" w:type="dxa"/>
            <w:tcBorders>
              <w:top w:val="nil"/>
              <w:left w:val="nil"/>
              <w:bottom w:val="nil"/>
              <w:right w:val="nil"/>
            </w:tcBorders>
            <w:shd w:val="clear" w:color="auto" w:fill="auto"/>
            <w:vAlign w:val="center"/>
            <w:hideMark/>
          </w:tcPr>
          <w:p w14:paraId="35456328" w14:textId="7BFF5EB9" w:rsidR="004B564D" w:rsidRPr="00D92E20" w:rsidRDefault="004B564D" w:rsidP="0050059C">
            <w:pPr>
              <w:spacing w:after="0" w:line="240" w:lineRule="auto"/>
              <w:jc w:val="right"/>
              <w:rPr>
                <w:rFonts w:cs="Arial"/>
                <w:color w:val="000000"/>
                <w:sz w:val="16"/>
                <w:szCs w:val="16"/>
              </w:rPr>
            </w:pPr>
            <w:r>
              <w:rPr>
                <w:rFonts w:cs="Arial"/>
                <w:sz w:val="16"/>
                <w:szCs w:val="16"/>
              </w:rPr>
              <w:t>840</w:t>
            </w:r>
          </w:p>
        </w:tc>
        <w:tc>
          <w:tcPr>
            <w:tcW w:w="709" w:type="dxa"/>
            <w:tcBorders>
              <w:top w:val="nil"/>
              <w:left w:val="nil"/>
              <w:bottom w:val="nil"/>
              <w:right w:val="single" w:sz="4" w:space="0" w:color="auto"/>
            </w:tcBorders>
            <w:shd w:val="clear" w:color="auto" w:fill="auto"/>
            <w:vAlign w:val="center"/>
            <w:hideMark/>
          </w:tcPr>
          <w:p w14:paraId="41F9C781" w14:textId="0A86ADFF" w:rsidR="004B564D" w:rsidRPr="00D92E20" w:rsidRDefault="004B564D" w:rsidP="0050059C">
            <w:pPr>
              <w:spacing w:after="0" w:line="240" w:lineRule="auto"/>
              <w:jc w:val="right"/>
              <w:rPr>
                <w:rFonts w:cs="Arial"/>
                <w:color w:val="000000"/>
                <w:sz w:val="16"/>
                <w:szCs w:val="16"/>
              </w:rPr>
            </w:pPr>
            <w:r>
              <w:rPr>
                <w:rFonts w:cs="Arial"/>
                <w:sz w:val="16"/>
                <w:szCs w:val="16"/>
              </w:rPr>
              <w:t>352</w:t>
            </w:r>
          </w:p>
        </w:tc>
        <w:tc>
          <w:tcPr>
            <w:tcW w:w="709" w:type="dxa"/>
            <w:tcBorders>
              <w:top w:val="nil"/>
              <w:left w:val="nil"/>
              <w:bottom w:val="nil"/>
              <w:right w:val="nil"/>
            </w:tcBorders>
            <w:shd w:val="clear" w:color="auto" w:fill="auto"/>
            <w:vAlign w:val="center"/>
            <w:hideMark/>
          </w:tcPr>
          <w:p w14:paraId="26676EC4" w14:textId="4F13A918" w:rsidR="004B564D" w:rsidRPr="00D92E20" w:rsidRDefault="004B564D" w:rsidP="0050059C">
            <w:pPr>
              <w:spacing w:after="0" w:line="240" w:lineRule="auto"/>
              <w:jc w:val="right"/>
              <w:rPr>
                <w:rFonts w:cs="Arial"/>
                <w:color w:val="000000"/>
                <w:sz w:val="16"/>
                <w:szCs w:val="16"/>
              </w:rPr>
            </w:pPr>
            <w:r>
              <w:rPr>
                <w:rFonts w:cs="Arial"/>
                <w:sz w:val="16"/>
                <w:szCs w:val="16"/>
              </w:rPr>
              <w:t>3 318</w:t>
            </w:r>
          </w:p>
        </w:tc>
        <w:tc>
          <w:tcPr>
            <w:tcW w:w="709" w:type="dxa"/>
            <w:tcBorders>
              <w:top w:val="nil"/>
              <w:left w:val="nil"/>
              <w:bottom w:val="nil"/>
              <w:right w:val="nil"/>
            </w:tcBorders>
            <w:shd w:val="clear" w:color="auto" w:fill="auto"/>
            <w:vAlign w:val="center"/>
            <w:hideMark/>
          </w:tcPr>
          <w:p w14:paraId="691112F1" w14:textId="155B76AC" w:rsidR="004B564D" w:rsidRPr="00D92E20" w:rsidRDefault="004B564D" w:rsidP="0050059C">
            <w:pPr>
              <w:spacing w:after="0" w:line="240" w:lineRule="auto"/>
              <w:jc w:val="right"/>
              <w:rPr>
                <w:rFonts w:cs="Arial"/>
                <w:color w:val="000000"/>
                <w:sz w:val="16"/>
                <w:szCs w:val="16"/>
              </w:rPr>
            </w:pPr>
            <w:r>
              <w:rPr>
                <w:rFonts w:cs="Arial"/>
                <w:sz w:val="16"/>
                <w:szCs w:val="16"/>
              </w:rPr>
              <w:t>2 104</w:t>
            </w:r>
          </w:p>
        </w:tc>
        <w:tc>
          <w:tcPr>
            <w:tcW w:w="709" w:type="dxa"/>
            <w:tcBorders>
              <w:top w:val="nil"/>
              <w:left w:val="nil"/>
              <w:bottom w:val="nil"/>
              <w:right w:val="nil"/>
            </w:tcBorders>
            <w:shd w:val="clear" w:color="auto" w:fill="auto"/>
            <w:vAlign w:val="center"/>
            <w:hideMark/>
          </w:tcPr>
          <w:p w14:paraId="4F109B2A" w14:textId="03C741C4" w:rsidR="004B564D" w:rsidRPr="00D92E20" w:rsidRDefault="004B564D" w:rsidP="0050059C">
            <w:pPr>
              <w:spacing w:after="0" w:line="240" w:lineRule="auto"/>
              <w:jc w:val="right"/>
              <w:rPr>
                <w:rFonts w:cs="Arial"/>
                <w:color w:val="000000"/>
                <w:sz w:val="16"/>
                <w:szCs w:val="16"/>
              </w:rPr>
            </w:pPr>
            <w:r>
              <w:rPr>
                <w:rFonts w:cs="Arial"/>
                <w:sz w:val="16"/>
                <w:szCs w:val="16"/>
              </w:rPr>
              <w:t>1 214</w:t>
            </w:r>
          </w:p>
        </w:tc>
      </w:tr>
      <w:tr w:rsidR="004B564D" w:rsidRPr="00D92E20" w14:paraId="0A244595"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458B42C7" w14:textId="20D115B9" w:rsidR="004B564D" w:rsidRPr="00D92E20" w:rsidRDefault="004B564D" w:rsidP="004B564D">
            <w:pPr>
              <w:spacing w:after="0" w:line="240" w:lineRule="auto"/>
              <w:jc w:val="center"/>
              <w:rPr>
                <w:rFonts w:cs="Arial"/>
                <w:color w:val="000000"/>
                <w:sz w:val="16"/>
                <w:szCs w:val="16"/>
              </w:rPr>
            </w:pPr>
            <w:r>
              <w:rPr>
                <w:rFonts w:cs="Arial"/>
                <w:sz w:val="16"/>
                <w:szCs w:val="16"/>
              </w:rPr>
              <w:t>1. pol. 2015</w:t>
            </w:r>
          </w:p>
        </w:tc>
        <w:tc>
          <w:tcPr>
            <w:tcW w:w="711" w:type="dxa"/>
            <w:tcBorders>
              <w:top w:val="nil"/>
              <w:left w:val="nil"/>
              <w:bottom w:val="nil"/>
              <w:right w:val="nil"/>
            </w:tcBorders>
            <w:shd w:val="clear" w:color="auto" w:fill="auto"/>
            <w:vAlign w:val="center"/>
            <w:hideMark/>
          </w:tcPr>
          <w:p w14:paraId="0A8DA84F" w14:textId="4A36F01F" w:rsidR="004B564D" w:rsidRPr="00D92E20" w:rsidRDefault="004B564D" w:rsidP="0050059C">
            <w:pPr>
              <w:spacing w:after="0" w:line="240" w:lineRule="auto"/>
              <w:jc w:val="right"/>
              <w:rPr>
                <w:rFonts w:cs="Arial"/>
                <w:color w:val="000000"/>
                <w:sz w:val="16"/>
                <w:szCs w:val="16"/>
              </w:rPr>
            </w:pPr>
            <w:r>
              <w:rPr>
                <w:rFonts w:cs="Arial"/>
                <w:sz w:val="16"/>
                <w:szCs w:val="16"/>
              </w:rPr>
              <w:t>35 052</w:t>
            </w:r>
          </w:p>
        </w:tc>
        <w:tc>
          <w:tcPr>
            <w:tcW w:w="703" w:type="dxa"/>
            <w:tcBorders>
              <w:top w:val="nil"/>
              <w:left w:val="nil"/>
              <w:bottom w:val="nil"/>
              <w:right w:val="nil"/>
            </w:tcBorders>
            <w:shd w:val="clear" w:color="auto" w:fill="auto"/>
            <w:vAlign w:val="center"/>
            <w:hideMark/>
          </w:tcPr>
          <w:p w14:paraId="777E9445" w14:textId="70B76629" w:rsidR="004B564D" w:rsidRPr="00D92E20" w:rsidRDefault="004B564D" w:rsidP="0050059C">
            <w:pPr>
              <w:spacing w:after="0" w:line="240" w:lineRule="auto"/>
              <w:jc w:val="right"/>
              <w:rPr>
                <w:rFonts w:cs="Arial"/>
                <w:color w:val="000000"/>
                <w:sz w:val="16"/>
                <w:szCs w:val="16"/>
              </w:rPr>
            </w:pPr>
            <w:r>
              <w:rPr>
                <w:rFonts w:cs="Arial"/>
                <w:sz w:val="16"/>
                <w:szCs w:val="16"/>
              </w:rPr>
              <w:t>15 885</w:t>
            </w:r>
          </w:p>
        </w:tc>
        <w:tc>
          <w:tcPr>
            <w:tcW w:w="704" w:type="dxa"/>
            <w:tcBorders>
              <w:top w:val="nil"/>
              <w:left w:val="nil"/>
              <w:bottom w:val="nil"/>
              <w:right w:val="nil"/>
            </w:tcBorders>
            <w:shd w:val="clear" w:color="auto" w:fill="auto"/>
            <w:vAlign w:val="center"/>
            <w:hideMark/>
          </w:tcPr>
          <w:p w14:paraId="4E0B1666" w14:textId="49880F8D" w:rsidR="004B564D" w:rsidRPr="00D92E20" w:rsidRDefault="004B564D" w:rsidP="0050059C">
            <w:pPr>
              <w:spacing w:after="0" w:line="240" w:lineRule="auto"/>
              <w:jc w:val="right"/>
              <w:rPr>
                <w:rFonts w:cs="Arial"/>
                <w:color w:val="000000"/>
                <w:sz w:val="16"/>
                <w:szCs w:val="16"/>
              </w:rPr>
            </w:pPr>
            <w:r>
              <w:rPr>
                <w:rFonts w:cs="Arial"/>
                <w:sz w:val="16"/>
                <w:szCs w:val="16"/>
              </w:rPr>
              <w:t>19 167</w:t>
            </w:r>
          </w:p>
        </w:tc>
        <w:tc>
          <w:tcPr>
            <w:tcW w:w="707" w:type="dxa"/>
            <w:tcBorders>
              <w:top w:val="nil"/>
              <w:left w:val="single" w:sz="4" w:space="0" w:color="auto"/>
              <w:bottom w:val="nil"/>
              <w:right w:val="nil"/>
            </w:tcBorders>
            <w:shd w:val="clear" w:color="auto" w:fill="auto"/>
            <w:vAlign w:val="center"/>
            <w:hideMark/>
          </w:tcPr>
          <w:p w14:paraId="1A67204C" w14:textId="634239F4" w:rsidR="004B564D" w:rsidRPr="00D92E20" w:rsidRDefault="004B564D" w:rsidP="0050059C">
            <w:pPr>
              <w:spacing w:after="0" w:line="240" w:lineRule="auto"/>
              <w:jc w:val="right"/>
              <w:rPr>
                <w:rFonts w:cs="Arial"/>
                <w:color w:val="000000"/>
                <w:sz w:val="16"/>
                <w:szCs w:val="16"/>
              </w:rPr>
            </w:pPr>
            <w:r>
              <w:rPr>
                <w:rFonts w:cs="Arial"/>
                <w:sz w:val="16"/>
                <w:szCs w:val="16"/>
              </w:rPr>
              <w:t>30 184</w:t>
            </w:r>
          </w:p>
        </w:tc>
        <w:tc>
          <w:tcPr>
            <w:tcW w:w="704" w:type="dxa"/>
            <w:tcBorders>
              <w:top w:val="nil"/>
              <w:left w:val="nil"/>
              <w:bottom w:val="nil"/>
              <w:right w:val="nil"/>
            </w:tcBorders>
            <w:shd w:val="clear" w:color="auto" w:fill="auto"/>
            <w:vAlign w:val="center"/>
            <w:hideMark/>
          </w:tcPr>
          <w:p w14:paraId="014EC3E7" w14:textId="304C3088" w:rsidR="004B564D" w:rsidRPr="00D92E20" w:rsidRDefault="004B564D" w:rsidP="0050059C">
            <w:pPr>
              <w:spacing w:after="0" w:line="240" w:lineRule="auto"/>
              <w:jc w:val="right"/>
              <w:rPr>
                <w:rFonts w:cs="Arial"/>
                <w:color w:val="000000"/>
                <w:sz w:val="16"/>
                <w:szCs w:val="16"/>
              </w:rPr>
            </w:pPr>
            <w:r>
              <w:rPr>
                <w:rFonts w:cs="Arial"/>
                <w:sz w:val="16"/>
                <w:szCs w:val="16"/>
              </w:rPr>
              <w:t>12 792</w:t>
            </w:r>
          </w:p>
        </w:tc>
        <w:tc>
          <w:tcPr>
            <w:tcW w:w="704" w:type="dxa"/>
            <w:tcBorders>
              <w:top w:val="nil"/>
              <w:left w:val="nil"/>
              <w:bottom w:val="nil"/>
              <w:right w:val="single" w:sz="4" w:space="0" w:color="auto"/>
            </w:tcBorders>
            <w:shd w:val="clear" w:color="auto" w:fill="auto"/>
            <w:vAlign w:val="center"/>
            <w:hideMark/>
          </w:tcPr>
          <w:p w14:paraId="45BE228D" w14:textId="5EDEF08F" w:rsidR="004B564D" w:rsidRPr="00D92E20" w:rsidRDefault="004B564D" w:rsidP="0050059C">
            <w:pPr>
              <w:spacing w:after="0" w:line="240" w:lineRule="auto"/>
              <w:jc w:val="right"/>
              <w:rPr>
                <w:rFonts w:cs="Arial"/>
                <w:color w:val="000000"/>
                <w:sz w:val="16"/>
                <w:szCs w:val="16"/>
              </w:rPr>
            </w:pPr>
            <w:r>
              <w:rPr>
                <w:rFonts w:cs="Arial"/>
                <w:sz w:val="16"/>
                <w:szCs w:val="16"/>
              </w:rPr>
              <w:t>17 392</w:t>
            </w:r>
          </w:p>
        </w:tc>
        <w:tc>
          <w:tcPr>
            <w:tcW w:w="754" w:type="dxa"/>
            <w:tcBorders>
              <w:top w:val="nil"/>
              <w:left w:val="nil"/>
              <w:bottom w:val="nil"/>
              <w:right w:val="nil"/>
            </w:tcBorders>
            <w:shd w:val="clear" w:color="auto" w:fill="auto"/>
            <w:vAlign w:val="center"/>
            <w:hideMark/>
          </w:tcPr>
          <w:p w14:paraId="2A404674" w14:textId="33FE340D" w:rsidR="004B564D" w:rsidRPr="00D92E20" w:rsidRDefault="004B564D" w:rsidP="0050059C">
            <w:pPr>
              <w:spacing w:after="0" w:line="240" w:lineRule="auto"/>
              <w:jc w:val="right"/>
              <w:rPr>
                <w:rFonts w:cs="Arial"/>
                <w:color w:val="000000"/>
                <w:sz w:val="16"/>
                <w:szCs w:val="16"/>
              </w:rPr>
            </w:pPr>
            <w:r>
              <w:rPr>
                <w:rFonts w:cs="Arial"/>
                <w:sz w:val="16"/>
                <w:szCs w:val="16"/>
              </w:rPr>
              <w:t>1 304</w:t>
            </w:r>
          </w:p>
        </w:tc>
        <w:tc>
          <w:tcPr>
            <w:tcW w:w="709" w:type="dxa"/>
            <w:tcBorders>
              <w:top w:val="nil"/>
              <w:left w:val="nil"/>
              <w:bottom w:val="nil"/>
              <w:right w:val="nil"/>
            </w:tcBorders>
            <w:shd w:val="clear" w:color="auto" w:fill="auto"/>
            <w:vAlign w:val="center"/>
            <w:hideMark/>
          </w:tcPr>
          <w:p w14:paraId="7EDB9D2A" w14:textId="6D271196" w:rsidR="004B564D" w:rsidRPr="00D92E20" w:rsidRDefault="004B564D" w:rsidP="0050059C">
            <w:pPr>
              <w:spacing w:after="0" w:line="240" w:lineRule="auto"/>
              <w:jc w:val="right"/>
              <w:rPr>
                <w:rFonts w:cs="Arial"/>
                <w:color w:val="000000"/>
                <w:sz w:val="16"/>
                <w:szCs w:val="16"/>
              </w:rPr>
            </w:pPr>
            <w:r>
              <w:rPr>
                <w:rFonts w:cs="Arial"/>
                <w:sz w:val="16"/>
                <w:szCs w:val="16"/>
              </w:rPr>
              <w:t>895</w:t>
            </w:r>
          </w:p>
        </w:tc>
        <w:tc>
          <w:tcPr>
            <w:tcW w:w="709" w:type="dxa"/>
            <w:tcBorders>
              <w:top w:val="nil"/>
              <w:left w:val="nil"/>
              <w:bottom w:val="nil"/>
              <w:right w:val="single" w:sz="4" w:space="0" w:color="auto"/>
            </w:tcBorders>
            <w:shd w:val="clear" w:color="auto" w:fill="auto"/>
            <w:vAlign w:val="center"/>
            <w:hideMark/>
          </w:tcPr>
          <w:p w14:paraId="4A2949F8" w14:textId="718ED561" w:rsidR="004B564D" w:rsidRPr="00D92E20" w:rsidRDefault="004B564D" w:rsidP="0050059C">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2D0796B9" w14:textId="1017772E" w:rsidR="004B564D" w:rsidRPr="00D92E20" w:rsidRDefault="004B564D" w:rsidP="0050059C">
            <w:pPr>
              <w:spacing w:after="0" w:line="240" w:lineRule="auto"/>
              <w:jc w:val="right"/>
              <w:rPr>
                <w:rFonts w:cs="Arial"/>
                <w:color w:val="000000"/>
                <w:sz w:val="16"/>
                <w:szCs w:val="16"/>
              </w:rPr>
            </w:pPr>
            <w:r>
              <w:rPr>
                <w:rFonts w:cs="Arial"/>
                <w:sz w:val="16"/>
                <w:szCs w:val="16"/>
              </w:rPr>
              <w:t>3 563</w:t>
            </w:r>
          </w:p>
        </w:tc>
        <w:tc>
          <w:tcPr>
            <w:tcW w:w="709" w:type="dxa"/>
            <w:tcBorders>
              <w:top w:val="nil"/>
              <w:left w:val="nil"/>
              <w:bottom w:val="nil"/>
              <w:right w:val="nil"/>
            </w:tcBorders>
            <w:shd w:val="clear" w:color="auto" w:fill="auto"/>
            <w:vAlign w:val="center"/>
            <w:hideMark/>
          </w:tcPr>
          <w:p w14:paraId="172DF2B4" w14:textId="1948BBC2" w:rsidR="004B564D" w:rsidRPr="00D92E20" w:rsidRDefault="004B564D" w:rsidP="0050059C">
            <w:pPr>
              <w:spacing w:after="0" w:line="240" w:lineRule="auto"/>
              <w:jc w:val="right"/>
              <w:rPr>
                <w:rFonts w:cs="Arial"/>
                <w:color w:val="000000"/>
                <w:sz w:val="16"/>
                <w:szCs w:val="16"/>
              </w:rPr>
            </w:pPr>
            <w:r>
              <w:rPr>
                <w:rFonts w:cs="Arial"/>
                <w:sz w:val="16"/>
                <w:szCs w:val="16"/>
              </w:rPr>
              <w:t>2 198</w:t>
            </w:r>
          </w:p>
        </w:tc>
        <w:tc>
          <w:tcPr>
            <w:tcW w:w="709" w:type="dxa"/>
            <w:tcBorders>
              <w:top w:val="nil"/>
              <w:left w:val="nil"/>
              <w:bottom w:val="nil"/>
              <w:right w:val="nil"/>
            </w:tcBorders>
            <w:shd w:val="clear" w:color="auto" w:fill="auto"/>
            <w:vAlign w:val="center"/>
            <w:hideMark/>
          </w:tcPr>
          <w:p w14:paraId="58C49F68" w14:textId="3E2781EA" w:rsidR="004B564D" w:rsidRPr="00D92E20" w:rsidRDefault="004B564D" w:rsidP="0050059C">
            <w:pPr>
              <w:spacing w:after="0" w:line="240" w:lineRule="auto"/>
              <w:jc w:val="right"/>
              <w:rPr>
                <w:rFonts w:cs="Arial"/>
                <w:color w:val="000000"/>
                <w:sz w:val="16"/>
                <w:szCs w:val="16"/>
              </w:rPr>
            </w:pPr>
            <w:r>
              <w:rPr>
                <w:rFonts w:cs="Arial"/>
                <w:sz w:val="16"/>
                <w:szCs w:val="16"/>
              </w:rPr>
              <w:t>1 365</w:t>
            </w:r>
          </w:p>
        </w:tc>
      </w:tr>
      <w:tr w:rsidR="004B564D" w:rsidRPr="00D92E20" w14:paraId="30696A73"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2C8E0EB7" w14:textId="45A83750" w:rsidR="004B564D" w:rsidRPr="00D92E20" w:rsidRDefault="004B564D" w:rsidP="004B564D">
            <w:pPr>
              <w:spacing w:after="0" w:line="240" w:lineRule="auto"/>
              <w:jc w:val="center"/>
              <w:rPr>
                <w:rFonts w:cs="Arial"/>
                <w:color w:val="000000"/>
                <w:sz w:val="16"/>
                <w:szCs w:val="16"/>
              </w:rPr>
            </w:pPr>
            <w:r>
              <w:rPr>
                <w:rFonts w:cs="Arial"/>
                <w:sz w:val="16"/>
                <w:szCs w:val="16"/>
              </w:rPr>
              <w:t>1. pol. 2016</w:t>
            </w:r>
          </w:p>
        </w:tc>
        <w:tc>
          <w:tcPr>
            <w:tcW w:w="711" w:type="dxa"/>
            <w:tcBorders>
              <w:top w:val="nil"/>
              <w:left w:val="nil"/>
              <w:bottom w:val="nil"/>
              <w:right w:val="nil"/>
            </w:tcBorders>
            <w:shd w:val="clear" w:color="auto" w:fill="auto"/>
            <w:vAlign w:val="center"/>
            <w:hideMark/>
          </w:tcPr>
          <w:p w14:paraId="60D7550D" w14:textId="50810B42" w:rsidR="004B564D" w:rsidRPr="00D92E20" w:rsidRDefault="004B564D" w:rsidP="0050059C">
            <w:pPr>
              <w:spacing w:after="0" w:line="240" w:lineRule="auto"/>
              <w:jc w:val="right"/>
              <w:rPr>
                <w:rFonts w:cs="Arial"/>
                <w:color w:val="000000"/>
                <w:sz w:val="16"/>
                <w:szCs w:val="16"/>
              </w:rPr>
            </w:pPr>
            <w:r>
              <w:rPr>
                <w:rFonts w:cs="Arial"/>
                <w:sz w:val="16"/>
                <w:szCs w:val="16"/>
              </w:rPr>
              <w:t>36 787</w:t>
            </w:r>
          </w:p>
        </w:tc>
        <w:tc>
          <w:tcPr>
            <w:tcW w:w="703" w:type="dxa"/>
            <w:tcBorders>
              <w:top w:val="nil"/>
              <w:left w:val="nil"/>
              <w:bottom w:val="nil"/>
              <w:right w:val="nil"/>
            </w:tcBorders>
            <w:shd w:val="clear" w:color="auto" w:fill="auto"/>
            <w:vAlign w:val="center"/>
            <w:hideMark/>
          </w:tcPr>
          <w:p w14:paraId="3FE6B401" w14:textId="04DE8DB8" w:rsidR="004B564D" w:rsidRPr="00D92E20" w:rsidRDefault="004B564D" w:rsidP="0050059C">
            <w:pPr>
              <w:spacing w:after="0" w:line="240" w:lineRule="auto"/>
              <w:jc w:val="right"/>
              <w:rPr>
                <w:rFonts w:cs="Arial"/>
                <w:color w:val="000000"/>
                <w:sz w:val="16"/>
                <w:szCs w:val="16"/>
              </w:rPr>
            </w:pPr>
            <w:r>
              <w:rPr>
                <w:rFonts w:cs="Arial"/>
                <w:sz w:val="16"/>
                <w:szCs w:val="16"/>
              </w:rPr>
              <w:t>16 662</w:t>
            </w:r>
          </w:p>
        </w:tc>
        <w:tc>
          <w:tcPr>
            <w:tcW w:w="704" w:type="dxa"/>
            <w:tcBorders>
              <w:top w:val="nil"/>
              <w:left w:val="nil"/>
              <w:bottom w:val="nil"/>
              <w:right w:val="nil"/>
            </w:tcBorders>
            <w:shd w:val="clear" w:color="auto" w:fill="auto"/>
            <w:vAlign w:val="center"/>
            <w:hideMark/>
          </w:tcPr>
          <w:p w14:paraId="109473DE" w14:textId="460E544E" w:rsidR="004B564D" w:rsidRPr="00D92E20" w:rsidRDefault="004B564D" w:rsidP="0050059C">
            <w:pPr>
              <w:spacing w:after="0" w:line="240" w:lineRule="auto"/>
              <w:jc w:val="right"/>
              <w:rPr>
                <w:rFonts w:cs="Arial"/>
                <w:color w:val="000000"/>
                <w:sz w:val="16"/>
                <w:szCs w:val="16"/>
              </w:rPr>
            </w:pPr>
            <w:r>
              <w:rPr>
                <w:rFonts w:cs="Arial"/>
                <w:sz w:val="16"/>
                <w:szCs w:val="16"/>
              </w:rPr>
              <w:t>20 125</w:t>
            </w:r>
          </w:p>
        </w:tc>
        <w:tc>
          <w:tcPr>
            <w:tcW w:w="707" w:type="dxa"/>
            <w:tcBorders>
              <w:top w:val="nil"/>
              <w:left w:val="single" w:sz="4" w:space="0" w:color="auto"/>
              <w:bottom w:val="nil"/>
              <w:right w:val="nil"/>
            </w:tcBorders>
            <w:shd w:val="clear" w:color="auto" w:fill="auto"/>
            <w:vAlign w:val="center"/>
            <w:hideMark/>
          </w:tcPr>
          <w:p w14:paraId="2A2DB589" w14:textId="5764B58A" w:rsidR="004B564D" w:rsidRPr="00D92E20" w:rsidRDefault="004B564D" w:rsidP="0050059C">
            <w:pPr>
              <w:spacing w:after="0" w:line="240" w:lineRule="auto"/>
              <w:jc w:val="right"/>
              <w:rPr>
                <w:rFonts w:cs="Arial"/>
                <w:color w:val="000000"/>
                <w:sz w:val="16"/>
                <w:szCs w:val="16"/>
              </w:rPr>
            </w:pPr>
            <w:r>
              <w:rPr>
                <w:rFonts w:cs="Arial"/>
                <w:sz w:val="16"/>
                <w:szCs w:val="16"/>
              </w:rPr>
              <w:t>31 662</w:t>
            </w:r>
          </w:p>
        </w:tc>
        <w:tc>
          <w:tcPr>
            <w:tcW w:w="704" w:type="dxa"/>
            <w:tcBorders>
              <w:top w:val="nil"/>
              <w:left w:val="nil"/>
              <w:bottom w:val="nil"/>
              <w:right w:val="nil"/>
            </w:tcBorders>
            <w:shd w:val="clear" w:color="auto" w:fill="auto"/>
            <w:vAlign w:val="center"/>
            <w:hideMark/>
          </w:tcPr>
          <w:p w14:paraId="369A10DA" w14:textId="726B1225" w:rsidR="004B564D" w:rsidRPr="00D92E20" w:rsidRDefault="004B564D" w:rsidP="0050059C">
            <w:pPr>
              <w:spacing w:after="0" w:line="240" w:lineRule="auto"/>
              <w:jc w:val="right"/>
              <w:rPr>
                <w:rFonts w:cs="Arial"/>
                <w:color w:val="000000"/>
                <w:sz w:val="16"/>
                <w:szCs w:val="16"/>
              </w:rPr>
            </w:pPr>
            <w:r>
              <w:rPr>
                <w:rFonts w:cs="Arial"/>
                <w:sz w:val="16"/>
                <w:szCs w:val="16"/>
              </w:rPr>
              <w:t>13 413</w:t>
            </w:r>
          </w:p>
        </w:tc>
        <w:tc>
          <w:tcPr>
            <w:tcW w:w="704" w:type="dxa"/>
            <w:tcBorders>
              <w:top w:val="nil"/>
              <w:left w:val="nil"/>
              <w:bottom w:val="nil"/>
              <w:right w:val="single" w:sz="4" w:space="0" w:color="auto"/>
            </w:tcBorders>
            <w:shd w:val="clear" w:color="auto" w:fill="auto"/>
            <w:vAlign w:val="center"/>
            <w:hideMark/>
          </w:tcPr>
          <w:p w14:paraId="4F854AFE" w14:textId="7FD9C3F7" w:rsidR="004B564D" w:rsidRPr="00D92E20" w:rsidRDefault="004B564D" w:rsidP="0050059C">
            <w:pPr>
              <w:spacing w:after="0" w:line="240" w:lineRule="auto"/>
              <w:jc w:val="right"/>
              <w:rPr>
                <w:rFonts w:cs="Arial"/>
                <w:color w:val="000000"/>
                <w:sz w:val="16"/>
                <w:szCs w:val="16"/>
              </w:rPr>
            </w:pPr>
            <w:r>
              <w:rPr>
                <w:rFonts w:cs="Arial"/>
                <w:sz w:val="16"/>
                <w:szCs w:val="16"/>
              </w:rPr>
              <w:t>18 249</w:t>
            </w:r>
          </w:p>
        </w:tc>
        <w:tc>
          <w:tcPr>
            <w:tcW w:w="754" w:type="dxa"/>
            <w:tcBorders>
              <w:top w:val="nil"/>
              <w:left w:val="nil"/>
              <w:bottom w:val="nil"/>
              <w:right w:val="nil"/>
            </w:tcBorders>
            <w:shd w:val="clear" w:color="auto" w:fill="auto"/>
            <w:vAlign w:val="center"/>
            <w:hideMark/>
          </w:tcPr>
          <w:p w14:paraId="479ADD45" w14:textId="09E7955E" w:rsidR="004B564D" w:rsidRPr="00D92E20" w:rsidRDefault="004B564D" w:rsidP="0050059C">
            <w:pPr>
              <w:spacing w:after="0" w:line="240" w:lineRule="auto"/>
              <w:jc w:val="right"/>
              <w:rPr>
                <w:rFonts w:cs="Arial"/>
                <w:color w:val="000000"/>
                <w:sz w:val="16"/>
                <w:szCs w:val="16"/>
              </w:rPr>
            </w:pPr>
            <w:r>
              <w:rPr>
                <w:rFonts w:cs="Arial"/>
                <w:sz w:val="16"/>
                <w:szCs w:val="16"/>
              </w:rPr>
              <w:t>1 320</w:t>
            </w:r>
          </w:p>
        </w:tc>
        <w:tc>
          <w:tcPr>
            <w:tcW w:w="709" w:type="dxa"/>
            <w:tcBorders>
              <w:top w:val="nil"/>
              <w:left w:val="nil"/>
              <w:bottom w:val="nil"/>
              <w:right w:val="nil"/>
            </w:tcBorders>
            <w:shd w:val="clear" w:color="auto" w:fill="auto"/>
            <w:vAlign w:val="center"/>
            <w:hideMark/>
          </w:tcPr>
          <w:p w14:paraId="1B278898" w14:textId="5B95CAC0" w:rsidR="004B564D" w:rsidRPr="00D92E20" w:rsidRDefault="004B564D" w:rsidP="0050059C">
            <w:pPr>
              <w:spacing w:after="0" w:line="240" w:lineRule="auto"/>
              <w:jc w:val="right"/>
              <w:rPr>
                <w:rFonts w:cs="Arial"/>
                <w:color w:val="000000"/>
                <w:sz w:val="16"/>
                <w:szCs w:val="16"/>
              </w:rPr>
            </w:pPr>
            <w:r>
              <w:rPr>
                <w:rFonts w:cs="Arial"/>
                <w:sz w:val="16"/>
                <w:szCs w:val="16"/>
              </w:rPr>
              <w:t>900</w:t>
            </w:r>
          </w:p>
        </w:tc>
        <w:tc>
          <w:tcPr>
            <w:tcW w:w="709" w:type="dxa"/>
            <w:tcBorders>
              <w:top w:val="nil"/>
              <w:left w:val="nil"/>
              <w:bottom w:val="nil"/>
              <w:right w:val="single" w:sz="4" w:space="0" w:color="auto"/>
            </w:tcBorders>
            <w:shd w:val="clear" w:color="auto" w:fill="auto"/>
            <w:vAlign w:val="center"/>
            <w:hideMark/>
          </w:tcPr>
          <w:p w14:paraId="56AFF19B" w14:textId="5AE4B7AC" w:rsidR="004B564D" w:rsidRPr="00D92E20" w:rsidRDefault="004B564D" w:rsidP="0050059C">
            <w:pPr>
              <w:spacing w:after="0" w:line="240" w:lineRule="auto"/>
              <w:jc w:val="right"/>
              <w:rPr>
                <w:rFonts w:cs="Arial"/>
                <w:color w:val="000000"/>
                <w:sz w:val="16"/>
                <w:szCs w:val="16"/>
              </w:rPr>
            </w:pPr>
            <w:r>
              <w:rPr>
                <w:rFonts w:cs="Arial"/>
                <w:sz w:val="16"/>
                <w:szCs w:val="16"/>
              </w:rPr>
              <w:t>421</w:t>
            </w:r>
          </w:p>
        </w:tc>
        <w:tc>
          <w:tcPr>
            <w:tcW w:w="709" w:type="dxa"/>
            <w:tcBorders>
              <w:top w:val="nil"/>
              <w:left w:val="nil"/>
              <w:bottom w:val="nil"/>
              <w:right w:val="nil"/>
            </w:tcBorders>
            <w:shd w:val="clear" w:color="auto" w:fill="auto"/>
            <w:vAlign w:val="center"/>
            <w:hideMark/>
          </w:tcPr>
          <w:p w14:paraId="36D49E9A" w14:textId="79E87EC6" w:rsidR="004B564D" w:rsidRPr="00D92E20" w:rsidRDefault="004B564D" w:rsidP="0050059C">
            <w:pPr>
              <w:spacing w:after="0" w:line="240" w:lineRule="auto"/>
              <w:jc w:val="right"/>
              <w:rPr>
                <w:rFonts w:cs="Arial"/>
                <w:color w:val="000000"/>
                <w:sz w:val="16"/>
                <w:szCs w:val="16"/>
              </w:rPr>
            </w:pPr>
            <w:r>
              <w:rPr>
                <w:rFonts w:cs="Arial"/>
                <w:sz w:val="16"/>
                <w:szCs w:val="16"/>
              </w:rPr>
              <w:t>3 805</w:t>
            </w:r>
          </w:p>
        </w:tc>
        <w:tc>
          <w:tcPr>
            <w:tcW w:w="709" w:type="dxa"/>
            <w:tcBorders>
              <w:top w:val="nil"/>
              <w:left w:val="nil"/>
              <w:bottom w:val="nil"/>
              <w:right w:val="nil"/>
            </w:tcBorders>
            <w:shd w:val="clear" w:color="auto" w:fill="auto"/>
            <w:vAlign w:val="center"/>
            <w:hideMark/>
          </w:tcPr>
          <w:p w14:paraId="15D544E0" w14:textId="2A4FDAB2" w:rsidR="004B564D" w:rsidRPr="00D92E20" w:rsidRDefault="004B564D" w:rsidP="0050059C">
            <w:pPr>
              <w:spacing w:after="0" w:line="240" w:lineRule="auto"/>
              <w:jc w:val="right"/>
              <w:rPr>
                <w:rFonts w:cs="Arial"/>
                <w:color w:val="000000"/>
                <w:sz w:val="16"/>
                <w:szCs w:val="16"/>
              </w:rPr>
            </w:pPr>
            <w:r>
              <w:rPr>
                <w:rFonts w:cs="Arial"/>
                <w:sz w:val="16"/>
                <w:szCs w:val="16"/>
              </w:rPr>
              <w:t>2 349</w:t>
            </w:r>
          </w:p>
        </w:tc>
        <w:tc>
          <w:tcPr>
            <w:tcW w:w="709" w:type="dxa"/>
            <w:tcBorders>
              <w:top w:val="nil"/>
              <w:left w:val="nil"/>
              <w:bottom w:val="nil"/>
              <w:right w:val="nil"/>
            </w:tcBorders>
            <w:shd w:val="clear" w:color="auto" w:fill="auto"/>
            <w:vAlign w:val="center"/>
            <w:hideMark/>
          </w:tcPr>
          <w:p w14:paraId="31C0116E" w14:textId="23E259A4" w:rsidR="004B564D" w:rsidRPr="00D92E20" w:rsidRDefault="004B564D" w:rsidP="0050059C">
            <w:pPr>
              <w:spacing w:after="0" w:line="240" w:lineRule="auto"/>
              <w:jc w:val="right"/>
              <w:rPr>
                <w:rFonts w:cs="Arial"/>
                <w:color w:val="000000"/>
                <w:sz w:val="16"/>
                <w:szCs w:val="16"/>
              </w:rPr>
            </w:pPr>
            <w:r>
              <w:rPr>
                <w:rFonts w:cs="Arial"/>
                <w:sz w:val="16"/>
                <w:szCs w:val="16"/>
              </w:rPr>
              <w:t>1 455</w:t>
            </w:r>
          </w:p>
        </w:tc>
      </w:tr>
      <w:tr w:rsidR="004B564D" w:rsidRPr="00D92E20" w14:paraId="42551B74"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7258E2D" w14:textId="0F118C4C" w:rsidR="004B564D" w:rsidRPr="00D92E20" w:rsidRDefault="004B564D" w:rsidP="004B564D">
            <w:pPr>
              <w:spacing w:after="0" w:line="240" w:lineRule="auto"/>
              <w:jc w:val="center"/>
              <w:rPr>
                <w:rFonts w:cs="Arial"/>
                <w:color w:val="000000"/>
                <w:sz w:val="16"/>
                <w:szCs w:val="16"/>
              </w:rPr>
            </w:pPr>
            <w:r>
              <w:rPr>
                <w:rFonts w:cs="Arial"/>
                <w:sz w:val="16"/>
                <w:szCs w:val="16"/>
              </w:rPr>
              <w:t>1. pol. 2017</w:t>
            </w:r>
          </w:p>
        </w:tc>
        <w:tc>
          <w:tcPr>
            <w:tcW w:w="711" w:type="dxa"/>
            <w:tcBorders>
              <w:top w:val="nil"/>
              <w:left w:val="nil"/>
              <w:bottom w:val="nil"/>
              <w:right w:val="nil"/>
            </w:tcBorders>
            <w:shd w:val="clear" w:color="auto" w:fill="auto"/>
            <w:vAlign w:val="center"/>
            <w:hideMark/>
          </w:tcPr>
          <w:p w14:paraId="56CC2A5D" w14:textId="30067175" w:rsidR="004B564D" w:rsidRPr="00D92E20" w:rsidRDefault="004B564D" w:rsidP="0050059C">
            <w:pPr>
              <w:spacing w:after="0" w:line="240" w:lineRule="auto"/>
              <w:jc w:val="right"/>
              <w:rPr>
                <w:rFonts w:cs="Arial"/>
                <w:color w:val="000000"/>
                <w:sz w:val="16"/>
                <w:szCs w:val="16"/>
              </w:rPr>
            </w:pPr>
            <w:r>
              <w:rPr>
                <w:rFonts w:cs="Arial"/>
                <w:sz w:val="16"/>
                <w:szCs w:val="16"/>
              </w:rPr>
              <w:t>38 709</w:t>
            </w:r>
          </w:p>
        </w:tc>
        <w:tc>
          <w:tcPr>
            <w:tcW w:w="703" w:type="dxa"/>
            <w:tcBorders>
              <w:top w:val="nil"/>
              <w:left w:val="nil"/>
              <w:bottom w:val="nil"/>
              <w:right w:val="nil"/>
            </w:tcBorders>
            <w:shd w:val="clear" w:color="auto" w:fill="auto"/>
            <w:vAlign w:val="center"/>
            <w:hideMark/>
          </w:tcPr>
          <w:p w14:paraId="71821FB4" w14:textId="3AC71030" w:rsidR="004B564D" w:rsidRPr="00D92E20" w:rsidRDefault="004B564D" w:rsidP="0050059C">
            <w:pPr>
              <w:spacing w:after="0" w:line="240" w:lineRule="auto"/>
              <w:jc w:val="right"/>
              <w:rPr>
                <w:rFonts w:cs="Arial"/>
                <w:color w:val="000000"/>
                <w:sz w:val="16"/>
                <w:szCs w:val="16"/>
              </w:rPr>
            </w:pPr>
            <w:r>
              <w:rPr>
                <w:rFonts w:cs="Arial"/>
                <w:sz w:val="16"/>
                <w:szCs w:val="16"/>
              </w:rPr>
              <w:t>17 570</w:t>
            </w:r>
          </w:p>
        </w:tc>
        <w:tc>
          <w:tcPr>
            <w:tcW w:w="704" w:type="dxa"/>
            <w:tcBorders>
              <w:top w:val="nil"/>
              <w:left w:val="nil"/>
              <w:bottom w:val="nil"/>
              <w:right w:val="nil"/>
            </w:tcBorders>
            <w:shd w:val="clear" w:color="auto" w:fill="auto"/>
            <w:vAlign w:val="center"/>
            <w:hideMark/>
          </w:tcPr>
          <w:p w14:paraId="28072824" w14:textId="775C8421" w:rsidR="004B564D" w:rsidRPr="00D92E20" w:rsidRDefault="004B564D" w:rsidP="0050059C">
            <w:pPr>
              <w:spacing w:after="0" w:line="240" w:lineRule="auto"/>
              <w:jc w:val="right"/>
              <w:rPr>
                <w:rFonts w:cs="Arial"/>
                <w:color w:val="000000"/>
                <w:sz w:val="16"/>
                <w:szCs w:val="16"/>
              </w:rPr>
            </w:pPr>
            <w:r>
              <w:rPr>
                <w:rFonts w:cs="Arial"/>
                <w:sz w:val="16"/>
                <w:szCs w:val="16"/>
              </w:rPr>
              <w:t>21 138</w:t>
            </w:r>
          </w:p>
        </w:tc>
        <w:tc>
          <w:tcPr>
            <w:tcW w:w="707" w:type="dxa"/>
            <w:tcBorders>
              <w:top w:val="nil"/>
              <w:left w:val="single" w:sz="4" w:space="0" w:color="auto"/>
              <w:bottom w:val="nil"/>
              <w:right w:val="nil"/>
            </w:tcBorders>
            <w:shd w:val="clear" w:color="auto" w:fill="auto"/>
            <w:vAlign w:val="center"/>
            <w:hideMark/>
          </w:tcPr>
          <w:p w14:paraId="359BA859" w14:textId="1B5211D7" w:rsidR="004B564D" w:rsidRPr="00D92E20" w:rsidRDefault="004B564D" w:rsidP="0050059C">
            <w:pPr>
              <w:spacing w:after="0" w:line="240" w:lineRule="auto"/>
              <w:jc w:val="right"/>
              <w:rPr>
                <w:rFonts w:cs="Arial"/>
                <w:color w:val="000000"/>
                <w:sz w:val="16"/>
                <w:szCs w:val="16"/>
              </w:rPr>
            </w:pPr>
            <w:r>
              <w:rPr>
                <w:rFonts w:cs="Arial"/>
                <w:sz w:val="16"/>
                <w:szCs w:val="16"/>
              </w:rPr>
              <w:t>33 259</w:t>
            </w:r>
          </w:p>
        </w:tc>
        <w:tc>
          <w:tcPr>
            <w:tcW w:w="704" w:type="dxa"/>
            <w:tcBorders>
              <w:top w:val="nil"/>
              <w:left w:val="nil"/>
              <w:bottom w:val="nil"/>
              <w:right w:val="nil"/>
            </w:tcBorders>
            <w:shd w:val="clear" w:color="auto" w:fill="auto"/>
            <w:vAlign w:val="center"/>
            <w:hideMark/>
          </w:tcPr>
          <w:p w14:paraId="2F962BCF" w14:textId="6174D9B8" w:rsidR="004B564D" w:rsidRPr="00D92E20" w:rsidRDefault="004B564D" w:rsidP="0050059C">
            <w:pPr>
              <w:spacing w:after="0" w:line="240" w:lineRule="auto"/>
              <w:jc w:val="right"/>
              <w:rPr>
                <w:rFonts w:cs="Arial"/>
                <w:color w:val="000000"/>
                <w:sz w:val="16"/>
                <w:szCs w:val="16"/>
              </w:rPr>
            </w:pPr>
            <w:r>
              <w:rPr>
                <w:rFonts w:cs="Arial"/>
                <w:sz w:val="16"/>
                <w:szCs w:val="16"/>
              </w:rPr>
              <w:t>14 211</w:t>
            </w:r>
          </w:p>
        </w:tc>
        <w:tc>
          <w:tcPr>
            <w:tcW w:w="704" w:type="dxa"/>
            <w:tcBorders>
              <w:top w:val="nil"/>
              <w:left w:val="nil"/>
              <w:bottom w:val="nil"/>
              <w:right w:val="single" w:sz="4" w:space="0" w:color="auto"/>
            </w:tcBorders>
            <w:shd w:val="clear" w:color="auto" w:fill="auto"/>
            <w:vAlign w:val="center"/>
            <w:hideMark/>
          </w:tcPr>
          <w:p w14:paraId="2F1B76FF" w14:textId="28EB8715" w:rsidR="004B564D" w:rsidRPr="00D92E20" w:rsidRDefault="004B564D" w:rsidP="0050059C">
            <w:pPr>
              <w:spacing w:after="0" w:line="240" w:lineRule="auto"/>
              <w:jc w:val="right"/>
              <w:rPr>
                <w:rFonts w:cs="Arial"/>
                <w:color w:val="000000"/>
                <w:sz w:val="16"/>
                <w:szCs w:val="16"/>
              </w:rPr>
            </w:pPr>
            <w:r>
              <w:rPr>
                <w:rFonts w:cs="Arial"/>
                <w:sz w:val="16"/>
                <w:szCs w:val="16"/>
              </w:rPr>
              <w:t>19 048</w:t>
            </w:r>
          </w:p>
        </w:tc>
        <w:tc>
          <w:tcPr>
            <w:tcW w:w="754" w:type="dxa"/>
            <w:tcBorders>
              <w:top w:val="nil"/>
              <w:left w:val="nil"/>
              <w:bottom w:val="nil"/>
              <w:right w:val="nil"/>
            </w:tcBorders>
            <w:shd w:val="clear" w:color="auto" w:fill="auto"/>
            <w:vAlign w:val="center"/>
            <w:hideMark/>
          </w:tcPr>
          <w:p w14:paraId="4BB0E376" w14:textId="0C800DD9" w:rsidR="004B564D" w:rsidRPr="00D92E20" w:rsidRDefault="004B564D" w:rsidP="0050059C">
            <w:pPr>
              <w:spacing w:after="0" w:line="240" w:lineRule="auto"/>
              <w:jc w:val="right"/>
              <w:rPr>
                <w:rFonts w:cs="Arial"/>
                <w:color w:val="000000"/>
                <w:sz w:val="16"/>
                <w:szCs w:val="16"/>
              </w:rPr>
            </w:pPr>
            <w:r>
              <w:rPr>
                <w:rFonts w:cs="Arial"/>
                <w:sz w:val="16"/>
                <w:szCs w:val="16"/>
              </w:rPr>
              <w:t>1 343</w:t>
            </w:r>
          </w:p>
        </w:tc>
        <w:tc>
          <w:tcPr>
            <w:tcW w:w="709" w:type="dxa"/>
            <w:tcBorders>
              <w:top w:val="nil"/>
              <w:left w:val="nil"/>
              <w:bottom w:val="nil"/>
              <w:right w:val="nil"/>
            </w:tcBorders>
            <w:shd w:val="clear" w:color="auto" w:fill="auto"/>
            <w:vAlign w:val="center"/>
            <w:hideMark/>
          </w:tcPr>
          <w:p w14:paraId="5C130300" w14:textId="3CDF820C" w:rsidR="004B564D" w:rsidRPr="00D92E20" w:rsidRDefault="004B564D" w:rsidP="0050059C">
            <w:pPr>
              <w:spacing w:after="0" w:line="240" w:lineRule="auto"/>
              <w:jc w:val="right"/>
              <w:rPr>
                <w:rFonts w:cs="Arial"/>
                <w:color w:val="000000"/>
                <w:sz w:val="16"/>
                <w:szCs w:val="16"/>
              </w:rPr>
            </w:pPr>
            <w:r>
              <w:rPr>
                <w:rFonts w:cs="Arial"/>
                <w:sz w:val="16"/>
                <w:szCs w:val="16"/>
              </w:rPr>
              <w:t>914</w:t>
            </w:r>
          </w:p>
        </w:tc>
        <w:tc>
          <w:tcPr>
            <w:tcW w:w="709" w:type="dxa"/>
            <w:tcBorders>
              <w:top w:val="nil"/>
              <w:left w:val="nil"/>
              <w:bottom w:val="nil"/>
              <w:right w:val="single" w:sz="4" w:space="0" w:color="auto"/>
            </w:tcBorders>
            <w:shd w:val="clear" w:color="auto" w:fill="auto"/>
            <w:vAlign w:val="center"/>
            <w:hideMark/>
          </w:tcPr>
          <w:p w14:paraId="60670EBC" w14:textId="65B8F645" w:rsidR="004B564D" w:rsidRPr="00D92E20" w:rsidRDefault="004B564D" w:rsidP="0050059C">
            <w:pPr>
              <w:spacing w:after="0" w:line="240" w:lineRule="auto"/>
              <w:jc w:val="right"/>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vAlign w:val="center"/>
            <w:hideMark/>
          </w:tcPr>
          <w:p w14:paraId="6CAD262D" w14:textId="5D30C24F" w:rsidR="004B564D" w:rsidRPr="00D92E20" w:rsidRDefault="004B564D" w:rsidP="0050059C">
            <w:pPr>
              <w:spacing w:after="0" w:line="240" w:lineRule="auto"/>
              <w:jc w:val="right"/>
              <w:rPr>
                <w:rFonts w:cs="Arial"/>
                <w:color w:val="000000"/>
                <w:sz w:val="16"/>
                <w:szCs w:val="16"/>
              </w:rPr>
            </w:pPr>
            <w:r>
              <w:rPr>
                <w:rFonts w:cs="Arial"/>
                <w:sz w:val="16"/>
                <w:szCs w:val="16"/>
              </w:rPr>
              <w:t>4 107</w:t>
            </w:r>
          </w:p>
        </w:tc>
        <w:tc>
          <w:tcPr>
            <w:tcW w:w="709" w:type="dxa"/>
            <w:tcBorders>
              <w:top w:val="nil"/>
              <w:left w:val="nil"/>
              <w:bottom w:val="nil"/>
              <w:right w:val="nil"/>
            </w:tcBorders>
            <w:shd w:val="clear" w:color="auto" w:fill="auto"/>
            <w:vAlign w:val="center"/>
            <w:hideMark/>
          </w:tcPr>
          <w:p w14:paraId="499E6B0F" w14:textId="0806276D" w:rsidR="004B564D" w:rsidRPr="00D92E20" w:rsidRDefault="004B564D" w:rsidP="0050059C">
            <w:pPr>
              <w:spacing w:after="0" w:line="240" w:lineRule="auto"/>
              <w:jc w:val="right"/>
              <w:rPr>
                <w:rFonts w:cs="Arial"/>
                <w:color w:val="000000"/>
                <w:sz w:val="16"/>
                <w:szCs w:val="16"/>
              </w:rPr>
            </w:pPr>
            <w:r>
              <w:rPr>
                <w:rFonts w:cs="Arial"/>
                <w:sz w:val="16"/>
                <w:szCs w:val="16"/>
              </w:rPr>
              <w:t>2 445</w:t>
            </w:r>
          </w:p>
        </w:tc>
        <w:tc>
          <w:tcPr>
            <w:tcW w:w="709" w:type="dxa"/>
            <w:tcBorders>
              <w:top w:val="nil"/>
              <w:left w:val="nil"/>
              <w:bottom w:val="nil"/>
              <w:right w:val="nil"/>
            </w:tcBorders>
            <w:shd w:val="clear" w:color="auto" w:fill="auto"/>
            <w:vAlign w:val="center"/>
            <w:hideMark/>
          </w:tcPr>
          <w:p w14:paraId="5D7DE8B4" w14:textId="34FEC9A9" w:rsidR="004B564D" w:rsidRPr="00D92E20" w:rsidRDefault="004B564D" w:rsidP="0050059C">
            <w:pPr>
              <w:spacing w:after="0" w:line="240" w:lineRule="auto"/>
              <w:jc w:val="right"/>
              <w:rPr>
                <w:rFonts w:cs="Arial"/>
                <w:color w:val="000000"/>
                <w:sz w:val="16"/>
                <w:szCs w:val="16"/>
              </w:rPr>
            </w:pPr>
            <w:r>
              <w:rPr>
                <w:rFonts w:cs="Arial"/>
                <w:sz w:val="16"/>
                <w:szCs w:val="16"/>
              </w:rPr>
              <w:t>1 662</w:t>
            </w:r>
          </w:p>
        </w:tc>
      </w:tr>
      <w:tr w:rsidR="004B564D" w:rsidRPr="00D92E20" w14:paraId="6914002C"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560B17B7" w14:textId="45F846A9" w:rsidR="004B564D" w:rsidRPr="00D92E20" w:rsidRDefault="004B564D" w:rsidP="004B564D">
            <w:pPr>
              <w:spacing w:after="0" w:line="240" w:lineRule="auto"/>
              <w:jc w:val="center"/>
              <w:rPr>
                <w:rFonts w:cs="Arial"/>
                <w:color w:val="000000"/>
                <w:sz w:val="16"/>
                <w:szCs w:val="16"/>
              </w:rPr>
            </w:pPr>
            <w:r>
              <w:rPr>
                <w:rFonts w:cs="Arial"/>
                <w:sz w:val="16"/>
                <w:szCs w:val="16"/>
              </w:rPr>
              <w:t>1. pol. 2018</w:t>
            </w:r>
          </w:p>
        </w:tc>
        <w:tc>
          <w:tcPr>
            <w:tcW w:w="711" w:type="dxa"/>
            <w:tcBorders>
              <w:top w:val="nil"/>
              <w:left w:val="nil"/>
              <w:bottom w:val="nil"/>
              <w:right w:val="nil"/>
            </w:tcBorders>
            <w:shd w:val="clear" w:color="auto" w:fill="auto"/>
            <w:vAlign w:val="center"/>
            <w:hideMark/>
          </w:tcPr>
          <w:p w14:paraId="0299BAE0" w14:textId="4F88FFAD" w:rsidR="004B564D" w:rsidRPr="00D92E20" w:rsidRDefault="004B564D" w:rsidP="0050059C">
            <w:pPr>
              <w:spacing w:after="0" w:line="240" w:lineRule="auto"/>
              <w:jc w:val="right"/>
              <w:rPr>
                <w:rFonts w:cs="Arial"/>
                <w:color w:val="000000"/>
                <w:sz w:val="16"/>
                <w:szCs w:val="16"/>
              </w:rPr>
            </w:pPr>
            <w:r>
              <w:rPr>
                <w:rFonts w:cs="Arial"/>
                <w:sz w:val="16"/>
                <w:szCs w:val="16"/>
              </w:rPr>
              <w:t>40 624</w:t>
            </w:r>
          </w:p>
        </w:tc>
        <w:tc>
          <w:tcPr>
            <w:tcW w:w="703" w:type="dxa"/>
            <w:tcBorders>
              <w:top w:val="nil"/>
              <w:left w:val="nil"/>
              <w:bottom w:val="nil"/>
              <w:right w:val="nil"/>
            </w:tcBorders>
            <w:shd w:val="clear" w:color="auto" w:fill="auto"/>
            <w:vAlign w:val="center"/>
            <w:hideMark/>
          </w:tcPr>
          <w:p w14:paraId="5EA2CC5C" w14:textId="12490D0B" w:rsidR="004B564D" w:rsidRPr="00D92E20" w:rsidRDefault="004B564D" w:rsidP="0050059C">
            <w:pPr>
              <w:spacing w:after="0" w:line="240" w:lineRule="auto"/>
              <w:jc w:val="right"/>
              <w:rPr>
                <w:rFonts w:cs="Arial"/>
                <w:color w:val="000000"/>
                <w:sz w:val="16"/>
                <w:szCs w:val="16"/>
              </w:rPr>
            </w:pPr>
            <w:r>
              <w:rPr>
                <w:rFonts w:cs="Arial"/>
                <w:sz w:val="16"/>
                <w:szCs w:val="16"/>
              </w:rPr>
              <w:t>18 437</w:t>
            </w:r>
          </w:p>
        </w:tc>
        <w:tc>
          <w:tcPr>
            <w:tcW w:w="704" w:type="dxa"/>
            <w:tcBorders>
              <w:top w:val="nil"/>
              <w:left w:val="nil"/>
              <w:bottom w:val="nil"/>
              <w:right w:val="nil"/>
            </w:tcBorders>
            <w:shd w:val="clear" w:color="auto" w:fill="auto"/>
            <w:vAlign w:val="center"/>
            <w:hideMark/>
          </w:tcPr>
          <w:p w14:paraId="2686CCFA" w14:textId="0DB8FB0C" w:rsidR="004B564D" w:rsidRPr="00D92E20" w:rsidRDefault="004B564D" w:rsidP="0050059C">
            <w:pPr>
              <w:spacing w:after="0" w:line="240" w:lineRule="auto"/>
              <w:jc w:val="right"/>
              <w:rPr>
                <w:rFonts w:cs="Arial"/>
                <w:color w:val="000000"/>
                <w:sz w:val="16"/>
                <w:szCs w:val="16"/>
              </w:rPr>
            </w:pPr>
            <w:r>
              <w:rPr>
                <w:rFonts w:cs="Arial"/>
                <w:sz w:val="16"/>
                <w:szCs w:val="16"/>
              </w:rPr>
              <w:t>22 187</w:t>
            </w:r>
          </w:p>
        </w:tc>
        <w:tc>
          <w:tcPr>
            <w:tcW w:w="707" w:type="dxa"/>
            <w:tcBorders>
              <w:top w:val="nil"/>
              <w:left w:val="single" w:sz="4" w:space="0" w:color="auto"/>
              <w:bottom w:val="nil"/>
              <w:right w:val="nil"/>
            </w:tcBorders>
            <w:shd w:val="clear" w:color="auto" w:fill="auto"/>
            <w:vAlign w:val="center"/>
            <w:hideMark/>
          </w:tcPr>
          <w:p w14:paraId="1C725E5A" w14:textId="31EB6405" w:rsidR="004B564D" w:rsidRPr="00D92E20" w:rsidRDefault="004B564D" w:rsidP="0050059C">
            <w:pPr>
              <w:spacing w:after="0" w:line="240" w:lineRule="auto"/>
              <w:jc w:val="right"/>
              <w:rPr>
                <w:rFonts w:cs="Arial"/>
                <w:color w:val="000000"/>
                <w:sz w:val="16"/>
                <w:szCs w:val="16"/>
              </w:rPr>
            </w:pPr>
            <w:r>
              <w:rPr>
                <w:rFonts w:cs="Arial"/>
                <w:sz w:val="16"/>
                <w:szCs w:val="16"/>
              </w:rPr>
              <w:t>35 167</w:t>
            </w:r>
          </w:p>
        </w:tc>
        <w:tc>
          <w:tcPr>
            <w:tcW w:w="704" w:type="dxa"/>
            <w:tcBorders>
              <w:top w:val="nil"/>
              <w:left w:val="nil"/>
              <w:bottom w:val="nil"/>
              <w:right w:val="nil"/>
            </w:tcBorders>
            <w:shd w:val="clear" w:color="auto" w:fill="auto"/>
            <w:vAlign w:val="center"/>
            <w:hideMark/>
          </w:tcPr>
          <w:p w14:paraId="6A9A59C4" w14:textId="09472528" w:rsidR="004B564D" w:rsidRPr="00D92E20" w:rsidRDefault="004B564D" w:rsidP="0050059C">
            <w:pPr>
              <w:spacing w:after="0" w:line="240" w:lineRule="auto"/>
              <w:jc w:val="right"/>
              <w:rPr>
                <w:rFonts w:cs="Arial"/>
                <w:color w:val="000000"/>
                <w:sz w:val="16"/>
                <w:szCs w:val="16"/>
              </w:rPr>
            </w:pPr>
            <w:r>
              <w:rPr>
                <w:rFonts w:cs="Arial"/>
                <w:sz w:val="16"/>
                <w:szCs w:val="16"/>
              </w:rPr>
              <w:t>15 078</w:t>
            </w:r>
          </w:p>
        </w:tc>
        <w:tc>
          <w:tcPr>
            <w:tcW w:w="704" w:type="dxa"/>
            <w:tcBorders>
              <w:top w:val="nil"/>
              <w:left w:val="nil"/>
              <w:bottom w:val="nil"/>
              <w:right w:val="single" w:sz="4" w:space="0" w:color="auto"/>
            </w:tcBorders>
            <w:shd w:val="clear" w:color="auto" w:fill="auto"/>
            <w:vAlign w:val="center"/>
            <w:hideMark/>
          </w:tcPr>
          <w:p w14:paraId="3E72A173" w14:textId="225C8ACC" w:rsidR="004B564D" w:rsidRPr="00D92E20" w:rsidRDefault="004B564D" w:rsidP="0050059C">
            <w:pPr>
              <w:spacing w:after="0" w:line="240" w:lineRule="auto"/>
              <w:jc w:val="right"/>
              <w:rPr>
                <w:rFonts w:cs="Arial"/>
                <w:color w:val="000000"/>
                <w:sz w:val="16"/>
                <w:szCs w:val="16"/>
              </w:rPr>
            </w:pPr>
            <w:r>
              <w:rPr>
                <w:rFonts w:cs="Arial"/>
                <w:sz w:val="16"/>
                <w:szCs w:val="16"/>
              </w:rPr>
              <w:t>20 089</w:t>
            </w:r>
          </w:p>
        </w:tc>
        <w:tc>
          <w:tcPr>
            <w:tcW w:w="754" w:type="dxa"/>
            <w:tcBorders>
              <w:top w:val="nil"/>
              <w:left w:val="nil"/>
              <w:bottom w:val="nil"/>
              <w:right w:val="nil"/>
            </w:tcBorders>
            <w:shd w:val="clear" w:color="auto" w:fill="auto"/>
            <w:vAlign w:val="center"/>
            <w:hideMark/>
          </w:tcPr>
          <w:p w14:paraId="4EA88C2C" w14:textId="29AC2B45" w:rsidR="004B564D" w:rsidRPr="00D92E20" w:rsidRDefault="004B564D" w:rsidP="0050059C">
            <w:pPr>
              <w:spacing w:after="0" w:line="240" w:lineRule="auto"/>
              <w:jc w:val="right"/>
              <w:rPr>
                <w:rFonts w:cs="Arial"/>
                <w:color w:val="000000"/>
                <w:sz w:val="16"/>
                <w:szCs w:val="16"/>
              </w:rPr>
            </w:pPr>
            <w:r>
              <w:rPr>
                <w:rFonts w:cs="Arial"/>
                <w:sz w:val="16"/>
                <w:szCs w:val="16"/>
              </w:rPr>
              <w:t>1 312</w:t>
            </w:r>
          </w:p>
        </w:tc>
        <w:tc>
          <w:tcPr>
            <w:tcW w:w="709" w:type="dxa"/>
            <w:tcBorders>
              <w:top w:val="nil"/>
              <w:left w:val="nil"/>
              <w:bottom w:val="nil"/>
              <w:right w:val="nil"/>
            </w:tcBorders>
            <w:shd w:val="clear" w:color="auto" w:fill="auto"/>
            <w:vAlign w:val="center"/>
            <w:hideMark/>
          </w:tcPr>
          <w:p w14:paraId="33165432" w14:textId="4784442F" w:rsidR="004B564D" w:rsidRPr="00D92E20" w:rsidRDefault="004B564D" w:rsidP="0050059C">
            <w:pPr>
              <w:spacing w:after="0" w:line="240" w:lineRule="auto"/>
              <w:jc w:val="right"/>
              <w:rPr>
                <w:rFonts w:cs="Arial"/>
                <w:color w:val="000000"/>
                <w:sz w:val="16"/>
                <w:szCs w:val="16"/>
              </w:rPr>
            </w:pPr>
            <w:r>
              <w:rPr>
                <w:rFonts w:cs="Arial"/>
                <w:sz w:val="16"/>
                <w:szCs w:val="16"/>
              </w:rPr>
              <w:t>882</w:t>
            </w:r>
          </w:p>
        </w:tc>
        <w:tc>
          <w:tcPr>
            <w:tcW w:w="709" w:type="dxa"/>
            <w:tcBorders>
              <w:top w:val="nil"/>
              <w:left w:val="nil"/>
              <w:bottom w:val="nil"/>
              <w:right w:val="single" w:sz="4" w:space="0" w:color="auto"/>
            </w:tcBorders>
            <w:shd w:val="clear" w:color="auto" w:fill="auto"/>
            <w:vAlign w:val="center"/>
            <w:hideMark/>
          </w:tcPr>
          <w:p w14:paraId="7AA8BE54" w14:textId="6F630E43" w:rsidR="004B564D" w:rsidRPr="00D92E20" w:rsidRDefault="004B564D" w:rsidP="0050059C">
            <w:pPr>
              <w:spacing w:after="0" w:line="240" w:lineRule="auto"/>
              <w:jc w:val="right"/>
              <w:rPr>
                <w:rFonts w:cs="Arial"/>
                <w:color w:val="000000"/>
                <w:sz w:val="16"/>
                <w:szCs w:val="16"/>
              </w:rPr>
            </w:pPr>
            <w:r>
              <w:rPr>
                <w:rFonts w:cs="Arial"/>
                <w:sz w:val="16"/>
                <w:szCs w:val="16"/>
              </w:rPr>
              <w:t>430</w:t>
            </w:r>
          </w:p>
        </w:tc>
        <w:tc>
          <w:tcPr>
            <w:tcW w:w="709" w:type="dxa"/>
            <w:tcBorders>
              <w:top w:val="nil"/>
              <w:left w:val="nil"/>
              <w:bottom w:val="nil"/>
              <w:right w:val="nil"/>
            </w:tcBorders>
            <w:shd w:val="clear" w:color="auto" w:fill="auto"/>
            <w:vAlign w:val="center"/>
            <w:hideMark/>
          </w:tcPr>
          <w:p w14:paraId="369A9740" w14:textId="643B1BB6" w:rsidR="004B564D" w:rsidRPr="00D92E20" w:rsidRDefault="004B564D" w:rsidP="0050059C">
            <w:pPr>
              <w:spacing w:after="0" w:line="240" w:lineRule="auto"/>
              <w:jc w:val="right"/>
              <w:rPr>
                <w:rFonts w:cs="Arial"/>
                <w:color w:val="000000"/>
                <w:sz w:val="16"/>
                <w:szCs w:val="16"/>
              </w:rPr>
            </w:pPr>
            <w:r>
              <w:rPr>
                <w:rFonts w:cs="Arial"/>
                <w:sz w:val="16"/>
                <w:szCs w:val="16"/>
              </w:rPr>
              <w:t>4 144</w:t>
            </w:r>
          </w:p>
        </w:tc>
        <w:tc>
          <w:tcPr>
            <w:tcW w:w="709" w:type="dxa"/>
            <w:tcBorders>
              <w:top w:val="nil"/>
              <w:left w:val="nil"/>
              <w:bottom w:val="nil"/>
              <w:right w:val="nil"/>
            </w:tcBorders>
            <w:shd w:val="clear" w:color="auto" w:fill="auto"/>
            <w:vAlign w:val="center"/>
            <w:hideMark/>
          </w:tcPr>
          <w:p w14:paraId="63A93A1B" w14:textId="67B8DE8B" w:rsidR="004B564D" w:rsidRPr="00D92E20" w:rsidRDefault="004B564D" w:rsidP="0050059C">
            <w:pPr>
              <w:spacing w:after="0" w:line="240" w:lineRule="auto"/>
              <w:jc w:val="right"/>
              <w:rPr>
                <w:rFonts w:cs="Arial"/>
                <w:color w:val="000000"/>
                <w:sz w:val="16"/>
                <w:szCs w:val="16"/>
              </w:rPr>
            </w:pPr>
            <w:r>
              <w:rPr>
                <w:rFonts w:cs="Arial"/>
                <w:sz w:val="16"/>
                <w:szCs w:val="16"/>
              </w:rPr>
              <w:t>2 477</w:t>
            </w:r>
          </w:p>
        </w:tc>
        <w:tc>
          <w:tcPr>
            <w:tcW w:w="709" w:type="dxa"/>
            <w:tcBorders>
              <w:top w:val="nil"/>
              <w:left w:val="nil"/>
              <w:bottom w:val="nil"/>
              <w:right w:val="nil"/>
            </w:tcBorders>
            <w:shd w:val="clear" w:color="auto" w:fill="auto"/>
            <w:vAlign w:val="center"/>
            <w:hideMark/>
          </w:tcPr>
          <w:p w14:paraId="6E26FF10" w14:textId="09469E97" w:rsidR="004B564D" w:rsidRPr="00D92E20" w:rsidRDefault="004B564D" w:rsidP="0050059C">
            <w:pPr>
              <w:spacing w:after="0" w:line="240" w:lineRule="auto"/>
              <w:jc w:val="right"/>
              <w:rPr>
                <w:rFonts w:cs="Arial"/>
                <w:color w:val="000000"/>
                <w:sz w:val="16"/>
                <w:szCs w:val="16"/>
              </w:rPr>
            </w:pPr>
            <w:r>
              <w:rPr>
                <w:rFonts w:cs="Arial"/>
                <w:sz w:val="16"/>
                <w:szCs w:val="16"/>
              </w:rPr>
              <w:t>1 667</w:t>
            </w:r>
          </w:p>
        </w:tc>
      </w:tr>
      <w:tr w:rsidR="004B564D" w:rsidRPr="00D92E20" w14:paraId="24C88A49"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F577F76" w14:textId="18A0DA13" w:rsidR="004B564D" w:rsidRPr="00D92E20" w:rsidRDefault="004B564D" w:rsidP="004B564D">
            <w:pPr>
              <w:spacing w:after="0" w:line="240" w:lineRule="auto"/>
              <w:jc w:val="center"/>
              <w:rPr>
                <w:rFonts w:cs="Arial"/>
                <w:color w:val="000000"/>
                <w:sz w:val="16"/>
                <w:szCs w:val="16"/>
              </w:rPr>
            </w:pPr>
            <w:r>
              <w:rPr>
                <w:rFonts w:cs="Arial"/>
                <w:sz w:val="16"/>
                <w:szCs w:val="16"/>
              </w:rPr>
              <w:t>1. pol. 2019</w:t>
            </w:r>
          </w:p>
        </w:tc>
        <w:tc>
          <w:tcPr>
            <w:tcW w:w="711" w:type="dxa"/>
            <w:tcBorders>
              <w:top w:val="nil"/>
              <w:left w:val="nil"/>
              <w:bottom w:val="nil"/>
              <w:right w:val="nil"/>
            </w:tcBorders>
            <w:shd w:val="clear" w:color="auto" w:fill="auto"/>
            <w:vAlign w:val="center"/>
            <w:hideMark/>
          </w:tcPr>
          <w:p w14:paraId="1AC1A5CA" w14:textId="059B5CBB" w:rsidR="004B564D" w:rsidRPr="00D92E20" w:rsidRDefault="004B564D" w:rsidP="0050059C">
            <w:pPr>
              <w:spacing w:after="0" w:line="240" w:lineRule="auto"/>
              <w:jc w:val="right"/>
              <w:rPr>
                <w:rFonts w:cs="Arial"/>
                <w:color w:val="000000"/>
                <w:sz w:val="16"/>
                <w:szCs w:val="16"/>
              </w:rPr>
            </w:pPr>
            <w:r>
              <w:rPr>
                <w:rFonts w:cs="Arial"/>
                <w:sz w:val="16"/>
                <w:szCs w:val="16"/>
              </w:rPr>
              <w:t>41 578</w:t>
            </w:r>
          </w:p>
        </w:tc>
        <w:tc>
          <w:tcPr>
            <w:tcW w:w="703" w:type="dxa"/>
            <w:tcBorders>
              <w:top w:val="nil"/>
              <w:left w:val="nil"/>
              <w:bottom w:val="nil"/>
              <w:right w:val="nil"/>
            </w:tcBorders>
            <w:shd w:val="clear" w:color="auto" w:fill="auto"/>
            <w:vAlign w:val="center"/>
            <w:hideMark/>
          </w:tcPr>
          <w:p w14:paraId="1201FAA5" w14:textId="439DEF4C" w:rsidR="004B564D" w:rsidRPr="00D92E20" w:rsidRDefault="004B564D" w:rsidP="0050059C">
            <w:pPr>
              <w:spacing w:after="0" w:line="240" w:lineRule="auto"/>
              <w:jc w:val="right"/>
              <w:rPr>
                <w:rFonts w:cs="Arial"/>
                <w:color w:val="000000"/>
                <w:sz w:val="16"/>
                <w:szCs w:val="16"/>
              </w:rPr>
            </w:pPr>
            <w:r>
              <w:rPr>
                <w:rFonts w:cs="Arial"/>
                <w:sz w:val="16"/>
                <w:szCs w:val="16"/>
              </w:rPr>
              <w:t>18 828</w:t>
            </w:r>
          </w:p>
        </w:tc>
        <w:tc>
          <w:tcPr>
            <w:tcW w:w="704" w:type="dxa"/>
            <w:tcBorders>
              <w:top w:val="nil"/>
              <w:left w:val="nil"/>
              <w:bottom w:val="nil"/>
              <w:right w:val="nil"/>
            </w:tcBorders>
            <w:shd w:val="clear" w:color="auto" w:fill="auto"/>
            <w:vAlign w:val="center"/>
            <w:hideMark/>
          </w:tcPr>
          <w:p w14:paraId="70F9519F" w14:textId="0DFD96FC" w:rsidR="004B564D" w:rsidRPr="00D92E20" w:rsidRDefault="004B564D" w:rsidP="0050059C">
            <w:pPr>
              <w:spacing w:after="0" w:line="240" w:lineRule="auto"/>
              <w:jc w:val="right"/>
              <w:rPr>
                <w:rFonts w:cs="Arial"/>
                <w:color w:val="000000"/>
                <w:sz w:val="16"/>
                <w:szCs w:val="16"/>
              </w:rPr>
            </w:pPr>
            <w:r>
              <w:rPr>
                <w:rFonts w:cs="Arial"/>
                <w:sz w:val="16"/>
                <w:szCs w:val="16"/>
              </w:rPr>
              <w:t>22 750</w:t>
            </w:r>
          </w:p>
        </w:tc>
        <w:tc>
          <w:tcPr>
            <w:tcW w:w="707" w:type="dxa"/>
            <w:tcBorders>
              <w:top w:val="nil"/>
              <w:left w:val="single" w:sz="4" w:space="0" w:color="auto"/>
              <w:bottom w:val="nil"/>
              <w:right w:val="nil"/>
            </w:tcBorders>
            <w:shd w:val="clear" w:color="auto" w:fill="auto"/>
            <w:vAlign w:val="center"/>
            <w:hideMark/>
          </w:tcPr>
          <w:p w14:paraId="27BD3E1E" w14:textId="1B720FFD" w:rsidR="004B564D" w:rsidRPr="00D92E20" w:rsidRDefault="004B564D" w:rsidP="0050059C">
            <w:pPr>
              <w:spacing w:after="0" w:line="240" w:lineRule="auto"/>
              <w:jc w:val="right"/>
              <w:rPr>
                <w:rFonts w:cs="Arial"/>
                <w:color w:val="000000"/>
                <w:sz w:val="16"/>
                <w:szCs w:val="16"/>
              </w:rPr>
            </w:pPr>
            <w:r>
              <w:rPr>
                <w:rFonts w:cs="Arial"/>
                <w:sz w:val="16"/>
                <w:szCs w:val="16"/>
              </w:rPr>
              <w:t>35 860</w:t>
            </w:r>
          </w:p>
        </w:tc>
        <w:tc>
          <w:tcPr>
            <w:tcW w:w="704" w:type="dxa"/>
            <w:tcBorders>
              <w:top w:val="nil"/>
              <w:left w:val="nil"/>
              <w:bottom w:val="nil"/>
              <w:right w:val="nil"/>
            </w:tcBorders>
            <w:shd w:val="clear" w:color="auto" w:fill="auto"/>
            <w:vAlign w:val="center"/>
            <w:hideMark/>
          </w:tcPr>
          <w:p w14:paraId="2204DA65" w14:textId="72ACB4CA" w:rsidR="004B564D" w:rsidRPr="00D92E20" w:rsidRDefault="004B564D" w:rsidP="0050059C">
            <w:pPr>
              <w:spacing w:after="0" w:line="240" w:lineRule="auto"/>
              <w:jc w:val="right"/>
              <w:rPr>
                <w:rFonts w:cs="Arial"/>
                <w:color w:val="000000"/>
                <w:sz w:val="16"/>
                <w:szCs w:val="16"/>
              </w:rPr>
            </w:pPr>
            <w:r>
              <w:rPr>
                <w:rFonts w:cs="Arial"/>
                <w:sz w:val="16"/>
                <w:szCs w:val="16"/>
              </w:rPr>
              <w:t>15 325</w:t>
            </w:r>
          </w:p>
        </w:tc>
        <w:tc>
          <w:tcPr>
            <w:tcW w:w="704" w:type="dxa"/>
            <w:tcBorders>
              <w:top w:val="nil"/>
              <w:left w:val="nil"/>
              <w:bottom w:val="nil"/>
              <w:right w:val="single" w:sz="4" w:space="0" w:color="auto"/>
            </w:tcBorders>
            <w:shd w:val="clear" w:color="auto" w:fill="auto"/>
            <w:vAlign w:val="center"/>
            <w:hideMark/>
          </w:tcPr>
          <w:p w14:paraId="2F3B11D6" w14:textId="3A6EE100" w:rsidR="004B564D" w:rsidRPr="00D92E20" w:rsidRDefault="004B564D" w:rsidP="0050059C">
            <w:pPr>
              <w:spacing w:after="0" w:line="240" w:lineRule="auto"/>
              <w:jc w:val="right"/>
              <w:rPr>
                <w:rFonts w:cs="Arial"/>
                <w:color w:val="000000"/>
                <w:sz w:val="16"/>
                <w:szCs w:val="16"/>
              </w:rPr>
            </w:pPr>
            <w:r>
              <w:rPr>
                <w:rFonts w:cs="Arial"/>
                <w:sz w:val="16"/>
                <w:szCs w:val="16"/>
              </w:rPr>
              <w:t>20 536</w:t>
            </w:r>
          </w:p>
        </w:tc>
        <w:tc>
          <w:tcPr>
            <w:tcW w:w="754" w:type="dxa"/>
            <w:tcBorders>
              <w:top w:val="nil"/>
              <w:left w:val="nil"/>
              <w:bottom w:val="nil"/>
              <w:right w:val="nil"/>
            </w:tcBorders>
            <w:shd w:val="clear" w:color="auto" w:fill="auto"/>
            <w:vAlign w:val="center"/>
            <w:hideMark/>
          </w:tcPr>
          <w:p w14:paraId="0827FA9D" w14:textId="6FA49108" w:rsidR="004B564D" w:rsidRPr="00D92E20" w:rsidRDefault="004B564D" w:rsidP="0050059C">
            <w:pPr>
              <w:spacing w:after="0" w:line="240" w:lineRule="auto"/>
              <w:jc w:val="right"/>
              <w:rPr>
                <w:rFonts w:cs="Arial"/>
                <w:color w:val="000000"/>
                <w:sz w:val="16"/>
                <w:szCs w:val="16"/>
              </w:rPr>
            </w:pPr>
            <w:r>
              <w:rPr>
                <w:rFonts w:cs="Arial"/>
                <w:sz w:val="16"/>
                <w:szCs w:val="16"/>
              </w:rPr>
              <w:t>1 325</w:t>
            </w:r>
          </w:p>
        </w:tc>
        <w:tc>
          <w:tcPr>
            <w:tcW w:w="709" w:type="dxa"/>
            <w:tcBorders>
              <w:top w:val="nil"/>
              <w:left w:val="nil"/>
              <w:bottom w:val="nil"/>
              <w:right w:val="nil"/>
            </w:tcBorders>
            <w:shd w:val="clear" w:color="auto" w:fill="auto"/>
            <w:vAlign w:val="center"/>
            <w:hideMark/>
          </w:tcPr>
          <w:p w14:paraId="00C61189" w14:textId="5CC73544" w:rsidR="004B564D" w:rsidRPr="00D92E20" w:rsidRDefault="004B564D" w:rsidP="0050059C">
            <w:pPr>
              <w:spacing w:after="0" w:line="240" w:lineRule="auto"/>
              <w:jc w:val="right"/>
              <w:rPr>
                <w:rFonts w:cs="Arial"/>
                <w:color w:val="000000"/>
                <w:sz w:val="16"/>
                <w:szCs w:val="16"/>
              </w:rPr>
            </w:pPr>
            <w:r>
              <w:rPr>
                <w:rFonts w:cs="Arial"/>
                <w:sz w:val="16"/>
                <w:szCs w:val="16"/>
              </w:rPr>
              <w:t>888</w:t>
            </w:r>
          </w:p>
        </w:tc>
        <w:tc>
          <w:tcPr>
            <w:tcW w:w="709" w:type="dxa"/>
            <w:tcBorders>
              <w:top w:val="nil"/>
              <w:left w:val="nil"/>
              <w:bottom w:val="nil"/>
              <w:right w:val="single" w:sz="4" w:space="0" w:color="auto"/>
            </w:tcBorders>
            <w:shd w:val="clear" w:color="auto" w:fill="auto"/>
            <w:vAlign w:val="center"/>
            <w:hideMark/>
          </w:tcPr>
          <w:p w14:paraId="499B6699" w14:textId="5520F2AC" w:rsidR="004B564D" w:rsidRPr="00D92E20" w:rsidRDefault="004B564D" w:rsidP="0050059C">
            <w:pPr>
              <w:spacing w:after="0" w:line="240" w:lineRule="auto"/>
              <w:jc w:val="right"/>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vAlign w:val="center"/>
            <w:hideMark/>
          </w:tcPr>
          <w:p w14:paraId="69BBCD67" w14:textId="6F041A4F" w:rsidR="004B564D" w:rsidRPr="00D92E20" w:rsidRDefault="004B564D" w:rsidP="0050059C">
            <w:pPr>
              <w:spacing w:after="0" w:line="240" w:lineRule="auto"/>
              <w:jc w:val="right"/>
              <w:rPr>
                <w:rFonts w:cs="Arial"/>
                <w:color w:val="000000"/>
                <w:sz w:val="16"/>
                <w:szCs w:val="16"/>
              </w:rPr>
            </w:pPr>
            <w:r>
              <w:rPr>
                <w:rFonts w:cs="Arial"/>
                <w:sz w:val="16"/>
                <w:szCs w:val="16"/>
              </w:rPr>
              <w:t>4 392</w:t>
            </w:r>
          </w:p>
        </w:tc>
        <w:tc>
          <w:tcPr>
            <w:tcW w:w="709" w:type="dxa"/>
            <w:tcBorders>
              <w:top w:val="nil"/>
              <w:left w:val="nil"/>
              <w:bottom w:val="nil"/>
              <w:right w:val="nil"/>
            </w:tcBorders>
            <w:shd w:val="clear" w:color="auto" w:fill="auto"/>
            <w:vAlign w:val="center"/>
            <w:hideMark/>
          </w:tcPr>
          <w:p w14:paraId="64C3DB35" w14:textId="378F3841" w:rsidR="004B564D" w:rsidRPr="00D92E20" w:rsidRDefault="004B564D" w:rsidP="0050059C">
            <w:pPr>
              <w:spacing w:after="0" w:line="240" w:lineRule="auto"/>
              <w:jc w:val="right"/>
              <w:rPr>
                <w:rFonts w:cs="Arial"/>
                <w:color w:val="000000"/>
                <w:sz w:val="16"/>
                <w:szCs w:val="16"/>
              </w:rPr>
            </w:pPr>
            <w:r>
              <w:rPr>
                <w:rFonts w:cs="Arial"/>
                <w:sz w:val="16"/>
                <w:szCs w:val="16"/>
              </w:rPr>
              <w:t>2 615</w:t>
            </w:r>
          </w:p>
        </w:tc>
        <w:tc>
          <w:tcPr>
            <w:tcW w:w="709" w:type="dxa"/>
            <w:tcBorders>
              <w:top w:val="nil"/>
              <w:left w:val="nil"/>
              <w:bottom w:val="nil"/>
              <w:right w:val="nil"/>
            </w:tcBorders>
            <w:shd w:val="clear" w:color="auto" w:fill="auto"/>
            <w:vAlign w:val="center"/>
            <w:hideMark/>
          </w:tcPr>
          <w:p w14:paraId="48BD6495" w14:textId="71E996E7" w:rsidR="004B564D" w:rsidRPr="00D92E20" w:rsidRDefault="004B564D" w:rsidP="0050059C">
            <w:pPr>
              <w:spacing w:after="0" w:line="240" w:lineRule="auto"/>
              <w:jc w:val="right"/>
              <w:rPr>
                <w:rFonts w:cs="Arial"/>
                <w:color w:val="000000"/>
                <w:sz w:val="16"/>
                <w:szCs w:val="16"/>
              </w:rPr>
            </w:pPr>
            <w:r>
              <w:rPr>
                <w:rFonts w:cs="Arial"/>
                <w:sz w:val="16"/>
                <w:szCs w:val="16"/>
              </w:rPr>
              <w:t>1 777</w:t>
            </w:r>
          </w:p>
        </w:tc>
      </w:tr>
      <w:tr w:rsidR="004B564D" w:rsidRPr="00D92E20" w14:paraId="0F30FE5A"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3C6DEA69" w14:textId="7DB4CAAA" w:rsidR="004B564D" w:rsidRPr="00D92E20" w:rsidRDefault="004B564D" w:rsidP="004B564D">
            <w:pPr>
              <w:spacing w:after="0" w:line="240" w:lineRule="auto"/>
              <w:jc w:val="center"/>
              <w:rPr>
                <w:rFonts w:cs="Arial"/>
                <w:color w:val="000000"/>
                <w:sz w:val="16"/>
                <w:szCs w:val="16"/>
              </w:rPr>
            </w:pPr>
            <w:r>
              <w:rPr>
                <w:rFonts w:cs="Arial"/>
                <w:sz w:val="16"/>
                <w:szCs w:val="16"/>
              </w:rPr>
              <w:t>1. pol. 2020</w:t>
            </w:r>
          </w:p>
        </w:tc>
        <w:tc>
          <w:tcPr>
            <w:tcW w:w="711" w:type="dxa"/>
            <w:tcBorders>
              <w:top w:val="nil"/>
              <w:left w:val="nil"/>
              <w:bottom w:val="nil"/>
              <w:right w:val="nil"/>
            </w:tcBorders>
            <w:shd w:val="clear" w:color="auto" w:fill="auto"/>
            <w:vAlign w:val="center"/>
            <w:hideMark/>
          </w:tcPr>
          <w:p w14:paraId="5FC69A74" w14:textId="59AC11CE" w:rsidR="004B564D" w:rsidRPr="00D92E20" w:rsidRDefault="004B564D" w:rsidP="0050059C">
            <w:pPr>
              <w:spacing w:after="0" w:line="240" w:lineRule="auto"/>
              <w:jc w:val="right"/>
              <w:rPr>
                <w:rFonts w:cs="Arial"/>
                <w:color w:val="000000"/>
                <w:sz w:val="16"/>
                <w:szCs w:val="16"/>
              </w:rPr>
            </w:pPr>
            <w:r>
              <w:rPr>
                <w:rFonts w:cs="Arial"/>
                <w:sz w:val="16"/>
                <w:szCs w:val="16"/>
              </w:rPr>
              <w:t>47 402</w:t>
            </w:r>
          </w:p>
        </w:tc>
        <w:tc>
          <w:tcPr>
            <w:tcW w:w="703" w:type="dxa"/>
            <w:tcBorders>
              <w:top w:val="nil"/>
              <w:left w:val="nil"/>
              <w:bottom w:val="nil"/>
              <w:right w:val="nil"/>
            </w:tcBorders>
            <w:shd w:val="clear" w:color="auto" w:fill="auto"/>
            <w:vAlign w:val="center"/>
            <w:hideMark/>
          </w:tcPr>
          <w:p w14:paraId="61204BF3" w14:textId="18F5F8E4" w:rsidR="004B564D" w:rsidRPr="00D92E20" w:rsidRDefault="004B564D" w:rsidP="0050059C">
            <w:pPr>
              <w:spacing w:after="0" w:line="240" w:lineRule="auto"/>
              <w:jc w:val="right"/>
              <w:rPr>
                <w:rFonts w:cs="Arial"/>
                <w:color w:val="000000"/>
                <w:sz w:val="16"/>
                <w:szCs w:val="16"/>
              </w:rPr>
            </w:pPr>
            <w:r>
              <w:rPr>
                <w:rFonts w:cs="Arial"/>
                <w:sz w:val="16"/>
                <w:szCs w:val="16"/>
              </w:rPr>
              <w:t>21 697</w:t>
            </w:r>
          </w:p>
        </w:tc>
        <w:tc>
          <w:tcPr>
            <w:tcW w:w="704" w:type="dxa"/>
            <w:tcBorders>
              <w:top w:val="nil"/>
              <w:left w:val="nil"/>
              <w:bottom w:val="nil"/>
              <w:right w:val="nil"/>
            </w:tcBorders>
            <w:shd w:val="clear" w:color="auto" w:fill="auto"/>
            <w:vAlign w:val="center"/>
            <w:hideMark/>
          </w:tcPr>
          <w:p w14:paraId="2F0E9420" w14:textId="2A61B377" w:rsidR="004B564D" w:rsidRPr="00D92E20" w:rsidRDefault="004B564D" w:rsidP="0050059C">
            <w:pPr>
              <w:spacing w:after="0" w:line="240" w:lineRule="auto"/>
              <w:jc w:val="right"/>
              <w:rPr>
                <w:rFonts w:cs="Arial"/>
                <w:color w:val="000000"/>
                <w:sz w:val="16"/>
                <w:szCs w:val="16"/>
              </w:rPr>
            </w:pPr>
            <w:r>
              <w:rPr>
                <w:rFonts w:cs="Arial"/>
                <w:sz w:val="16"/>
                <w:szCs w:val="16"/>
              </w:rPr>
              <w:t>25 705</w:t>
            </w:r>
          </w:p>
        </w:tc>
        <w:tc>
          <w:tcPr>
            <w:tcW w:w="707" w:type="dxa"/>
            <w:tcBorders>
              <w:top w:val="nil"/>
              <w:left w:val="single" w:sz="4" w:space="0" w:color="auto"/>
              <w:bottom w:val="nil"/>
              <w:right w:val="nil"/>
            </w:tcBorders>
            <w:shd w:val="clear" w:color="auto" w:fill="auto"/>
            <w:vAlign w:val="center"/>
            <w:hideMark/>
          </w:tcPr>
          <w:p w14:paraId="5D556A36" w14:textId="75905ECA" w:rsidR="004B564D" w:rsidRPr="00D92E20" w:rsidRDefault="004B564D" w:rsidP="0050059C">
            <w:pPr>
              <w:spacing w:after="0" w:line="240" w:lineRule="auto"/>
              <w:jc w:val="right"/>
              <w:rPr>
                <w:rFonts w:cs="Arial"/>
                <w:color w:val="000000"/>
                <w:sz w:val="16"/>
                <w:szCs w:val="16"/>
              </w:rPr>
            </w:pPr>
            <w:r>
              <w:rPr>
                <w:rFonts w:cs="Arial"/>
                <w:sz w:val="16"/>
                <w:szCs w:val="16"/>
              </w:rPr>
              <w:t>41 551</w:t>
            </w:r>
          </w:p>
        </w:tc>
        <w:tc>
          <w:tcPr>
            <w:tcW w:w="704" w:type="dxa"/>
            <w:tcBorders>
              <w:top w:val="nil"/>
              <w:left w:val="nil"/>
              <w:bottom w:val="nil"/>
              <w:right w:val="nil"/>
            </w:tcBorders>
            <w:shd w:val="clear" w:color="auto" w:fill="auto"/>
            <w:vAlign w:val="center"/>
            <w:hideMark/>
          </w:tcPr>
          <w:p w14:paraId="30D88A9C" w14:textId="6A49A8AD" w:rsidR="004B564D" w:rsidRPr="00D92E20" w:rsidRDefault="004B564D" w:rsidP="0050059C">
            <w:pPr>
              <w:spacing w:after="0" w:line="240" w:lineRule="auto"/>
              <w:jc w:val="right"/>
              <w:rPr>
                <w:rFonts w:cs="Arial"/>
                <w:color w:val="000000"/>
                <w:sz w:val="16"/>
                <w:szCs w:val="16"/>
              </w:rPr>
            </w:pPr>
            <w:r>
              <w:rPr>
                <w:rFonts w:cs="Arial"/>
                <w:sz w:val="16"/>
                <w:szCs w:val="16"/>
              </w:rPr>
              <w:t>18 098</w:t>
            </w:r>
          </w:p>
        </w:tc>
        <w:tc>
          <w:tcPr>
            <w:tcW w:w="704" w:type="dxa"/>
            <w:tcBorders>
              <w:top w:val="nil"/>
              <w:left w:val="nil"/>
              <w:bottom w:val="nil"/>
              <w:right w:val="single" w:sz="4" w:space="0" w:color="auto"/>
            </w:tcBorders>
            <w:shd w:val="clear" w:color="auto" w:fill="auto"/>
            <w:vAlign w:val="center"/>
            <w:hideMark/>
          </w:tcPr>
          <w:p w14:paraId="7E4A5936" w14:textId="6B9FAC81" w:rsidR="004B564D" w:rsidRPr="00D92E20" w:rsidRDefault="004B564D" w:rsidP="0050059C">
            <w:pPr>
              <w:spacing w:after="0" w:line="240" w:lineRule="auto"/>
              <w:jc w:val="right"/>
              <w:rPr>
                <w:rFonts w:cs="Arial"/>
                <w:color w:val="000000"/>
                <w:sz w:val="16"/>
                <w:szCs w:val="16"/>
              </w:rPr>
            </w:pPr>
            <w:r>
              <w:rPr>
                <w:rFonts w:cs="Arial"/>
                <w:sz w:val="16"/>
                <w:szCs w:val="16"/>
              </w:rPr>
              <w:t>23 453</w:t>
            </w:r>
          </w:p>
        </w:tc>
        <w:tc>
          <w:tcPr>
            <w:tcW w:w="754" w:type="dxa"/>
            <w:tcBorders>
              <w:top w:val="nil"/>
              <w:left w:val="nil"/>
              <w:bottom w:val="nil"/>
              <w:right w:val="nil"/>
            </w:tcBorders>
            <w:shd w:val="clear" w:color="auto" w:fill="auto"/>
            <w:vAlign w:val="center"/>
            <w:hideMark/>
          </w:tcPr>
          <w:p w14:paraId="054D64F5" w14:textId="782DF1D9" w:rsidR="004B564D" w:rsidRPr="00D92E20" w:rsidRDefault="004B564D" w:rsidP="0050059C">
            <w:pPr>
              <w:spacing w:after="0" w:line="240" w:lineRule="auto"/>
              <w:jc w:val="right"/>
              <w:rPr>
                <w:rFonts w:cs="Arial"/>
                <w:color w:val="000000"/>
                <w:sz w:val="16"/>
                <w:szCs w:val="16"/>
              </w:rPr>
            </w:pPr>
            <w:r>
              <w:rPr>
                <w:rFonts w:cs="Arial"/>
                <w:sz w:val="16"/>
                <w:szCs w:val="16"/>
              </w:rPr>
              <w:t>1 285</w:t>
            </w:r>
          </w:p>
        </w:tc>
        <w:tc>
          <w:tcPr>
            <w:tcW w:w="709" w:type="dxa"/>
            <w:tcBorders>
              <w:top w:val="nil"/>
              <w:left w:val="nil"/>
              <w:bottom w:val="nil"/>
              <w:right w:val="nil"/>
            </w:tcBorders>
            <w:shd w:val="clear" w:color="auto" w:fill="auto"/>
            <w:vAlign w:val="center"/>
            <w:hideMark/>
          </w:tcPr>
          <w:p w14:paraId="0526B3B2" w14:textId="5296D21E" w:rsidR="004B564D" w:rsidRPr="00D92E20" w:rsidRDefault="004B564D" w:rsidP="0050059C">
            <w:pPr>
              <w:spacing w:after="0" w:line="240" w:lineRule="auto"/>
              <w:jc w:val="right"/>
              <w:rPr>
                <w:rFonts w:cs="Arial"/>
                <w:color w:val="000000"/>
                <w:sz w:val="16"/>
                <w:szCs w:val="16"/>
              </w:rPr>
            </w:pPr>
            <w:r>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38C858FB" w14:textId="624BA638" w:rsidR="004B564D" w:rsidRPr="00D92E20" w:rsidRDefault="004B564D" w:rsidP="0050059C">
            <w:pPr>
              <w:spacing w:after="0" w:line="240" w:lineRule="auto"/>
              <w:jc w:val="right"/>
              <w:rPr>
                <w:rFonts w:cs="Arial"/>
                <w:color w:val="000000"/>
                <w:sz w:val="16"/>
                <w:szCs w:val="16"/>
              </w:rPr>
            </w:pPr>
            <w:r>
              <w:rPr>
                <w:rFonts w:cs="Arial"/>
                <w:sz w:val="16"/>
                <w:szCs w:val="16"/>
              </w:rPr>
              <w:t>409</w:t>
            </w:r>
          </w:p>
        </w:tc>
        <w:tc>
          <w:tcPr>
            <w:tcW w:w="709" w:type="dxa"/>
            <w:tcBorders>
              <w:top w:val="nil"/>
              <w:left w:val="nil"/>
              <w:bottom w:val="nil"/>
              <w:right w:val="nil"/>
            </w:tcBorders>
            <w:shd w:val="clear" w:color="auto" w:fill="auto"/>
            <w:vAlign w:val="center"/>
            <w:hideMark/>
          </w:tcPr>
          <w:p w14:paraId="790A5A30" w14:textId="7D11D4CA" w:rsidR="004B564D" w:rsidRPr="00D92E20" w:rsidRDefault="004B564D" w:rsidP="0050059C">
            <w:pPr>
              <w:spacing w:after="0" w:line="240" w:lineRule="auto"/>
              <w:jc w:val="right"/>
              <w:rPr>
                <w:rFonts w:cs="Arial"/>
                <w:color w:val="000000"/>
                <w:sz w:val="16"/>
                <w:szCs w:val="16"/>
              </w:rPr>
            </w:pPr>
            <w:r>
              <w:rPr>
                <w:rFonts w:cs="Arial"/>
                <w:sz w:val="16"/>
                <w:szCs w:val="16"/>
              </w:rPr>
              <w:t>4 565</w:t>
            </w:r>
          </w:p>
        </w:tc>
        <w:tc>
          <w:tcPr>
            <w:tcW w:w="709" w:type="dxa"/>
            <w:tcBorders>
              <w:top w:val="nil"/>
              <w:left w:val="nil"/>
              <w:bottom w:val="nil"/>
              <w:right w:val="nil"/>
            </w:tcBorders>
            <w:shd w:val="clear" w:color="auto" w:fill="auto"/>
            <w:vAlign w:val="center"/>
            <w:hideMark/>
          </w:tcPr>
          <w:p w14:paraId="1D32EECE" w14:textId="6F54C8F6" w:rsidR="004B564D" w:rsidRPr="00D92E20" w:rsidRDefault="004B564D" w:rsidP="0050059C">
            <w:pPr>
              <w:spacing w:after="0" w:line="240" w:lineRule="auto"/>
              <w:jc w:val="right"/>
              <w:rPr>
                <w:rFonts w:cs="Arial"/>
                <w:color w:val="000000"/>
                <w:sz w:val="16"/>
                <w:szCs w:val="16"/>
              </w:rPr>
            </w:pPr>
            <w:r>
              <w:rPr>
                <w:rFonts w:cs="Arial"/>
                <w:sz w:val="16"/>
                <w:szCs w:val="16"/>
              </w:rPr>
              <w:t>2 723</w:t>
            </w:r>
          </w:p>
        </w:tc>
        <w:tc>
          <w:tcPr>
            <w:tcW w:w="709" w:type="dxa"/>
            <w:tcBorders>
              <w:top w:val="nil"/>
              <w:left w:val="nil"/>
              <w:bottom w:val="nil"/>
              <w:right w:val="nil"/>
            </w:tcBorders>
            <w:shd w:val="clear" w:color="auto" w:fill="auto"/>
            <w:vAlign w:val="center"/>
            <w:hideMark/>
          </w:tcPr>
          <w:p w14:paraId="460028FB" w14:textId="1839528D" w:rsidR="004B564D" w:rsidRPr="00D92E20" w:rsidRDefault="004B564D" w:rsidP="0050059C">
            <w:pPr>
              <w:spacing w:after="0" w:line="240" w:lineRule="auto"/>
              <w:jc w:val="right"/>
              <w:rPr>
                <w:rFonts w:cs="Arial"/>
                <w:color w:val="000000"/>
                <w:sz w:val="16"/>
                <w:szCs w:val="16"/>
              </w:rPr>
            </w:pPr>
            <w:r>
              <w:rPr>
                <w:rFonts w:cs="Arial"/>
                <w:sz w:val="16"/>
                <w:szCs w:val="16"/>
              </w:rPr>
              <w:t>1 843</w:t>
            </w:r>
          </w:p>
        </w:tc>
      </w:tr>
      <w:tr w:rsidR="004B564D" w:rsidRPr="00D92E20" w14:paraId="362816CD" w14:textId="77777777" w:rsidTr="0050059C">
        <w:trPr>
          <w:trHeight w:val="300"/>
        </w:trPr>
        <w:tc>
          <w:tcPr>
            <w:tcW w:w="1010" w:type="dxa"/>
            <w:tcBorders>
              <w:top w:val="nil"/>
              <w:left w:val="nil"/>
              <w:bottom w:val="nil"/>
              <w:right w:val="single" w:sz="4" w:space="0" w:color="auto"/>
            </w:tcBorders>
            <w:shd w:val="clear" w:color="auto" w:fill="auto"/>
            <w:vAlign w:val="center"/>
            <w:hideMark/>
          </w:tcPr>
          <w:p w14:paraId="659A7C03" w14:textId="0D6D5E31" w:rsidR="004B564D" w:rsidRPr="00D92E20" w:rsidRDefault="004B564D" w:rsidP="004B564D">
            <w:pPr>
              <w:spacing w:after="0" w:line="240" w:lineRule="auto"/>
              <w:jc w:val="center"/>
              <w:rPr>
                <w:rFonts w:cs="Arial"/>
                <w:color w:val="000000"/>
                <w:sz w:val="16"/>
                <w:szCs w:val="16"/>
              </w:rPr>
            </w:pPr>
            <w:r>
              <w:rPr>
                <w:rFonts w:cs="Arial"/>
                <w:sz w:val="16"/>
                <w:szCs w:val="16"/>
              </w:rPr>
              <w:t>1. pol. 2021</w:t>
            </w:r>
          </w:p>
        </w:tc>
        <w:tc>
          <w:tcPr>
            <w:tcW w:w="711" w:type="dxa"/>
            <w:tcBorders>
              <w:top w:val="nil"/>
              <w:left w:val="nil"/>
              <w:bottom w:val="nil"/>
              <w:right w:val="nil"/>
            </w:tcBorders>
            <w:shd w:val="clear" w:color="auto" w:fill="auto"/>
            <w:vAlign w:val="center"/>
            <w:hideMark/>
          </w:tcPr>
          <w:p w14:paraId="72947D91" w14:textId="0135A20A" w:rsidR="004B564D" w:rsidRPr="00D92E20" w:rsidRDefault="004B564D" w:rsidP="0050059C">
            <w:pPr>
              <w:spacing w:after="0" w:line="240" w:lineRule="auto"/>
              <w:jc w:val="right"/>
              <w:rPr>
                <w:rFonts w:cs="Arial"/>
                <w:color w:val="000000"/>
                <w:sz w:val="16"/>
                <w:szCs w:val="16"/>
              </w:rPr>
            </w:pPr>
            <w:r>
              <w:rPr>
                <w:rFonts w:cs="Arial"/>
                <w:sz w:val="16"/>
                <w:szCs w:val="16"/>
              </w:rPr>
              <w:t>50 856</w:t>
            </w:r>
          </w:p>
        </w:tc>
        <w:tc>
          <w:tcPr>
            <w:tcW w:w="703" w:type="dxa"/>
            <w:tcBorders>
              <w:top w:val="nil"/>
              <w:left w:val="nil"/>
              <w:bottom w:val="nil"/>
              <w:right w:val="nil"/>
            </w:tcBorders>
            <w:shd w:val="clear" w:color="auto" w:fill="auto"/>
            <w:vAlign w:val="center"/>
            <w:hideMark/>
          </w:tcPr>
          <w:p w14:paraId="45A214E4" w14:textId="734E2AAE" w:rsidR="004B564D" w:rsidRPr="00D92E20" w:rsidRDefault="004B564D" w:rsidP="0050059C">
            <w:pPr>
              <w:spacing w:after="0" w:line="240" w:lineRule="auto"/>
              <w:jc w:val="right"/>
              <w:rPr>
                <w:rFonts w:cs="Arial"/>
                <w:color w:val="000000"/>
                <w:sz w:val="16"/>
                <w:szCs w:val="16"/>
              </w:rPr>
            </w:pPr>
            <w:r>
              <w:rPr>
                <w:rFonts w:cs="Arial"/>
                <w:sz w:val="16"/>
                <w:szCs w:val="16"/>
              </w:rPr>
              <w:t>23 906</w:t>
            </w:r>
          </w:p>
        </w:tc>
        <w:tc>
          <w:tcPr>
            <w:tcW w:w="704" w:type="dxa"/>
            <w:tcBorders>
              <w:top w:val="nil"/>
              <w:left w:val="nil"/>
              <w:bottom w:val="nil"/>
              <w:right w:val="nil"/>
            </w:tcBorders>
            <w:shd w:val="clear" w:color="auto" w:fill="auto"/>
            <w:vAlign w:val="center"/>
            <w:hideMark/>
          </w:tcPr>
          <w:p w14:paraId="76085A59" w14:textId="5740FCB5" w:rsidR="004B564D" w:rsidRPr="00D92E20" w:rsidRDefault="004B564D" w:rsidP="0050059C">
            <w:pPr>
              <w:spacing w:after="0" w:line="240" w:lineRule="auto"/>
              <w:jc w:val="right"/>
              <w:rPr>
                <w:rFonts w:cs="Arial"/>
                <w:color w:val="000000"/>
                <w:sz w:val="16"/>
                <w:szCs w:val="16"/>
              </w:rPr>
            </w:pPr>
            <w:r>
              <w:rPr>
                <w:rFonts w:cs="Arial"/>
                <w:sz w:val="16"/>
                <w:szCs w:val="16"/>
              </w:rPr>
              <w:t>26 950</w:t>
            </w:r>
          </w:p>
        </w:tc>
        <w:tc>
          <w:tcPr>
            <w:tcW w:w="707" w:type="dxa"/>
            <w:tcBorders>
              <w:top w:val="nil"/>
              <w:left w:val="single" w:sz="4" w:space="0" w:color="auto"/>
              <w:bottom w:val="nil"/>
              <w:right w:val="nil"/>
            </w:tcBorders>
            <w:shd w:val="clear" w:color="auto" w:fill="auto"/>
            <w:vAlign w:val="center"/>
            <w:hideMark/>
          </w:tcPr>
          <w:p w14:paraId="397EFB46" w14:textId="6A6B6A76" w:rsidR="004B564D" w:rsidRPr="00D92E20" w:rsidRDefault="004B564D" w:rsidP="0050059C">
            <w:pPr>
              <w:spacing w:after="0" w:line="240" w:lineRule="auto"/>
              <w:jc w:val="right"/>
              <w:rPr>
                <w:rFonts w:cs="Arial"/>
                <w:color w:val="000000"/>
                <w:sz w:val="16"/>
                <w:szCs w:val="16"/>
              </w:rPr>
            </w:pPr>
            <w:r>
              <w:rPr>
                <w:rFonts w:cs="Arial"/>
                <w:sz w:val="16"/>
                <w:szCs w:val="16"/>
              </w:rPr>
              <w:t>45 205</w:t>
            </w:r>
          </w:p>
        </w:tc>
        <w:tc>
          <w:tcPr>
            <w:tcW w:w="704" w:type="dxa"/>
            <w:tcBorders>
              <w:top w:val="nil"/>
              <w:left w:val="nil"/>
              <w:bottom w:val="nil"/>
              <w:right w:val="nil"/>
            </w:tcBorders>
            <w:shd w:val="clear" w:color="auto" w:fill="auto"/>
            <w:vAlign w:val="center"/>
            <w:hideMark/>
          </w:tcPr>
          <w:p w14:paraId="577A787B" w14:textId="742098B5" w:rsidR="004B564D" w:rsidRPr="00D92E20" w:rsidRDefault="004B564D" w:rsidP="0050059C">
            <w:pPr>
              <w:spacing w:after="0" w:line="240" w:lineRule="auto"/>
              <w:jc w:val="right"/>
              <w:rPr>
                <w:rFonts w:cs="Arial"/>
                <w:color w:val="000000"/>
                <w:sz w:val="16"/>
                <w:szCs w:val="16"/>
              </w:rPr>
            </w:pPr>
            <w:r>
              <w:rPr>
                <w:rFonts w:cs="Arial"/>
                <w:sz w:val="16"/>
                <w:szCs w:val="16"/>
              </w:rPr>
              <w:t>20 513</w:t>
            </w:r>
          </w:p>
        </w:tc>
        <w:tc>
          <w:tcPr>
            <w:tcW w:w="704" w:type="dxa"/>
            <w:tcBorders>
              <w:top w:val="nil"/>
              <w:left w:val="nil"/>
              <w:bottom w:val="nil"/>
              <w:right w:val="single" w:sz="4" w:space="0" w:color="auto"/>
            </w:tcBorders>
            <w:shd w:val="clear" w:color="auto" w:fill="auto"/>
            <w:vAlign w:val="center"/>
            <w:hideMark/>
          </w:tcPr>
          <w:p w14:paraId="106CEE8A" w14:textId="14701545" w:rsidR="004B564D" w:rsidRPr="00D92E20" w:rsidRDefault="004B564D" w:rsidP="0050059C">
            <w:pPr>
              <w:spacing w:after="0" w:line="240" w:lineRule="auto"/>
              <w:jc w:val="right"/>
              <w:rPr>
                <w:rFonts w:cs="Arial"/>
                <w:color w:val="000000"/>
                <w:sz w:val="16"/>
                <w:szCs w:val="16"/>
              </w:rPr>
            </w:pPr>
            <w:r>
              <w:rPr>
                <w:rFonts w:cs="Arial"/>
                <w:sz w:val="16"/>
                <w:szCs w:val="16"/>
              </w:rPr>
              <w:t>24 692</w:t>
            </w:r>
          </w:p>
        </w:tc>
        <w:tc>
          <w:tcPr>
            <w:tcW w:w="754" w:type="dxa"/>
            <w:tcBorders>
              <w:top w:val="nil"/>
              <w:left w:val="nil"/>
              <w:bottom w:val="nil"/>
              <w:right w:val="nil"/>
            </w:tcBorders>
            <w:shd w:val="clear" w:color="auto" w:fill="auto"/>
            <w:vAlign w:val="center"/>
            <w:hideMark/>
          </w:tcPr>
          <w:p w14:paraId="3E07CE2B" w14:textId="5549DBFC" w:rsidR="004B564D" w:rsidRPr="00D92E20" w:rsidRDefault="004B564D" w:rsidP="0050059C">
            <w:pPr>
              <w:spacing w:after="0" w:line="240" w:lineRule="auto"/>
              <w:jc w:val="right"/>
              <w:rPr>
                <w:rFonts w:cs="Arial"/>
                <w:color w:val="000000"/>
                <w:sz w:val="16"/>
                <w:szCs w:val="16"/>
              </w:rPr>
            </w:pPr>
            <w:r>
              <w:rPr>
                <w:rFonts w:cs="Arial"/>
                <w:sz w:val="16"/>
                <w:szCs w:val="16"/>
              </w:rPr>
              <w:t>1 337</w:t>
            </w:r>
          </w:p>
        </w:tc>
        <w:tc>
          <w:tcPr>
            <w:tcW w:w="709" w:type="dxa"/>
            <w:tcBorders>
              <w:top w:val="nil"/>
              <w:left w:val="nil"/>
              <w:bottom w:val="nil"/>
              <w:right w:val="nil"/>
            </w:tcBorders>
            <w:shd w:val="clear" w:color="auto" w:fill="auto"/>
            <w:vAlign w:val="center"/>
            <w:hideMark/>
          </w:tcPr>
          <w:p w14:paraId="4C7D1DA3" w14:textId="648C6BB6" w:rsidR="004B564D" w:rsidRPr="00D92E20" w:rsidRDefault="004B564D" w:rsidP="0050059C">
            <w:pPr>
              <w:spacing w:after="0" w:line="240" w:lineRule="auto"/>
              <w:jc w:val="right"/>
              <w:rPr>
                <w:rFonts w:cs="Arial"/>
                <w:color w:val="000000"/>
                <w:sz w:val="16"/>
                <w:szCs w:val="16"/>
              </w:rPr>
            </w:pPr>
            <w:r>
              <w:rPr>
                <w:rFonts w:cs="Arial"/>
                <w:sz w:val="16"/>
                <w:szCs w:val="16"/>
              </w:rPr>
              <w:t>919</w:t>
            </w:r>
          </w:p>
        </w:tc>
        <w:tc>
          <w:tcPr>
            <w:tcW w:w="709" w:type="dxa"/>
            <w:tcBorders>
              <w:top w:val="nil"/>
              <w:left w:val="nil"/>
              <w:bottom w:val="nil"/>
              <w:right w:val="single" w:sz="4" w:space="0" w:color="auto"/>
            </w:tcBorders>
            <w:shd w:val="clear" w:color="auto" w:fill="auto"/>
            <w:vAlign w:val="center"/>
            <w:hideMark/>
          </w:tcPr>
          <w:p w14:paraId="76E6E422" w14:textId="6047670B" w:rsidR="004B564D" w:rsidRPr="00D92E20" w:rsidRDefault="004B564D" w:rsidP="0050059C">
            <w:pPr>
              <w:spacing w:after="0" w:line="240" w:lineRule="auto"/>
              <w:jc w:val="right"/>
              <w:rPr>
                <w:rFonts w:cs="Arial"/>
                <w:color w:val="000000"/>
                <w:sz w:val="16"/>
                <w:szCs w:val="16"/>
              </w:rPr>
            </w:pPr>
            <w:r>
              <w:rPr>
                <w:rFonts w:cs="Arial"/>
                <w:sz w:val="16"/>
                <w:szCs w:val="16"/>
              </w:rPr>
              <w:t>418</w:t>
            </w:r>
          </w:p>
        </w:tc>
        <w:tc>
          <w:tcPr>
            <w:tcW w:w="709" w:type="dxa"/>
            <w:tcBorders>
              <w:top w:val="nil"/>
              <w:left w:val="nil"/>
              <w:bottom w:val="nil"/>
              <w:right w:val="nil"/>
            </w:tcBorders>
            <w:shd w:val="clear" w:color="auto" w:fill="auto"/>
            <w:vAlign w:val="center"/>
            <w:hideMark/>
          </w:tcPr>
          <w:p w14:paraId="12CAD81A" w14:textId="4225FA38" w:rsidR="004B564D" w:rsidRPr="00D92E20" w:rsidRDefault="004B564D" w:rsidP="0050059C">
            <w:pPr>
              <w:spacing w:after="0" w:line="240" w:lineRule="auto"/>
              <w:jc w:val="right"/>
              <w:rPr>
                <w:rFonts w:cs="Arial"/>
                <w:color w:val="000000"/>
                <w:sz w:val="16"/>
                <w:szCs w:val="16"/>
              </w:rPr>
            </w:pPr>
            <w:r>
              <w:rPr>
                <w:rFonts w:cs="Arial"/>
                <w:sz w:val="16"/>
                <w:szCs w:val="16"/>
              </w:rPr>
              <w:t>4 314</w:t>
            </w:r>
          </w:p>
        </w:tc>
        <w:tc>
          <w:tcPr>
            <w:tcW w:w="709" w:type="dxa"/>
            <w:tcBorders>
              <w:top w:val="nil"/>
              <w:left w:val="nil"/>
              <w:bottom w:val="nil"/>
              <w:right w:val="nil"/>
            </w:tcBorders>
            <w:shd w:val="clear" w:color="auto" w:fill="auto"/>
            <w:vAlign w:val="center"/>
            <w:hideMark/>
          </w:tcPr>
          <w:p w14:paraId="0AD118B8" w14:textId="1903A582" w:rsidR="004B564D" w:rsidRPr="00D92E20" w:rsidRDefault="004B564D" w:rsidP="0050059C">
            <w:pPr>
              <w:spacing w:after="0" w:line="240" w:lineRule="auto"/>
              <w:jc w:val="right"/>
              <w:rPr>
                <w:rFonts w:cs="Arial"/>
                <w:color w:val="000000"/>
                <w:sz w:val="16"/>
                <w:szCs w:val="16"/>
              </w:rPr>
            </w:pPr>
            <w:r>
              <w:rPr>
                <w:rFonts w:cs="Arial"/>
                <w:sz w:val="16"/>
                <w:szCs w:val="16"/>
              </w:rPr>
              <w:t>2 474</w:t>
            </w:r>
          </w:p>
        </w:tc>
        <w:tc>
          <w:tcPr>
            <w:tcW w:w="709" w:type="dxa"/>
            <w:tcBorders>
              <w:top w:val="nil"/>
              <w:left w:val="nil"/>
              <w:bottom w:val="nil"/>
              <w:right w:val="nil"/>
            </w:tcBorders>
            <w:shd w:val="clear" w:color="auto" w:fill="auto"/>
            <w:vAlign w:val="center"/>
            <w:hideMark/>
          </w:tcPr>
          <w:p w14:paraId="12ADF1F6" w14:textId="2C31CFE0" w:rsidR="004B564D" w:rsidRPr="00D92E20" w:rsidRDefault="004B564D" w:rsidP="0050059C">
            <w:pPr>
              <w:spacing w:after="0" w:line="240" w:lineRule="auto"/>
              <w:jc w:val="right"/>
              <w:rPr>
                <w:rFonts w:cs="Arial"/>
                <w:color w:val="000000"/>
                <w:sz w:val="16"/>
                <w:szCs w:val="16"/>
              </w:rPr>
            </w:pPr>
            <w:r>
              <w:rPr>
                <w:rFonts w:cs="Arial"/>
                <w:sz w:val="16"/>
                <w:szCs w:val="16"/>
              </w:rPr>
              <w:t>1 841</w:t>
            </w:r>
          </w:p>
        </w:tc>
      </w:tr>
    </w:tbl>
    <w:p w14:paraId="3AFF854C" w14:textId="77777777" w:rsidR="00461B62" w:rsidRPr="00D92E20" w:rsidRDefault="00461B62" w:rsidP="00BA6B4E">
      <w:pPr>
        <w:spacing w:before="120" w:after="120"/>
        <w:rPr>
          <w:sz w:val="16"/>
        </w:rPr>
      </w:pPr>
      <w:r w:rsidRPr="00D92E20">
        <w:rPr>
          <w:sz w:val="16"/>
        </w:rPr>
        <w:t>Zdroj: ČSÚ</w:t>
      </w:r>
    </w:p>
    <w:p w14:paraId="3F491DC2" w14:textId="52EFB2E2" w:rsidR="003F1873" w:rsidRPr="00D92E20" w:rsidRDefault="00DE263C" w:rsidP="009208D0">
      <w:pPr>
        <w:spacing w:before="120" w:after="120"/>
        <w:jc w:val="both"/>
      </w:pPr>
      <w:r w:rsidRPr="00D92E20">
        <w:t xml:space="preserve">Počet prostonaných dnů v jednotlivých pololetích </w:t>
      </w:r>
      <w:r w:rsidR="00982C1D" w:rsidRPr="00D92E20">
        <w:t>dokresluje tvrzení o značně vyšším počtu nahlášených případů pro nemoc během první poloviny roku.</w:t>
      </w:r>
      <w:r w:rsidRPr="00D92E20">
        <w:t xml:space="preserve"> </w:t>
      </w:r>
      <w:r w:rsidR="00982C1D" w:rsidRPr="00D92E20">
        <w:t>Největší rozdíl mezi 1. a 2. pololetím byl zaznamenán v roce 2017 a činil 4,4 mil. dnů.</w:t>
      </w:r>
      <w:r w:rsidR="000D642E" w:rsidRPr="00D92E20">
        <w:t xml:space="preserve"> Postupně se však snižoval. Ve </w:t>
      </w:r>
      <w:r w:rsidR="00A80D3E">
        <w:t>2.</w:t>
      </w:r>
      <w:r w:rsidR="000D642E" w:rsidRPr="00D92E20">
        <w:t xml:space="preserve"> pololetí roku 2019 se počet dnů v </w:t>
      </w:r>
      <w:r w:rsidR="00705162" w:rsidRPr="00D92E20">
        <w:t>pracovní</w:t>
      </w:r>
      <w:r w:rsidR="000D642E" w:rsidRPr="00D92E20">
        <w:t xml:space="preserve"> neschopnosti zvýšil z důvodu zrušení karenční doby.</w:t>
      </w:r>
      <w:r w:rsidR="00982C1D" w:rsidRPr="00D92E20">
        <w:t xml:space="preserve"> </w:t>
      </w:r>
      <w:r w:rsidR="000D642E" w:rsidRPr="00D92E20">
        <w:t xml:space="preserve">V roce 2020 se počet dnů v pracovní neschopnosti pro nemoc v 1. a 2. pololetí lišil </w:t>
      </w:r>
      <w:r w:rsidR="003F7F34" w:rsidRPr="00D92E20">
        <w:t xml:space="preserve">pouze </w:t>
      </w:r>
      <w:r w:rsidR="000D642E" w:rsidRPr="00D92E20">
        <w:t>o 800 tis. Graf 2.7 dále značí skokový nárůst počtu kalendářních dnů pracovní neschopnosti pro nemoc mezi rok</w:t>
      </w:r>
      <w:r w:rsidR="003F7F34" w:rsidRPr="00D92E20">
        <w:t>em</w:t>
      </w:r>
      <w:r w:rsidR="000D642E" w:rsidRPr="00D92E20">
        <w:t xml:space="preserve"> 2019 a 2020</w:t>
      </w:r>
      <w:r w:rsidR="000A0257">
        <w:t>, který pokračuje i v 1. pol. 2021. Při srovnání 1.</w:t>
      </w:r>
      <w:r w:rsidR="00CD63E8">
        <w:t> </w:t>
      </w:r>
      <w:r w:rsidR="000A0257">
        <w:t>pol. 2021 s 1. pololetími v letech 2018 a 2019, přibylo 10 mil. dnů strávených v dočasné pracovní neschopnosti.</w:t>
      </w:r>
    </w:p>
    <w:p w14:paraId="73077F81" w14:textId="72B2E030" w:rsidR="003F1873" w:rsidRPr="00D92E20" w:rsidRDefault="003F1873" w:rsidP="00BA6B4E">
      <w:pPr>
        <w:spacing w:after="0"/>
        <w:jc w:val="both"/>
        <w:rPr>
          <w:b/>
        </w:rPr>
      </w:pPr>
      <w:r w:rsidRPr="00D92E20">
        <w:rPr>
          <w:b/>
        </w:rPr>
        <w:t xml:space="preserve">Graf 2.7: Kalendářní dny dočasné pracovní neschopnosti pro nemoc, </w:t>
      </w:r>
      <w:r w:rsidR="000A0257" w:rsidRPr="000A0257">
        <w:rPr>
          <w:b/>
        </w:rPr>
        <w:t>2016–1. pol. 2021</w:t>
      </w:r>
    </w:p>
    <w:p w14:paraId="01B36483" w14:textId="08230D14" w:rsidR="003F1873" w:rsidRPr="00D92E20" w:rsidRDefault="000A0257" w:rsidP="00461B62">
      <w:pPr>
        <w:jc w:val="both"/>
      </w:pPr>
      <w:r>
        <w:rPr>
          <w:noProof/>
        </w:rPr>
        <w:drawing>
          <wp:inline distT="0" distB="0" distL="0" distR="0" wp14:anchorId="43B95F3A" wp14:editId="00F1D9C4">
            <wp:extent cx="6116400" cy="2448000"/>
            <wp:effectExtent l="0" t="0" r="1778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3B7C0" w14:textId="77777777" w:rsidR="003F1873" w:rsidRPr="00D92E20" w:rsidRDefault="003F1873" w:rsidP="00BA6B4E">
      <w:pPr>
        <w:spacing w:before="120" w:after="120"/>
        <w:rPr>
          <w:sz w:val="16"/>
        </w:rPr>
      </w:pPr>
      <w:r w:rsidRPr="00D92E20">
        <w:rPr>
          <w:sz w:val="16"/>
        </w:rPr>
        <w:t>Zdroj: ČSÚ</w:t>
      </w:r>
    </w:p>
    <w:p w14:paraId="274D2981" w14:textId="46BC9117" w:rsidR="000D642E" w:rsidRDefault="000D642E" w:rsidP="00BA6B4E">
      <w:pPr>
        <w:spacing w:before="120" w:after="120"/>
        <w:jc w:val="both"/>
      </w:pPr>
      <w:r w:rsidRPr="00D92E20">
        <w:t xml:space="preserve">Při pohledu na relativní ukazatel, který ukazuje, jak dlouho v průměru </w:t>
      </w:r>
      <w:r w:rsidRPr="00D92E20">
        <w:rPr>
          <w:b/>
        </w:rPr>
        <w:t>trval 1 případ pracovní neschopnosti pro nemoc</w:t>
      </w:r>
      <w:r w:rsidRPr="00D92E20">
        <w:t>, zjistíme, že v prvním pololetí roku 2020 se tato doba oproti prvnímu pololetí předchozího roku zvýšila. Z</w:t>
      </w:r>
      <w:r w:rsidR="00767C3C" w:rsidRPr="00D92E20">
        <w:t>e</w:t>
      </w:r>
      <w:r w:rsidRPr="00D92E20">
        <w:t xml:space="preserve"> 41,1 dne na 42,5 dne. Ve druhém pololetí však došlo ke zkrácení ze 40,6 dne v roce 2019 </w:t>
      </w:r>
      <w:r w:rsidRPr="00D92E20">
        <w:lastRenderedPageBreak/>
        <w:t>na</w:t>
      </w:r>
      <w:r w:rsidR="00CD63E8">
        <w:t> </w:t>
      </w:r>
      <w:r w:rsidRPr="00D92E20">
        <w:t>33,2</w:t>
      </w:r>
      <w:r w:rsidR="00B74855">
        <w:t> </w:t>
      </w:r>
      <w:r w:rsidRPr="00D92E20">
        <w:t>v roce 2020. Dá se říci, že přibylo krátkodobých pracovních neschopností z důvodu nemoci</w:t>
      </w:r>
      <w:r w:rsidR="00285F60">
        <w:t>, tedy vč.</w:t>
      </w:r>
      <w:r w:rsidR="00CD63E8">
        <w:t> </w:t>
      </w:r>
      <w:r w:rsidR="00285F60">
        <w:t>neschopenek z důvodu karantén</w:t>
      </w:r>
      <w:r w:rsidRPr="00D92E20">
        <w:t>.</w:t>
      </w:r>
      <w:r w:rsidR="00285F60">
        <w:t xml:space="preserve"> Mezi 1. pol. 2020 a 1. pol. 2021 došlo k poklesu dokonce o 7,7 dnů. Ze 42,5 dne připadajících na neschopnost pro nemoc v 1. pol. 2020 na 34,8 dne v 1. pol. 2021.</w:t>
      </w:r>
    </w:p>
    <w:p w14:paraId="504D7785" w14:textId="4FD2BC1B" w:rsidR="00350B58" w:rsidRPr="00D92E20" w:rsidRDefault="00350B58" w:rsidP="00350B58">
      <w:pPr>
        <w:jc w:val="both"/>
      </w:pPr>
      <w:r w:rsidRPr="00D92E20">
        <w:t>Průměrná délka trvání jednoho případu pracovní neschopnosti</w:t>
      </w:r>
      <w:r w:rsidR="0050059C">
        <w:t>,</w:t>
      </w:r>
      <w:r w:rsidRPr="00D92E20">
        <w:t xml:space="preserve"> ať už pro nemoc či úraz</w:t>
      </w:r>
      <w:r w:rsidR="0050059C">
        <w:t>,</w:t>
      </w:r>
      <w:r w:rsidRPr="00D92E20">
        <w:t xml:space="preserve"> meziročně klesla o </w:t>
      </w:r>
      <w:r>
        <w:t>8</w:t>
      </w:r>
      <w:r w:rsidRPr="00D92E20">
        <w:t> dn</w:t>
      </w:r>
      <w:r>
        <w:t>ů</w:t>
      </w:r>
      <w:r w:rsidRPr="00D92E20">
        <w:t>. Ze 44</w:t>
      </w:r>
      <w:r>
        <w:t>,3</w:t>
      </w:r>
      <w:r w:rsidRPr="00D92E20">
        <w:t xml:space="preserve"> dne v</w:t>
      </w:r>
      <w:r>
        <w:t> 1. pol. 202</w:t>
      </w:r>
      <w:r w:rsidR="00A80D3E">
        <w:t>0</w:t>
      </w:r>
      <w:r w:rsidRPr="00D92E20">
        <w:t xml:space="preserve"> na 3</w:t>
      </w:r>
      <w:r>
        <w:t>6,3</w:t>
      </w:r>
      <w:r w:rsidRPr="00D92E20">
        <w:t xml:space="preserve"> dne v</w:t>
      </w:r>
      <w:r>
        <w:t> 1. pol. 2021</w:t>
      </w:r>
      <w:r w:rsidRPr="00D92E20">
        <w:t xml:space="preserve">. Nachází se tak na nejnižší úrovni za posledních deset let. </w:t>
      </w:r>
      <w:r w:rsidRPr="00AE4AEB">
        <w:rPr>
          <w:b/>
        </w:rPr>
        <w:t>Nemoc</w:t>
      </w:r>
      <w:r w:rsidRPr="00AE4AEB">
        <w:t xml:space="preserve"> </w:t>
      </w:r>
      <w:r w:rsidR="0050059C">
        <w:t xml:space="preserve">v </w:t>
      </w:r>
      <w:r w:rsidRPr="00AE4AEB">
        <w:t>1. pol. 2021 způsobila pracovní neschopnost o průměrné délce 35 dnů, neschopnost pro</w:t>
      </w:r>
      <w:r w:rsidR="00CD63E8">
        <w:t> </w:t>
      </w:r>
      <w:r w:rsidRPr="00AE4AEB">
        <w:rPr>
          <w:b/>
        </w:rPr>
        <w:t>pracovní i mimopracovní úraz</w:t>
      </w:r>
      <w:r w:rsidRPr="00AE4AEB">
        <w:t xml:space="preserve"> trvala v průměru zhruba o 22 dnů déle.</w:t>
      </w:r>
    </w:p>
    <w:p w14:paraId="46EF03AE" w14:textId="77777777" w:rsidR="00350B58" w:rsidRPr="0050059C" w:rsidRDefault="00350B58" w:rsidP="00350B58">
      <w:pPr>
        <w:spacing w:after="0"/>
        <w:jc w:val="both"/>
        <w:rPr>
          <w:b/>
          <w:spacing w:val="-2"/>
        </w:rPr>
      </w:pPr>
      <w:r w:rsidRPr="0050059C">
        <w:rPr>
          <w:b/>
          <w:spacing w:val="-2"/>
        </w:rPr>
        <w:t>Tab. 2.5: Průměrná délka trvání dočasné pracovní neschopnosti podle pohlaví, 1. pol. 2011 až 1. pol. 2021</w:t>
      </w:r>
    </w:p>
    <w:tbl>
      <w:tblPr>
        <w:tblW w:w="9641"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4"/>
      </w:tblGrid>
      <w:tr w:rsidR="00350B58" w:rsidRPr="00D92E20" w14:paraId="64911219" w14:textId="77777777" w:rsidTr="00107D20">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5A6D064C" w14:textId="77777777" w:rsidR="00350B58" w:rsidRPr="00D92E20" w:rsidRDefault="00350B58" w:rsidP="00107D20">
            <w:pPr>
              <w:spacing w:after="0" w:line="240" w:lineRule="auto"/>
              <w:jc w:val="center"/>
              <w:rPr>
                <w:rFonts w:cs="Arial"/>
                <w:sz w:val="16"/>
                <w:szCs w:val="16"/>
              </w:rPr>
            </w:pPr>
            <w:r>
              <w:rPr>
                <w:rFonts w:cs="Arial"/>
                <w:sz w:val="16"/>
                <w:szCs w:val="16"/>
              </w:rPr>
              <w:t>Období</w:t>
            </w:r>
          </w:p>
        </w:tc>
        <w:tc>
          <w:tcPr>
            <w:tcW w:w="794" w:type="dxa"/>
            <w:tcBorders>
              <w:top w:val="single" w:sz="4" w:space="0" w:color="auto"/>
              <w:left w:val="nil"/>
              <w:bottom w:val="single" w:sz="4" w:space="0" w:color="auto"/>
              <w:right w:val="nil"/>
            </w:tcBorders>
            <w:shd w:val="clear" w:color="000000" w:fill="F5DADD"/>
            <w:vAlign w:val="center"/>
            <w:hideMark/>
          </w:tcPr>
          <w:p w14:paraId="23977484"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2011</w:t>
            </w:r>
          </w:p>
        </w:tc>
        <w:tc>
          <w:tcPr>
            <w:tcW w:w="794" w:type="dxa"/>
            <w:tcBorders>
              <w:top w:val="single" w:sz="4" w:space="0" w:color="auto"/>
              <w:left w:val="nil"/>
              <w:bottom w:val="single" w:sz="4" w:space="0" w:color="auto"/>
              <w:right w:val="nil"/>
            </w:tcBorders>
            <w:shd w:val="clear" w:color="000000" w:fill="F5DADD"/>
            <w:vAlign w:val="center"/>
            <w:hideMark/>
          </w:tcPr>
          <w:p w14:paraId="045DBCCE"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794" w:type="dxa"/>
            <w:tcBorders>
              <w:top w:val="single" w:sz="4" w:space="0" w:color="auto"/>
              <w:left w:val="nil"/>
              <w:bottom w:val="single" w:sz="4" w:space="0" w:color="auto"/>
              <w:right w:val="nil"/>
            </w:tcBorders>
            <w:shd w:val="clear" w:color="000000" w:fill="F5DADD"/>
            <w:vAlign w:val="center"/>
            <w:hideMark/>
          </w:tcPr>
          <w:p w14:paraId="1B20DDF1"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794" w:type="dxa"/>
            <w:tcBorders>
              <w:top w:val="single" w:sz="4" w:space="0" w:color="auto"/>
              <w:left w:val="nil"/>
              <w:bottom w:val="single" w:sz="4" w:space="0" w:color="auto"/>
              <w:right w:val="nil"/>
            </w:tcBorders>
            <w:shd w:val="clear" w:color="000000" w:fill="F5DADD"/>
            <w:vAlign w:val="center"/>
            <w:hideMark/>
          </w:tcPr>
          <w:p w14:paraId="56EF1561"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794" w:type="dxa"/>
            <w:tcBorders>
              <w:top w:val="single" w:sz="4" w:space="0" w:color="auto"/>
              <w:left w:val="nil"/>
              <w:bottom w:val="single" w:sz="4" w:space="0" w:color="auto"/>
              <w:right w:val="nil"/>
            </w:tcBorders>
            <w:shd w:val="clear" w:color="000000" w:fill="F5DADD"/>
            <w:vAlign w:val="center"/>
            <w:hideMark/>
          </w:tcPr>
          <w:p w14:paraId="2D14183C"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794" w:type="dxa"/>
            <w:tcBorders>
              <w:top w:val="single" w:sz="4" w:space="0" w:color="auto"/>
              <w:left w:val="nil"/>
              <w:bottom w:val="single" w:sz="4" w:space="0" w:color="auto"/>
              <w:right w:val="nil"/>
            </w:tcBorders>
            <w:shd w:val="clear" w:color="000000" w:fill="F5DADD"/>
            <w:vAlign w:val="center"/>
            <w:hideMark/>
          </w:tcPr>
          <w:p w14:paraId="76F28225"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794" w:type="dxa"/>
            <w:tcBorders>
              <w:top w:val="single" w:sz="4" w:space="0" w:color="auto"/>
              <w:left w:val="nil"/>
              <w:bottom w:val="single" w:sz="4" w:space="0" w:color="auto"/>
              <w:right w:val="nil"/>
            </w:tcBorders>
            <w:shd w:val="clear" w:color="000000" w:fill="F5DADD"/>
            <w:vAlign w:val="center"/>
            <w:hideMark/>
          </w:tcPr>
          <w:p w14:paraId="5077C92A"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794" w:type="dxa"/>
            <w:tcBorders>
              <w:top w:val="single" w:sz="4" w:space="0" w:color="auto"/>
              <w:left w:val="nil"/>
              <w:bottom w:val="single" w:sz="4" w:space="0" w:color="auto"/>
              <w:right w:val="nil"/>
            </w:tcBorders>
            <w:shd w:val="clear" w:color="000000" w:fill="F5DADD"/>
            <w:vAlign w:val="center"/>
            <w:hideMark/>
          </w:tcPr>
          <w:p w14:paraId="1E6D36B0" w14:textId="77777777" w:rsidR="00350B58" w:rsidRPr="00D92E20" w:rsidRDefault="00350B58" w:rsidP="00107D20">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794" w:type="dxa"/>
            <w:tcBorders>
              <w:top w:val="single" w:sz="4" w:space="0" w:color="auto"/>
              <w:left w:val="nil"/>
              <w:bottom w:val="single" w:sz="4" w:space="0" w:color="auto"/>
              <w:right w:val="nil"/>
            </w:tcBorders>
            <w:shd w:val="clear" w:color="000000" w:fill="F5DADD"/>
            <w:vAlign w:val="center"/>
            <w:hideMark/>
          </w:tcPr>
          <w:p w14:paraId="5ED7BD07" w14:textId="77777777" w:rsidR="00350B58" w:rsidRPr="00D92E20" w:rsidRDefault="00350B58" w:rsidP="00107D20">
            <w:pPr>
              <w:spacing w:after="0" w:line="240" w:lineRule="auto"/>
              <w:jc w:val="center"/>
              <w:rPr>
                <w:rFonts w:cs="Arial"/>
                <w:sz w:val="16"/>
                <w:szCs w:val="16"/>
              </w:rPr>
            </w:pPr>
            <w:r>
              <w:rPr>
                <w:rFonts w:cs="Arial"/>
                <w:sz w:val="16"/>
                <w:szCs w:val="16"/>
              </w:rPr>
              <w:t>1. pol. 2019</w:t>
            </w:r>
          </w:p>
        </w:tc>
        <w:tc>
          <w:tcPr>
            <w:tcW w:w="794" w:type="dxa"/>
            <w:tcBorders>
              <w:top w:val="single" w:sz="4" w:space="0" w:color="auto"/>
              <w:left w:val="nil"/>
              <w:bottom w:val="single" w:sz="4" w:space="0" w:color="auto"/>
              <w:right w:val="nil"/>
            </w:tcBorders>
            <w:shd w:val="clear" w:color="000000" w:fill="F5DADD"/>
            <w:vAlign w:val="center"/>
            <w:hideMark/>
          </w:tcPr>
          <w:p w14:paraId="157B8D23" w14:textId="77777777" w:rsidR="00350B58" w:rsidRPr="00D92E20" w:rsidRDefault="00350B58" w:rsidP="00107D20">
            <w:pPr>
              <w:spacing w:after="0" w:line="240" w:lineRule="auto"/>
              <w:jc w:val="center"/>
              <w:rPr>
                <w:rFonts w:cs="Arial"/>
                <w:sz w:val="16"/>
                <w:szCs w:val="16"/>
              </w:rPr>
            </w:pPr>
            <w:r>
              <w:rPr>
                <w:rFonts w:cs="Arial"/>
                <w:sz w:val="16"/>
                <w:szCs w:val="16"/>
              </w:rPr>
              <w:t>1. pol. 2020</w:t>
            </w:r>
          </w:p>
        </w:tc>
        <w:tc>
          <w:tcPr>
            <w:tcW w:w="794" w:type="dxa"/>
            <w:tcBorders>
              <w:top w:val="single" w:sz="4" w:space="0" w:color="auto"/>
              <w:left w:val="nil"/>
              <w:bottom w:val="single" w:sz="4" w:space="0" w:color="auto"/>
              <w:right w:val="nil"/>
            </w:tcBorders>
            <w:shd w:val="clear" w:color="000000" w:fill="F5DADD"/>
            <w:vAlign w:val="center"/>
            <w:hideMark/>
          </w:tcPr>
          <w:p w14:paraId="3FE23827" w14:textId="77777777" w:rsidR="00350B58" w:rsidRPr="00D92E20" w:rsidRDefault="00350B58" w:rsidP="00107D20">
            <w:pPr>
              <w:spacing w:after="0" w:line="240" w:lineRule="auto"/>
              <w:jc w:val="center"/>
              <w:rPr>
                <w:rFonts w:cs="Arial"/>
                <w:sz w:val="16"/>
                <w:szCs w:val="16"/>
              </w:rPr>
            </w:pPr>
            <w:r>
              <w:rPr>
                <w:rFonts w:cs="Arial"/>
                <w:sz w:val="16"/>
                <w:szCs w:val="16"/>
              </w:rPr>
              <w:t>1. pol. 2021</w:t>
            </w:r>
          </w:p>
        </w:tc>
      </w:tr>
      <w:tr w:rsidR="00350B58" w:rsidRPr="00D92E20" w14:paraId="2DCC17CD" w14:textId="77777777" w:rsidTr="00107D20">
        <w:trPr>
          <w:trHeight w:val="300"/>
        </w:trPr>
        <w:tc>
          <w:tcPr>
            <w:tcW w:w="907" w:type="dxa"/>
            <w:tcBorders>
              <w:top w:val="nil"/>
              <w:left w:val="nil"/>
              <w:bottom w:val="nil"/>
              <w:right w:val="single" w:sz="4" w:space="0" w:color="auto"/>
            </w:tcBorders>
            <w:shd w:val="clear" w:color="auto" w:fill="auto"/>
            <w:noWrap/>
            <w:vAlign w:val="center"/>
            <w:hideMark/>
          </w:tcPr>
          <w:p w14:paraId="2C70326F"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674B8EA2"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42,8</w:t>
            </w:r>
          </w:p>
        </w:tc>
        <w:tc>
          <w:tcPr>
            <w:tcW w:w="794" w:type="dxa"/>
            <w:tcBorders>
              <w:top w:val="nil"/>
              <w:left w:val="nil"/>
              <w:bottom w:val="nil"/>
              <w:right w:val="nil"/>
            </w:tcBorders>
            <w:shd w:val="clear" w:color="auto" w:fill="auto"/>
            <w:noWrap/>
            <w:vAlign w:val="center"/>
            <w:hideMark/>
          </w:tcPr>
          <w:p w14:paraId="58ABD389"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47,7</w:t>
            </w:r>
          </w:p>
        </w:tc>
        <w:tc>
          <w:tcPr>
            <w:tcW w:w="794" w:type="dxa"/>
            <w:tcBorders>
              <w:top w:val="nil"/>
              <w:left w:val="nil"/>
              <w:bottom w:val="nil"/>
              <w:right w:val="nil"/>
            </w:tcBorders>
            <w:shd w:val="clear" w:color="auto" w:fill="auto"/>
            <w:noWrap/>
            <w:vAlign w:val="center"/>
            <w:hideMark/>
          </w:tcPr>
          <w:p w14:paraId="52DF242E"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42,2</w:t>
            </w:r>
          </w:p>
        </w:tc>
        <w:tc>
          <w:tcPr>
            <w:tcW w:w="794" w:type="dxa"/>
            <w:tcBorders>
              <w:top w:val="nil"/>
              <w:left w:val="nil"/>
              <w:bottom w:val="nil"/>
              <w:right w:val="nil"/>
            </w:tcBorders>
            <w:shd w:val="clear" w:color="auto" w:fill="auto"/>
            <w:noWrap/>
            <w:vAlign w:val="center"/>
            <w:hideMark/>
          </w:tcPr>
          <w:p w14:paraId="557BEAC0"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45,9</w:t>
            </w:r>
          </w:p>
        </w:tc>
        <w:tc>
          <w:tcPr>
            <w:tcW w:w="794" w:type="dxa"/>
            <w:tcBorders>
              <w:top w:val="nil"/>
              <w:left w:val="nil"/>
              <w:bottom w:val="nil"/>
              <w:right w:val="nil"/>
            </w:tcBorders>
            <w:shd w:val="clear" w:color="auto" w:fill="auto"/>
            <w:noWrap/>
            <w:vAlign w:val="center"/>
            <w:hideMark/>
          </w:tcPr>
          <w:p w14:paraId="0DE9B320"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40,1</w:t>
            </w:r>
          </w:p>
        </w:tc>
        <w:tc>
          <w:tcPr>
            <w:tcW w:w="794" w:type="dxa"/>
            <w:tcBorders>
              <w:top w:val="nil"/>
              <w:left w:val="nil"/>
              <w:bottom w:val="nil"/>
              <w:right w:val="nil"/>
            </w:tcBorders>
            <w:shd w:val="clear" w:color="auto" w:fill="auto"/>
            <w:noWrap/>
            <w:vAlign w:val="center"/>
            <w:hideMark/>
          </w:tcPr>
          <w:p w14:paraId="59899144"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42,0</w:t>
            </w:r>
          </w:p>
        </w:tc>
        <w:tc>
          <w:tcPr>
            <w:tcW w:w="794" w:type="dxa"/>
            <w:tcBorders>
              <w:top w:val="nil"/>
              <w:left w:val="nil"/>
              <w:bottom w:val="nil"/>
              <w:right w:val="nil"/>
            </w:tcBorders>
            <w:shd w:val="clear" w:color="auto" w:fill="auto"/>
            <w:noWrap/>
            <w:vAlign w:val="center"/>
            <w:hideMark/>
          </w:tcPr>
          <w:p w14:paraId="0D96B1DA"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41,0</w:t>
            </w:r>
          </w:p>
        </w:tc>
        <w:tc>
          <w:tcPr>
            <w:tcW w:w="794" w:type="dxa"/>
            <w:tcBorders>
              <w:top w:val="nil"/>
              <w:left w:val="nil"/>
              <w:bottom w:val="nil"/>
              <w:right w:val="nil"/>
            </w:tcBorders>
            <w:shd w:val="clear" w:color="auto" w:fill="auto"/>
            <w:noWrap/>
            <w:vAlign w:val="center"/>
            <w:hideMark/>
          </w:tcPr>
          <w:p w14:paraId="6931AAFF"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39,1</w:t>
            </w:r>
          </w:p>
        </w:tc>
        <w:tc>
          <w:tcPr>
            <w:tcW w:w="794" w:type="dxa"/>
            <w:tcBorders>
              <w:top w:val="nil"/>
              <w:left w:val="nil"/>
              <w:bottom w:val="nil"/>
              <w:right w:val="nil"/>
            </w:tcBorders>
            <w:shd w:val="clear" w:color="auto" w:fill="auto"/>
            <w:noWrap/>
            <w:vAlign w:val="center"/>
            <w:hideMark/>
          </w:tcPr>
          <w:p w14:paraId="3179D852"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2A6C99E8"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44,3</w:t>
            </w:r>
          </w:p>
        </w:tc>
        <w:tc>
          <w:tcPr>
            <w:tcW w:w="794" w:type="dxa"/>
            <w:tcBorders>
              <w:top w:val="nil"/>
              <w:left w:val="nil"/>
              <w:bottom w:val="nil"/>
              <w:right w:val="nil"/>
            </w:tcBorders>
            <w:shd w:val="clear" w:color="auto" w:fill="auto"/>
            <w:noWrap/>
            <w:vAlign w:val="center"/>
            <w:hideMark/>
          </w:tcPr>
          <w:p w14:paraId="23592423" w14:textId="77777777" w:rsidR="00350B58" w:rsidRPr="00D92E20" w:rsidRDefault="00350B58" w:rsidP="00107D20">
            <w:pPr>
              <w:spacing w:after="0" w:line="240" w:lineRule="auto"/>
              <w:jc w:val="center"/>
              <w:rPr>
                <w:rFonts w:cs="Arial"/>
                <w:b/>
                <w:bCs/>
                <w:color w:val="000000"/>
                <w:sz w:val="16"/>
                <w:szCs w:val="16"/>
              </w:rPr>
            </w:pPr>
            <w:r>
              <w:rPr>
                <w:rFonts w:cs="Arial"/>
                <w:b/>
                <w:bCs/>
                <w:color w:val="000000"/>
                <w:sz w:val="16"/>
                <w:szCs w:val="16"/>
              </w:rPr>
              <w:t>36,3</w:t>
            </w:r>
          </w:p>
        </w:tc>
      </w:tr>
      <w:tr w:rsidR="00350B58" w:rsidRPr="00D92E20" w14:paraId="3D357401" w14:textId="77777777" w:rsidTr="00107D20">
        <w:trPr>
          <w:trHeight w:val="300"/>
        </w:trPr>
        <w:tc>
          <w:tcPr>
            <w:tcW w:w="907" w:type="dxa"/>
            <w:tcBorders>
              <w:top w:val="nil"/>
              <w:left w:val="nil"/>
              <w:bottom w:val="nil"/>
              <w:right w:val="single" w:sz="4" w:space="0" w:color="auto"/>
            </w:tcBorders>
            <w:shd w:val="clear" w:color="auto" w:fill="auto"/>
            <w:noWrap/>
            <w:vAlign w:val="center"/>
            <w:hideMark/>
          </w:tcPr>
          <w:p w14:paraId="09B9D916" w14:textId="77777777" w:rsidR="00350B58" w:rsidRPr="00D92E20" w:rsidRDefault="00350B58" w:rsidP="00107D20">
            <w:pPr>
              <w:spacing w:after="0" w:line="240" w:lineRule="auto"/>
              <w:ind w:firstLineChars="100" w:firstLine="160"/>
              <w:jc w:val="center"/>
              <w:rPr>
                <w:rFonts w:cs="Arial"/>
                <w:color w:val="000000"/>
                <w:sz w:val="16"/>
                <w:szCs w:val="16"/>
              </w:rPr>
            </w:pPr>
            <w:r>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39C9CAA7"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42,9</w:t>
            </w:r>
          </w:p>
        </w:tc>
        <w:tc>
          <w:tcPr>
            <w:tcW w:w="794" w:type="dxa"/>
            <w:tcBorders>
              <w:top w:val="nil"/>
              <w:left w:val="nil"/>
              <w:bottom w:val="nil"/>
              <w:right w:val="nil"/>
            </w:tcBorders>
            <w:shd w:val="clear" w:color="auto" w:fill="auto"/>
            <w:noWrap/>
            <w:vAlign w:val="center"/>
            <w:hideMark/>
          </w:tcPr>
          <w:p w14:paraId="0D704236"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46,3</w:t>
            </w:r>
          </w:p>
        </w:tc>
        <w:tc>
          <w:tcPr>
            <w:tcW w:w="794" w:type="dxa"/>
            <w:tcBorders>
              <w:top w:val="nil"/>
              <w:left w:val="nil"/>
              <w:bottom w:val="nil"/>
              <w:right w:val="nil"/>
            </w:tcBorders>
            <w:shd w:val="clear" w:color="auto" w:fill="auto"/>
            <w:noWrap/>
            <w:vAlign w:val="center"/>
            <w:hideMark/>
          </w:tcPr>
          <w:p w14:paraId="26A8C76B"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41,6</w:t>
            </w:r>
          </w:p>
        </w:tc>
        <w:tc>
          <w:tcPr>
            <w:tcW w:w="794" w:type="dxa"/>
            <w:tcBorders>
              <w:top w:val="nil"/>
              <w:left w:val="nil"/>
              <w:bottom w:val="nil"/>
              <w:right w:val="nil"/>
            </w:tcBorders>
            <w:shd w:val="clear" w:color="auto" w:fill="auto"/>
            <w:noWrap/>
            <w:vAlign w:val="center"/>
            <w:hideMark/>
          </w:tcPr>
          <w:p w14:paraId="33F71762"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44,4</w:t>
            </w:r>
          </w:p>
        </w:tc>
        <w:tc>
          <w:tcPr>
            <w:tcW w:w="794" w:type="dxa"/>
            <w:tcBorders>
              <w:top w:val="nil"/>
              <w:left w:val="nil"/>
              <w:bottom w:val="nil"/>
              <w:right w:val="nil"/>
            </w:tcBorders>
            <w:shd w:val="clear" w:color="auto" w:fill="auto"/>
            <w:noWrap/>
            <w:vAlign w:val="center"/>
            <w:hideMark/>
          </w:tcPr>
          <w:p w14:paraId="2948D754"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38,5</w:t>
            </w:r>
          </w:p>
        </w:tc>
        <w:tc>
          <w:tcPr>
            <w:tcW w:w="794" w:type="dxa"/>
            <w:tcBorders>
              <w:top w:val="nil"/>
              <w:left w:val="nil"/>
              <w:bottom w:val="nil"/>
              <w:right w:val="nil"/>
            </w:tcBorders>
            <w:shd w:val="clear" w:color="auto" w:fill="auto"/>
            <w:noWrap/>
            <w:vAlign w:val="center"/>
            <w:hideMark/>
          </w:tcPr>
          <w:p w14:paraId="6A798B5A"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40,2</w:t>
            </w:r>
          </w:p>
        </w:tc>
        <w:tc>
          <w:tcPr>
            <w:tcW w:w="794" w:type="dxa"/>
            <w:tcBorders>
              <w:top w:val="nil"/>
              <w:left w:val="nil"/>
              <w:bottom w:val="nil"/>
              <w:right w:val="nil"/>
            </w:tcBorders>
            <w:shd w:val="clear" w:color="auto" w:fill="auto"/>
            <w:noWrap/>
            <w:vAlign w:val="center"/>
            <w:hideMark/>
          </w:tcPr>
          <w:p w14:paraId="53E3F3BB"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39,6</w:t>
            </w:r>
          </w:p>
        </w:tc>
        <w:tc>
          <w:tcPr>
            <w:tcW w:w="794" w:type="dxa"/>
            <w:tcBorders>
              <w:top w:val="nil"/>
              <w:left w:val="nil"/>
              <w:bottom w:val="nil"/>
              <w:right w:val="nil"/>
            </w:tcBorders>
            <w:shd w:val="clear" w:color="auto" w:fill="auto"/>
            <w:noWrap/>
            <w:vAlign w:val="center"/>
            <w:hideMark/>
          </w:tcPr>
          <w:p w14:paraId="6B0A2652"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38,1</w:t>
            </w:r>
          </w:p>
        </w:tc>
        <w:tc>
          <w:tcPr>
            <w:tcW w:w="794" w:type="dxa"/>
            <w:tcBorders>
              <w:top w:val="nil"/>
              <w:left w:val="nil"/>
              <w:bottom w:val="nil"/>
              <w:right w:val="nil"/>
            </w:tcBorders>
            <w:shd w:val="clear" w:color="auto" w:fill="auto"/>
            <w:noWrap/>
            <w:vAlign w:val="center"/>
            <w:hideMark/>
          </w:tcPr>
          <w:p w14:paraId="7F6D0C60"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1580B0FE"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42,5</w:t>
            </w:r>
          </w:p>
        </w:tc>
        <w:tc>
          <w:tcPr>
            <w:tcW w:w="794" w:type="dxa"/>
            <w:tcBorders>
              <w:top w:val="nil"/>
              <w:left w:val="nil"/>
              <w:bottom w:val="nil"/>
              <w:right w:val="nil"/>
            </w:tcBorders>
            <w:shd w:val="clear" w:color="auto" w:fill="auto"/>
            <w:noWrap/>
            <w:vAlign w:val="center"/>
            <w:hideMark/>
          </w:tcPr>
          <w:p w14:paraId="0512CC54"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34,1</w:t>
            </w:r>
          </w:p>
        </w:tc>
      </w:tr>
      <w:tr w:rsidR="00350B58" w:rsidRPr="00D92E20" w14:paraId="08E1DDAB" w14:textId="77777777" w:rsidTr="00107D20">
        <w:trPr>
          <w:trHeight w:val="300"/>
        </w:trPr>
        <w:tc>
          <w:tcPr>
            <w:tcW w:w="907" w:type="dxa"/>
            <w:tcBorders>
              <w:top w:val="nil"/>
              <w:left w:val="nil"/>
              <w:bottom w:val="nil"/>
              <w:right w:val="single" w:sz="4" w:space="0" w:color="auto"/>
            </w:tcBorders>
            <w:shd w:val="clear" w:color="auto" w:fill="auto"/>
            <w:noWrap/>
            <w:vAlign w:val="center"/>
            <w:hideMark/>
          </w:tcPr>
          <w:p w14:paraId="46B01AC3" w14:textId="77777777" w:rsidR="00350B58" w:rsidRPr="00D92E20" w:rsidRDefault="00350B58" w:rsidP="00107D20">
            <w:pPr>
              <w:spacing w:after="0" w:line="240" w:lineRule="auto"/>
              <w:ind w:firstLineChars="100" w:firstLine="160"/>
              <w:jc w:val="center"/>
              <w:rPr>
                <w:rFonts w:cs="Arial"/>
                <w:color w:val="000000"/>
                <w:sz w:val="16"/>
                <w:szCs w:val="16"/>
              </w:rPr>
            </w:pPr>
            <w:r>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6CFF80DB"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42,6</w:t>
            </w:r>
          </w:p>
        </w:tc>
        <w:tc>
          <w:tcPr>
            <w:tcW w:w="794" w:type="dxa"/>
            <w:tcBorders>
              <w:top w:val="nil"/>
              <w:left w:val="nil"/>
              <w:bottom w:val="nil"/>
              <w:right w:val="nil"/>
            </w:tcBorders>
            <w:shd w:val="clear" w:color="auto" w:fill="auto"/>
            <w:noWrap/>
            <w:vAlign w:val="center"/>
            <w:hideMark/>
          </w:tcPr>
          <w:p w14:paraId="20FF3F7B"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49,0</w:t>
            </w:r>
          </w:p>
        </w:tc>
        <w:tc>
          <w:tcPr>
            <w:tcW w:w="794" w:type="dxa"/>
            <w:tcBorders>
              <w:top w:val="nil"/>
              <w:left w:val="nil"/>
              <w:bottom w:val="nil"/>
              <w:right w:val="nil"/>
            </w:tcBorders>
            <w:shd w:val="clear" w:color="auto" w:fill="auto"/>
            <w:noWrap/>
            <w:vAlign w:val="center"/>
            <w:hideMark/>
          </w:tcPr>
          <w:p w14:paraId="7B331724"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42,8</w:t>
            </w:r>
          </w:p>
        </w:tc>
        <w:tc>
          <w:tcPr>
            <w:tcW w:w="794" w:type="dxa"/>
            <w:tcBorders>
              <w:top w:val="nil"/>
              <w:left w:val="nil"/>
              <w:bottom w:val="nil"/>
              <w:right w:val="nil"/>
            </w:tcBorders>
            <w:shd w:val="clear" w:color="auto" w:fill="auto"/>
            <w:noWrap/>
            <w:vAlign w:val="center"/>
            <w:hideMark/>
          </w:tcPr>
          <w:p w14:paraId="720BA887"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47,4</w:t>
            </w:r>
          </w:p>
        </w:tc>
        <w:tc>
          <w:tcPr>
            <w:tcW w:w="794" w:type="dxa"/>
            <w:tcBorders>
              <w:top w:val="nil"/>
              <w:left w:val="nil"/>
              <w:bottom w:val="nil"/>
              <w:right w:val="nil"/>
            </w:tcBorders>
            <w:shd w:val="clear" w:color="auto" w:fill="auto"/>
            <w:noWrap/>
            <w:vAlign w:val="center"/>
            <w:hideMark/>
          </w:tcPr>
          <w:p w14:paraId="444D24F9"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41,5</w:t>
            </w:r>
          </w:p>
        </w:tc>
        <w:tc>
          <w:tcPr>
            <w:tcW w:w="794" w:type="dxa"/>
            <w:tcBorders>
              <w:top w:val="nil"/>
              <w:left w:val="nil"/>
              <w:bottom w:val="nil"/>
              <w:right w:val="nil"/>
            </w:tcBorders>
            <w:shd w:val="clear" w:color="auto" w:fill="auto"/>
            <w:noWrap/>
            <w:vAlign w:val="center"/>
            <w:hideMark/>
          </w:tcPr>
          <w:p w14:paraId="5E904DE1"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43,5</w:t>
            </w:r>
          </w:p>
        </w:tc>
        <w:tc>
          <w:tcPr>
            <w:tcW w:w="794" w:type="dxa"/>
            <w:tcBorders>
              <w:top w:val="nil"/>
              <w:left w:val="nil"/>
              <w:bottom w:val="nil"/>
              <w:right w:val="nil"/>
            </w:tcBorders>
            <w:shd w:val="clear" w:color="auto" w:fill="auto"/>
            <w:noWrap/>
            <w:vAlign w:val="center"/>
            <w:hideMark/>
          </w:tcPr>
          <w:p w14:paraId="6108A061"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42,2</w:t>
            </w:r>
          </w:p>
        </w:tc>
        <w:tc>
          <w:tcPr>
            <w:tcW w:w="794" w:type="dxa"/>
            <w:tcBorders>
              <w:top w:val="nil"/>
              <w:left w:val="nil"/>
              <w:bottom w:val="nil"/>
              <w:right w:val="nil"/>
            </w:tcBorders>
            <w:shd w:val="clear" w:color="auto" w:fill="auto"/>
            <w:noWrap/>
            <w:vAlign w:val="center"/>
            <w:hideMark/>
          </w:tcPr>
          <w:p w14:paraId="22FD9BCE"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39,9</w:t>
            </w:r>
          </w:p>
        </w:tc>
        <w:tc>
          <w:tcPr>
            <w:tcW w:w="794" w:type="dxa"/>
            <w:tcBorders>
              <w:top w:val="nil"/>
              <w:left w:val="nil"/>
              <w:bottom w:val="nil"/>
              <w:right w:val="nil"/>
            </w:tcBorders>
            <w:shd w:val="clear" w:color="auto" w:fill="auto"/>
            <w:noWrap/>
            <w:vAlign w:val="center"/>
            <w:hideMark/>
          </w:tcPr>
          <w:p w14:paraId="764EFD42"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43,7</w:t>
            </w:r>
          </w:p>
        </w:tc>
        <w:tc>
          <w:tcPr>
            <w:tcW w:w="794" w:type="dxa"/>
            <w:tcBorders>
              <w:top w:val="nil"/>
              <w:left w:val="nil"/>
              <w:bottom w:val="nil"/>
              <w:right w:val="nil"/>
            </w:tcBorders>
            <w:shd w:val="clear" w:color="auto" w:fill="auto"/>
            <w:noWrap/>
            <w:vAlign w:val="center"/>
            <w:hideMark/>
          </w:tcPr>
          <w:p w14:paraId="4F56BB7F"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45,9</w:t>
            </w:r>
          </w:p>
        </w:tc>
        <w:tc>
          <w:tcPr>
            <w:tcW w:w="794" w:type="dxa"/>
            <w:tcBorders>
              <w:top w:val="nil"/>
              <w:left w:val="nil"/>
              <w:bottom w:val="nil"/>
              <w:right w:val="nil"/>
            </w:tcBorders>
            <w:shd w:val="clear" w:color="auto" w:fill="auto"/>
            <w:noWrap/>
            <w:vAlign w:val="center"/>
            <w:hideMark/>
          </w:tcPr>
          <w:p w14:paraId="4D63CDFA" w14:textId="77777777" w:rsidR="00350B58" w:rsidRPr="00D92E20" w:rsidRDefault="00350B58" w:rsidP="00107D20">
            <w:pPr>
              <w:spacing w:after="0" w:line="240" w:lineRule="auto"/>
              <w:jc w:val="center"/>
              <w:rPr>
                <w:rFonts w:cs="Arial"/>
                <w:color w:val="000000"/>
                <w:sz w:val="16"/>
                <w:szCs w:val="16"/>
              </w:rPr>
            </w:pPr>
            <w:r>
              <w:rPr>
                <w:rFonts w:cs="Arial"/>
                <w:color w:val="000000"/>
                <w:sz w:val="16"/>
                <w:szCs w:val="16"/>
              </w:rPr>
              <w:t>38,6</w:t>
            </w:r>
          </w:p>
        </w:tc>
      </w:tr>
    </w:tbl>
    <w:p w14:paraId="5C01A789" w14:textId="77777777" w:rsidR="00350B58" w:rsidRPr="00D92E20" w:rsidRDefault="00350B58" w:rsidP="00350B58">
      <w:pPr>
        <w:spacing w:before="120" w:after="120"/>
        <w:rPr>
          <w:sz w:val="16"/>
        </w:rPr>
      </w:pPr>
      <w:r w:rsidRPr="00D92E20">
        <w:rPr>
          <w:sz w:val="16"/>
        </w:rPr>
        <w:t>Zdroj: ČSÚ</w:t>
      </w:r>
    </w:p>
    <w:p w14:paraId="3DAA35F0" w14:textId="16BB9048" w:rsidR="007C6359" w:rsidRDefault="007C6359">
      <w:pPr>
        <w:spacing w:after="0" w:line="240" w:lineRule="auto"/>
        <w:rPr>
          <w:b/>
        </w:rPr>
      </w:pPr>
    </w:p>
    <w:p w14:paraId="563E01CB" w14:textId="1CAD412E" w:rsidR="000D642E" w:rsidRPr="00D92E20" w:rsidRDefault="000D642E" w:rsidP="00BA6B4E">
      <w:pPr>
        <w:spacing w:after="0"/>
        <w:jc w:val="both"/>
        <w:rPr>
          <w:b/>
        </w:rPr>
      </w:pPr>
      <w:r w:rsidRPr="00D92E20">
        <w:rPr>
          <w:b/>
        </w:rPr>
        <w:t xml:space="preserve">Graf 2.8: Průměrná délka trvání dočasné pracovní neschopnosti pro nemoc, </w:t>
      </w:r>
      <w:r w:rsidR="00285F60" w:rsidRPr="00285F60">
        <w:rPr>
          <w:b/>
        </w:rPr>
        <w:t>2016–1. pol. 2021</w:t>
      </w:r>
    </w:p>
    <w:p w14:paraId="23D7B0F9" w14:textId="72637B03" w:rsidR="000D642E" w:rsidRPr="00D92E20" w:rsidRDefault="00285F60" w:rsidP="00461B62">
      <w:pPr>
        <w:jc w:val="both"/>
        <w:rPr>
          <w:b/>
        </w:rPr>
      </w:pPr>
      <w:r>
        <w:rPr>
          <w:noProof/>
        </w:rPr>
        <w:drawing>
          <wp:inline distT="0" distB="0" distL="0" distR="0" wp14:anchorId="6D7327D6" wp14:editId="76EAE976">
            <wp:extent cx="6116400" cy="2664000"/>
            <wp:effectExtent l="0" t="0" r="17780" b="317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AD0D56" w14:textId="31A51009" w:rsidR="000D642E" w:rsidRDefault="000D642E" w:rsidP="00BA6B4E">
      <w:pPr>
        <w:spacing w:before="120" w:after="120"/>
        <w:rPr>
          <w:sz w:val="16"/>
        </w:rPr>
      </w:pPr>
      <w:r w:rsidRPr="00D92E20">
        <w:rPr>
          <w:sz w:val="16"/>
        </w:rPr>
        <w:t>Zdroj: ČSÚ</w:t>
      </w:r>
    </w:p>
    <w:p w14:paraId="06B6085F" w14:textId="3CAE6853" w:rsidR="00350B58" w:rsidRPr="00D92E20" w:rsidRDefault="00350B58" w:rsidP="00350B58">
      <w:pPr>
        <w:spacing w:after="120"/>
        <w:jc w:val="both"/>
      </w:pPr>
      <w:r w:rsidRPr="00AE4AEB">
        <w:t xml:space="preserve">Průměrný počet dnů pracovní neschopnosti </w:t>
      </w:r>
      <w:r w:rsidRPr="00AE4AEB">
        <w:rPr>
          <w:b/>
        </w:rPr>
        <w:t>u žen</w:t>
      </w:r>
      <w:r w:rsidRPr="00AE4AEB">
        <w:t xml:space="preserve"> meziročně klesl ze 45,9 dne v 1. pol. 2020 na 38,6 dne. </w:t>
      </w:r>
      <w:r w:rsidRPr="00AE4AEB">
        <w:rPr>
          <w:b/>
        </w:rPr>
        <w:t>V případě mužů</w:t>
      </w:r>
      <w:r w:rsidRPr="00AE4AEB">
        <w:t xml:space="preserve"> se snížil ze 42,5 dne na 34,1 dne. Ženy tak byly v pracovní neschopnosti v průměru o 4,5</w:t>
      </w:r>
      <w:r w:rsidR="00CD63E8">
        <w:t> </w:t>
      </w:r>
      <w:r w:rsidRPr="00AE4AEB">
        <w:t>dne déle než muži, což je zdaleka nejvyšší rozdíl za posledních 10 let.</w:t>
      </w:r>
    </w:p>
    <w:p w14:paraId="2A7603EA" w14:textId="7AE1DC6A" w:rsidR="004A31C1" w:rsidRDefault="004A31C1" w:rsidP="004A31C1">
      <w:pPr>
        <w:spacing w:before="120" w:after="120"/>
        <w:jc w:val="both"/>
      </w:pPr>
      <w:r w:rsidRPr="0064296A">
        <w:t>Nejvíce dnů dočasné pracovní neschopnosti bylo v 1. pol. 2021 zaznamenáno ve zpracovatelském průmyslu (</w:t>
      </w:r>
      <w:r>
        <w:t>17 </w:t>
      </w:r>
      <w:r w:rsidRPr="0064296A">
        <w:t>167 tis.), kde je nejvíce pojištěnců, a tím pádem také nejvyšší počet případů pracovní neschopnosti. Naopak nejnižší počet dnů pracovní neschopnosti byl hlášen v oblasti Výroba a rozvod elektřiny, plynu, tepla a klimatizovaného vzduchu (271 tis.). Nejméně dnů pracovní neschopnosti z důvodu pracovních úrazů vykazovaly odvětvové sekce Peněžnictví a pojišťovnictví (1,7 tis.) a Informační a komunikační činnosti (3,0 tis.).</w:t>
      </w:r>
    </w:p>
    <w:p w14:paraId="7973FD37" w14:textId="77777777" w:rsidR="004A31C1" w:rsidRDefault="004A31C1" w:rsidP="004A31C1">
      <w:pPr>
        <w:spacing w:before="120" w:after="120"/>
        <w:jc w:val="both"/>
      </w:pPr>
      <w:r w:rsidRPr="0064296A">
        <w:t xml:space="preserve">Jak již bylo zmíněno výše, dočasná pracovní neschopnost v 1. pol. 2021 trvala v průměru 36 dnů. </w:t>
      </w:r>
      <w:r w:rsidRPr="0064296A">
        <w:rPr>
          <w:b/>
        </w:rPr>
        <w:t xml:space="preserve">Odvětvím </w:t>
      </w:r>
      <w:r w:rsidRPr="0064296A">
        <w:t>s</w:t>
      </w:r>
      <w:r>
        <w:t xml:space="preserve"> nejvyšší</w:t>
      </w:r>
      <w:r w:rsidRPr="0064296A">
        <w:t xml:space="preserve"> průměrnou délkou trvání případu </w:t>
      </w:r>
      <w:r>
        <w:t xml:space="preserve">bylo </w:t>
      </w:r>
      <w:r w:rsidRPr="0064296A">
        <w:t>Ubytování, stravování a pohostinství (</w:t>
      </w:r>
      <w:r>
        <w:t xml:space="preserve">60 dnů). Dle zjištění Státního úřadu inspekce práce se mnohdy během pandemie stávalo,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zaměstnanci na takové řešení přistoupili. Na druhou </w:t>
      </w:r>
      <w:r>
        <w:lastRenderedPageBreak/>
        <w:t>stranu mohlo docházet i k případům, kdy na nemocenskou nastupovali zaměstnanci (resp. brigádníci) v době, kdy teprve hrozilo uzavření provozoven.</w:t>
      </w:r>
    </w:p>
    <w:p w14:paraId="30B64F1E" w14:textId="6693B8BF" w:rsidR="00767C3C" w:rsidRPr="00D92E20" w:rsidRDefault="00767C3C" w:rsidP="00BA6B4E">
      <w:pPr>
        <w:spacing w:after="0"/>
        <w:jc w:val="both"/>
        <w:rPr>
          <w:b/>
        </w:rPr>
      </w:pPr>
      <w:r w:rsidRPr="00D92E20">
        <w:rPr>
          <w:b/>
        </w:rPr>
        <w:t xml:space="preserve">Graf 2.9: Průměrná délka trvání dočasné pracovní neschopnosti podle pohlaví, </w:t>
      </w:r>
      <w:r w:rsidR="00AE4AEB" w:rsidRPr="00AE4AEB">
        <w:rPr>
          <w:b/>
        </w:rPr>
        <w:t>1. pol. 2011–1. pol. 2021</w:t>
      </w:r>
    </w:p>
    <w:p w14:paraId="5D05F170" w14:textId="383FD230" w:rsidR="00767C3C" w:rsidRPr="00D92E20" w:rsidRDefault="00AE4AEB" w:rsidP="003F1873">
      <w:pPr>
        <w:jc w:val="both"/>
        <w:rPr>
          <w:b/>
        </w:rPr>
      </w:pPr>
      <w:r>
        <w:rPr>
          <w:noProof/>
        </w:rPr>
        <w:drawing>
          <wp:inline distT="0" distB="0" distL="0" distR="0" wp14:anchorId="036F5641" wp14:editId="1F844E22">
            <wp:extent cx="6116400" cy="2700000"/>
            <wp:effectExtent l="0" t="0" r="17780" b="571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0C30BA" w14:textId="77777777" w:rsidR="00767C3C" w:rsidRPr="00D92E20" w:rsidRDefault="00767C3C" w:rsidP="00BA6B4E">
      <w:pPr>
        <w:spacing w:before="120" w:after="120"/>
        <w:rPr>
          <w:sz w:val="16"/>
        </w:rPr>
      </w:pPr>
      <w:r w:rsidRPr="00D92E20">
        <w:rPr>
          <w:sz w:val="16"/>
        </w:rPr>
        <w:t>Zdroj: ČSÚ</w:t>
      </w:r>
    </w:p>
    <w:p w14:paraId="1FD3E2D2" w14:textId="2B18C552" w:rsidR="00767C3C" w:rsidRPr="00D92E20" w:rsidRDefault="00767C3C" w:rsidP="00BA6B4E">
      <w:pPr>
        <w:spacing w:after="0"/>
        <w:jc w:val="both"/>
        <w:rPr>
          <w:b/>
        </w:rPr>
      </w:pPr>
      <w:r w:rsidRPr="00D92E20">
        <w:rPr>
          <w:b/>
        </w:rPr>
        <w:t xml:space="preserve">Graf 2.10: Průměrná délka trvání dočasné pracovní neschopnosti podle odvětví (sekce CZ-NACE), </w:t>
      </w:r>
      <w:r w:rsidR="0064296A">
        <w:rPr>
          <w:b/>
        </w:rPr>
        <w:br/>
      </w:r>
      <w:r w:rsidR="0064296A" w:rsidRPr="0064296A">
        <w:rPr>
          <w:b/>
        </w:rPr>
        <w:t>1. pol. 2021</w:t>
      </w:r>
    </w:p>
    <w:p w14:paraId="1EB14791" w14:textId="298C7942" w:rsidR="00184B5C" w:rsidRPr="00D92E20" w:rsidRDefault="00EC4C52" w:rsidP="00184B5C">
      <w:r>
        <w:rPr>
          <w:noProof/>
        </w:rPr>
        <w:drawing>
          <wp:inline distT="0" distB="0" distL="0" distR="0" wp14:anchorId="632082AA" wp14:editId="71BC5148">
            <wp:extent cx="6116400" cy="4680000"/>
            <wp:effectExtent l="0" t="0" r="17780" b="635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133EC6" w14:textId="77777777" w:rsidR="00767C3C" w:rsidRPr="00D92E20" w:rsidRDefault="00767C3C" w:rsidP="00BA6B4E">
      <w:pPr>
        <w:spacing w:before="120" w:after="120"/>
        <w:rPr>
          <w:sz w:val="16"/>
        </w:rPr>
      </w:pPr>
      <w:r w:rsidRPr="00D92E20">
        <w:rPr>
          <w:sz w:val="16"/>
        </w:rPr>
        <w:t>Zdroj: ČSÚ</w:t>
      </w:r>
    </w:p>
    <w:p w14:paraId="29C3F421" w14:textId="77777777" w:rsidR="004A31C1" w:rsidRPr="00D92E20" w:rsidRDefault="004A31C1" w:rsidP="004A31C1">
      <w:pPr>
        <w:spacing w:before="120" w:after="120"/>
        <w:jc w:val="both"/>
      </w:pPr>
      <w:r>
        <w:lastRenderedPageBreak/>
        <w:t>V průměrné délce trvání dočasné pracovní neschopnosti s velkým odstupem následovaly sekce</w:t>
      </w:r>
      <w:r w:rsidRPr="0064296A">
        <w:t xml:space="preserve"> Zemědělství, lesnictví, rybářství (</w:t>
      </w:r>
      <w:r>
        <w:t>44 dnů) a</w:t>
      </w:r>
      <w:r w:rsidRPr="0064296A">
        <w:t xml:space="preserve"> </w:t>
      </w:r>
      <w:r>
        <w:t xml:space="preserve">Činnosti v oblasti nemovitostí (42 dnů). Nejnižší </w:t>
      </w:r>
      <w:r w:rsidRPr="0064296A">
        <w:t>doba (27 dnů) připadala na pracovní neschopnost v odvětví In</w:t>
      </w:r>
      <w:r>
        <w:t>formační a komunikační činnosti</w:t>
      </w:r>
      <w:r w:rsidRPr="0064296A">
        <w:t>. Dalšími odvětvími s poměrně nízkou průměrnou délkou pracovní neschopnosti bylo Vzdělávání (</w:t>
      </w:r>
      <w:r>
        <w:t xml:space="preserve">28 </w:t>
      </w:r>
      <w:r w:rsidRPr="0064296A">
        <w:t>dnů). Podrobněji viz graf 2.10 a tab. 2.6.</w:t>
      </w:r>
    </w:p>
    <w:p w14:paraId="075BF525" w14:textId="38D96036" w:rsidR="0044223A" w:rsidRPr="00DC0DB3" w:rsidRDefault="008C0BDB" w:rsidP="00BA6B4E">
      <w:pPr>
        <w:spacing w:after="120"/>
        <w:jc w:val="both"/>
      </w:pPr>
      <w:r w:rsidRPr="00DC0DB3">
        <w:t>V drtivé většině</w:t>
      </w:r>
      <w:r w:rsidR="00945181" w:rsidRPr="00DC0DB3">
        <w:t xml:space="preserve"> odvětví došlo </w:t>
      </w:r>
      <w:r w:rsidR="00270278" w:rsidRPr="00DC0DB3">
        <w:t xml:space="preserve">meziročně </w:t>
      </w:r>
      <w:r w:rsidR="00945181" w:rsidRPr="00DC0DB3">
        <w:t xml:space="preserve">ke </w:t>
      </w:r>
      <w:r w:rsidR="00126E91" w:rsidRPr="00DC0DB3">
        <w:t>zkrácení</w:t>
      </w:r>
      <w:r w:rsidR="00945181" w:rsidRPr="00DC0DB3">
        <w:t xml:space="preserve"> </w:t>
      </w:r>
      <w:r w:rsidR="00BE43F5">
        <w:t xml:space="preserve">průměrné délky </w:t>
      </w:r>
      <w:r w:rsidR="00945181" w:rsidRPr="00DC0DB3">
        <w:t xml:space="preserve">pracovní neschopnosti. Výjimku tvořilo </w:t>
      </w:r>
      <w:r w:rsidR="00767C3C" w:rsidRPr="00DC0DB3">
        <w:t>Ubytování, stravování a pohostinství</w:t>
      </w:r>
      <w:r w:rsidR="00945181" w:rsidRPr="00DC0DB3">
        <w:t xml:space="preserve">, kde se průměrná doba trvání neschopenky </w:t>
      </w:r>
      <w:r w:rsidR="00671EEE" w:rsidRPr="00DC0DB3">
        <w:t xml:space="preserve">prodloužila </w:t>
      </w:r>
      <w:r w:rsidR="00945181" w:rsidRPr="00DC0DB3">
        <w:t xml:space="preserve">o </w:t>
      </w:r>
      <w:r w:rsidRPr="00DC0DB3">
        <w:t>0,5 dne a</w:t>
      </w:r>
      <w:r w:rsidR="00CD63E8">
        <w:t> </w:t>
      </w:r>
      <w:r w:rsidR="00945181" w:rsidRPr="00DC0DB3">
        <w:t>Peněžnictví a pojišťovnictví</w:t>
      </w:r>
      <w:r w:rsidRPr="00DC0DB3">
        <w:t>, kde došlo k nárůstu průměrné doby trvání pracovní neschopnosti o 0,4 dne.</w:t>
      </w:r>
      <w:r w:rsidR="00945181" w:rsidRPr="00DC0DB3">
        <w:t xml:space="preserve"> </w:t>
      </w:r>
      <w:r w:rsidRPr="00DC0DB3">
        <w:t xml:space="preserve">Nutno doplnit, že </w:t>
      </w:r>
      <w:r w:rsidR="0044223A" w:rsidRPr="00DC0DB3">
        <w:t>Peněžnictví má dlouhodobě níz</w:t>
      </w:r>
      <w:r w:rsidRPr="00DC0DB3">
        <w:t xml:space="preserve">kou míru pracovní neschopnosti, tudíž je </w:t>
      </w:r>
      <w:r w:rsidR="00CE2C2A" w:rsidRPr="00DC0DB3">
        <w:t>na drobné meziroční výkyvy náchylnější.</w:t>
      </w:r>
    </w:p>
    <w:p w14:paraId="6DD83D4B" w14:textId="445D803E" w:rsidR="00502EDF" w:rsidRPr="00DC0DB3" w:rsidRDefault="0044223A" w:rsidP="00BA6B4E">
      <w:pPr>
        <w:spacing w:after="120"/>
        <w:jc w:val="both"/>
      </w:pPr>
      <w:r w:rsidRPr="00DC0DB3">
        <w:t>Naopak k největšímu meziročnímu poklesu – o 1</w:t>
      </w:r>
      <w:r w:rsidR="008C0BDB" w:rsidRPr="00DC0DB3">
        <w:t>5</w:t>
      </w:r>
      <w:r w:rsidRPr="00DC0DB3">
        <w:t xml:space="preserve"> dnů, tedy o </w:t>
      </w:r>
      <w:r w:rsidR="008C0BDB" w:rsidRPr="00DC0DB3">
        <w:t>čtvrtinu</w:t>
      </w:r>
      <w:r w:rsidRPr="00DC0DB3">
        <w:t xml:space="preserve"> – došlo v odvětví </w:t>
      </w:r>
      <w:r w:rsidR="008C0BDB" w:rsidRPr="00DC0DB3">
        <w:rPr>
          <w:b/>
        </w:rPr>
        <w:t>Zemědělství, lesnictví a rybářství</w:t>
      </w:r>
      <w:r w:rsidRPr="00DC0DB3">
        <w:t xml:space="preserve">. Průměrná délka trvání pracovní neschopnosti činila </w:t>
      </w:r>
      <w:r w:rsidR="008C0BDB" w:rsidRPr="00DC0DB3">
        <w:t>44</w:t>
      </w:r>
      <w:r w:rsidRPr="00DC0DB3">
        <w:t xml:space="preserve"> dnů, tedy o </w:t>
      </w:r>
      <w:r w:rsidR="008C0BDB" w:rsidRPr="00DC0DB3">
        <w:t>7</w:t>
      </w:r>
      <w:r w:rsidR="00BE43F5">
        <w:t xml:space="preserve"> dní</w:t>
      </w:r>
      <w:r w:rsidRPr="00DC0DB3">
        <w:t xml:space="preserve"> </w:t>
      </w:r>
      <w:r w:rsidR="008C0BDB" w:rsidRPr="00DC0DB3">
        <w:t>více</w:t>
      </w:r>
      <w:r w:rsidRPr="00DC0DB3">
        <w:t xml:space="preserve"> než byl průměr za všechna odvětví.</w:t>
      </w:r>
    </w:p>
    <w:p w14:paraId="1BB45092" w14:textId="279FF560" w:rsidR="00BA6B4E" w:rsidRPr="00E10DD4" w:rsidRDefault="006C7D54" w:rsidP="00BA6B4E">
      <w:pPr>
        <w:spacing w:after="120"/>
        <w:jc w:val="both"/>
      </w:pPr>
      <w:r>
        <w:t>V </w:t>
      </w:r>
      <w:r w:rsidRPr="006C7D54">
        <w:rPr>
          <w:b/>
        </w:rPr>
        <w:t>regionálním</w:t>
      </w:r>
      <w:r>
        <w:t xml:space="preserve"> </w:t>
      </w:r>
      <w:r w:rsidRPr="006C7D54">
        <w:t>srovnání</w:t>
      </w:r>
      <w:r w:rsidR="00BA6B4E" w:rsidRPr="00E10DD4">
        <w:t xml:space="preserve"> byla v</w:t>
      </w:r>
      <w:r w:rsidR="00DC0DB3" w:rsidRPr="00E10DD4">
        <w:t> 1. pol. 2021</w:t>
      </w:r>
      <w:r w:rsidR="00BA6B4E" w:rsidRPr="00E10DD4">
        <w:t xml:space="preserve"> nejdelší průměrná doba trvání dočasné pracovní neschopnosti zaznamenána ve Zlínském (4</w:t>
      </w:r>
      <w:r w:rsidR="00DC0DB3" w:rsidRPr="00E10DD4">
        <w:t>2</w:t>
      </w:r>
      <w:r w:rsidR="00BA6B4E" w:rsidRPr="00E10DD4">
        <w:t>,</w:t>
      </w:r>
      <w:r w:rsidR="00DC0DB3" w:rsidRPr="00E10DD4">
        <w:t>4</w:t>
      </w:r>
      <w:r w:rsidR="00BA6B4E" w:rsidRPr="00E10DD4">
        <w:t xml:space="preserve"> dne) a v Moravskoslezském kraji (4</w:t>
      </w:r>
      <w:r w:rsidR="00DC0DB3" w:rsidRPr="00E10DD4">
        <w:t>0</w:t>
      </w:r>
      <w:r w:rsidR="00BA6B4E" w:rsidRPr="00E10DD4">
        <w:t>,9 dne). Kraji s nejkratší délkou trvání pracovní ne</w:t>
      </w:r>
      <w:r w:rsidR="00DC0DB3" w:rsidRPr="00E10DD4">
        <w:t>schopnosti byly Královéhradecký</w:t>
      </w:r>
      <w:r w:rsidR="00E10DD4" w:rsidRPr="00E10DD4">
        <w:t xml:space="preserve"> (32,5)</w:t>
      </w:r>
      <w:r w:rsidR="00DC0DB3" w:rsidRPr="00E10DD4">
        <w:t>,</w:t>
      </w:r>
      <w:r w:rsidR="00BA6B4E" w:rsidRPr="00E10DD4">
        <w:t xml:space="preserve"> </w:t>
      </w:r>
      <w:r w:rsidR="00DC0DB3" w:rsidRPr="00E10DD4">
        <w:t>L</w:t>
      </w:r>
      <w:r w:rsidR="00BA6B4E" w:rsidRPr="00E10DD4">
        <w:t xml:space="preserve">iberecký </w:t>
      </w:r>
      <w:r w:rsidR="00E10DD4" w:rsidRPr="00E10DD4">
        <w:t xml:space="preserve">(32,6) </w:t>
      </w:r>
      <w:r w:rsidR="00DC0DB3" w:rsidRPr="00E10DD4">
        <w:t xml:space="preserve">a Středočeský </w:t>
      </w:r>
      <w:r w:rsidR="00BA6B4E" w:rsidRPr="00E10DD4">
        <w:t>kraj</w:t>
      </w:r>
      <w:r w:rsidR="00E10DD4" w:rsidRPr="00E10DD4">
        <w:t xml:space="preserve"> (33,5)</w:t>
      </w:r>
      <w:r w:rsidR="00DC0DB3" w:rsidRPr="00E10DD4">
        <w:t>.</w:t>
      </w:r>
      <w:r w:rsidR="00BA6B4E" w:rsidRPr="00E10DD4">
        <w:t xml:space="preserve"> </w:t>
      </w:r>
      <w:r w:rsidR="00E10DD4">
        <w:t xml:space="preserve">Dlouhodobě se mezi kraji s nejkratší dobou trvání pracovní neschopnosti pohybovala Praha, v 1. pol. 2021 ji však s hodnotou blízkou celorepublikovému průměru patřilo až 8. místo. </w:t>
      </w:r>
      <w:r w:rsidR="00BA6B4E" w:rsidRPr="00E10DD4">
        <w:t>Ve všech krajích ČR hodnoty tohoto ukazatele meziročně poklesly.</w:t>
      </w:r>
    </w:p>
    <w:p w14:paraId="17909FC9" w14:textId="05968850" w:rsidR="00502EDF" w:rsidRPr="00DC0DB3" w:rsidRDefault="00502EDF" w:rsidP="00BA6B4E">
      <w:pPr>
        <w:spacing w:after="0"/>
        <w:jc w:val="both"/>
        <w:rPr>
          <w:b/>
        </w:rPr>
      </w:pPr>
      <w:r w:rsidRPr="00DC0DB3">
        <w:rPr>
          <w:b/>
        </w:rPr>
        <w:t xml:space="preserve">Tab. 2.6: Průměrná délka trvání dočasné pracovní neschopnosti podle odvětví (sekce CZ-NACE), </w:t>
      </w:r>
      <w:r w:rsidR="00DC0DB3">
        <w:rPr>
          <w:b/>
        </w:rPr>
        <w:br/>
      </w:r>
      <w:r w:rsidR="00DC0DB3" w:rsidRPr="00DC0DB3">
        <w:rPr>
          <w:b/>
        </w:rPr>
        <w:t>1. pol. 2011–1.pol. 2021</w:t>
      </w:r>
    </w:p>
    <w:tbl>
      <w:tblPr>
        <w:tblW w:w="9720" w:type="dxa"/>
        <w:tblCellMar>
          <w:left w:w="70" w:type="dxa"/>
          <w:right w:w="70" w:type="dxa"/>
        </w:tblCellMar>
        <w:tblLook w:val="04A0" w:firstRow="1" w:lastRow="0" w:firstColumn="1" w:lastColumn="0" w:noHBand="0" w:noVBand="1"/>
      </w:tblPr>
      <w:tblGrid>
        <w:gridCol w:w="3175"/>
        <w:gridCol w:w="595"/>
        <w:gridCol w:w="595"/>
        <w:gridCol w:w="595"/>
        <w:gridCol w:w="595"/>
        <w:gridCol w:w="595"/>
        <w:gridCol w:w="595"/>
        <w:gridCol w:w="595"/>
        <w:gridCol w:w="595"/>
        <w:gridCol w:w="595"/>
        <w:gridCol w:w="595"/>
        <w:gridCol w:w="595"/>
      </w:tblGrid>
      <w:tr w:rsidR="00DC0DB3" w:rsidRPr="00D92E20" w14:paraId="6A890C8A" w14:textId="77777777" w:rsidTr="00DC0DB3">
        <w:trPr>
          <w:trHeight w:val="300"/>
        </w:trPr>
        <w:tc>
          <w:tcPr>
            <w:tcW w:w="3175" w:type="dxa"/>
            <w:tcBorders>
              <w:top w:val="single" w:sz="4" w:space="0" w:color="auto"/>
              <w:left w:val="nil"/>
              <w:bottom w:val="single" w:sz="4" w:space="0" w:color="auto"/>
              <w:right w:val="single" w:sz="4" w:space="0" w:color="auto"/>
            </w:tcBorders>
            <w:shd w:val="clear" w:color="000000" w:fill="F5DADD"/>
            <w:vAlign w:val="center"/>
            <w:hideMark/>
          </w:tcPr>
          <w:p w14:paraId="224E9BF1" w14:textId="77777777" w:rsidR="00DC0DB3" w:rsidRPr="00D92E20" w:rsidRDefault="00DC0DB3" w:rsidP="00DC0DB3">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3CC12FB0" w14:textId="63FABB21"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595" w:type="dxa"/>
            <w:tcBorders>
              <w:top w:val="single" w:sz="4" w:space="0" w:color="auto"/>
              <w:left w:val="nil"/>
              <w:bottom w:val="single" w:sz="4" w:space="0" w:color="auto"/>
              <w:right w:val="nil"/>
            </w:tcBorders>
            <w:shd w:val="clear" w:color="000000" w:fill="F5DADD"/>
            <w:noWrap/>
            <w:vAlign w:val="bottom"/>
            <w:hideMark/>
          </w:tcPr>
          <w:p w14:paraId="5A4F432F" w14:textId="37D0703F"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2DD15085" w14:textId="04C6B811"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520ACE1D" w14:textId="72890096"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03921989" w14:textId="4A56976A"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16EA5EEF" w14:textId="2B1B37D4"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3848B936" w14:textId="0EB42791"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58F623E8" w14:textId="39E6AAAA" w:rsidR="00DC0DB3" w:rsidRPr="00D92E20" w:rsidRDefault="00DC0DB3" w:rsidP="00DC0DB3">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75CC6C92" w14:textId="415290FE" w:rsidR="00DC0DB3" w:rsidRPr="00D92E20" w:rsidRDefault="00DC0DB3" w:rsidP="00DC0DB3">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3E6E0F74" w14:textId="3B3B2784" w:rsidR="00DC0DB3" w:rsidRPr="00D92E20" w:rsidRDefault="00DC0DB3" w:rsidP="00DC0DB3">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1F53BD12" w14:textId="1303269D" w:rsidR="00DC0DB3" w:rsidRPr="00D92E20" w:rsidRDefault="00DC0DB3" w:rsidP="00DC0DB3">
            <w:pPr>
              <w:spacing w:after="0" w:line="240" w:lineRule="auto"/>
              <w:jc w:val="center"/>
              <w:rPr>
                <w:rFonts w:cs="Arial"/>
                <w:color w:val="000000"/>
                <w:sz w:val="16"/>
                <w:szCs w:val="16"/>
              </w:rPr>
            </w:pPr>
            <w:r>
              <w:rPr>
                <w:rFonts w:cs="Arial"/>
                <w:sz w:val="16"/>
                <w:szCs w:val="16"/>
              </w:rPr>
              <w:t>1. pol. 2021</w:t>
            </w:r>
          </w:p>
        </w:tc>
      </w:tr>
      <w:tr w:rsidR="00DC0DB3" w:rsidRPr="00D92E20" w14:paraId="7279222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6B30265" w14:textId="77777777" w:rsidR="00DC0DB3" w:rsidRPr="00D92E20" w:rsidRDefault="00DC0DB3" w:rsidP="00DC0DB3">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3C6FA4A0" w14:textId="721BDEE1" w:rsidR="00DC0DB3" w:rsidRPr="00D92E20" w:rsidRDefault="00DC0DB3" w:rsidP="00DC0DB3">
            <w:pPr>
              <w:spacing w:after="0" w:line="240" w:lineRule="auto"/>
              <w:jc w:val="center"/>
              <w:rPr>
                <w:rFonts w:cs="Arial"/>
                <w:b/>
                <w:bCs/>
                <w:color w:val="000000"/>
                <w:sz w:val="16"/>
                <w:szCs w:val="16"/>
              </w:rPr>
            </w:pPr>
            <w:r>
              <w:rPr>
                <w:rFonts w:cs="Arial"/>
                <w:b/>
                <w:bCs/>
                <w:sz w:val="16"/>
                <w:szCs w:val="16"/>
              </w:rPr>
              <w:t>42,8</w:t>
            </w:r>
          </w:p>
        </w:tc>
        <w:tc>
          <w:tcPr>
            <w:tcW w:w="595" w:type="dxa"/>
            <w:tcBorders>
              <w:top w:val="nil"/>
              <w:left w:val="nil"/>
              <w:bottom w:val="nil"/>
              <w:right w:val="nil"/>
            </w:tcBorders>
            <w:shd w:val="clear" w:color="auto" w:fill="auto"/>
            <w:noWrap/>
            <w:vAlign w:val="center"/>
            <w:hideMark/>
          </w:tcPr>
          <w:p w14:paraId="220B4FFD" w14:textId="371AB84C" w:rsidR="00DC0DB3" w:rsidRPr="00D92E20" w:rsidRDefault="00DC0DB3" w:rsidP="00DC0DB3">
            <w:pPr>
              <w:spacing w:after="0" w:line="240" w:lineRule="auto"/>
              <w:jc w:val="center"/>
              <w:rPr>
                <w:rFonts w:cs="Arial"/>
                <w:b/>
                <w:bCs/>
                <w:color w:val="000000"/>
                <w:sz w:val="16"/>
                <w:szCs w:val="16"/>
              </w:rPr>
            </w:pPr>
            <w:r>
              <w:rPr>
                <w:rFonts w:cs="Arial"/>
                <w:b/>
                <w:bCs/>
                <w:sz w:val="16"/>
                <w:szCs w:val="16"/>
              </w:rPr>
              <w:t>47,7</w:t>
            </w:r>
          </w:p>
        </w:tc>
        <w:tc>
          <w:tcPr>
            <w:tcW w:w="595" w:type="dxa"/>
            <w:tcBorders>
              <w:top w:val="nil"/>
              <w:left w:val="nil"/>
              <w:bottom w:val="nil"/>
              <w:right w:val="nil"/>
            </w:tcBorders>
            <w:shd w:val="clear" w:color="auto" w:fill="auto"/>
            <w:noWrap/>
            <w:vAlign w:val="center"/>
            <w:hideMark/>
          </w:tcPr>
          <w:p w14:paraId="270869CA" w14:textId="52C6C332" w:rsidR="00DC0DB3" w:rsidRPr="00D92E20" w:rsidRDefault="00DC0DB3" w:rsidP="00DC0DB3">
            <w:pPr>
              <w:spacing w:after="0" w:line="240" w:lineRule="auto"/>
              <w:jc w:val="center"/>
              <w:rPr>
                <w:rFonts w:cs="Arial"/>
                <w:b/>
                <w:bCs/>
                <w:color w:val="000000"/>
                <w:sz w:val="16"/>
                <w:szCs w:val="16"/>
              </w:rPr>
            </w:pPr>
            <w:r>
              <w:rPr>
                <w:rFonts w:cs="Arial"/>
                <w:b/>
                <w:bCs/>
                <w:sz w:val="16"/>
                <w:szCs w:val="16"/>
              </w:rPr>
              <w:t>42,2</w:t>
            </w:r>
          </w:p>
        </w:tc>
        <w:tc>
          <w:tcPr>
            <w:tcW w:w="595" w:type="dxa"/>
            <w:tcBorders>
              <w:top w:val="nil"/>
              <w:left w:val="nil"/>
              <w:bottom w:val="nil"/>
              <w:right w:val="nil"/>
            </w:tcBorders>
            <w:shd w:val="clear" w:color="auto" w:fill="auto"/>
            <w:noWrap/>
            <w:vAlign w:val="center"/>
            <w:hideMark/>
          </w:tcPr>
          <w:p w14:paraId="08CF2BCD" w14:textId="3338C07D" w:rsidR="00DC0DB3" w:rsidRPr="00D92E20" w:rsidRDefault="00DC0DB3" w:rsidP="00DC0DB3">
            <w:pPr>
              <w:spacing w:after="0" w:line="240" w:lineRule="auto"/>
              <w:jc w:val="center"/>
              <w:rPr>
                <w:rFonts w:cs="Arial"/>
                <w:b/>
                <w:bCs/>
                <w:color w:val="000000"/>
                <w:sz w:val="16"/>
                <w:szCs w:val="16"/>
              </w:rPr>
            </w:pPr>
            <w:r>
              <w:rPr>
                <w:rFonts w:cs="Arial"/>
                <w:b/>
                <w:bCs/>
                <w:sz w:val="16"/>
                <w:szCs w:val="16"/>
              </w:rPr>
              <w:t>45,9</w:t>
            </w:r>
          </w:p>
        </w:tc>
        <w:tc>
          <w:tcPr>
            <w:tcW w:w="595" w:type="dxa"/>
            <w:tcBorders>
              <w:top w:val="nil"/>
              <w:left w:val="nil"/>
              <w:bottom w:val="nil"/>
              <w:right w:val="nil"/>
            </w:tcBorders>
            <w:shd w:val="clear" w:color="auto" w:fill="auto"/>
            <w:noWrap/>
            <w:vAlign w:val="center"/>
            <w:hideMark/>
          </w:tcPr>
          <w:p w14:paraId="0ECFFA8B" w14:textId="00F40156" w:rsidR="00DC0DB3" w:rsidRPr="00D92E20" w:rsidRDefault="00DC0DB3" w:rsidP="00DC0DB3">
            <w:pPr>
              <w:spacing w:after="0" w:line="240" w:lineRule="auto"/>
              <w:jc w:val="center"/>
              <w:rPr>
                <w:rFonts w:cs="Arial"/>
                <w:b/>
                <w:bCs/>
                <w:color w:val="000000"/>
                <w:sz w:val="16"/>
                <w:szCs w:val="16"/>
              </w:rPr>
            </w:pPr>
            <w:r>
              <w:rPr>
                <w:rFonts w:cs="Arial"/>
                <w:b/>
                <w:bCs/>
                <w:sz w:val="16"/>
                <w:szCs w:val="16"/>
              </w:rPr>
              <w:t>40,1</w:t>
            </w:r>
          </w:p>
        </w:tc>
        <w:tc>
          <w:tcPr>
            <w:tcW w:w="595" w:type="dxa"/>
            <w:tcBorders>
              <w:top w:val="nil"/>
              <w:left w:val="nil"/>
              <w:bottom w:val="nil"/>
              <w:right w:val="nil"/>
            </w:tcBorders>
            <w:shd w:val="clear" w:color="auto" w:fill="auto"/>
            <w:noWrap/>
            <w:vAlign w:val="center"/>
            <w:hideMark/>
          </w:tcPr>
          <w:p w14:paraId="5BCB5A45" w14:textId="5FC53126"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42,0</w:t>
            </w:r>
          </w:p>
        </w:tc>
        <w:tc>
          <w:tcPr>
            <w:tcW w:w="595" w:type="dxa"/>
            <w:tcBorders>
              <w:top w:val="nil"/>
              <w:left w:val="nil"/>
              <w:bottom w:val="nil"/>
              <w:right w:val="nil"/>
            </w:tcBorders>
            <w:shd w:val="clear" w:color="auto" w:fill="auto"/>
            <w:noWrap/>
            <w:vAlign w:val="center"/>
            <w:hideMark/>
          </w:tcPr>
          <w:p w14:paraId="2352F69D" w14:textId="0AAACF4E"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41,0</w:t>
            </w:r>
          </w:p>
        </w:tc>
        <w:tc>
          <w:tcPr>
            <w:tcW w:w="595" w:type="dxa"/>
            <w:tcBorders>
              <w:top w:val="nil"/>
              <w:left w:val="nil"/>
              <w:bottom w:val="nil"/>
              <w:right w:val="nil"/>
            </w:tcBorders>
            <w:shd w:val="clear" w:color="auto" w:fill="auto"/>
            <w:noWrap/>
            <w:vAlign w:val="center"/>
            <w:hideMark/>
          </w:tcPr>
          <w:p w14:paraId="40CBADF1" w14:textId="7C508AC0"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39,1</w:t>
            </w:r>
          </w:p>
        </w:tc>
        <w:tc>
          <w:tcPr>
            <w:tcW w:w="595" w:type="dxa"/>
            <w:tcBorders>
              <w:top w:val="nil"/>
              <w:left w:val="nil"/>
              <w:bottom w:val="nil"/>
              <w:right w:val="nil"/>
            </w:tcBorders>
            <w:shd w:val="clear" w:color="auto" w:fill="auto"/>
            <w:noWrap/>
            <w:vAlign w:val="center"/>
            <w:hideMark/>
          </w:tcPr>
          <w:p w14:paraId="60DCC646" w14:textId="33081568"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42,6</w:t>
            </w:r>
          </w:p>
        </w:tc>
        <w:tc>
          <w:tcPr>
            <w:tcW w:w="595" w:type="dxa"/>
            <w:tcBorders>
              <w:top w:val="nil"/>
              <w:left w:val="nil"/>
              <w:bottom w:val="nil"/>
              <w:right w:val="nil"/>
            </w:tcBorders>
            <w:shd w:val="clear" w:color="auto" w:fill="auto"/>
            <w:noWrap/>
            <w:vAlign w:val="center"/>
            <w:hideMark/>
          </w:tcPr>
          <w:p w14:paraId="10AF4F76" w14:textId="5FD260AF"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44,3</w:t>
            </w:r>
          </w:p>
        </w:tc>
        <w:tc>
          <w:tcPr>
            <w:tcW w:w="595" w:type="dxa"/>
            <w:tcBorders>
              <w:top w:val="nil"/>
              <w:left w:val="nil"/>
              <w:bottom w:val="nil"/>
              <w:right w:val="nil"/>
            </w:tcBorders>
            <w:shd w:val="clear" w:color="auto" w:fill="auto"/>
            <w:noWrap/>
            <w:vAlign w:val="center"/>
            <w:hideMark/>
          </w:tcPr>
          <w:p w14:paraId="30882827" w14:textId="74198510" w:rsidR="00DC0DB3" w:rsidRPr="00D92E20" w:rsidRDefault="00DC0DB3" w:rsidP="00DC0DB3">
            <w:pPr>
              <w:spacing w:after="0" w:line="240" w:lineRule="auto"/>
              <w:jc w:val="center"/>
              <w:rPr>
                <w:rFonts w:cs="Arial"/>
                <w:b/>
                <w:bCs/>
                <w:color w:val="000000"/>
                <w:sz w:val="16"/>
                <w:szCs w:val="16"/>
              </w:rPr>
            </w:pPr>
            <w:r>
              <w:rPr>
                <w:rFonts w:cs="Arial"/>
                <w:b/>
                <w:bCs/>
                <w:color w:val="000000"/>
                <w:sz w:val="16"/>
                <w:szCs w:val="16"/>
              </w:rPr>
              <w:t>36,3</w:t>
            </w:r>
          </w:p>
        </w:tc>
      </w:tr>
      <w:tr w:rsidR="00DC0DB3" w:rsidRPr="00D92E20" w14:paraId="62FE7293"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C211987"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0CDD0937" w14:textId="70D35F57" w:rsidR="00DC0DB3" w:rsidRPr="00D92E20" w:rsidRDefault="00DC0DB3" w:rsidP="00DC0DB3">
            <w:pPr>
              <w:spacing w:after="0" w:line="240" w:lineRule="auto"/>
              <w:jc w:val="center"/>
              <w:rPr>
                <w:rFonts w:cs="Arial"/>
                <w:color w:val="000000"/>
                <w:sz w:val="16"/>
                <w:szCs w:val="16"/>
              </w:rPr>
            </w:pPr>
            <w:r>
              <w:rPr>
                <w:rFonts w:cs="Arial"/>
                <w:sz w:val="16"/>
                <w:szCs w:val="16"/>
              </w:rPr>
              <w:t>62,1</w:t>
            </w:r>
          </w:p>
        </w:tc>
        <w:tc>
          <w:tcPr>
            <w:tcW w:w="595" w:type="dxa"/>
            <w:tcBorders>
              <w:top w:val="nil"/>
              <w:left w:val="nil"/>
              <w:bottom w:val="nil"/>
              <w:right w:val="nil"/>
            </w:tcBorders>
            <w:shd w:val="clear" w:color="auto" w:fill="auto"/>
            <w:noWrap/>
            <w:vAlign w:val="center"/>
            <w:hideMark/>
          </w:tcPr>
          <w:p w14:paraId="16B74D2A" w14:textId="54B0D74A" w:rsidR="00DC0DB3" w:rsidRPr="00D92E20" w:rsidRDefault="00DC0DB3" w:rsidP="00DC0DB3">
            <w:pPr>
              <w:spacing w:after="0" w:line="240" w:lineRule="auto"/>
              <w:jc w:val="center"/>
              <w:rPr>
                <w:rFonts w:cs="Arial"/>
                <w:color w:val="000000"/>
                <w:sz w:val="16"/>
                <w:szCs w:val="16"/>
              </w:rPr>
            </w:pPr>
            <w:r>
              <w:rPr>
                <w:rFonts w:cs="Arial"/>
                <w:sz w:val="16"/>
                <w:szCs w:val="16"/>
              </w:rPr>
              <w:t>63,8</w:t>
            </w:r>
          </w:p>
        </w:tc>
        <w:tc>
          <w:tcPr>
            <w:tcW w:w="595" w:type="dxa"/>
            <w:tcBorders>
              <w:top w:val="nil"/>
              <w:left w:val="nil"/>
              <w:bottom w:val="nil"/>
              <w:right w:val="nil"/>
            </w:tcBorders>
            <w:shd w:val="clear" w:color="auto" w:fill="auto"/>
            <w:noWrap/>
            <w:vAlign w:val="center"/>
            <w:hideMark/>
          </w:tcPr>
          <w:p w14:paraId="1117F0FE" w14:textId="7679109A" w:rsidR="00DC0DB3" w:rsidRPr="00D92E20" w:rsidRDefault="00DC0DB3" w:rsidP="00DC0DB3">
            <w:pPr>
              <w:spacing w:after="0" w:line="240" w:lineRule="auto"/>
              <w:jc w:val="center"/>
              <w:rPr>
                <w:rFonts w:cs="Arial"/>
                <w:color w:val="000000"/>
                <w:sz w:val="16"/>
                <w:szCs w:val="16"/>
              </w:rPr>
            </w:pPr>
            <w:r>
              <w:rPr>
                <w:rFonts w:cs="Arial"/>
                <w:sz w:val="16"/>
                <w:szCs w:val="16"/>
              </w:rPr>
              <w:t>57,8</w:t>
            </w:r>
          </w:p>
        </w:tc>
        <w:tc>
          <w:tcPr>
            <w:tcW w:w="595" w:type="dxa"/>
            <w:tcBorders>
              <w:top w:val="nil"/>
              <w:left w:val="nil"/>
              <w:bottom w:val="nil"/>
              <w:right w:val="nil"/>
            </w:tcBorders>
            <w:shd w:val="clear" w:color="auto" w:fill="auto"/>
            <w:noWrap/>
            <w:vAlign w:val="center"/>
            <w:hideMark/>
          </w:tcPr>
          <w:p w14:paraId="5E85049B" w14:textId="2590B3BF" w:rsidR="00DC0DB3" w:rsidRPr="00D92E20" w:rsidRDefault="00DC0DB3" w:rsidP="00DC0DB3">
            <w:pPr>
              <w:spacing w:after="0" w:line="240" w:lineRule="auto"/>
              <w:jc w:val="center"/>
              <w:rPr>
                <w:rFonts w:cs="Arial"/>
                <w:color w:val="000000"/>
                <w:sz w:val="16"/>
                <w:szCs w:val="16"/>
              </w:rPr>
            </w:pPr>
            <w:r>
              <w:rPr>
                <w:rFonts w:cs="Arial"/>
                <w:sz w:val="16"/>
                <w:szCs w:val="16"/>
              </w:rPr>
              <w:t>62,0</w:t>
            </w:r>
          </w:p>
        </w:tc>
        <w:tc>
          <w:tcPr>
            <w:tcW w:w="595" w:type="dxa"/>
            <w:tcBorders>
              <w:top w:val="nil"/>
              <w:left w:val="nil"/>
              <w:bottom w:val="nil"/>
              <w:right w:val="nil"/>
            </w:tcBorders>
            <w:shd w:val="clear" w:color="auto" w:fill="auto"/>
            <w:noWrap/>
            <w:vAlign w:val="center"/>
            <w:hideMark/>
          </w:tcPr>
          <w:p w14:paraId="300EA153" w14:textId="7E817E07" w:rsidR="00DC0DB3" w:rsidRPr="00D92E20" w:rsidRDefault="00DC0DB3" w:rsidP="00DC0DB3">
            <w:pPr>
              <w:spacing w:after="0" w:line="240" w:lineRule="auto"/>
              <w:jc w:val="center"/>
              <w:rPr>
                <w:rFonts w:cs="Arial"/>
                <w:color w:val="000000"/>
                <w:sz w:val="16"/>
                <w:szCs w:val="16"/>
              </w:rPr>
            </w:pPr>
            <w:r>
              <w:rPr>
                <w:rFonts w:cs="Arial"/>
                <w:sz w:val="16"/>
                <w:szCs w:val="16"/>
              </w:rPr>
              <w:t>54,9</w:t>
            </w:r>
          </w:p>
        </w:tc>
        <w:tc>
          <w:tcPr>
            <w:tcW w:w="595" w:type="dxa"/>
            <w:tcBorders>
              <w:top w:val="nil"/>
              <w:left w:val="nil"/>
              <w:bottom w:val="nil"/>
              <w:right w:val="nil"/>
            </w:tcBorders>
            <w:shd w:val="clear" w:color="auto" w:fill="auto"/>
            <w:noWrap/>
            <w:vAlign w:val="center"/>
            <w:hideMark/>
          </w:tcPr>
          <w:p w14:paraId="3C4FC006" w14:textId="72C0F219" w:rsidR="00DC0DB3" w:rsidRPr="00D92E20" w:rsidRDefault="00DC0DB3" w:rsidP="00DC0DB3">
            <w:pPr>
              <w:spacing w:after="0" w:line="240" w:lineRule="auto"/>
              <w:jc w:val="center"/>
              <w:rPr>
                <w:rFonts w:cs="Arial"/>
                <w:color w:val="000000"/>
                <w:sz w:val="16"/>
                <w:szCs w:val="16"/>
              </w:rPr>
            </w:pPr>
            <w:r>
              <w:rPr>
                <w:rFonts w:cs="Arial"/>
                <w:color w:val="000000"/>
                <w:sz w:val="16"/>
                <w:szCs w:val="16"/>
              </w:rPr>
              <w:t>58,5</w:t>
            </w:r>
          </w:p>
        </w:tc>
        <w:tc>
          <w:tcPr>
            <w:tcW w:w="595" w:type="dxa"/>
            <w:tcBorders>
              <w:top w:val="nil"/>
              <w:left w:val="nil"/>
              <w:bottom w:val="nil"/>
              <w:right w:val="nil"/>
            </w:tcBorders>
            <w:shd w:val="clear" w:color="auto" w:fill="auto"/>
            <w:noWrap/>
            <w:vAlign w:val="center"/>
            <w:hideMark/>
          </w:tcPr>
          <w:p w14:paraId="5A867BF9" w14:textId="0308F160" w:rsidR="00DC0DB3" w:rsidRPr="00D92E20" w:rsidRDefault="00DC0DB3" w:rsidP="00DC0DB3">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744ED878" w14:textId="45AE73C8" w:rsidR="00DC0DB3" w:rsidRPr="00D92E20" w:rsidRDefault="00DC0DB3" w:rsidP="00DC0DB3">
            <w:pPr>
              <w:spacing w:after="0" w:line="240" w:lineRule="auto"/>
              <w:jc w:val="center"/>
              <w:rPr>
                <w:rFonts w:cs="Arial"/>
                <w:color w:val="000000"/>
                <w:sz w:val="16"/>
                <w:szCs w:val="16"/>
              </w:rPr>
            </w:pPr>
            <w:r>
              <w:rPr>
                <w:rFonts w:cs="Arial"/>
                <w:color w:val="000000"/>
                <w:sz w:val="16"/>
                <w:szCs w:val="16"/>
              </w:rPr>
              <w:t>53,4</w:t>
            </w:r>
          </w:p>
        </w:tc>
        <w:tc>
          <w:tcPr>
            <w:tcW w:w="595" w:type="dxa"/>
            <w:tcBorders>
              <w:top w:val="nil"/>
              <w:left w:val="nil"/>
              <w:bottom w:val="nil"/>
              <w:right w:val="nil"/>
            </w:tcBorders>
            <w:shd w:val="clear" w:color="auto" w:fill="auto"/>
            <w:noWrap/>
            <w:vAlign w:val="center"/>
            <w:hideMark/>
          </w:tcPr>
          <w:p w14:paraId="0FD36BB5" w14:textId="22997439" w:rsidR="00DC0DB3" w:rsidRPr="00D92E20" w:rsidRDefault="00DC0DB3" w:rsidP="00DC0DB3">
            <w:pPr>
              <w:spacing w:after="0" w:line="240" w:lineRule="auto"/>
              <w:jc w:val="center"/>
              <w:rPr>
                <w:rFonts w:cs="Arial"/>
                <w:color w:val="000000"/>
                <w:sz w:val="16"/>
                <w:szCs w:val="16"/>
              </w:rPr>
            </w:pPr>
            <w:r>
              <w:rPr>
                <w:rFonts w:cs="Arial"/>
                <w:color w:val="000000"/>
                <w:sz w:val="16"/>
                <w:szCs w:val="16"/>
              </w:rPr>
              <w:t>58,3</w:t>
            </w:r>
          </w:p>
        </w:tc>
        <w:tc>
          <w:tcPr>
            <w:tcW w:w="595" w:type="dxa"/>
            <w:tcBorders>
              <w:top w:val="nil"/>
              <w:left w:val="nil"/>
              <w:bottom w:val="nil"/>
              <w:right w:val="nil"/>
            </w:tcBorders>
            <w:shd w:val="clear" w:color="auto" w:fill="auto"/>
            <w:noWrap/>
            <w:vAlign w:val="center"/>
            <w:hideMark/>
          </w:tcPr>
          <w:p w14:paraId="3CD7B8D3" w14:textId="1AC90F1E" w:rsidR="00DC0DB3" w:rsidRPr="00D92E20" w:rsidRDefault="00DC0DB3" w:rsidP="00DC0DB3">
            <w:pPr>
              <w:spacing w:after="0" w:line="240" w:lineRule="auto"/>
              <w:jc w:val="center"/>
              <w:rPr>
                <w:rFonts w:cs="Arial"/>
                <w:color w:val="000000"/>
                <w:sz w:val="16"/>
                <w:szCs w:val="16"/>
              </w:rPr>
            </w:pPr>
            <w:r>
              <w:rPr>
                <w:rFonts w:cs="Arial"/>
                <w:color w:val="000000"/>
                <w:sz w:val="16"/>
                <w:szCs w:val="16"/>
              </w:rPr>
              <w:t>58,1</w:t>
            </w:r>
          </w:p>
        </w:tc>
        <w:tc>
          <w:tcPr>
            <w:tcW w:w="595" w:type="dxa"/>
            <w:tcBorders>
              <w:top w:val="nil"/>
              <w:left w:val="nil"/>
              <w:bottom w:val="nil"/>
              <w:right w:val="nil"/>
            </w:tcBorders>
            <w:shd w:val="clear" w:color="auto" w:fill="auto"/>
            <w:noWrap/>
            <w:vAlign w:val="center"/>
            <w:hideMark/>
          </w:tcPr>
          <w:p w14:paraId="3ADA47BA" w14:textId="2A763A5B"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43,5</w:t>
            </w:r>
          </w:p>
        </w:tc>
      </w:tr>
      <w:tr w:rsidR="00DC0DB3" w:rsidRPr="00D92E20" w14:paraId="3947DDA0"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567E6098"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494C9656" w14:textId="42BD1A33" w:rsidR="00DC0DB3" w:rsidRPr="00D92E20" w:rsidRDefault="00DC0DB3" w:rsidP="00DC0DB3">
            <w:pPr>
              <w:spacing w:after="0" w:line="240" w:lineRule="auto"/>
              <w:jc w:val="center"/>
              <w:rPr>
                <w:rFonts w:cs="Arial"/>
                <w:color w:val="000000"/>
                <w:sz w:val="16"/>
                <w:szCs w:val="16"/>
              </w:rPr>
            </w:pPr>
            <w:r>
              <w:rPr>
                <w:rFonts w:cs="Arial"/>
                <w:sz w:val="16"/>
                <w:szCs w:val="16"/>
              </w:rPr>
              <w:t>41,8</w:t>
            </w:r>
          </w:p>
        </w:tc>
        <w:tc>
          <w:tcPr>
            <w:tcW w:w="595" w:type="dxa"/>
            <w:tcBorders>
              <w:top w:val="nil"/>
              <w:left w:val="nil"/>
              <w:bottom w:val="nil"/>
              <w:right w:val="nil"/>
            </w:tcBorders>
            <w:shd w:val="clear" w:color="auto" w:fill="auto"/>
            <w:noWrap/>
            <w:vAlign w:val="center"/>
            <w:hideMark/>
          </w:tcPr>
          <w:p w14:paraId="1A304965" w14:textId="64C3D9A1" w:rsidR="00DC0DB3" w:rsidRPr="00D92E20" w:rsidRDefault="00DC0DB3" w:rsidP="00DC0DB3">
            <w:pPr>
              <w:spacing w:after="0" w:line="240" w:lineRule="auto"/>
              <w:jc w:val="center"/>
              <w:rPr>
                <w:rFonts w:cs="Arial"/>
                <w:color w:val="000000"/>
                <w:sz w:val="16"/>
                <w:szCs w:val="16"/>
              </w:rPr>
            </w:pPr>
            <w:r>
              <w:rPr>
                <w:rFonts w:cs="Arial"/>
                <w:sz w:val="16"/>
                <w:szCs w:val="16"/>
              </w:rPr>
              <w:t>43,3</w:t>
            </w:r>
          </w:p>
        </w:tc>
        <w:tc>
          <w:tcPr>
            <w:tcW w:w="595" w:type="dxa"/>
            <w:tcBorders>
              <w:top w:val="nil"/>
              <w:left w:val="nil"/>
              <w:bottom w:val="nil"/>
              <w:right w:val="nil"/>
            </w:tcBorders>
            <w:shd w:val="clear" w:color="auto" w:fill="auto"/>
            <w:noWrap/>
            <w:vAlign w:val="center"/>
            <w:hideMark/>
          </w:tcPr>
          <w:p w14:paraId="497C6D99" w14:textId="1372FA9A" w:rsidR="00DC0DB3" w:rsidRPr="00D92E20" w:rsidRDefault="00DC0DB3" w:rsidP="00DC0DB3">
            <w:pPr>
              <w:spacing w:after="0" w:line="240" w:lineRule="auto"/>
              <w:jc w:val="center"/>
              <w:rPr>
                <w:rFonts w:cs="Arial"/>
                <w:color w:val="000000"/>
                <w:sz w:val="16"/>
                <w:szCs w:val="16"/>
              </w:rPr>
            </w:pPr>
            <w:r>
              <w:rPr>
                <w:rFonts w:cs="Arial"/>
                <w:sz w:val="16"/>
                <w:szCs w:val="16"/>
              </w:rPr>
              <w:t>41,8</w:t>
            </w:r>
          </w:p>
        </w:tc>
        <w:tc>
          <w:tcPr>
            <w:tcW w:w="595" w:type="dxa"/>
            <w:tcBorders>
              <w:top w:val="nil"/>
              <w:left w:val="nil"/>
              <w:bottom w:val="nil"/>
              <w:right w:val="nil"/>
            </w:tcBorders>
            <w:shd w:val="clear" w:color="auto" w:fill="auto"/>
            <w:noWrap/>
            <w:vAlign w:val="center"/>
            <w:hideMark/>
          </w:tcPr>
          <w:p w14:paraId="4585727B" w14:textId="7405DB56" w:rsidR="00DC0DB3" w:rsidRPr="00D92E20" w:rsidRDefault="00DC0DB3" w:rsidP="00DC0DB3">
            <w:pPr>
              <w:spacing w:after="0" w:line="240" w:lineRule="auto"/>
              <w:jc w:val="center"/>
              <w:rPr>
                <w:rFonts w:cs="Arial"/>
                <w:color w:val="000000"/>
                <w:sz w:val="16"/>
                <w:szCs w:val="16"/>
              </w:rPr>
            </w:pPr>
            <w:r>
              <w:rPr>
                <w:rFonts w:cs="Arial"/>
                <w:sz w:val="16"/>
                <w:szCs w:val="16"/>
              </w:rPr>
              <w:t>49,7</w:t>
            </w:r>
          </w:p>
        </w:tc>
        <w:tc>
          <w:tcPr>
            <w:tcW w:w="595" w:type="dxa"/>
            <w:tcBorders>
              <w:top w:val="nil"/>
              <w:left w:val="nil"/>
              <w:bottom w:val="nil"/>
              <w:right w:val="nil"/>
            </w:tcBorders>
            <w:shd w:val="clear" w:color="auto" w:fill="auto"/>
            <w:noWrap/>
            <w:vAlign w:val="center"/>
            <w:hideMark/>
          </w:tcPr>
          <w:p w14:paraId="2B85A1BE" w14:textId="189F7245" w:rsidR="00DC0DB3" w:rsidRPr="00D92E20" w:rsidRDefault="00DC0DB3" w:rsidP="00DC0DB3">
            <w:pPr>
              <w:spacing w:after="0" w:line="240" w:lineRule="auto"/>
              <w:jc w:val="center"/>
              <w:rPr>
                <w:rFonts w:cs="Arial"/>
                <w:color w:val="000000"/>
                <w:sz w:val="16"/>
                <w:szCs w:val="16"/>
              </w:rPr>
            </w:pPr>
            <w:r>
              <w:rPr>
                <w:rFonts w:cs="Arial"/>
                <w:sz w:val="16"/>
                <w:szCs w:val="16"/>
              </w:rPr>
              <w:t>43,6</w:t>
            </w:r>
          </w:p>
        </w:tc>
        <w:tc>
          <w:tcPr>
            <w:tcW w:w="595" w:type="dxa"/>
            <w:tcBorders>
              <w:top w:val="nil"/>
              <w:left w:val="nil"/>
              <w:bottom w:val="nil"/>
              <w:right w:val="nil"/>
            </w:tcBorders>
            <w:shd w:val="clear" w:color="auto" w:fill="auto"/>
            <w:noWrap/>
            <w:vAlign w:val="center"/>
            <w:hideMark/>
          </w:tcPr>
          <w:p w14:paraId="409AAD52" w14:textId="7C30BDCE" w:rsidR="00DC0DB3" w:rsidRPr="00D92E20" w:rsidRDefault="00DC0DB3" w:rsidP="00DC0DB3">
            <w:pPr>
              <w:spacing w:after="0" w:line="240" w:lineRule="auto"/>
              <w:jc w:val="center"/>
              <w:rPr>
                <w:rFonts w:cs="Arial"/>
                <w:color w:val="000000"/>
                <w:sz w:val="16"/>
                <w:szCs w:val="16"/>
              </w:rPr>
            </w:pPr>
            <w:r>
              <w:rPr>
                <w:rFonts w:cs="Arial"/>
                <w:color w:val="000000"/>
                <w:sz w:val="16"/>
                <w:szCs w:val="16"/>
              </w:rPr>
              <w:t>51,1</w:t>
            </w:r>
          </w:p>
        </w:tc>
        <w:tc>
          <w:tcPr>
            <w:tcW w:w="595" w:type="dxa"/>
            <w:tcBorders>
              <w:top w:val="nil"/>
              <w:left w:val="nil"/>
              <w:bottom w:val="nil"/>
              <w:right w:val="nil"/>
            </w:tcBorders>
            <w:shd w:val="clear" w:color="auto" w:fill="auto"/>
            <w:noWrap/>
            <w:vAlign w:val="center"/>
            <w:hideMark/>
          </w:tcPr>
          <w:p w14:paraId="08F7FE94" w14:textId="7EB78FDC" w:rsidR="00DC0DB3" w:rsidRPr="00D92E20" w:rsidRDefault="00DC0DB3" w:rsidP="00DC0DB3">
            <w:pPr>
              <w:spacing w:after="0" w:line="240" w:lineRule="auto"/>
              <w:jc w:val="center"/>
              <w:rPr>
                <w:rFonts w:cs="Arial"/>
                <w:color w:val="000000"/>
                <w:sz w:val="16"/>
                <w:szCs w:val="16"/>
              </w:rPr>
            </w:pPr>
            <w:r>
              <w:rPr>
                <w:rFonts w:cs="Arial"/>
                <w:color w:val="000000"/>
                <w:sz w:val="16"/>
                <w:szCs w:val="16"/>
              </w:rPr>
              <w:t>55,6</w:t>
            </w:r>
          </w:p>
        </w:tc>
        <w:tc>
          <w:tcPr>
            <w:tcW w:w="595" w:type="dxa"/>
            <w:tcBorders>
              <w:top w:val="nil"/>
              <w:left w:val="nil"/>
              <w:bottom w:val="nil"/>
              <w:right w:val="nil"/>
            </w:tcBorders>
            <w:shd w:val="clear" w:color="auto" w:fill="auto"/>
            <w:noWrap/>
            <w:vAlign w:val="center"/>
            <w:hideMark/>
          </w:tcPr>
          <w:p w14:paraId="2CEE3ACD" w14:textId="0221728C"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4A528571" w14:textId="619F0C87" w:rsidR="00DC0DB3" w:rsidRPr="00D92E20" w:rsidRDefault="00DC0DB3" w:rsidP="00DC0DB3">
            <w:pPr>
              <w:spacing w:after="0" w:line="240" w:lineRule="auto"/>
              <w:jc w:val="center"/>
              <w:rPr>
                <w:rFonts w:cs="Arial"/>
                <w:color w:val="000000"/>
                <w:sz w:val="16"/>
                <w:szCs w:val="16"/>
              </w:rPr>
            </w:pPr>
            <w:r>
              <w:rPr>
                <w:rFonts w:cs="Arial"/>
                <w:color w:val="000000"/>
                <w:sz w:val="16"/>
                <w:szCs w:val="16"/>
              </w:rPr>
              <w:t>50,3</w:t>
            </w:r>
          </w:p>
        </w:tc>
        <w:tc>
          <w:tcPr>
            <w:tcW w:w="595" w:type="dxa"/>
            <w:tcBorders>
              <w:top w:val="nil"/>
              <w:left w:val="nil"/>
              <w:bottom w:val="nil"/>
              <w:right w:val="nil"/>
            </w:tcBorders>
            <w:shd w:val="clear" w:color="auto" w:fill="auto"/>
            <w:noWrap/>
            <w:vAlign w:val="center"/>
            <w:hideMark/>
          </w:tcPr>
          <w:p w14:paraId="5AD61804" w14:textId="666E4E2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626434BB" w14:textId="75A09B96" w:rsidR="00DC0DB3" w:rsidRPr="00D92E20" w:rsidRDefault="00DC0DB3" w:rsidP="00DC0DB3">
            <w:pPr>
              <w:spacing w:after="0" w:line="240" w:lineRule="auto"/>
              <w:jc w:val="center"/>
              <w:rPr>
                <w:rFonts w:cs="Arial"/>
                <w:color w:val="000000"/>
                <w:sz w:val="16"/>
                <w:szCs w:val="16"/>
              </w:rPr>
            </w:pPr>
            <w:r>
              <w:rPr>
                <w:rFonts w:cs="Arial"/>
                <w:color w:val="000000"/>
                <w:sz w:val="16"/>
                <w:szCs w:val="16"/>
              </w:rPr>
              <w:t>39,3</w:t>
            </w:r>
          </w:p>
        </w:tc>
      </w:tr>
      <w:tr w:rsidR="00DC0DB3" w:rsidRPr="00D92E20" w14:paraId="4D2AFF92"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50E07FD"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5655259D" w14:textId="4E89F995" w:rsidR="00DC0DB3" w:rsidRPr="00D92E20" w:rsidRDefault="00DC0DB3" w:rsidP="00DC0DB3">
            <w:pPr>
              <w:spacing w:after="0" w:line="240" w:lineRule="auto"/>
              <w:jc w:val="center"/>
              <w:rPr>
                <w:rFonts w:cs="Arial"/>
                <w:color w:val="000000"/>
                <w:sz w:val="16"/>
                <w:szCs w:val="16"/>
              </w:rPr>
            </w:pPr>
            <w:r>
              <w:rPr>
                <w:rFonts w:cs="Arial"/>
                <w:sz w:val="16"/>
                <w:szCs w:val="16"/>
              </w:rPr>
              <w:t>39,4</w:t>
            </w:r>
          </w:p>
        </w:tc>
        <w:tc>
          <w:tcPr>
            <w:tcW w:w="595" w:type="dxa"/>
            <w:tcBorders>
              <w:top w:val="nil"/>
              <w:left w:val="nil"/>
              <w:bottom w:val="nil"/>
              <w:right w:val="nil"/>
            </w:tcBorders>
            <w:shd w:val="clear" w:color="auto" w:fill="auto"/>
            <w:noWrap/>
            <w:vAlign w:val="center"/>
            <w:hideMark/>
          </w:tcPr>
          <w:p w14:paraId="1B90D46D" w14:textId="7DD97560" w:rsidR="00DC0DB3" w:rsidRPr="00D92E20" w:rsidRDefault="00DC0DB3" w:rsidP="00DC0DB3">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1E320BA7" w14:textId="28E71B0E" w:rsidR="00DC0DB3" w:rsidRPr="00D92E20" w:rsidRDefault="00DC0DB3" w:rsidP="00DC0DB3">
            <w:pPr>
              <w:spacing w:after="0" w:line="240" w:lineRule="auto"/>
              <w:jc w:val="center"/>
              <w:rPr>
                <w:rFonts w:cs="Arial"/>
                <w:color w:val="000000"/>
                <w:sz w:val="16"/>
                <w:szCs w:val="16"/>
              </w:rPr>
            </w:pPr>
            <w:r>
              <w:rPr>
                <w:rFonts w:cs="Arial"/>
                <w:sz w:val="16"/>
                <w:szCs w:val="16"/>
              </w:rPr>
              <w:t>41,4</w:t>
            </w:r>
          </w:p>
        </w:tc>
        <w:tc>
          <w:tcPr>
            <w:tcW w:w="595" w:type="dxa"/>
            <w:tcBorders>
              <w:top w:val="nil"/>
              <w:left w:val="nil"/>
              <w:bottom w:val="nil"/>
              <w:right w:val="nil"/>
            </w:tcBorders>
            <w:shd w:val="clear" w:color="auto" w:fill="auto"/>
            <w:noWrap/>
            <w:vAlign w:val="center"/>
            <w:hideMark/>
          </w:tcPr>
          <w:p w14:paraId="00F5C609" w14:textId="053BBD52" w:rsidR="00DC0DB3" w:rsidRPr="00D92E20" w:rsidRDefault="00DC0DB3" w:rsidP="00DC0DB3">
            <w:pPr>
              <w:spacing w:after="0" w:line="240" w:lineRule="auto"/>
              <w:jc w:val="center"/>
              <w:rPr>
                <w:rFonts w:cs="Arial"/>
                <w:color w:val="000000"/>
                <w:sz w:val="16"/>
                <w:szCs w:val="16"/>
              </w:rPr>
            </w:pPr>
            <w:r>
              <w:rPr>
                <w:rFonts w:cs="Arial"/>
                <w:sz w:val="16"/>
                <w:szCs w:val="16"/>
              </w:rPr>
              <w:t>44,3</w:t>
            </w:r>
          </w:p>
        </w:tc>
        <w:tc>
          <w:tcPr>
            <w:tcW w:w="595" w:type="dxa"/>
            <w:tcBorders>
              <w:top w:val="nil"/>
              <w:left w:val="nil"/>
              <w:bottom w:val="nil"/>
              <w:right w:val="nil"/>
            </w:tcBorders>
            <w:shd w:val="clear" w:color="auto" w:fill="auto"/>
            <w:noWrap/>
            <w:vAlign w:val="center"/>
            <w:hideMark/>
          </w:tcPr>
          <w:p w14:paraId="6FBAFBDE" w14:textId="640F1A84" w:rsidR="00DC0DB3" w:rsidRPr="00D92E20" w:rsidRDefault="00DC0DB3" w:rsidP="00DC0DB3">
            <w:pPr>
              <w:spacing w:after="0" w:line="240" w:lineRule="auto"/>
              <w:jc w:val="center"/>
              <w:rPr>
                <w:rFonts w:cs="Arial"/>
                <w:color w:val="000000"/>
                <w:sz w:val="16"/>
                <w:szCs w:val="16"/>
              </w:rPr>
            </w:pPr>
            <w:r>
              <w:rPr>
                <w:rFonts w:cs="Arial"/>
                <w:sz w:val="16"/>
                <w:szCs w:val="16"/>
              </w:rPr>
              <w:t>38,8</w:t>
            </w:r>
          </w:p>
        </w:tc>
        <w:tc>
          <w:tcPr>
            <w:tcW w:w="595" w:type="dxa"/>
            <w:tcBorders>
              <w:top w:val="nil"/>
              <w:left w:val="nil"/>
              <w:bottom w:val="nil"/>
              <w:right w:val="nil"/>
            </w:tcBorders>
            <w:shd w:val="clear" w:color="auto" w:fill="auto"/>
            <w:noWrap/>
            <w:vAlign w:val="center"/>
            <w:hideMark/>
          </w:tcPr>
          <w:p w14:paraId="735D611E" w14:textId="6EC48D31"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6063AFD0" w14:textId="3E9BFD26"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40,0</w:t>
            </w:r>
          </w:p>
        </w:tc>
        <w:tc>
          <w:tcPr>
            <w:tcW w:w="595" w:type="dxa"/>
            <w:tcBorders>
              <w:top w:val="nil"/>
              <w:left w:val="nil"/>
              <w:bottom w:val="nil"/>
              <w:right w:val="nil"/>
            </w:tcBorders>
            <w:shd w:val="clear" w:color="auto" w:fill="auto"/>
            <w:noWrap/>
            <w:vAlign w:val="center"/>
            <w:hideMark/>
          </w:tcPr>
          <w:p w14:paraId="6B5C9866" w14:textId="4387F4FD"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38,3</w:t>
            </w:r>
          </w:p>
        </w:tc>
        <w:tc>
          <w:tcPr>
            <w:tcW w:w="595" w:type="dxa"/>
            <w:tcBorders>
              <w:top w:val="nil"/>
              <w:left w:val="nil"/>
              <w:bottom w:val="nil"/>
              <w:right w:val="nil"/>
            </w:tcBorders>
            <w:shd w:val="clear" w:color="auto" w:fill="auto"/>
            <w:noWrap/>
            <w:vAlign w:val="center"/>
            <w:hideMark/>
          </w:tcPr>
          <w:p w14:paraId="5A4F7917" w14:textId="769FEBA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42,0</w:t>
            </w:r>
          </w:p>
        </w:tc>
        <w:tc>
          <w:tcPr>
            <w:tcW w:w="595" w:type="dxa"/>
            <w:tcBorders>
              <w:top w:val="nil"/>
              <w:left w:val="nil"/>
              <w:bottom w:val="nil"/>
              <w:right w:val="nil"/>
            </w:tcBorders>
            <w:shd w:val="clear" w:color="auto" w:fill="auto"/>
            <w:noWrap/>
            <w:vAlign w:val="center"/>
            <w:hideMark/>
          </w:tcPr>
          <w:p w14:paraId="35E540E5" w14:textId="53A9DF25"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43,6</w:t>
            </w:r>
          </w:p>
        </w:tc>
        <w:tc>
          <w:tcPr>
            <w:tcW w:w="595" w:type="dxa"/>
            <w:tcBorders>
              <w:top w:val="nil"/>
              <w:left w:val="nil"/>
              <w:bottom w:val="nil"/>
              <w:right w:val="nil"/>
            </w:tcBorders>
            <w:shd w:val="clear" w:color="auto" w:fill="auto"/>
            <w:noWrap/>
            <w:vAlign w:val="center"/>
            <w:hideMark/>
          </w:tcPr>
          <w:p w14:paraId="36F76D5B" w14:textId="25577462" w:rsidR="00DC0DB3" w:rsidRPr="00D92E20" w:rsidRDefault="00DC0DB3" w:rsidP="00DC0DB3">
            <w:pPr>
              <w:spacing w:after="0" w:line="240" w:lineRule="auto"/>
              <w:jc w:val="center"/>
              <w:rPr>
                <w:rFonts w:cs="Arial"/>
                <w:color w:val="000000"/>
                <w:sz w:val="16"/>
                <w:szCs w:val="16"/>
              </w:rPr>
            </w:pPr>
            <w:r>
              <w:rPr>
                <w:rFonts w:cs="Arial"/>
                <w:color w:val="000000"/>
                <w:sz w:val="16"/>
                <w:szCs w:val="16"/>
              </w:rPr>
              <w:t>34,0</w:t>
            </w:r>
          </w:p>
        </w:tc>
      </w:tr>
      <w:tr w:rsidR="00DC0DB3" w:rsidRPr="00D92E20" w14:paraId="3795D5D1"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59B50C5"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95" w:type="dxa"/>
            <w:tcBorders>
              <w:top w:val="nil"/>
              <w:left w:val="nil"/>
              <w:bottom w:val="nil"/>
              <w:right w:val="nil"/>
            </w:tcBorders>
            <w:shd w:val="clear" w:color="auto" w:fill="auto"/>
            <w:noWrap/>
            <w:vAlign w:val="center"/>
            <w:hideMark/>
          </w:tcPr>
          <w:p w14:paraId="3276490B" w14:textId="77416B0D" w:rsidR="00DC0DB3" w:rsidRPr="00D92E20" w:rsidRDefault="00DC0DB3" w:rsidP="00DC0DB3">
            <w:pPr>
              <w:spacing w:after="0" w:line="240" w:lineRule="auto"/>
              <w:jc w:val="center"/>
              <w:rPr>
                <w:rFonts w:cs="Arial"/>
                <w:color w:val="000000"/>
                <w:sz w:val="16"/>
                <w:szCs w:val="16"/>
              </w:rPr>
            </w:pPr>
            <w:r>
              <w:rPr>
                <w:rFonts w:cs="Arial"/>
                <w:sz w:val="16"/>
                <w:szCs w:val="16"/>
              </w:rPr>
              <w:t>35,8</w:t>
            </w:r>
          </w:p>
        </w:tc>
        <w:tc>
          <w:tcPr>
            <w:tcW w:w="595" w:type="dxa"/>
            <w:tcBorders>
              <w:top w:val="nil"/>
              <w:left w:val="nil"/>
              <w:bottom w:val="nil"/>
              <w:right w:val="nil"/>
            </w:tcBorders>
            <w:shd w:val="clear" w:color="auto" w:fill="auto"/>
            <w:noWrap/>
            <w:vAlign w:val="center"/>
            <w:hideMark/>
          </w:tcPr>
          <w:p w14:paraId="7EDCFCAA" w14:textId="6759EBB6" w:rsidR="00DC0DB3" w:rsidRPr="00D92E20" w:rsidRDefault="00DC0DB3" w:rsidP="00DC0DB3">
            <w:pPr>
              <w:spacing w:after="0" w:line="240" w:lineRule="auto"/>
              <w:jc w:val="center"/>
              <w:rPr>
                <w:rFonts w:cs="Arial"/>
                <w:color w:val="000000"/>
                <w:sz w:val="16"/>
                <w:szCs w:val="16"/>
              </w:rPr>
            </w:pPr>
            <w:r>
              <w:rPr>
                <w:rFonts w:cs="Arial"/>
                <w:sz w:val="16"/>
                <w:szCs w:val="16"/>
              </w:rPr>
              <w:t>44,1</w:t>
            </w:r>
          </w:p>
        </w:tc>
        <w:tc>
          <w:tcPr>
            <w:tcW w:w="595" w:type="dxa"/>
            <w:tcBorders>
              <w:top w:val="nil"/>
              <w:left w:val="nil"/>
              <w:bottom w:val="nil"/>
              <w:right w:val="nil"/>
            </w:tcBorders>
            <w:shd w:val="clear" w:color="auto" w:fill="auto"/>
            <w:noWrap/>
            <w:vAlign w:val="center"/>
            <w:hideMark/>
          </w:tcPr>
          <w:p w14:paraId="7ED60582" w14:textId="4B20E70C" w:rsidR="00DC0DB3" w:rsidRPr="00D92E20" w:rsidRDefault="00DC0DB3" w:rsidP="00DC0DB3">
            <w:pPr>
              <w:spacing w:after="0" w:line="240" w:lineRule="auto"/>
              <w:jc w:val="center"/>
              <w:rPr>
                <w:rFonts w:cs="Arial"/>
                <w:color w:val="000000"/>
                <w:sz w:val="16"/>
                <w:szCs w:val="16"/>
              </w:rPr>
            </w:pPr>
            <w:r>
              <w:rPr>
                <w:rFonts w:cs="Arial"/>
                <w:sz w:val="16"/>
                <w:szCs w:val="16"/>
              </w:rPr>
              <w:t>36,5</w:t>
            </w:r>
          </w:p>
        </w:tc>
        <w:tc>
          <w:tcPr>
            <w:tcW w:w="595" w:type="dxa"/>
            <w:tcBorders>
              <w:top w:val="nil"/>
              <w:left w:val="nil"/>
              <w:bottom w:val="nil"/>
              <w:right w:val="nil"/>
            </w:tcBorders>
            <w:shd w:val="clear" w:color="auto" w:fill="auto"/>
            <w:noWrap/>
            <w:vAlign w:val="center"/>
            <w:hideMark/>
          </w:tcPr>
          <w:p w14:paraId="739E40E3" w14:textId="3A6B7A38" w:rsidR="00DC0DB3" w:rsidRPr="00D92E20" w:rsidRDefault="00DC0DB3" w:rsidP="00DC0DB3">
            <w:pPr>
              <w:spacing w:after="0" w:line="240" w:lineRule="auto"/>
              <w:jc w:val="center"/>
              <w:rPr>
                <w:rFonts w:cs="Arial"/>
                <w:color w:val="000000"/>
                <w:sz w:val="16"/>
                <w:szCs w:val="16"/>
              </w:rPr>
            </w:pPr>
            <w:r>
              <w:rPr>
                <w:rFonts w:cs="Arial"/>
                <w:sz w:val="16"/>
                <w:szCs w:val="16"/>
              </w:rPr>
              <w:t>40,7</w:t>
            </w:r>
          </w:p>
        </w:tc>
        <w:tc>
          <w:tcPr>
            <w:tcW w:w="595" w:type="dxa"/>
            <w:tcBorders>
              <w:top w:val="nil"/>
              <w:left w:val="nil"/>
              <w:bottom w:val="nil"/>
              <w:right w:val="nil"/>
            </w:tcBorders>
            <w:shd w:val="clear" w:color="auto" w:fill="auto"/>
            <w:noWrap/>
            <w:vAlign w:val="center"/>
            <w:hideMark/>
          </w:tcPr>
          <w:p w14:paraId="192C3DA0" w14:textId="57152581" w:rsidR="00DC0DB3" w:rsidRPr="00D92E20" w:rsidRDefault="00DC0DB3" w:rsidP="00DC0DB3">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5144F206" w14:textId="536F4FD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5D05B448" w14:textId="7CA09746" w:rsidR="00DC0DB3" w:rsidRPr="00D92E20" w:rsidRDefault="00DC0DB3" w:rsidP="00DC0DB3">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3EE221C5" w14:textId="015A15C7" w:rsidR="00DC0DB3" w:rsidRPr="00D92E20" w:rsidRDefault="00DC0DB3" w:rsidP="00DC0DB3">
            <w:pPr>
              <w:spacing w:after="0" w:line="240" w:lineRule="auto"/>
              <w:jc w:val="center"/>
              <w:rPr>
                <w:rFonts w:cs="Arial"/>
                <w:color w:val="000000"/>
                <w:sz w:val="16"/>
                <w:szCs w:val="16"/>
              </w:rPr>
            </w:pPr>
            <w:r>
              <w:rPr>
                <w:rFonts w:cs="Arial"/>
                <w:color w:val="000000"/>
                <w:sz w:val="16"/>
                <w:szCs w:val="16"/>
              </w:rPr>
              <w:t>33,6</w:t>
            </w:r>
          </w:p>
        </w:tc>
        <w:tc>
          <w:tcPr>
            <w:tcW w:w="595" w:type="dxa"/>
            <w:tcBorders>
              <w:top w:val="nil"/>
              <w:left w:val="nil"/>
              <w:bottom w:val="nil"/>
              <w:right w:val="nil"/>
            </w:tcBorders>
            <w:shd w:val="clear" w:color="auto" w:fill="auto"/>
            <w:noWrap/>
            <w:vAlign w:val="center"/>
            <w:hideMark/>
          </w:tcPr>
          <w:p w14:paraId="043666D3" w14:textId="0285688D" w:rsidR="00DC0DB3" w:rsidRPr="00D92E20" w:rsidRDefault="00DC0DB3" w:rsidP="00DC0DB3">
            <w:pPr>
              <w:spacing w:after="0" w:line="240" w:lineRule="auto"/>
              <w:jc w:val="center"/>
              <w:rPr>
                <w:rFonts w:cs="Arial"/>
                <w:color w:val="000000"/>
                <w:sz w:val="16"/>
                <w:szCs w:val="16"/>
              </w:rPr>
            </w:pPr>
            <w:r>
              <w:rPr>
                <w:rFonts w:cs="Arial"/>
                <w:color w:val="000000"/>
                <w:sz w:val="16"/>
                <w:szCs w:val="16"/>
              </w:rPr>
              <w:t>37,8</w:t>
            </w:r>
          </w:p>
        </w:tc>
        <w:tc>
          <w:tcPr>
            <w:tcW w:w="595" w:type="dxa"/>
            <w:tcBorders>
              <w:top w:val="nil"/>
              <w:left w:val="nil"/>
              <w:bottom w:val="nil"/>
              <w:right w:val="nil"/>
            </w:tcBorders>
            <w:shd w:val="clear" w:color="auto" w:fill="auto"/>
            <w:noWrap/>
            <w:vAlign w:val="center"/>
            <w:hideMark/>
          </w:tcPr>
          <w:p w14:paraId="3613617A" w14:textId="0A3CEA0E" w:rsidR="00DC0DB3" w:rsidRPr="00D92E20" w:rsidRDefault="00DC0DB3" w:rsidP="00DC0DB3">
            <w:pPr>
              <w:spacing w:after="0" w:line="240" w:lineRule="auto"/>
              <w:jc w:val="center"/>
              <w:rPr>
                <w:rFonts w:cs="Arial"/>
                <w:color w:val="000000"/>
                <w:sz w:val="16"/>
                <w:szCs w:val="16"/>
              </w:rPr>
            </w:pPr>
            <w:r>
              <w:rPr>
                <w:rFonts w:cs="Arial"/>
                <w:color w:val="000000"/>
                <w:sz w:val="16"/>
                <w:szCs w:val="16"/>
              </w:rPr>
              <w:t>39,4</w:t>
            </w:r>
          </w:p>
        </w:tc>
        <w:tc>
          <w:tcPr>
            <w:tcW w:w="595" w:type="dxa"/>
            <w:tcBorders>
              <w:top w:val="nil"/>
              <w:left w:val="nil"/>
              <w:bottom w:val="nil"/>
              <w:right w:val="nil"/>
            </w:tcBorders>
            <w:shd w:val="clear" w:color="auto" w:fill="auto"/>
            <w:noWrap/>
            <w:vAlign w:val="center"/>
            <w:hideMark/>
          </w:tcPr>
          <w:p w14:paraId="208F6156" w14:textId="385233A7" w:rsidR="00DC0DB3" w:rsidRPr="00D92E20" w:rsidRDefault="00DC0DB3" w:rsidP="00DC0DB3">
            <w:pPr>
              <w:spacing w:after="0" w:line="240" w:lineRule="auto"/>
              <w:jc w:val="center"/>
              <w:rPr>
                <w:rFonts w:cs="Arial"/>
                <w:color w:val="000000"/>
                <w:sz w:val="16"/>
                <w:szCs w:val="16"/>
              </w:rPr>
            </w:pPr>
            <w:r>
              <w:rPr>
                <w:rFonts w:cs="Arial"/>
                <w:color w:val="000000"/>
                <w:sz w:val="16"/>
                <w:szCs w:val="16"/>
              </w:rPr>
              <w:t>32,1</w:t>
            </w:r>
          </w:p>
        </w:tc>
      </w:tr>
      <w:tr w:rsidR="00DC0DB3" w:rsidRPr="00D92E20" w14:paraId="4473F322"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A3887E6"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35C23548" w14:textId="0A4B6F4F" w:rsidR="00DC0DB3" w:rsidRPr="00D92E20" w:rsidRDefault="00DC0DB3" w:rsidP="00DC0DB3">
            <w:pPr>
              <w:spacing w:after="0" w:line="240" w:lineRule="auto"/>
              <w:jc w:val="center"/>
              <w:rPr>
                <w:rFonts w:cs="Arial"/>
                <w:color w:val="000000"/>
                <w:sz w:val="16"/>
                <w:szCs w:val="16"/>
              </w:rPr>
            </w:pPr>
            <w:r>
              <w:rPr>
                <w:rFonts w:cs="Arial"/>
                <w:sz w:val="16"/>
                <w:szCs w:val="16"/>
              </w:rPr>
              <w:t>43,1</w:t>
            </w:r>
          </w:p>
        </w:tc>
        <w:tc>
          <w:tcPr>
            <w:tcW w:w="595" w:type="dxa"/>
            <w:tcBorders>
              <w:top w:val="nil"/>
              <w:left w:val="nil"/>
              <w:bottom w:val="nil"/>
              <w:right w:val="nil"/>
            </w:tcBorders>
            <w:shd w:val="clear" w:color="auto" w:fill="auto"/>
            <w:noWrap/>
            <w:vAlign w:val="center"/>
            <w:hideMark/>
          </w:tcPr>
          <w:p w14:paraId="7682E3DE" w14:textId="31221C71" w:rsidR="00DC0DB3" w:rsidRPr="00D92E20" w:rsidRDefault="00DC0DB3" w:rsidP="00DC0DB3">
            <w:pPr>
              <w:spacing w:after="0" w:line="240" w:lineRule="auto"/>
              <w:jc w:val="center"/>
              <w:rPr>
                <w:rFonts w:cs="Arial"/>
                <w:color w:val="000000"/>
                <w:sz w:val="16"/>
                <w:szCs w:val="16"/>
              </w:rPr>
            </w:pPr>
            <w:r>
              <w:rPr>
                <w:rFonts w:cs="Arial"/>
                <w:sz w:val="16"/>
                <w:szCs w:val="16"/>
              </w:rPr>
              <w:t>49,1</w:t>
            </w:r>
          </w:p>
        </w:tc>
        <w:tc>
          <w:tcPr>
            <w:tcW w:w="595" w:type="dxa"/>
            <w:tcBorders>
              <w:top w:val="nil"/>
              <w:left w:val="nil"/>
              <w:bottom w:val="nil"/>
              <w:right w:val="nil"/>
            </w:tcBorders>
            <w:shd w:val="clear" w:color="auto" w:fill="auto"/>
            <w:noWrap/>
            <w:vAlign w:val="center"/>
            <w:hideMark/>
          </w:tcPr>
          <w:p w14:paraId="166CBE40" w14:textId="02D1F24B" w:rsidR="00DC0DB3" w:rsidRPr="00D92E20" w:rsidRDefault="00DC0DB3" w:rsidP="00DC0DB3">
            <w:pPr>
              <w:spacing w:after="0" w:line="240" w:lineRule="auto"/>
              <w:jc w:val="center"/>
              <w:rPr>
                <w:rFonts w:cs="Arial"/>
                <w:color w:val="000000"/>
                <w:sz w:val="16"/>
                <w:szCs w:val="16"/>
              </w:rPr>
            </w:pPr>
            <w:r>
              <w:rPr>
                <w:rFonts w:cs="Arial"/>
                <w:sz w:val="16"/>
                <w:szCs w:val="16"/>
              </w:rPr>
              <w:t>42,8</w:t>
            </w:r>
          </w:p>
        </w:tc>
        <w:tc>
          <w:tcPr>
            <w:tcW w:w="595" w:type="dxa"/>
            <w:tcBorders>
              <w:top w:val="nil"/>
              <w:left w:val="nil"/>
              <w:bottom w:val="nil"/>
              <w:right w:val="nil"/>
            </w:tcBorders>
            <w:shd w:val="clear" w:color="auto" w:fill="auto"/>
            <w:noWrap/>
            <w:vAlign w:val="center"/>
            <w:hideMark/>
          </w:tcPr>
          <w:p w14:paraId="64CB67CD" w14:textId="46F885FE" w:rsidR="00DC0DB3" w:rsidRPr="00D92E20" w:rsidRDefault="00DC0DB3" w:rsidP="00DC0DB3">
            <w:pPr>
              <w:spacing w:after="0" w:line="240" w:lineRule="auto"/>
              <w:jc w:val="center"/>
              <w:rPr>
                <w:rFonts w:cs="Arial"/>
                <w:color w:val="000000"/>
                <w:sz w:val="16"/>
                <w:szCs w:val="16"/>
              </w:rPr>
            </w:pPr>
            <w:r>
              <w:rPr>
                <w:rFonts w:cs="Arial"/>
                <w:sz w:val="16"/>
                <w:szCs w:val="16"/>
              </w:rPr>
              <w:t>48,7</w:t>
            </w:r>
          </w:p>
        </w:tc>
        <w:tc>
          <w:tcPr>
            <w:tcW w:w="595" w:type="dxa"/>
            <w:tcBorders>
              <w:top w:val="nil"/>
              <w:left w:val="nil"/>
              <w:bottom w:val="nil"/>
              <w:right w:val="nil"/>
            </w:tcBorders>
            <w:shd w:val="clear" w:color="auto" w:fill="auto"/>
            <w:noWrap/>
            <w:vAlign w:val="center"/>
            <w:hideMark/>
          </w:tcPr>
          <w:p w14:paraId="6A5A1968" w14:textId="772AF566" w:rsidR="00DC0DB3" w:rsidRPr="00D92E20" w:rsidRDefault="00DC0DB3" w:rsidP="00DC0DB3">
            <w:pPr>
              <w:spacing w:after="0" w:line="240" w:lineRule="auto"/>
              <w:jc w:val="center"/>
              <w:rPr>
                <w:rFonts w:cs="Arial"/>
                <w:color w:val="000000"/>
                <w:sz w:val="16"/>
                <w:szCs w:val="16"/>
              </w:rPr>
            </w:pPr>
            <w:r>
              <w:rPr>
                <w:rFonts w:cs="Arial"/>
                <w:sz w:val="16"/>
                <w:szCs w:val="16"/>
              </w:rPr>
              <w:t>43,0</w:t>
            </w:r>
          </w:p>
        </w:tc>
        <w:tc>
          <w:tcPr>
            <w:tcW w:w="595" w:type="dxa"/>
            <w:tcBorders>
              <w:top w:val="nil"/>
              <w:left w:val="nil"/>
              <w:bottom w:val="nil"/>
              <w:right w:val="nil"/>
            </w:tcBorders>
            <w:shd w:val="clear" w:color="auto" w:fill="auto"/>
            <w:noWrap/>
            <w:vAlign w:val="center"/>
            <w:hideMark/>
          </w:tcPr>
          <w:p w14:paraId="1D8DA73D" w14:textId="3664BF0A" w:rsidR="00DC0DB3" w:rsidRPr="00D92E20" w:rsidRDefault="00DC0DB3" w:rsidP="00DC0DB3">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5E559DAF" w14:textId="26A86B24"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158F2A34" w14:textId="29A78FEB" w:rsidR="00DC0DB3" w:rsidRPr="00D92E20" w:rsidRDefault="00DC0DB3" w:rsidP="00DC0DB3">
            <w:pPr>
              <w:spacing w:after="0" w:line="240" w:lineRule="auto"/>
              <w:jc w:val="center"/>
              <w:rPr>
                <w:rFonts w:cs="Arial"/>
                <w:color w:val="000000"/>
                <w:sz w:val="16"/>
                <w:szCs w:val="16"/>
              </w:rPr>
            </w:pPr>
            <w:r>
              <w:rPr>
                <w:rFonts w:cs="Arial"/>
                <w:color w:val="000000"/>
                <w:sz w:val="16"/>
                <w:szCs w:val="16"/>
              </w:rPr>
              <w:t>41,4</w:t>
            </w:r>
          </w:p>
        </w:tc>
        <w:tc>
          <w:tcPr>
            <w:tcW w:w="595" w:type="dxa"/>
            <w:tcBorders>
              <w:top w:val="nil"/>
              <w:left w:val="nil"/>
              <w:bottom w:val="nil"/>
              <w:right w:val="nil"/>
            </w:tcBorders>
            <w:shd w:val="clear" w:color="auto" w:fill="auto"/>
            <w:noWrap/>
            <w:vAlign w:val="center"/>
            <w:hideMark/>
          </w:tcPr>
          <w:p w14:paraId="3052C863" w14:textId="37110A5A" w:rsidR="00DC0DB3" w:rsidRPr="00D92E20" w:rsidRDefault="00DC0DB3" w:rsidP="00DC0DB3">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72DE39FB" w14:textId="224ADC2D" w:rsidR="00DC0DB3" w:rsidRPr="00D92E20" w:rsidRDefault="00DC0DB3" w:rsidP="00DC0DB3">
            <w:pPr>
              <w:spacing w:after="0" w:line="240" w:lineRule="auto"/>
              <w:jc w:val="center"/>
              <w:rPr>
                <w:rFonts w:cs="Arial"/>
                <w:color w:val="000000"/>
                <w:sz w:val="16"/>
                <w:szCs w:val="16"/>
              </w:rPr>
            </w:pPr>
            <w:r>
              <w:rPr>
                <w:rFonts w:cs="Arial"/>
                <w:color w:val="000000"/>
                <w:sz w:val="16"/>
                <w:szCs w:val="16"/>
              </w:rPr>
              <w:t>47,8</w:t>
            </w:r>
          </w:p>
        </w:tc>
        <w:tc>
          <w:tcPr>
            <w:tcW w:w="595" w:type="dxa"/>
            <w:tcBorders>
              <w:top w:val="nil"/>
              <w:left w:val="nil"/>
              <w:bottom w:val="nil"/>
              <w:right w:val="nil"/>
            </w:tcBorders>
            <w:shd w:val="clear" w:color="auto" w:fill="auto"/>
            <w:noWrap/>
            <w:vAlign w:val="center"/>
            <w:hideMark/>
          </w:tcPr>
          <w:p w14:paraId="52633EFB" w14:textId="2E681D73" w:rsidR="00DC0DB3" w:rsidRPr="00D92E20" w:rsidRDefault="00DC0DB3" w:rsidP="00DC0DB3">
            <w:pPr>
              <w:spacing w:after="0" w:line="240" w:lineRule="auto"/>
              <w:jc w:val="center"/>
              <w:rPr>
                <w:rFonts w:cs="Arial"/>
                <w:color w:val="000000"/>
                <w:sz w:val="16"/>
                <w:szCs w:val="16"/>
              </w:rPr>
            </w:pPr>
            <w:r>
              <w:rPr>
                <w:rFonts w:cs="Arial"/>
                <w:color w:val="000000"/>
                <w:sz w:val="16"/>
                <w:szCs w:val="16"/>
              </w:rPr>
              <w:t>36,7</w:t>
            </w:r>
          </w:p>
        </w:tc>
      </w:tr>
      <w:tr w:rsidR="00DC0DB3" w:rsidRPr="00D92E20" w14:paraId="4ECECA9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2F4331ED"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3FDF0B04" w14:textId="580AF69A" w:rsidR="00DC0DB3" w:rsidRPr="00D92E20" w:rsidRDefault="00DC0DB3" w:rsidP="00DC0DB3">
            <w:pPr>
              <w:spacing w:after="0" w:line="240" w:lineRule="auto"/>
              <w:jc w:val="center"/>
              <w:rPr>
                <w:rFonts w:cs="Arial"/>
                <w:color w:val="000000"/>
                <w:sz w:val="16"/>
                <w:szCs w:val="16"/>
              </w:rPr>
            </w:pPr>
            <w:r>
              <w:rPr>
                <w:rFonts w:cs="Arial"/>
                <w:sz w:val="16"/>
                <w:szCs w:val="16"/>
              </w:rPr>
              <w:t>64,8</w:t>
            </w:r>
          </w:p>
        </w:tc>
        <w:tc>
          <w:tcPr>
            <w:tcW w:w="595" w:type="dxa"/>
            <w:tcBorders>
              <w:top w:val="nil"/>
              <w:left w:val="nil"/>
              <w:bottom w:val="nil"/>
              <w:right w:val="nil"/>
            </w:tcBorders>
            <w:shd w:val="clear" w:color="auto" w:fill="auto"/>
            <w:noWrap/>
            <w:vAlign w:val="center"/>
            <w:hideMark/>
          </w:tcPr>
          <w:p w14:paraId="6AB681F3" w14:textId="0F62A6E7" w:rsidR="00DC0DB3" w:rsidRPr="00D92E20" w:rsidRDefault="00DC0DB3" w:rsidP="00DC0DB3">
            <w:pPr>
              <w:spacing w:after="0" w:line="240" w:lineRule="auto"/>
              <w:jc w:val="center"/>
              <w:rPr>
                <w:rFonts w:cs="Arial"/>
                <w:color w:val="000000"/>
                <w:sz w:val="16"/>
                <w:szCs w:val="16"/>
              </w:rPr>
            </w:pPr>
            <w:r>
              <w:rPr>
                <w:rFonts w:cs="Arial"/>
                <w:sz w:val="16"/>
                <w:szCs w:val="16"/>
              </w:rPr>
              <w:t>63,6</w:t>
            </w:r>
          </w:p>
        </w:tc>
        <w:tc>
          <w:tcPr>
            <w:tcW w:w="595" w:type="dxa"/>
            <w:tcBorders>
              <w:top w:val="nil"/>
              <w:left w:val="nil"/>
              <w:bottom w:val="nil"/>
              <w:right w:val="nil"/>
            </w:tcBorders>
            <w:shd w:val="clear" w:color="auto" w:fill="auto"/>
            <w:noWrap/>
            <w:vAlign w:val="center"/>
            <w:hideMark/>
          </w:tcPr>
          <w:p w14:paraId="76A43DE3" w14:textId="42830C50" w:rsidR="00DC0DB3" w:rsidRPr="00D92E20" w:rsidRDefault="00DC0DB3" w:rsidP="00DC0DB3">
            <w:pPr>
              <w:spacing w:after="0" w:line="240" w:lineRule="auto"/>
              <w:jc w:val="center"/>
              <w:rPr>
                <w:rFonts w:cs="Arial"/>
                <w:color w:val="000000"/>
                <w:sz w:val="16"/>
                <w:szCs w:val="16"/>
              </w:rPr>
            </w:pPr>
            <w:r>
              <w:rPr>
                <w:rFonts w:cs="Arial"/>
                <w:sz w:val="16"/>
                <w:szCs w:val="16"/>
              </w:rPr>
              <w:t>59,7</w:t>
            </w:r>
          </w:p>
        </w:tc>
        <w:tc>
          <w:tcPr>
            <w:tcW w:w="595" w:type="dxa"/>
            <w:tcBorders>
              <w:top w:val="nil"/>
              <w:left w:val="nil"/>
              <w:bottom w:val="nil"/>
              <w:right w:val="nil"/>
            </w:tcBorders>
            <w:shd w:val="clear" w:color="auto" w:fill="auto"/>
            <w:noWrap/>
            <w:vAlign w:val="center"/>
            <w:hideMark/>
          </w:tcPr>
          <w:p w14:paraId="15E71BE9" w14:textId="11F87FBA" w:rsidR="00DC0DB3" w:rsidRPr="00D92E20" w:rsidRDefault="00DC0DB3" w:rsidP="00DC0DB3">
            <w:pPr>
              <w:spacing w:after="0" w:line="240" w:lineRule="auto"/>
              <w:jc w:val="center"/>
              <w:rPr>
                <w:rFonts w:cs="Arial"/>
                <w:color w:val="000000"/>
                <w:sz w:val="16"/>
                <w:szCs w:val="16"/>
              </w:rPr>
            </w:pPr>
            <w:r>
              <w:rPr>
                <w:rFonts w:cs="Arial"/>
                <w:sz w:val="16"/>
                <w:szCs w:val="16"/>
              </w:rPr>
              <w:t>64,6</w:t>
            </w:r>
          </w:p>
        </w:tc>
        <w:tc>
          <w:tcPr>
            <w:tcW w:w="595" w:type="dxa"/>
            <w:tcBorders>
              <w:top w:val="nil"/>
              <w:left w:val="nil"/>
              <w:bottom w:val="nil"/>
              <w:right w:val="nil"/>
            </w:tcBorders>
            <w:shd w:val="clear" w:color="auto" w:fill="auto"/>
            <w:noWrap/>
            <w:vAlign w:val="center"/>
            <w:hideMark/>
          </w:tcPr>
          <w:p w14:paraId="5E268997" w14:textId="54625AAA" w:rsidR="00DC0DB3" w:rsidRPr="00D92E20" w:rsidRDefault="00DC0DB3" w:rsidP="00DC0DB3">
            <w:pPr>
              <w:spacing w:after="0" w:line="240" w:lineRule="auto"/>
              <w:jc w:val="center"/>
              <w:rPr>
                <w:rFonts w:cs="Arial"/>
                <w:color w:val="000000"/>
                <w:sz w:val="16"/>
                <w:szCs w:val="16"/>
              </w:rPr>
            </w:pPr>
            <w:r>
              <w:rPr>
                <w:rFonts w:cs="Arial"/>
                <w:sz w:val="16"/>
                <w:szCs w:val="16"/>
              </w:rPr>
              <w:t>53,9</w:t>
            </w:r>
          </w:p>
        </w:tc>
        <w:tc>
          <w:tcPr>
            <w:tcW w:w="595" w:type="dxa"/>
            <w:tcBorders>
              <w:top w:val="nil"/>
              <w:left w:val="nil"/>
              <w:bottom w:val="nil"/>
              <w:right w:val="nil"/>
            </w:tcBorders>
            <w:shd w:val="clear" w:color="auto" w:fill="auto"/>
            <w:noWrap/>
            <w:vAlign w:val="center"/>
            <w:hideMark/>
          </w:tcPr>
          <w:p w14:paraId="07795ECB" w14:textId="2D9EFE26" w:rsidR="00DC0DB3" w:rsidRPr="00D92E20" w:rsidRDefault="00DC0DB3" w:rsidP="00DC0DB3">
            <w:pPr>
              <w:spacing w:after="0" w:line="240" w:lineRule="auto"/>
              <w:jc w:val="center"/>
              <w:rPr>
                <w:rFonts w:cs="Arial"/>
                <w:color w:val="000000"/>
                <w:sz w:val="16"/>
                <w:szCs w:val="16"/>
              </w:rPr>
            </w:pPr>
            <w:r>
              <w:rPr>
                <w:rFonts w:cs="Arial"/>
                <w:color w:val="000000"/>
                <w:sz w:val="16"/>
                <w:szCs w:val="16"/>
              </w:rPr>
              <w:t>56,6</w:t>
            </w:r>
          </w:p>
        </w:tc>
        <w:tc>
          <w:tcPr>
            <w:tcW w:w="595" w:type="dxa"/>
            <w:tcBorders>
              <w:top w:val="nil"/>
              <w:left w:val="nil"/>
              <w:bottom w:val="nil"/>
              <w:right w:val="nil"/>
            </w:tcBorders>
            <w:shd w:val="clear" w:color="auto" w:fill="auto"/>
            <w:noWrap/>
            <w:vAlign w:val="center"/>
            <w:hideMark/>
          </w:tcPr>
          <w:p w14:paraId="56364BAA" w14:textId="6694BBF9" w:rsidR="00DC0DB3" w:rsidRPr="00D92E20" w:rsidRDefault="00DC0DB3" w:rsidP="00DC0DB3">
            <w:pPr>
              <w:spacing w:after="0" w:line="240" w:lineRule="auto"/>
              <w:jc w:val="center"/>
              <w:rPr>
                <w:rFonts w:cs="Arial"/>
                <w:color w:val="000000"/>
                <w:sz w:val="16"/>
                <w:szCs w:val="16"/>
              </w:rPr>
            </w:pPr>
            <w:r>
              <w:rPr>
                <w:rFonts w:cs="Arial"/>
                <w:color w:val="000000"/>
                <w:sz w:val="16"/>
                <w:szCs w:val="16"/>
              </w:rPr>
              <w:t>55,1</w:t>
            </w:r>
          </w:p>
        </w:tc>
        <w:tc>
          <w:tcPr>
            <w:tcW w:w="595" w:type="dxa"/>
            <w:tcBorders>
              <w:top w:val="nil"/>
              <w:left w:val="nil"/>
              <w:bottom w:val="nil"/>
              <w:right w:val="nil"/>
            </w:tcBorders>
            <w:shd w:val="clear" w:color="auto" w:fill="auto"/>
            <w:noWrap/>
            <w:vAlign w:val="center"/>
            <w:hideMark/>
          </w:tcPr>
          <w:p w14:paraId="7C01A241" w14:textId="50E1168D" w:rsidR="00DC0DB3" w:rsidRPr="00D92E20" w:rsidRDefault="00DC0DB3" w:rsidP="00DC0DB3">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65BA8E39" w14:textId="19C42AEF" w:rsidR="00DC0DB3" w:rsidRPr="00D92E20" w:rsidRDefault="00DC0DB3" w:rsidP="00DC0DB3">
            <w:pPr>
              <w:spacing w:after="0" w:line="240" w:lineRule="auto"/>
              <w:jc w:val="center"/>
              <w:rPr>
                <w:rFonts w:cs="Arial"/>
                <w:color w:val="000000"/>
                <w:sz w:val="16"/>
                <w:szCs w:val="16"/>
              </w:rPr>
            </w:pPr>
            <w:r>
              <w:rPr>
                <w:rFonts w:cs="Arial"/>
                <w:color w:val="000000"/>
                <w:sz w:val="16"/>
                <w:szCs w:val="16"/>
              </w:rPr>
              <w:t>55,0</w:t>
            </w:r>
          </w:p>
        </w:tc>
        <w:tc>
          <w:tcPr>
            <w:tcW w:w="595" w:type="dxa"/>
            <w:tcBorders>
              <w:top w:val="nil"/>
              <w:left w:val="nil"/>
              <w:bottom w:val="nil"/>
              <w:right w:val="nil"/>
            </w:tcBorders>
            <w:shd w:val="clear" w:color="auto" w:fill="auto"/>
            <w:noWrap/>
            <w:vAlign w:val="center"/>
            <w:hideMark/>
          </w:tcPr>
          <w:p w14:paraId="40EF0F3A" w14:textId="175C5B59" w:rsidR="00DC0DB3" w:rsidRPr="00D92E20" w:rsidRDefault="00DC0DB3" w:rsidP="00DC0DB3">
            <w:pPr>
              <w:spacing w:after="0" w:line="240" w:lineRule="auto"/>
              <w:jc w:val="center"/>
              <w:rPr>
                <w:rFonts w:cs="Arial"/>
                <w:color w:val="000000"/>
                <w:sz w:val="16"/>
                <w:szCs w:val="16"/>
              </w:rPr>
            </w:pPr>
            <w:r>
              <w:rPr>
                <w:rFonts w:cs="Arial"/>
                <w:color w:val="000000"/>
                <w:sz w:val="16"/>
                <w:szCs w:val="16"/>
              </w:rPr>
              <w:t>54,1</w:t>
            </w:r>
          </w:p>
        </w:tc>
        <w:tc>
          <w:tcPr>
            <w:tcW w:w="595" w:type="dxa"/>
            <w:tcBorders>
              <w:top w:val="nil"/>
              <w:left w:val="nil"/>
              <w:bottom w:val="nil"/>
              <w:right w:val="nil"/>
            </w:tcBorders>
            <w:shd w:val="clear" w:color="auto" w:fill="auto"/>
            <w:noWrap/>
            <w:vAlign w:val="center"/>
            <w:hideMark/>
          </w:tcPr>
          <w:p w14:paraId="2E27FAD7" w14:textId="3FB76BB2" w:rsidR="00DC0DB3" w:rsidRPr="00D92E20" w:rsidRDefault="00DC0DB3" w:rsidP="00DC0DB3">
            <w:pPr>
              <w:spacing w:after="0" w:line="240" w:lineRule="auto"/>
              <w:jc w:val="center"/>
              <w:rPr>
                <w:rFonts w:cs="Arial"/>
                <w:color w:val="000000"/>
                <w:sz w:val="16"/>
                <w:szCs w:val="16"/>
              </w:rPr>
            </w:pPr>
            <w:r>
              <w:rPr>
                <w:rFonts w:cs="Arial"/>
                <w:color w:val="000000"/>
                <w:sz w:val="16"/>
                <w:szCs w:val="16"/>
              </w:rPr>
              <w:t>41,4</w:t>
            </w:r>
          </w:p>
        </w:tc>
      </w:tr>
      <w:tr w:rsidR="00DC0DB3" w:rsidRPr="00D92E20" w14:paraId="1E9B0713"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6E3FF84C"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95" w:type="dxa"/>
            <w:tcBorders>
              <w:top w:val="nil"/>
              <w:left w:val="nil"/>
              <w:bottom w:val="nil"/>
              <w:right w:val="nil"/>
            </w:tcBorders>
            <w:shd w:val="clear" w:color="auto" w:fill="auto"/>
            <w:noWrap/>
            <w:vAlign w:val="center"/>
            <w:hideMark/>
          </w:tcPr>
          <w:p w14:paraId="272560D7" w14:textId="1B0EA6CC" w:rsidR="00DC0DB3" w:rsidRPr="00D92E20" w:rsidRDefault="00DC0DB3" w:rsidP="00DC0DB3">
            <w:pPr>
              <w:spacing w:after="0" w:line="240" w:lineRule="auto"/>
              <w:jc w:val="center"/>
              <w:rPr>
                <w:rFonts w:cs="Arial"/>
                <w:color w:val="000000"/>
                <w:sz w:val="16"/>
                <w:szCs w:val="16"/>
              </w:rPr>
            </w:pPr>
            <w:r>
              <w:rPr>
                <w:rFonts w:cs="Arial"/>
                <w:sz w:val="16"/>
                <w:szCs w:val="16"/>
              </w:rPr>
              <w:t>47,0</w:t>
            </w:r>
          </w:p>
        </w:tc>
        <w:tc>
          <w:tcPr>
            <w:tcW w:w="595" w:type="dxa"/>
            <w:tcBorders>
              <w:top w:val="nil"/>
              <w:left w:val="nil"/>
              <w:bottom w:val="nil"/>
              <w:right w:val="nil"/>
            </w:tcBorders>
            <w:shd w:val="clear" w:color="auto" w:fill="auto"/>
            <w:noWrap/>
            <w:vAlign w:val="center"/>
            <w:hideMark/>
          </w:tcPr>
          <w:p w14:paraId="6000DADD" w14:textId="52F90731" w:rsidR="00DC0DB3" w:rsidRPr="00D92E20" w:rsidRDefault="00DC0DB3" w:rsidP="00DC0DB3">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1BD94A6C" w14:textId="2C1ED279" w:rsidR="00DC0DB3" w:rsidRPr="00D92E20" w:rsidRDefault="00DC0DB3" w:rsidP="00DC0DB3">
            <w:pPr>
              <w:spacing w:after="0" w:line="240" w:lineRule="auto"/>
              <w:jc w:val="center"/>
              <w:rPr>
                <w:rFonts w:cs="Arial"/>
                <w:color w:val="000000"/>
                <w:sz w:val="16"/>
                <w:szCs w:val="16"/>
              </w:rPr>
            </w:pPr>
            <w:r>
              <w:rPr>
                <w:rFonts w:cs="Arial"/>
                <w:sz w:val="16"/>
                <w:szCs w:val="16"/>
              </w:rPr>
              <w:t>46,6</w:t>
            </w:r>
          </w:p>
        </w:tc>
        <w:tc>
          <w:tcPr>
            <w:tcW w:w="595" w:type="dxa"/>
            <w:tcBorders>
              <w:top w:val="nil"/>
              <w:left w:val="nil"/>
              <w:bottom w:val="nil"/>
              <w:right w:val="nil"/>
            </w:tcBorders>
            <w:shd w:val="clear" w:color="auto" w:fill="auto"/>
            <w:noWrap/>
            <w:vAlign w:val="center"/>
            <w:hideMark/>
          </w:tcPr>
          <w:p w14:paraId="7A08C78E" w14:textId="1E989B10" w:rsidR="00DC0DB3" w:rsidRPr="00D92E20" w:rsidRDefault="00DC0DB3" w:rsidP="00DC0DB3">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3DDC86E0" w14:textId="070E3C92" w:rsidR="00DC0DB3" w:rsidRPr="00D92E20" w:rsidRDefault="00DC0DB3" w:rsidP="00DC0DB3">
            <w:pPr>
              <w:spacing w:after="0" w:line="240" w:lineRule="auto"/>
              <w:jc w:val="center"/>
              <w:rPr>
                <w:rFonts w:cs="Arial"/>
                <w:color w:val="000000"/>
                <w:sz w:val="16"/>
                <w:szCs w:val="16"/>
              </w:rPr>
            </w:pPr>
            <w:r>
              <w:rPr>
                <w:rFonts w:cs="Arial"/>
                <w:sz w:val="16"/>
                <w:szCs w:val="16"/>
              </w:rPr>
              <w:t>44,4</w:t>
            </w:r>
          </w:p>
        </w:tc>
        <w:tc>
          <w:tcPr>
            <w:tcW w:w="595" w:type="dxa"/>
            <w:tcBorders>
              <w:top w:val="nil"/>
              <w:left w:val="nil"/>
              <w:bottom w:val="nil"/>
              <w:right w:val="nil"/>
            </w:tcBorders>
            <w:shd w:val="clear" w:color="auto" w:fill="auto"/>
            <w:noWrap/>
            <w:vAlign w:val="center"/>
            <w:hideMark/>
          </w:tcPr>
          <w:p w14:paraId="502F159E" w14:textId="6802068E" w:rsidR="00DC0DB3" w:rsidRPr="00D92E20" w:rsidRDefault="00DC0DB3" w:rsidP="00DC0DB3">
            <w:pPr>
              <w:spacing w:after="0" w:line="240" w:lineRule="auto"/>
              <w:jc w:val="center"/>
              <w:rPr>
                <w:rFonts w:cs="Arial"/>
                <w:color w:val="000000"/>
                <w:sz w:val="16"/>
                <w:szCs w:val="16"/>
              </w:rPr>
            </w:pPr>
            <w:r>
              <w:rPr>
                <w:rFonts w:cs="Arial"/>
                <w:color w:val="000000"/>
                <w:sz w:val="16"/>
                <w:szCs w:val="16"/>
              </w:rPr>
              <w:t>44,5</w:t>
            </w:r>
          </w:p>
        </w:tc>
        <w:tc>
          <w:tcPr>
            <w:tcW w:w="595" w:type="dxa"/>
            <w:tcBorders>
              <w:top w:val="nil"/>
              <w:left w:val="nil"/>
              <w:bottom w:val="nil"/>
              <w:right w:val="nil"/>
            </w:tcBorders>
            <w:shd w:val="clear" w:color="auto" w:fill="auto"/>
            <w:noWrap/>
            <w:vAlign w:val="center"/>
            <w:hideMark/>
          </w:tcPr>
          <w:p w14:paraId="395D2ADC" w14:textId="2DA0E9E7"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43,4</w:t>
            </w:r>
          </w:p>
        </w:tc>
        <w:tc>
          <w:tcPr>
            <w:tcW w:w="595" w:type="dxa"/>
            <w:tcBorders>
              <w:top w:val="nil"/>
              <w:left w:val="nil"/>
              <w:bottom w:val="nil"/>
              <w:right w:val="nil"/>
            </w:tcBorders>
            <w:shd w:val="clear" w:color="auto" w:fill="auto"/>
            <w:noWrap/>
            <w:vAlign w:val="center"/>
            <w:hideMark/>
          </w:tcPr>
          <w:p w14:paraId="4642194E" w14:textId="7C5A1C8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41,9</w:t>
            </w:r>
          </w:p>
        </w:tc>
        <w:tc>
          <w:tcPr>
            <w:tcW w:w="595" w:type="dxa"/>
            <w:tcBorders>
              <w:top w:val="nil"/>
              <w:left w:val="nil"/>
              <w:bottom w:val="nil"/>
              <w:right w:val="nil"/>
            </w:tcBorders>
            <w:shd w:val="clear" w:color="auto" w:fill="auto"/>
            <w:noWrap/>
            <w:vAlign w:val="center"/>
            <w:hideMark/>
          </w:tcPr>
          <w:p w14:paraId="70D1A7F0" w14:textId="220F4800"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45,0</w:t>
            </w:r>
          </w:p>
        </w:tc>
        <w:tc>
          <w:tcPr>
            <w:tcW w:w="595" w:type="dxa"/>
            <w:tcBorders>
              <w:top w:val="nil"/>
              <w:left w:val="nil"/>
              <w:bottom w:val="nil"/>
              <w:right w:val="nil"/>
            </w:tcBorders>
            <w:shd w:val="clear" w:color="auto" w:fill="auto"/>
            <w:noWrap/>
            <w:vAlign w:val="center"/>
            <w:hideMark/>
          </w:tcPr>
          <w:p w14:paraId="3624A3E4" w14:textId="13105F7B" w:rsidR="00DC0DB3" w:rsidRPr="00D92E20" w:rsidRDefault="00DC0DB3" w:rsidP="00DC0DB3">
            <w:pPr>
              <w:spacing w:after="0" w:line="240" w:lineRule="auto"/>
              <w:jc w:val="center"/>
              <w:rPr>
                <w:rFonts w:cs="Arial"/>
                <w:color w:val="000000"/>
                <w:sz w:val="16"/>
                <w:szCs w:val="16"/>
              </w:rPr>
            </w:pPr>
            <w:r>
              <w:rPr>
                <w:rFonts w:cs="Arial"/>
                <w:color w:val="000000"/>
                <w:sz w:val="16"/>
                <w:szCs w:val="16"/>
              </w:rPr>
              <w:t>46,4</w:t>
            </w:r>
          </w:p>
        </w:tc>
        <w:tc>
          <w:tcPr>
            <w:tcW w:w="595" w:type="dxa"/>
            <w:tcBorders>
              <w:top w:val="nil"/>
              <w:left w:val="nil"/>
              <w:bottom w:val="nil"/>
              <w:right w:val="nil"/>
            </w:tcBorders>
            <w:shd w:val="clear" w:color="auto" w:fill="auto"/>
            <w:noWrap/>
            <w:vAlign w:val="center"/>
            <w:hideMark/>
          </w:tcPr>
          <w:p w14:paraId="36B0257D" w14:textId="06546613" w:rsidR="00DC0DB3" w:rsidRPr="00D92E20" w:rsidRDefault="00DC0DB3" w:rsidP="00DC0DB3">
            <w:pPr>
              <w:spacing w:after="0" w:line="240" w:lineRule="auto"/>
              <w:jc w:val="center"/>
              <w:rPr>
                <w:rFonts w:cs="Arial"/>
                <w:color w:val="000000"/>
                <w:sz w:val="16"/>
                <w:szCs w:val="16"/>
              </w:rPr>
            </w:pPr>
            <w:r>
              <w:rPr>
                <w:rFonts w:cs="Arial"/>
                <w:color w:val="000000"/>
                <w:sz w:val="16"/>
                <w:szCs w:val="16"/>
              </w:rPr>
              <w:t>39,8</w:t>
            </w:r>
          </w:p>
        </w:tc>
      </w:tr>
      <w:tr w:rsidR="00DC0DB3" w:rsidRPr="00D92E20" w14:paraId="0F54AC6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C6B3580"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7F041EB" w14:textId="211281CA" w:rsidR="00DC0DB3" w:rsidRPr="00D92E20" w:rsidRDefault="00DC0DB3" w:rsidP="00DC0DB3">
            <w:pPr>
              <w:spacing w:after="0" w:line="240" w:lineRule="auto"/>
              <w:jc w:val="center"/>
              <w:rPr>
                <w:rFonts w:cs="Arial"/>
                <w:color w:val="000000"/>
                <w:sz w:val="16"/>
                <w:szCs w:val="16"/>
              </w:rPr>
            </w:pPr>
            <w:r>
              <w:rPr>
                <w:rFonts w:cs="Arial"/>
                <w:sz w:val="16"/>
                <w:szCs w:val="16"/>
              </w:rPr>
              <w:t>45,6</w:t>
            </w:r>
          </w:p>
        </w:tc>
        <w:tc>
          <w:tcPr>
            <w:tcW w:w="595" w:type="dxa"/>
            <w:tcBorders>
              <w:top w:val="nil"/>
              <w:left w:val="nil"/>
              <w:bottom w:val="nil"/>
              <w:right w:val="nil"/>
            </w:tcBorders>
            <w:shd w:val="clear" w:color="auto" w:fill="auto"/>
            <w:noWrap/>
            <w:vAlign w:val="center"/>
            <w:hideMark/>
          </w:tcPr>
          <w:p w14:paraId="571DCD14" w14:textId="3EADF8EF" w:rsidR="00DC0DB3" w:rsidRPr="00D92E20" w:rsidRDefault="00DC0DB3" w:rsidP="00DC0DB3">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2D516A15" w14:textId="623E96C2" w:rsidR="00DC0DB3" w:rsidRPr="00D92E20" w:rsidRDefault="00DC0DB3" w:rsidP="00DC0DB3">
            <w:pPr>
              <w:spacing w:after="0" w:line="240" w:lineRule="auto"/>
              <w:jc w:val="center"/>
              <w:rPr>
                <w:rFonts w:cs="Arial"/>
                <w:color w:val="000000"/>
                <w:sz w:val="16"/>
                <w:szCs w:val="16"/>
              </w:rPr>
            </w:pPr>
            <w:r>
              <w:rPr>
                <w:rFonts w:cs="Arial"/>
                <w:sz w:val="16"/>
                <w:szCs w:val="16"/>
              </w:rPr>
              <w:t>48,4</w:t>
            </w:r>
          </w:p>
        </w:tc>
        <w:tc>
          <w:tcPr>
            <w:tcW w:w="595" w:type="dxa"/>
            <w:tcBorders>
              <w:top w:val="nil"/>
              <w:left w:val="nil"/>
              <w:bottom w:val="nil"/>
              <w:right w:val="nil"/>
            </w:tcBorders>
            <w:shd w:val="clear" w:color="auto" w:fill="auto"/>
            <w:noWrap/>
            <w:vAlign w:val="center"/>
            <w:hideMark/>
          </w:tcPr>
          <w:p w14:paraId="275F7E19" w14:textId="7670DDBF" w:rsidR="00DC0DB3" w:rsidRPr="00D92E20" w:rsidRDefault="00DC0DB3" w:rsidP="00DC0DB3">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15755017" w14:textId="5B40FEFF" w:rsidR="00DC0DB3" w:rsidRPr="00D92E20" w:rsidRDefault="00DC0DB3" w:rsidP="00DC0DB3">
            <w:pPr>
              <w:spacing w:after="0" w:line="240" w:lineRule="auto"/>
              <w:jc w:val="center"/>
              <w:rPr>
                <w:rFonts w:cs="Arial"/>
                <w:color w:val="000000"/>
                <w:sz w:val="16"/>
                <w:szCs w:val="16"/>
              </w:rPr>
            </w:pPr>
            <w:r>
              <w:rPr>
                <w:rFonts w:cs="Arial"/>
                <w:sz w:val="16"/>
                <w:szCs w:val="16"/>
              </w:rPr>
              <w:t>43,9</w:t>
            </w:r>
          </w:p>
        </w:tc>
        <w:tc>
          <w:tcPr>
            <w:tcW w:w="595" w:type="dxa"/>
            <w:tcBorders>
              <w:top w:val="nil"/>
              <w:left w:val="nil"/>
              <w:bottom w:val="nil"/>
              <w:right w:val="nil"/>
            </w:tcBorders>
            <w:shd w:val="clear" w:color="auto" w:fill="auto"/>
            <w:noWrap/>
            <w:vAlign w:val="center"/>
            <w:hideMark/>
          </w:tcPr>
          <w:p w14:paraId="508E2F03" w14:textId="3953818C" w:rsidR="00DC0DB3" w:rsidRPr="00D92E20" w:rsidRDefault="00DC0DB3" w:rsidP="00DC0DB3">
            <w:pPr>
              <w:spacing w:after="0" w:line="240" w:lineRule="auto"/>
              <w:jc w:val="center"/>
              <w:rPr>
                <w:rFonts w:cs="Arial"/>
                <w:color w:val="000000"/>
                <w:sz w:val="16"/>
                <w:szCs w:val="16"/>
              </w:rPr>
            </w:pPr>
            <w:r>
              <w:rPr>
                <w:rFonts w:cs="Arial"/>
                <w:color w:val="000000"/>
                <w:sz w:val="16"/>
                <w:szCs w:val="16"/>
              </w:rPr>
              <w:t>46,0</w:t>
            </w:r>
          </w:p>
        </w:tc>
        <w:tc>
          <w:tcPr>
            <w:tcW w:w="595" w:type="dxa"/>
            <w:tcBorders>
              <w:top w:val="nil"/>
              <w:left w:val="nil"/>
              <w:bottom w:val="nil"/>
              <w:right w:val="nil"/>
            </w:tcBorders>
            <w:shd w:val="clear" w:color="auto" w:fill="auto"/>
            <w:noWrap/>
            <w:vAlign w:val="center"/>
            <w:hideMark/>
          </w:tcPr>
          <w:p w14:paraId="79AE69D1" w14:textId="625B2159" w:rsidR="00DC0DB3" w:rsidRPr="00D92E20" w:rsidRDefault="00DC0DB3" w:rsidP="00DC0DB3">
            <w:pPr>
              <w:spacing w:after="0" w:line="240" w:lineRule="auto"/>
              <w:jc w:val="center"/>
              <w:rPr>
                <w:rFonts w:cs="Arial"/>
                <w:color w:val="000000"/>
                <w:sz w:val="16"/>
                <w:szCs w:val="16"/>
              </w:rPr>
            </w:pPr>
            <w:r>
              <w:rPr>
                <w:rFonts w:cs="Arial"/>
                <w:color w:val="000000"/>
                <w:sz w:val="16"/>
                <w:szCs w:val="16"/>
              </w:rPr>
              <w:t>44,1</w:t>
            </w:r>
          </w:p>
        </w:tc>
        <w:tc>
          <w:tcPr>
            <w:tcW w:w="595" w:type="dxa"/>
            <w:tcBorders>
              <w:top w:val="nil"/>
              <w:left w:val="nil"/>
              <w:bottom w:val="nil"/>
              <w:right w:val="nil"/>
            </w:tcBorders>
            <w:shd w:val="clear" w:color="auto" w:fill="auto"/>
            <w:noWrap/>
            <w:vAlign w:val="center"/>
            <w:hideMark/>
          </w:tcPr>
          <w:p w14:paraId="331E6E10" w14:textId="768CA38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41,8</w:t>
            </w:r>
          </w:p>
        </w:tc>
        <w:tc>
          <w:tcPr>
            <w:tcW w:w="595" w:type="dxa"/>
            <w:tcBorders>
              <w:top w:val="nil"/>
              <w:left w:val="nil"/>
              <w:bottom w:val="nil"/>
              <w:right w:val="nil"/>
            </w:tcBorders>
            <w:shd w:val="clear" w:color="auto" w:fill="auto"/>
            <w:noWrap/>
            <w:vAlign w:val="center"/>
            <w:hideMark/>
          </w:tcPr>
          <w:p w14:paraId="31712E76" w14:textId="172D4C31"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5E1025C1" w14:textId="465A162D" w:rsidR="00DC0DB3" w:rsidRPr="00D92E20" w:rsidRDefault="00DC0DB3" w:rsidP="00DC0DB3">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2C85427E" w14:textId="01EF6A4C"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38,1</w:t>
            </w:r>
          </w:p>
        </w:tc>
      </w:tr>
      <w:tr w:rsidR="00DC0DB3" w:rsidRPr="00D92E20" w14:paraId="03DB9A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3E66899D" w14:textId="6F266446"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7EBA2D97" w14:textId="60406C24" w:rsidR="00DC0DB3" w:rsidRPr="00D92E20" w:rsidRDefault="00DC0DB3" w:rsidP="00DC0DB3">
            <w:pPr>
              <w:spacing w:after="0" w:line="240" w:lineRule="auto"/>
              <w:jc w:val="center"/>
              <w:rPr>
                <w:rFonts w:cs="Arial"/>
                <w:color w:val="000000"/>
                <w:sz w:val="16"/>
                <w:szCs w:val="16"/>
              </w:rPr>
            </w:pPr>
            <w:r>
              <w:rPr>
                <w:rFonts w:cs="Arial"/>
                <w:sz w:val="16"/>
                <w:szCs w:val="16"/>
              </w:rPr>
              <w:t>60,4</w:t>
            </w:r>
          </w:p>
        </w:tc>
        <w:tc>
          <w:tcPr>
            <w:tcW w:w="595" w:type="dxa"/>
            <w:tcBorders>
              <w:top w:val="nil"/>
              <w:left w:val="nil"/>
              <w:bottom w:val="nil"/>
              <w:right w:val="nil"/>
            </w:tcBorders>
            <w:shd w:val="clear" w:color="auto" w:fill="auto"/>
            <w:noWrap/>
            <w:vAlign w:val="center"/>
            <w:hideMark/>
          </w:tcPr>
          <w:p w14:paraId="4773E6BA" w14:textId="60A52961" w:rsidR="00DC0DB3" w:rsidRPr="00D92E20" w:rsidRDefault="00DC0DB3" w:rsidP="00DC0DB3">
            <w:pPr>
              <w:spacing w:after="0" w:line="240" w:lineRule="auto"/>
              <w:jc w:val="center"/>
              <w:rPr>
                <w:rFonts w:cs="Arial"/>
                <w:color w:val="000000"/>
                <w:sz w:val="16"/>
                <w:szCs w:val="16"/>
              </w:rPr>
            </w:pPr>
            <w:r>
              <w:rPr>
                <w:rFonts w:cs="Arial"/>
                <w:sz w:val="16"/>
                <w:szCs w:val="16"/>
              </w:rPr>
              <w:t>59,6</w:t>
            </w:r>
          </w:p>
        </w:tc>
        <w:tc>
          <w:tcPr>
            <w:tcW w:w="595" w:type="dxa"/>
            <w:tcBorders>
              <w:top w:val="nil"/>
              <w:left w:val="nil"/>
              <w:bottom w:val="nil"/>
              <w:right w:val="nil"/>
            </w:tcBorders>
            <w:shd w:val="clear" w:color="auto" w:fill="auto"/>
            <w:noWrap/>
            <w:vAlign w:val="center"/>
            <w:hideMark/>
          </w:tcPr>
          <w:p w14:paraId="44674490" w14:textId="70E5880D" w:rsidR="00DC0DB3" w:rsidRPr="00D92E20" w:rsidRDefault="00DC0DB3" w:rsidP="00DC0DB3">
            <w:pPr>
              <w:spacing w:after="0" w:line="240" w:lineRule="auto"/>
              <w:jc w:val="center"/>
              <w:rPr>
                <w:rFonts w:cs="Arial"/>
                <w:color w:val="000000"/>
                <w:sz w:val="16"/>
                <w:szCs w:val="16"/>
              </w:rPr>
            </w:pPr>
            <w:r>
              <w:rPr>
                <w:rFonts w:cs="Arial"/>
                <w:sz w:val="16"/>
                <w:szCs w:val="16"/>
              </w:rPr>
              <w:t>57,3</w:t>
            </w:r>
          </w:p>
        </w:tc>
        <w:tc>
          <w:tcPr>
            <w:tcW w:w="595" w:type="dxa"/>
            <w:tcBorders>
              <w:top w:val="nil"/>
              <w:left w:val="nil"/>
              <w:bottom w:val="nil"/>
              <w:right w:val="nil"/>
            </w:tcBorders>
            <w:shd w:val="clear" w:color="auto" w:fill="auto"/>
            <w:noWrap/>
            <w:vAlign w:val="center"/>
            <w:hideMark/>
          </w:tcPr>
          <w:p w14:paraId="48BE1DBB" w14:textId="359DB0B6" w:rsidR="00DC0DB3" w:rsidRPr="00D92E20" w:rsidRDefault="00DC0DB3" w:rsidP="00DC0DB3">
            <w:pPr>
              <w:spacing w:after="0" w:line="240" w:lineRule="auto"/>
              <w:jc w:val="center"/>
              <w:rPr>
                <w:rFonts w:cs="Arial"/>
                <w:color w:val="000000"/>
                <w:sz w:val="16"/>
                <w:szCs w:val="16"/>
              </w:rPr>
            </w:pPr>
            <w:r>
              <w:rPr>
                <w:rFonts w:cs="Arial"/>
                <w:sz w:val="16"/>
                <w:szCs w:val="16"/>
              </w:rPr>
              <w:t>59,2</w:t>
            </w:r>
          </w:p>
        </w:tc>
        <w:tc>
          <w:tcPr>
            <w:tcW w:w="595" w:type="dxa"/>
            <w:tcBorders>
              <w:top w:val="nil"/>
              <w:left w:val="nil"/>
              <w:bottom w:val="nil"/>
              <w:right w:val="nil"/>
            </w:tcBorders>
            <w:shd w:val="clear" w:color="auto" w:fill="auto"/>
            <w:noWrap/>
            <w:vAlign w:val="center"/>
            <w:hideMark/>
          </w:tcPr>
          <w:p w14:paraId="40876B78" w14:textId="41C7940C" w:rsidR="00DC0DB3" w:rsidRPr="00D92E20" w:rsidRDefault="00DC0DB3" w:rsidP="00DC0DB3">
            <w:pPr>
              <w:spacing w:after="0" w:line="240" w:lineRule="auto"/>
              <w:jc w:val="center"/>
              <w:rPr>
                <w:rFonts w:cs="Arial"/>
                <w:color w:val="000000"/>
                <w:sz w:val="16"/>
                <w:szCs w:val="16"/>
              </w:rPr>
            </w:pPr>
            <w:r>
              <w:rPr>
                <w:rFonts w:cs="Arial"/>
                <w:sz w:val="16"/>
                <w:szCs w:val="16"/>
              </w:rPr>
              <w:t>52,9</w:t>
            </w:r>
          </w:p>
        </w:tc>
        <w:tc>
          <w:tcPr>
            <w:tcW w:w="595" w:type="dxa"/>
            <w:tcBorders>
              <w:top w:val="nil"/>
              <w:left w:val="nil"/>
              <w:bottom w:val="nil"/>
              <w:right w:val="nil"/>
            </w:tcBorders>
            <w:shd w:val="clear" w:color="auto" w:fill="auto"/>
            <w:noWrap/>
            <w:vAlign w:val="center"/>
            <w:hideMark/>
          </w:tcPr>
          <w:p w14:paraId="2632C0F3" w14:textId="04024F39" w:rsidR="00DC0DB3" w:rsidRPr="00D92E20" w:rsidRDefault="00DC0DB3" w:rsidP="00DC0DB3">
            <w:pPr>
              <w:spacing w:after="0" w:line="240" w:lineRule="auto"/>
              <w:jc w:val="center"/>
              <w:rPr>
                <w:rFonts w:cs="Arial"/>
                <w:color w:val="000000"/>
                <w:sz w:val="16"/>
                <w:szCs w:val="16"/>
              </w:rPr>
            </w:pPr>
            <w:r>
              <w:rPr>
                <w:rFonts w:cs="Arial"/>
                <w:color w:val="000000"/>
                <w:sz w:val="16"/>
                <w:szCs w:val="16"/>
              </w:rPr>
              <w:t>53,5</w:t>
            </w:r>
          </w:p>
        </w:tc>
        <w:tc>
          <w:tcPr>
            <w:tcW w:w="595" w:type="dxa"/>
            <w:tcBorders>
              <w:top w:val="nil"/>
              <w:left w:val="nil"/>
              <w:bottom w:val="nil"/>
              <w:right w:val="nil"/>
            </w:tcBorders>
            <w:shd w:val="clear" w:color="auto" w:fill="auto"/>
            <w:noWrap/>
            <w:vAlign w:val="center"/>
            <w:hideMark/>
          </w:tcPr>
          <w:p w14:paraId="0420E267" w14:textId="64C36280" w:rsidR="00DC0DB3" w:rsidRPr="00D92E20" w:rsidRDefault="00DC0DB3" w:rsidP="00DC0DB3">
            <w:pPr>
              <w:spacing w:after="0" w:line="240" w:lineRule="auto"/>
              <w:jc w:val="center"/>
              <w:rPr>
                <w:rFonts w:cs="Arial"/>
                <w:color w:val="000000"/>
                <w:sz w:val="16"/>
                <w:szCs w:val="16"/>
              </w:rPr>
            </w:pPr>
            <w:r>
              <w:rPr>
                <w:rFonts w:cs="Arial"/>
                <w:color w:val="000000"/>
                <w:sz w:val="16"/>
                <w:szCs w:val="16"/>
              </w:rPr>
              <w:t>53,3</w:t>
            </w:r>
          </w:p>
        </w:tc>
        <w:tc>
          <w:tcPr>
            <w:tcW w:w="595" w:type="dxa"/>
            <w:tcBorders>
              <w:top w:val="nil"/>
              <w:left w:val="nil"/>
              <w:bottom w:val="nil"/>
              <w:right w:val="nil"/>
            </w:tcBorders>
            <w:shd w:val="clear" w:color="auto" w:fill="auto"/>
            <w:noWrap/>
            <w:vAlign w:val="center"/>
            <w:hideMark/>
          </w:tcPr>
          <w:p w14:paraId="7C9A3EC3" w14:textId="374634E0" w:rsidR="00DC0DB3" w:rsidRPr="00D92E20" w:rsidRDefault="00DC0DB3" w:rsidP="00DC0DB3">
            <w:pPr>
              <w:spacing w:after="0" w:line="240" w:lineRule="auto"/>
              <w:jc w:val="center"/>
              <w:rPr>
                <w:rFonts w:cs="Arial"/>
                <w:color w:val="000000"/>
                <w:sz w:val="16"/>
                <w:szCs w:val="16"/>
              </w:rPr>
            </w:pPr>
            <w:r>
              <w:rPr>
                <w:rFonts w:cs="Arial"/>
                <w:color w:val="000000"/>
                <w:sz w:val="16"/>
                <w:szCs w:val="16"/>
              </w:rPr>
              <w:t>51,3</w:t>
            </w:r>
          </w:p>
        </w:tc>
        <w:tc>
          <w:tcPr>
            <w:tcW w:w="595" w:type="dxa"/>
            <w:tcBorders>
              <w:top w:val="nil"/>
              <w:left w:val="nil"/>
              <w:bottom w:val="nil"/>
              <w:right w:val="nil"/>
            </w:tcBorders>
            <w:shd w:val="clear" w:color="auto" w:fill="auto"/>
            <w:noWrap/>
            <w:vAlign w:val="center"/>
            <w:hideMark/>
          </w:tcPr>
          <w:p w14:paraId="4466CBA1" w14:textId="626B6446" w:rsidR="00DC0DB3" w:rsidRPr="00D92E20" w:rsidRDefault="00DC0DB3" w:rsidP="00DC0DB3">
            <w:pPr>
              <w:spacing w:after="0" w:line="240" w:lineRule="auto"/>
              <w:jc w:val="center"/>
              <w:rPr>
                <w:rFonts w:cs="Arial"/>
                <w:color w:val="000000"/>
                <w:sz w:val="16"/>
                <w:szCs w:val="16"/>
              </w:rPr>
            </w:pPr>
            <w:r>
              <w:rPr>
                <w:rFonts w:cs="Arial"/>
                <w:color w:val="000000"/>
                <w:sz w:val="16"/>
                <w:szCs w:val="16"/>
              </w:rPr>
              <w:t>54,6</w:t>
            </w:r>
          </w:p>
        </w:tc>
        <w:tc>
          <w:tcPr>
            <w:tcW w:w="595" w:type="dxa"/>
            <w:tcBorders>
              <w:top w:val="nil"/>
              <w:left w:val="nil"/>
              <w:bottom w:val="nil"/>
              <w:right w:val="nil"/>
            </w:tcBorders>
            <w:shd w:val="clear" w:color="auto" w:fill="auto"/>
            <w:noWrap/>
            <w:vAlign w:val="center"/>
            <w:hideMark/>
          </w:tcPr>
          <w:p w14:paraId="369EC504" w14:textId="19E84AF5" w:rsidR="00DC0DB3" w:rsidRPr="00D92E20" w:rsidRDefault="00DC0DB3" w:rsidP="00DC0DB3">
            <w:pPr>
              <w:spacing w:after="0" w:line="240" w:lineRule="auto"/>
              <w:jc w:val="center"/>
              <w:rPr>
                <w:rFonts w:cs="Arial"/>
                <w:color w:val="000000"/>
                <w:sz w:val="16"/>
                <w:szCs w:val="16"/>
              </w:rPr>
            </w:pPr>
            <w:r>
              <w:rPr>
                <w:rFonts w:cs="Arial"/>
                <w:color w:val="000000"/>
                <w:sz w:val="16"/>
                <w:szCs w:val="16"/>
              </w:rPr>
              <w:t>59,1</w:t>
            </w:r>
          </w:p>
        </w:tc>
        <w:tc>
          <w:tcPr>
            <w:tcW w:w="595" w:type="dxa"/>
            <w:tcBorders>
              <w:top w:val="nil"/>
              <w:left w:val="nil"/>
              <w:bottom w:val="nil"/>
              <w:right w:val="nil"/>
            </w:tcBorders>
            <w:shd w:val="clear" w:color="auto" w:fill="auto"/>
            <w:noWrap/>
            <w:vAlign w:val="center"/>
            <w:hideMark/>
          </w:tcPr>
          <w:p w14:paraId="03F90904" w14:textId="60B2BB3F" w:rsidR="00DC0DB3" w:rsidRPr="00D92E20" w:rsidRDefault="00DC0DB3" w:rsidP="00DC0DB3">
            <w:pPr>
              <w:spacing w:after="0" w:line="240" w:lineRule="auto"/>
              <w:jc w:val="center"/>
              <w:rPr>
                <w:rFonts w:cs="Arial"/>
                <w:color w:val="000000"/>
                <w:sz w:val="16"/>
                <w:szCs w:val="16"/>
              </w:rPr>
            </w:pPr>
            <w:r>
              <w:rPr>
                <w:rFonts w:cs="Arial"/>
                <w:color w:val="000000"/>
                <w:sz w:val="16"/>
                <w:szCs w:val="16"/>
              </w:rPr>
              <w:t>59,6</w:t>
            </w:r>
          </w:p>
        </w:tc>
      </w:tr>
      <w:tr w:rsidR="00DC0DB3" w:rsidRPr="00D92E20" w14:paraId="56FE709F"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CD59E0"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52FDA5D7" w14:textId="2975C5A7" w:rsidR="00DC0DB3" w:rsidRPr="00D92E20" w:rsidRDefault="00DC0DB3" w:rsidP="00DC0DB3">
            <w:pPr>
              <w:spacing w:after="0" w:line="240" w:lineRule="auto"/>
              <w:jc w:val="center"/>
              <w:rPr>
                <w:rFonts w:cs="Arial"/>
                <w:color w:val="000000"/>
                <w:sz w:val="16"/>
                <w:szCs w:val="16"/>
              </w:rPr>
            </w:pPr>
            <w:r>
              <w:rPr>
                <w:rFonts w:cs="Arial"/>
                <w:sz w:val="16"/>
                <w:szCs w:val="16"/>
              </w:rPr>
              <w:t>25,4</w:t>
            </w:r>
          </w:p>
        </w:tc>
        <w:tc>
          <w:tcPr>
            <w:tcW w:w="595" w:type="dxa"/>
            <w:tcBorders>
              <w:top w:val="nil"/>
              <w:left w:val="nil"/>
              <w:bottom w:val="nil"/>
              <w:right w:val="nil"/>
            </w:tcBorders>
            <w:shd w:val="clear" w:color="auto" w:fill="auto"/>
            <w:noWrap/>
            <w:vAlign w:val="center"/>
            <w:hideMark/>
          </w:tcPr>
          <w:p w14:paraId="67CFFD2C" w14:textId="11929F55" w:rsidR="00DC0DB3" w:rsidRPr="00D92E20" w:rsidRDefault="00DC0DB3" w:rsidP="00DC0DB3">
            <w:pPr>
              <w:spacing w:after="0" w:line="240" w:lineRule="auto"/>
              <w:jc w:val="center"/>
              <w:rPr>
                <w:rFonts w:cs="Arial"/>
                <w:color w:val="000000"/>
                <w:sz w:val="16"/>
                <w:szCs w:val="16"/>
              </w:rPr>
            </w:pPr>
            <w:r>
              <w:rPr>
                <w:rFonts w:cs="Arial"/>
                <w:sz w:val="16"/>
                <w:szCs w:val="16"/>
              </w:rPr>
              <w:t>29,3</w:t>
            </w:r>
          </w:p>
        </w:tc>
        <w:tc>
          <w:tcPr>
            <w:tcW w:w="595" w:type="dxa"/>
            <w:tcBorders>
              <w:top w:val="nil"/>
              <w:left w:val="nil"/>
              <w:bottom w:val="nil"/>
              <w:right w:val="nil"/>
            </w:tcBorders>
            <w:shd w:val="clear" w:color="auto" w:fill="auto"/>
            <w:noWrap/>
            <w:vAlign w:val="center"/>
            <w:hideMark/>
          </w:tcPr>
          <w:p w14:paraId="3130798C" w14:textId="6959DA9F" w:rsidR="00DC0DB3" w:rsidRPr="00D92E20" w:rsidRDefault="00DC0DB3" w:rsidP="00DC0DB3">
            <w:pPr>
              <w:spacing w:after="0" w:line="240" w:lineRule="auto"/>
              <w:jc w:val="center"/>
              <w:rPr>
                <w:rFonts w:cs="Arial"/>
                <w:color w:val="000000"/>
                <w:sz w:val="16"/>
                <w:szCs w:val="16"/>
              </w:rPr>
            </w:pPr>
            <w:r>
              <w:rPr>
                <w:rFonts w:cs="Arial"/>
                <w:sz w:val="16"/>
                <w:szCs w:val="16"/>
              </w:rPr>
              <w:t>25,7</w:t>
            </w:r>
          </w:p>
        </w:tc>
        <w:tc>
          <w:tcPr>
            <w:tcW w:w="595" w:type="dxa"/>
            <w:tcBorders>
              <w:top w:val="nil"/>
              <w:left w:val="nil"/>
              <w:bottom w:val="nil"/>
              <w:right w:val="nil"/>
            </w:tcBorders>
            <w:shd w:val="clear" w:color="auto" w:fill="auto"/>
            <w:noWrap/>
            <w:vAlign w:val="center"/>
            <w:hideMark/>
          </w:tcPr>
          <w:p w14:paraId="2BB3AD4D" w14:textId="1F71884A" w:rsidR="00DC0DB3" w:rsidRPr="00D92E20" w:rsidRDefault="00DC0DB3" w:rsidP="00DC0DB3">
            <w:pPr>
              <w:spacing w:after="0" w:line="240" w:lineRule="auto"/>
              <w:jc w:val="center"/>
              <w:rPr>
                <w:rFonts w:cs="Arial"/>
                <w:color w:val="000000"/>
                <w:sz w:val="16"/>
                <w:szCs w:val="16"/>
              </w:rPr>
            </w:pPr>
            <w:r>
              <w:rPr>
                <w:rFonts w:cs="Arial"/>
                <w:sz w:val="16"/>
                <w:szCs w:val="16"/>
              </w:rPr>
              <w:t>27,8</w:t>
            </w:r>
          </w:p>
        </w:tc>
        <w:tc>
          <w:tcPr>
            <w:tcW w:w="595" w:type="dxa"/>
            <w:tcBorders>
              <w:top w:val="nil"/>
              <w:left w:val="nil"/>
              <w:bottom w:val="nil"/>
              <w:right w:val="nil"/>
            </w:tcBorders>
            <w:shd w:val="clear" w:color="auto" w:fill="auto"/>
            <w:noWrap/>
            <w:vAlign w:val="center"/>
            <w:hideMark/>
          </w:tcPr>
          <w:p w14:paraId="270C3AB7" w14:textId="750A3C4C" w:rsidR="00DC0DB3" w:rsidRPr="00D92E20" w:rsidRDefault="00DC0DB3" w:rsidP="00DC0DB3">
            <w:pPr>
              <w:spacing w:after="0" w:line="240" w:lineRule="auto"/>
              <w:jc w:val="center"/>
              <w:rPr>
                <w:rFonts w:cs="Arial"/>
                <w:color w:val="000000"/>
                <w:sz w:val="16"/>
                <w:szCs w:val="16"/>
              </w:rPr>
            </w:pPr>
            <w:r>
              <w:rPr>
                <w:rFonts w:cs="Arial"/>
                <w:sz w:val="16"/>
                <w:szCs w:val="16"/>
              </w:rPr>
              <w:t>25,8</w:t>
            </w:r>
          </w:p>
        </w:tc>
        <w:tc>
          <w:tcPr>
            <w:tcW w:w="595" w:type="dxa"/>
            <w:tcBorders>
              <w:top w:val="nil"/>
              <w:left w:val="nil"/>
              <w:bottom w:val="nil"/>
              <w:right w:val="nil"/>
            </w:tcBorders>
            <w:shd w:val="clear" w:color="auto" w:fill="auto"/>
            <w:noWrap/>
            <w:vAlign w:val="center"/>
            <w:hideMark/>
          </w:tcPr>
          <w:p w14:paraId="1B354CDC" w14:textId="473D6543" w:rsidR="00DC0DB3" w:rsidRPr="00D92E20" w:rsidRDefault="00DC0DB3" w:rsidP="00DC0DB3">
            <w:pPr>
              <w:spacing w:after="0" w:line="240" w:lineRule="auto"/>
              <w:jc w:val="center"/>
              <w:rPr>
                <w:rFonts w:cs="Arial"/>
                <w:color w:val="000000"/>
                <w:sz w:val="16"/>
                <w:szCs w:val="16"/>
              </w:rPr>
            </w:pPr>
            <w:r>
              <w:rPr>
                <w:rFonts w:cs="Arial"/>
                <w:color w:val="000000"/>
                <w:sz w:val="16"/>
                <w:szCs w:val="16"/>
              </w:rPr>
              <w:t>25,7</w:t>
            </w:r>
          </w:p>
        </w:tc>
        <w:tc>
          <w:tcPr>
            <w:tcW w:w="595" w:type="dxa"/>
            <w:tcBorders>
              <w:top w:val="nil"/>
              <w:left w:val="nil"/>
              <w:bottom w:val="nil"/>
              <w:right w:val="nil"/>
            </w:tcBorders>
            <w:shd w:val="clear" w:color="auto" w:fill="auto"/>
            <w:noWrap/>
            <w:vAlign w:val="center"/>
            <w:hideMark/>
          </w:tcPr>
          <w:p w14:paraId="66D2473F" w14:textId="738C53B4" w:rsidR="00DC0DB3" w:rsidRPr="00D92E20" w:rsidRDefault="00DC0DB3" w:rsidP="00DC0DB3">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2C0425FD" w14:textId="2447793F" w:rsidR="00DC0DB3" w:rsidRPr="00D92E20" w:rsidRDefault="00DC0DB3" w:rsidP="00DC0DB3">
            <w:pPr>
              <w:spacing w:after="0" w:line="240" w:lineRule="auto"/>
              <w:jc w:val="center"/>
              <w:rPr>
                <w:rFonts w:cs="Arial"/>
                <w:color w:val="000000"/>
                <w:sz w:val="16"/>
                <w:szCs w:val="16"/>
              </w:rPr>
            </w:pPr>
            <w:r>
              <w:rPr>
                <w:rFonts w:cs="Arial"/>
                <w:color w:val="000000"/>
                <w:sz w:val="16"/>
                <w:szCs w:val="16"/>
              </w:rPr>
              <w:t>25,5</w:t>
            </w:r>
          </w:p>
        </w:tc>
        <w:tc>
          <w:tcPr>
            <w:tcW w:w="595" w:type="dxa"/>
            <w:tcBorders>
              <w:top w:val="nil"/>
              <w:left w:val="nil"/>
              <w:bottom w:val="nil"/>
              <w:right w:val="nil"/>
            </w:tcBorders>
            <w:shd w:val="clear" w:color="auto" w:fill="auto"/>
            <w:noWrap/>
            <w:vAlign w:val="center"/>
            <w:hideMark/>
          </w:tcPr>
          <w:p w14:paraId="3632162E" w14:textId="43836FDD" w:rsidR="00DC0DB3" w:rsidRPr="00D92E20" w:rsidRDefault="00DC0DB3" w:rsidP="00DC0DB3">
            <w:pPr>
              <w:spacing w:after="0" w:line="240" w:lineRule="auto"/>
              <w:jc w:val="center"/>
              <w:rPr>
                <w:rFonts w:cs="Arial"/>
                <w:color w:val="000000"/>
                <w:sz w:val="16"/>
                <w:szCs w:val="16"/>
              </w:rPr>
            </w:pPr>
            <w:r>
              <w:rPr>
                <w:rFonts w:cs="Arial"/>
                <w:color w:val="000000"/>
                <w:sz w:val="16"/>
                <w:szCs w:val="16"/>
              </w:rPr>
              <w:t>26,4</w:t>
            </w:r>
          </w:p>
        </w:tc>
        <w:tc>
          <w:tcPr>
            <w:tcW w:w="595" w:type="dxa"/>
            <w:tcBorders>
              <w:top w:val="nil"/>
              <w:left w:val="nil"/>
              <w:bottom w:val="nil"/>
              <w:right w:val="nil"/>
            </w:tcBorders>
            <w:shd w:val="clear" w:color="auto" w:fill="auto"/>
            <w:noWrap/>
            <w:vAlign w:val="center"/>
            <w:hideMark/>
          </w:tcPr>
          <w:p w14:paraId="3A89B030" w14:textId="26E85CC2" w:rsidR="00DC0DB3" w:rsidRPr="00D92E20" w:rsidRDefault="00DC0DB3" w:rsidP="00DC0DB3">
            <w:pPr>
              <w:spacing w:after="0" w:line="240" w:lineRule="auto"/>
              <w:jc w:val="center"/>
              <w:rPr>
                <w:rFonts w:cs="Arial"/>
                <w:color w:val="000000"/>
                <w:sz w:val="16"/>
                <w:szCs w:val="16"/>
              </w:rPr>
            </w:pPr>
            <w:r>
              <w:rPr>
                <w:rFonts w:cs="Arial"/>
                <w:color w:val="000000"/>
                <w:sz w:val="16"/>
                <w:szCs w:val="16"/>
              </w:rPr>
              <w:t>27,3</w:t>
            </w:r>
          </w:p>
        </w:tc>
        <w:tc>
          <w:tcPr>
            <w:tcW w:w="595" w:type="dxa"/>
            <w:tcBorders>
              <w:top w:val="nil"/>
              <w:left w:val="nil"/>
              <w:bottom w:val="nil"/>
              <w:right w:val="nil"/>
            </w:tcBorders>
            <w:shd w:val="clear" w:color="auto" w:fill="auto"/>
            <w:noWrap/>
            <w:vAlign w:val="center"/>
            <w:hideMark/>
          </w:tcPr>
          <w:p w14:paraId="4F38F43C" w14:textId="6E701054" w:rsidR="00DC0DB3" w:rsidRPr="00D92E20" w:rsidRDefault="00DC0DB3" w:rsidP="00DC0DB3">
            <w:pPr>
              <w:spacing w:after="0" w:line="240" w:lineRule="auto"/>
              <w:jc w:val="center"/>
              <w:rPr>
                <w:rFonts w:cs="Arial"/>
                <w:color w:val="000000"/>
                <w:sz w:val="16"/>
                <w:szCs w:val="16"/>
              </w:rPr>
            </w:pPr>
            <w:r>
              <w:rPr>
                <w:rFonts w:cs="Arial"/>
                <w:color w:val="000000"/>
                <w:sz w:val="16"/>
                <w:szCs w:val="16"/>
              </w:rPr>
              <w:t>27,0</w:t>
            </w:r>
          </w:p>
        </w:tc>
      </w:tr>
      <w:tr w:rsidR="00DC0DB3" w:rsidRPr="00D92E20" w14:paraId="21486459"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A3360E5"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201928EE" w14:textId="1FA4681E" w:rsidR="00DC0DB3" w:rsidRPr="00D92E20" w:rsidRDefault="00DC0DB3" w:rsidP="00DC0DB3">
            <w:pPr>
              <w:spacing w:after="0" w:line="240" w:lineRule="auto"/>
              <w:jc w:val="center"/>
              <w:rPr>
                <w:rFonts w:cs="Arial"/>
                <w:color w:val="000000"/>
                <w:sz w:val="16"/>
                <w:szCs w:val="16"/>
              </w:rPr>
            </w:pPr>
            <w:r>
              <w:rPr>
                <w:rFonts w:cs="Arial"/>
                <w:sz w:val="16"/>
                <w:szCs w:val="16"/>
              </w:rPr>
              <w:t>30,5</w:t>
            </w:r>
          </w:p>
        </w:tc>
        <w:tc>
          <w:tcPr>
            <w:tcW w:w="595" w:type="dxa"/>
            <w:tcBorders>
              <w:top w:val="nil"/>
              <w:left w:val="nil"/>
              <w:bottom w:val="nil"/>
              <w:right w:val="nil"/>
            </w:tcBorders>
            <w:shd w:val="clear" w:color="auto" w:fill="auto"/>
            <w:noWrap/>
            <w:vAlign w:val="center"/>
            <w:hideMark/>
          </w:tcPr>
          <w:p w14:paraId="0043F022" w14:textId="4E39AB55" w:rsidR="00DC0DB3" w:rsidRPr="00D92E20" w:rsidRDefault="00DC0DB3" w:rsidP="00DC0DB3">
            <w:pPr>
              <w:spacing w:after="0" w:line="240" w:lineRule="auto"/>
              <w:jc w:val="center"/>
              <w:rPr>
                <w:rFonts w:cs="Arial"/>
                <w:color w:val="000000"/>
                <w:sz w:val="16"/>
                <w:szCs w:val="16"/>
              </w:rPr>
            </w:pPr>
            <w:r>
              <w:rPr>
                <w:rFonts w:cs="Arial"/>
                <w:sz w:val="16"/>
                <w:szCs w:val="16"/>
              </w:rPr>
              <w:t>35,9</w:t>
            </w:r>
          </w:p>
        </w:tc>
        <w:tc>
          <w:tcPr>
            <w:tcW w:w="595" w:type="dxa"/>
            <w:tcBorders>
              <w:top w:val="nil"/>
              <w:left w:val="nil"/>
              <w:bottom w:val="nil"/>
              <w:right w:val="nil"/>
            </w:tcBorders>
            <w:shd w:val="clear" w:color="auto" w:fill="auto"/>
            <w:noWrap/>
            <w:vAlign w:val="center"/>
            <w:hideMark/>
          </w:tcPr>
          <w:p w14:paraId="495FE845" w14:textId="53079370" w:rsidR="00DC0DB3" w:rsidRPr="00D92E20" w:rsidRDefault="00DC0DB3" w:rsidP="00DC0DB3">
            <w:pPr>
              <w:spacing w:after="0" w:line="240" w:lineRule="auto"/>
              <w:jc w:val="center"/>
              <w:rPr>
                <w:rFonts w:cs="Arial"/>
                <w:color w:val="000000"/>
                <w:sz w:val="16"/>
                <w:szCs w:val="16"/>
              </w:rPr>
            </w:pPr>
            <w:r>
              <w:rPr>
                <w:rFonts w:cs="Arial"/>
                <w:sz w:val="16"/>
                <w:szCs w:val="16"/>
              </w:rPr>
              <w:t>30,1</w:t>
            </w:r>
          </w:p>
        </w:tc>
        <w:tc>
          <w:tcPr>
            <w:tcW w:w="595" w:type="dxa"/>
            <w:tcBorders>
              <w:top w:val="nil"/>
              <w:left w:val="nil"/>
              <w:bottom w:val="nil"/>
              <w:right w:val="nil"/>
            </w:tcBorders>
            <w:shd w:val="clear" w:color="auto" w:fill="auto"/>
            <w:noWrap/>
            <w:vAlign w:val="center"/>
            <w:hideMark/>
          </w:tcPr>
          <w:p w14:paraId="7F5E8770" w14:textId="4F61DD9D" w:rsidR="00DC0DB3" w:rsidRPr="00D92E20" w:rsidRDefault="00DC0DB3" w:rsidP="00DC0DB3">
            <w:pPr>
              <w:spacing w:after="0" w:line="240" w:lineRule="auto"/>
              <w:jc w:val="center"/>
              <w:rPr>
                <w:rFonts w:cs="Arial"/>
                <w:color w:val="000000"/>
                <w:sz w:val="16"/>
                <w:szCs w:val="16"/>
              </w:rPr>
            </w:pPr>
            <w:r>
              <w:rPr>
                <w:rFonts w:cs="Arial"/>
                <w:sz w:val="16"/>
                <w:szCs w:val="16"/>
              </w:rPr>
              <w:t>34,3</w:t>
            </w:r>
          </w:p>
        </w:tc>
        <w:tc>
          <w:tcPr>
            <w:tcW w:w="595" w:type="dxa"/>
            <w:tcBorders>
              <w:top w:val="nil"/>
              <w:left w:val="nil"/>
              <w:bottom w:val="nil"/>
              <w:right w:val="nil"/>
            </w:tcBorders>
            <w:shd w:val="clear" w:color="auto" w:fill="auto"/>
            <w:noWrap/>
            <w:vAlign w:val="center"/>
            <w:hideMark/>
          </w:tcPr>
          <w:p w14:paraId="687EE33F" w14:textId="53E71095" w:rsidR="00DC0DB3" w:rsidRPr="00D92E20" w:rsidRDefault="00DC0DB3" w:rsidP="00DC0DB3">
            <w:pPr>
              <w:spacing w:after="0" w:line="240" w:lineRule="auto"/>
              <w:jc w:val="center"/>
              <w:rPr>
                <w:rFonts w:cs="Arial"/>
                <w:color w:val="000000"/>
                <w:sz w:val="16"/>
                <w:szCs w:val="16"/>
              </w:rPr>
            </w:pPr>
            <w:r>
              <w:rPr>
                <w:rFonts w:cs="Arial"/>
                <w:sz w:val="16"/>
                <w:szCs w:val="16"/>
              </w:rPr>
              <w:t>31,6</w:t>
            </w:r>
          </w:p>
        </w:tc>
        <w:tc>
          <w:tcPr>
            <w:tcW w:w="595" w:type="dxa"/>
            <w:tcBorders>
              <w:top w:val="nil"/>
              <w:left w:val="nil"/>
              <w:bottom w:val="nil"/>
              <w:right w:val="nil"/>
            </w:tcBorders>
            <w:shd w:val="clear" w:color="auto" w:fill="auto"/>
            <w:noWrap/>
            <w:vAlign w:val="center"/>
            <w:hideMark/>
          </w:tcPr>
          <w:p w14:paraId="66E0E8FC" w14:textId="1755DF98" w:rsidR="00DC0DB3" w:rsidRPr="00D92E20" w:rsidRDefault="00DC0DB3" w:rsidP="00DC0DB3">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5D570A79" w14:textId="582F798E" w:rsidR="00DC0DB3" w:rsidRPr="00D92E20" w:rsidRDefault="00DC0DB3" w:rsidP="00DC0DB3">
            <w:pPr>
              <w:spacing w:after="0" w:line="240" w:lineRule="auto"/>
              <w:jc w:val="center"/>
              <w:rPr>
                <w:rFonts w:cs="Arial"/>
                <w:color w:val="000000"/>
                <w:sz w:val="16"/>
                <w:szCs w:val="16"/>
              </w:rPr>
            </w:pPr>
            <w:r>
              <w:rPr>
                <w:rFonts w:cs="Arial"/>
                <w:color w:val="000000"/>
                <w:sz w:val="16"/>
                <w:szCs w:val="16"/>
              </w:rPr>
              <w:t>32,8</w:t>
            </w:r>
          </w:p>
        </w:tc>
        <w:tc>
          <w:tcPr>
            <w:tcW w:w="595" w:type="dxa"/>
            <w:tcBorders>
              <w:top w:val="nil"/>
              <w:left w:val="nil"/>
              <w:bottom w:val="nil"/>
              <w:right w:val="nil"/>
            </w:tcBorders>
            <w:shd w:val="clear" w:color="auto" w:fill="auto"/>
            <w:noWrap/>
            <w:vAlign w:val="center"/>
            <w:hideMark/>
          </w:tcPr>
          <w:p w14:paraId="6F39B89E" w14:textId="17CAA7DC" w:rsidR="00DC0DB3" w:rsidRPr="00D92E20" w:rsidRDefault="00DC0DB3" w:rsidP="00DC0DB3">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146C7E7C" w14:textId="27468FAD" w:rsidR="00DC0DB3" w:rsidRPr="00D92E20" w:rsidRDefault="00DC0DB3" w:rsidP="00DC0DB3">
            <w:pPr>
              <w:spacing w:after="0" w:line="240" w:lineRule="auto"/>
              <w:jc w:val="center"/>
              <w:rPr>
                <w:rFonts w:cs="Arial"/>
                <w:color w:val="000000"/>
                <w:sz w:val="16"/>
                <w:szCs w:val="16"/>
              </w:rPr>
            </w:pPr>
            <w:r>
              <w:rPr>
                <w:rFonts w:cs="Arial"/>
                <w:color w:val="000000"/>
                <w:sz w:val="16"/>
                <w:szCs w:val="16"/>
              </w:rPr>
              <w:t>33,1</w:t>
            </w:r>
          </w:p>
        </w:tc>
        <w:tc>
          <w:tcPr>
            <w:tcW w:w="595" w:type="dxa"/>
            <w:tcBorders>
              <w:top w:val="nil"/>
              <w:left w:val="nil"/>
              <w:bottom w:val="nil"/>
              <w:right w:val="nil"/>
            </w:tcBorders>
            <w:shd w:val="clear" w:color="auto" w:fill="auto"/>
            <w:noWrap/>
            <w:vAlign w:val="center"/>
            <w:hideMark/>
          </w:tcPr>
          <w:p w14:paraId="213D22E8" w14:textId="558C89C9" w:rsidR="00DC0DB3" w:rsidRPr="00D92E20" w:rsidRDefault="00DC0DB3" w:rsidP="00DC0DB3">
            <w:pPr>
              <w:spacing w:after="0" w:line="240" w:lineRule="auto"/>
              <w:jc w:val="center"/>
              <w:rPr>
                <w:rFonts w:cs="Arial"/>
                <w:color w:val="000000"/>
                <w:sz w:val="16"/>
                <w:szCs w:val="16"/>
              </w:rPr>
            </w:pPr>
            <w:r>
              <w:rPr>
                <w:rFonts w:cs="Arial"/>
                <w:color w:val="000000"/>
                <w:sz w:val="16"/>
                <w:szCs w:val="16"/>
              </w:rPr>
              <w:t>34,8</w:t>
            </w:r>
          </w:p>
        </w:tc>
        <w:tc>
          <w:tcPr>
            <w:tcW w:w="595" w:type="dxa"/>
            <w:tcBorders>
              <w:top w:val="nil"/>
              <w:left w:val="nil"/>
              <w:bottom w:val="nil"/>
              <w:right w:val="nil"/>
            </w:tcBorders>
            <w:shd w:val="clear" w:color="auto" w:fill="auto"/>
            <w:noWrap/>
            <w:vAlign w:val="center"/>
            <w:hideMark/>
          </w:tcPr>
          <w:p w14:paraId="4170D92D" w14:textId="7F4724E2" w:rsidR="00DC0DB3" w:rsidRPr="00D92E20" w:rsidRDefault="00DC0DB3" w:rsidP="00DC0DB3">
            <w:pPr>
              <w:spacing w:after="0" w:line="240" w:lineRule="auto"/>
              <w:jc w:val="center"/>
              <w:rPr>
                <w:rFonts w:cs="Arial"/>
                <w:color w:val="000000"/>
                <w:sz w:val="16"/>
                <w:szCs w:val="16"/>
              </w:rPr>
            </w:pPr>
            <w:r>
              <w:rPr>
                <w:rFonts w:cs="Arial"/>
                <w:color w:val="000000"/>
                <w:sz w:val="16"/>
                <w:szCs w:val="16"/>
              </w:rPr>
              <w:t>35,2</w:t>
            </w:r>
          </w:p>
        </w:tc>
      </w:tr>
      <w:tr w:rsidR="00DC0DB3" w:rsidRPr="00D92E20" w14:paraId="4E426178"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13E6B5E"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02A9E878" w14:textId="3E380677" w:rsidR="00DC0DB3" w:rsidRPr="00D92E20" w:rsidRDefault="00DC0DB3" w:rsidP="00DC0DB3">
            <w:pPr>
              <w:spacing w:after="0" w:line="240" w:lineRule="auto"/>
              <w:jc w:val="center"/>
              <w:rPr>
                <w:rFonts w:cs="Arial"/>
                <w:color w:val="000000"/>
                <w:sz w:val="16"/>
                <w:szCs w:val="16"/>
              </w:rPr>
            </w:pPr>
            <w:r>
              <w:rPr>
                <w:rFonts w:cs="Arial"/>
                <w:sz w:val="16"/>
                <w:szCs w:val="16"/>
              </w:rPr>
              <w:t>54,3</w:t>
            </w:r>
          </w:p>
        </w:tc>
        <w:tc>
          <w:tcPr>
            <w:tcW w:w="595" w:type="dxa"/>
            <w:tcBorders>
              <w:top w:val="nil"/>
              <w:left w:val="nil"/>
              <w:bottom w:val="nil"/>
              <w:right w:val="nil"/>
            </w:tcBorders>
            <w:shd w:val="clear" w:color="auto" w:fill="auto"/>
            <w:noWrap/>
            <w:vAlign w:val="center"/>
            <w:hideMark/>
          </w:tcPr>
          <w:p w14:paraId="4B47E5B0" w14:textId="341567A7" w:rsidR="00DC0DB3" w:rsidRPr="00D92E20" w:rsidRDefault="00DC0DB3" w:rsidP="00DC0DB3">
            <w:pPr>
              <w:spacing w:after="0" w:line="240" w:lineRule="auto"/>
              <w:jc w:val="center"/>
              <w:rPr>
                <w:rFonts w:cs="Arial"/>
                <w:color w:val="000000"/>
                <w:sz w:val="16"/>
                <w:szCs w:val="16"/>
              </w:rPr>
            </w:pPr>
            <w:r>
              <w:rPr>
                <w:rFonts w:cs="Arial"/>
                <w:sz w:val="16"/>
                <w:szCs w:val="16"/>
              </w:rPr>
              <w:t>57,0</w:t>
            </w:r>
          </w:p>
        </w:tc>
        <w:tc>
          <w:tcPr>
            <w:tcW w:w="595" w:type="dxa"/>
            <w:tcBorders>
              <w:top w:val="nil"/>
              <w:left w:val="nil"/>
              <w:bottom w:val="nil"/>
              <w:right w:val="nil"/>
            </w:tcBorders>
            <w:shd w:val="clear" w:color="auto" w:fill="auto"/>
            <w:noWrap/>
            <w:vAlign w:val="center"/>
            <w:hideMark/>
          </w:tcPr>
          <w:p w14:paraId="20435D38" w14:textId="1E5B15AC" w:rsidR="00DC0DB3" w:rsidRPr="00D92E20" w:rsidRDefault="00DC0DB3" w:rsidP="00DC0DB3">
            <w:pPr>
              <w:spacing w:after="0" w:line="240" w:lineRule="auto"/>
              <w:jc w:val="center"/>
              <w:rPr>
                <w:rFonts w:cs="Arial"/>
                <w:color w:val="000000"/>
                <w:sz w:val="16"/>
                <w:szCs w:val="16"/>
              </w:rPr>
            </w:pPr>
            <w:r>
              <w:rPr>
                <w:rFonts w:cs="Arial"/>
                <w:sz w:val="16"/>
                <w:szCs w:val="16"/>
              </w:rPr>
              <w:t>52,1</w:t>
            </w:r>
          </w:p>
        </w:tc>
        <w:tc>
          <w:tcPr>
            <w:tcW w:w="595" w:type="dxa"/>
            <w:tcBorders>
              <w:top w:val="nil"/>
              <w:left w:val="nil"/>
              <w:bottom w:val="nil"/>
              <w:right w:val="nil"/>
            </w:tcBorders>
            <w:shd w:val="clear" w:color="auto" w:fill="auto"/>
            <w:noWrap/>
            <w:vAlign w:val="center"/>
            <w:hideMark/>
          </w:tcPr>
          <w:p w14:paraId="535BF460" w14:textId="711713A5" w:rsidR="00DC0DB3" w:rsidRPr="00D92E20" w:rsidRDefault="00DC0DB3" w:rsidP="00DC0DB3">
            <w:pPr>
              <w:spacing w:after="0" w:line="240" w:lineRule="auto"/>
              <w:jc w:val="center"/>
              <w:rPr>
                <w:rFonts w:cs="Arial"/>
                <w:color w:val="000000"/>
                <w:sz w:val="16"/>
                <w:szCs w:val="16"/>
              </w:rPr>
            </w:pPr>
            <w:r>
              <w:rPr>
                <w:rFonts w:cs="Arial"/>
                <w:sz w:val="16"/>
                <w:szCs w:val="16"/>
              </w:rPr>
              <w:t>56,2</w:t>
            </w:r>
          </w:p>
        </w:tc>
        <w:tc>
          <w:tcPr>
            <w:tcW w:w="595" w:type="dxa"/>
            <w:tcBorders>
              <w:top w:val="nil"/>
              <w:left w:val="nil"/>
              <w:bottom w:val="nil"/>
              <w:right w:val="nil"/>
            </w:tcBorders>
            <w:shd w:val="clear" w:color="auto" w:fill="auto"/>
            <w:noWrap/>
            <w:vAlign w:val="center"/>
            <w:hideMark/>
          </w:tcPr>
          <w:p w14:paraId="09BAE836" w14:textId="0E68E994" w:rsidR="00DC0DB3" w:rsidRPr="00D92E20" w:rsidRDefault="00DC0DB3" w:rsidP="00DC0DB3">
            <w:pPr>
              <w:spacing w:after="0" w:line="240" w:lineRule="auto"/>
              <w:jc w:val="center"/>
              <w:rPr>
                <w:rFonts w:cs="Arial"/>
                <w:color w:val="000000"/>
                <w:sz w:val="16"/>
                <w:szCs w:val="16"/>
              </w:rPr>
            </w:pPr>
            <w:r>
              <w:rPr>
                <w:rFonts w:cs="Arial"/>
                <w:sz w:val="16"/>
                <w:szCs w:val="16"/>
              </w:rPr>
              <w:t>48,8</w:t>
            </w:r>
          </w:p>
        </w:tc>
        <w:tc>
          <w:tcPr>
            <w:tcW w:w="595" w:type="dxa"/>
            <w:tcBorders>
              <w:top w:val="nil"/>
              <w:left w:val="nil"/>
              <w:bottom w:val="nil"/>
              <w:right w:val="nil"/>
            </w:tcBorders>
            <w:shd w:val="clear" w:color="auto" w:fill="auto"/>
            <w:noWrap/>
            <w:vAlign w:val="center"/>
            <w:hideMark/>
          </w:tcPr>
          <w:p w14:paraId="626B1138" w14:textId="41EA4EE8" w:rsidR="00DC0DB3" w:rsidRPr="00D92E20" w:rsidRDefault="00DC0DB3" w:rsidP="00DC0DB3">
            <w:pPr>
              <w:spacing w:after="0" w:line="240" w:lineRule="auto"/>
              <w:jc w:val="center"/>
              <w:rPr>
                <w:rFonts w:cs="Arial"/>
                <w:color w:val="000000"/>
                <w:sz w:val="16"/>
                <w:szCs w:val="16"/>
              </w:rPr>
            </w:pPr>
            <w:r>
              <w:rPr>
                <w:rFonts w:cs="Arial"/>
                <w:color w:val="000000"/>
                <w:sz w:val="16"/>
                <w:szCs w:val="16"/>
              </w:rPr>
              <w:t>50,7</w:t>
            </w:r>
          </w:p>
        </w:tc>
        <w:tc>
          <w:tcPr>
            <w:tcW w:w="595" w:type="dxa"/>
            <w:tcBorders>
              <w:top w:val="nil"/>
              <w:left w:val="nil"/>
              <w:bottom w:val="nil"/>
              <w:right w:val="nil"/>
            </w:tcBorders>
            <w:shd w:val="clear" w:color="auto" w:fill="auto"/>
            <w:noWrap/>
            <w:vAlign w:val="center"/>
            <w:hideMark/>
          </w:tcPr>
          <w:p w14:paraId="408074A0" w14:textId="7D396597" w:rsidR="00DC0DB3" w:rsidRPr="00D92E20" w:rsidRDefault="00DC0DB3" w:rsidP="00DC0DB3">
            <w:pPr>
              <w:spacing w:after="0" w:line="240" w:lineRule="auto"/>
              <w:jc w:val="center"/>
              <w:rPr>
                <w:rFonts w:cs="Arial"/>
                <w:color w:val="000000"/>
                <w:sz w:val="16"/>
                <w:szCs w:val="16"/>
              </w:rPr>
            </w:pPr>
            <w:r>
              <w:rPr>
                <w:rFonts w:cs="Arial"/>
                <w:color w:val="000000"/>
                <w:sz w:val="16"/>
                <w:szCs w:val="16"/>
              </w:rPr>
              <w:t>51,8</w:t>
            </w:r>
          </w:p>
        </w:tc>
        <w:tc>
          <w:tcPr>
            <w:tcW w:w="595" w:type="dxa"/>
            <w:tcBorders>
              <w:top w:val="nil"/>
              <w:left w:val="nil"/>
              <w:bottom w:val="nil"/>
              <w:right w:val="nil"/>
            </w:tcBorders>
            <w:shd w:val="clear" w:color="auto" w:fill="auto"/>
            <w:noWrap/>
            <w:vAlign w:val="center"/>
            <w:hideMark/>
          </w:tcPr>
          <w:p w14:paraId="1B06EB74" w14:textId="4F0BE9D0" w:rsidR="00DC0DB3" w:rsidRPr="00D92E20" w:rsidRDefault="00DC0DB3" w:rsidP="00DC0DB3">
            <w:pPr>
              <w:spacing w:after="0" w:line="240" w:lineRule="auto"/>
              <w:jc w:val="center"/>
              <w:rPr>
                <w:rFonts w:cs="Arial"/>
                <w:color w:val="000000"/>
                <w:sz w:val="16"/>
                <w:szCs w:val="16"/>
              </w:rPr>
            </w:pPr>
            <w:r>
              <w:rPr>
                <w:rFonts w:cs="Arial"/>
                <w:color w:val="000000"/>
                <w:sz w:val="16"/>
                <w:szCs w:val="16"/>
              </w:rPr>
              <w:t>47,4</w:t>
            </w:r>
          </w:p>
        </w:tc>
        <w:tc>
          <w:tcPr>
            <w:tcW w:w="595" w:type="dxa"/>
            <w:tcBorders>
              <w:top w:val="nil"/>
              <w:left w:val="nil"/>
              <w:bottom w:val="nil"/>
              <w:right w:val="nil"/>
            </w:tcBorders>
            <w:shd w:val="clear" w:color="auto" w:fill="auto"/>
            <w:noWrap/>
            <w:vAlign w:val="center"/>
            <w:hideMark/>
          </w:tcPr>
          <w:p w14:paraId="738385FF" w14:textId="3459AD0D" w:rsidR="00DC0DB3" w:rsidRPr="00D92E20" w:rsidRDefault="00DC0DB3" w:rsidP="00DC0DB3">
            <w:pPr>
              <w:spacing w:after="0" w:line="240" w:lineRule="auto"/>
              <w:jc w:val="center"/>
              <w:rPr>
                <w:rFonts w:cs="Arial"/>
                <w:color w:val="000000"/>
                <w:sz w:val="16"/>
                <w:szCs w:val="16"/>
              </w:rPr>
            </w:pPr>
            <w:r>
              <w:rPr>
                <w:rFonts w:cs="Arial"/>
                <w:color w:val="000000"/>
                <w:sz w:val="16"/>
                <w:szCs w:val="16"/>
              </w:rPr>
              <w:t>52,0</w:t>
            </w:r>
          </w:p>
        </w:tc>
        <w:tc>
          <w:tcPr>
            <w:tcW w:w="595" w:type="dxa"/>
            <w:tcBorders>
              <w:top w:val="nil"/>
              <w:left w:val="nil"/>
              <w:bottom w:val="nil"/>
              <w:right w:val="nil"/>
            </w:tcBorders>
            <w:shd w:val="clear" w:color="auto" w:fill="auto"/>
            <w:noWrap/>
            <w:vAlign w:val="center"/>
            <w:hideMark/>
          </w:tcPr>
          <w:p w14:paraId="17B88512" w14:textId="7FAAE7FF" w:rsidR="00DC0DB3" w:rsidRPr="00D92E20" w:rsidRDefault="00DC0DB3" w:rsidP="00DC0DB3">
            <w:pPr>
              <w:spacing w:after="0" w:line="240" w:lineRule="auto"/>
              <w:jc w:val="center"/>
              <w:rPr>
                <w:rFonts w:cs="Arial"/>
                <w:color w:val="000000"/>
                <w:sz w:val="16"/>
                <w:szCs w:val="16"/>
              </w:rPr>
            </w:pPr>
            <w:r>
              <w:rPr>
                <w:rFonts w:cs="Arial"/>
                <w:color w:val="000000"/>
                <w:sz w:val="16"/>
                <w:szCs w:val="16"/>
              </w:rPr>
              <w:t>50,8</w:t>
            </w:r>
          </w:p>
        </w:tc>
        <w:tc>
          <w:tcPr>
            <w:tcW w:w="595" w:type="dxa"/>
            <w:tcBorders>
              <w:top w:val="nil"/>
              <w:left w:val="nil"/>
              <w:bottom w:val="nil"/>
              <w:right w:val="nil"/>
            </w:tcBorders>
            <w:shd w:val="clear" w:color="auto" w:fill="auto"/>
            <w:noWrap/>
            <w:vAlign w:val="center"/>
            <w:hideMark/>
          </w:tcPr>
          <w:p w14:paraId="1CD5B9B7" w14:textId="57D11A82"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42,4</w:t>
            </w:r>
          </w:p>
        </w:tc>
      </w:tr>
      <w:tr w:rsidR="00DC0DB3" w:rsidRPr="00D92E20" w14:paraId="09158BED"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BC5D34C" w14:textId="77777777" w:rsidR="00DC0DB3"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r>
              <w:rPr>
                <w:rFonts w:cs="Arial"/>
                <w:color w:val="000000"/>
                <w:sz w:val="16"/>
                <w:szCs w:val="16"/>
              </w:rPr>
              <w:t xml:space="preserve"> </w:t>
            </w:r>
          </w:p>
          <w:p w14:paraId="63A21714" w14:textId="7C5FACDC" w:rsidR="00DC0DB3" w:rsidRPr="00D92E20" w:rsidRDefault="00DC0DB3" w:rsidP="00DC0DB3">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5C5C35FA" w14:textId="7EA8A7DE" w:rsidR="00DC0DB3" w:rsidRPr="00D92E20" w:rsidRDefault="00DC0DB3" w:rsidP="00DC0DB3">
            <w:pPr>
              <w:spacing w:after="0" w:line="240" w:lineRule="auto"/>
              <w:jc w:val="center"/>
              <w:rPr>
                <w:rFonts w:cs="Arial"/>
                <w:color w:val="000000"/>
                <w:sz w:val="16"/>
                <w:szCs w:val="16"/>
              </w:rPr>
            </w:pPr>
            <w:r>
              <w:rPr>
                <w:rFonts w:cs="Arial"/>
                <w:sz w:val="16"/>
                <w:szCs w:val="16"/>
              </w:rPr>
              <w:t>44,5</w:t>
            </w:r>
          </w:p>
        </w:tc>
        <w:tc>
          <w:tcPr>
            <w:tcW w:w="595" w:type="dxa"/>
            <w:tcBorders>
              <w:top w:val="nil"/>
              <w:left w:val="nil"/>
              <w:bottom w:val="nil"/>
              <w:right w:val="nil"/>
            </w:tcBorders>
            <w:shd w:val="clear" w:color="auto" w:fill="auto"/>
            <w:noWrap/>
            <w:vAlign w:val="center"/>
            <w:hideMark/>
          </w:tcPr>
          <w:p w14:paraId="588F9E3F" w14:textId="65774AA3" w:rsidR="00DC0DB3" w:rsidRPr="00D92E20" w:rsidRDefault="00DC0DB3" w:rsidP="00DC0DB3">
            <w:pPr>
              <w:spacing w:after="0" w:line="240" w:lineRule="auto"/>
              <w:jc w:val="center"/>
              <w:rPr>
                <w:rFonts w:cs="Arial"/>
                <w:color w:val="000000"/>
                <w:sz w:val="16"/>
                <w:szCs w:val="16"/>
              </w:rPr>
            </w:pPr>
            <w:r>
              <w:rPr>
                <w:rFonts w:cs="Arial"/>
                <w:sz w:val="16"/>
                <w:szCs w:val="16"/>
              </w:rPr>
              <w:t>43,8</w:t>
            </w:r>
          </w:p>
        </w:tc>
        <w:tc>
          <w:tcPr>
            <w:tcW w:w="595" w:type="dxa"/>
            <w:tcBorders>
              <w:top w:val="nil"/>
              <w:left w:val="nil"/>
              <w:bottom w:val="nil"/>
              <w:right w:val="nil"/>
            </w:tcBorders>
            <w:shd w:val="clear" w:color="auto" w:fill="auto"/>
            <w:noWrap/>
            <w:vAlign w:val="center"/>
            <w:hideMark/>
          </w:tcPr>
          <w:p w14:paraId="18B6BC58" w14:textId="73B960E2" w:rsidR="00DC0DB3" w:rsidRPr="00D92E20" w:rsidRDefault="00DC0DB3" w:rsidP="00DC0DB3">
            <w:pPr>
              <w:spacing w:after="0" w:line="240" w:lineRule="auto"/>
              <w:jc w:val="center"/>
              <w:rPr>
                <w:rFonts w:cs="Arial"/>
                <w:color w:val="000000"/>
                <w:sz w:val="16"/>
                <w:szCs w:val="16"/>
              </w:rPr>
            </w:pPr>
            <w:r>
              <w:rPr>
                <w:rFonts w:cs="Arial"/>
                <w:sz w:val="16"/>
                <w:szCs w:val="16"/>
              </w:rPr>
              <w:t>37,7</w:t>
            </w:r>
          </w:p>
        </w:tc>
        <w:tc>
          <w:tcPr>
            <w:tcW w:w="595" w:type="dxa"/>
            <w:tcBorders>
              <w:top w:val="nil"/>
              <w:left w:val="nil"/>
              <w:bottom w:val="nil"/>
              <w:right w:val="nil"/>
            </w:tcBorders>
            <w:shd w:val="clear" w:color="auto" w:fill="auto"/>
            <w:noWrap/>
            <w:vAlign w:val="center"/>
            <w:hideMark/>
          </w:tcPr>
          <w:p w14:paraId="35642D33" w14:textId="46660031" w:rsidR="00DC0DB3" w:rsidRPr="00D92E20" w:rsidRDefault="00DC0DB3" w:rsidP="00DC0DB3">
            <w:pPr>
              <w:spacing w:after="0" w:line="240" w:lineRule="auto"/>
              <w:jc w:val="center"/>
              <w:rPr>
                <w:rFonts w:cs="Arial"/>
                <w:color w:val="000000"/>
                <w:sz w:val="16"/>
                <w:szCs w:val="16"/>
              </w:rPr>
            </w:pPr>
            <w:r>
              <w:rPr>
                <w:rFonts w:cs="Arial"/>
                <w:sz w:val="16"/>
                <w:szCs w:val="16"/>
              </w:rPr>
              <w:t>41,0</w:t>
            </w:r>
          </w:p>
        </w:tc>
        <w:tc>
          <w:tcPr>
            <w:tcW w:w="595" w:type="dxa"/>
            <w:tcBorders>
              <w:top w:val="nil"/>
              <w:left w:val="nil"/>
              <w:bottom w:val="nil"/>
              <w:right w:val="nil"/>
            </w:tcBorders>
            <w:shd w:val="clear" w:color="auto" w:fill="auto"/>
            <w:noWrap/>
            <w:vAlign w:val="center"/>
            <w:hideMark/>
          </w:tcPr>
          <w:p w14:paraId="5F26BDF7" w14:textId="05474D36" w:rsidR="00DC0DB3" w:rsidRPr="00D92E20" w:rsidRDefault="00DC0DB3" w:rsidP="00DC0DB3">
            <w:pPr>
              <w:spacing w:after="0" w:line="240" w:lineRule="auto"/>
              <w:jc w:val="center"/>
              <w:rPr>
                <w:rFonts w:cs="Arial"/>
                <w:color w:val="000000"/>
                <w:sz w:val="16"/>
                <w:szCs w:val="16"/>
              </w:rPr>
            </w:pPr>
            <w:r>
              <w:rPr>
                <w:rFonts w:cs="Arial"/>
                <w:sz w:val="16"/>
                <w:szCs w:val="16"/>
              </w:rPr>
              <w:t>36,0</w:t>
            </w:r>
          </w:p>
        </w:tc>
        <w:tc>
          <w:tcPr>
            <w:tcW w:w="595" w:type="dxa"/>
            <w:tcBorders>
              <w:top w:val="nil"/>
              <w:left w:val="nil"/>
              <w:bottom w:val="nil"/>
              <w:right w:val="nil"/>
            </w:tcBorders>
            <w:shd w:val="clear" w:color="auto" w:fill="auto"/>
            <w:noWrap/>
            <w:vAlign w:val="center"/>
            <w:hideMark/>
          </w:tcPr>
          <w:p w14:paraId="6C528EA9" w14:textId="426C8BB6" w:rsidR="00DC0DB3" w:rsidRPr="00D92E20" w:rsidRDefault="00DC0DB3" w:rsidP="00DC0DB3">
            <w:pPr>
              <w:spacing w:after="0" w:line="240" w:lineRule="auto"/>
              <w:jc w:val="center"/>
              <w:rPr>
                <w:rFonts w:cs="Arial"/>
                <w:color w:val="000000"/>
                <w:sz w:val="16"/>
                <w:szCs w:val="16"/>
              </w:rPr>
            </w:pPr>
            <w:r>
              <w:rPr>
                <w:rFonts w:cs="Arial"/>
                <w:color w:val="000000"/>
                <w:sz w:val="16"/>
                <w:szCs w:val="16"/>
              </w:rPr>
              <w:t>37,1</w:t>
            </w:r>
          </w:p>
        </w:tc>
        <w:tc>
          <w:tcPr>
            <w:tcW w:w="595" w:type="dxa"/>
            <w:tcBorders>
              <w:top w:val="nil"/>
              <w:left w:val="nil"/>
              <w:bottom w:val="nil"/>
              <w:right w:val="nil"/>
            </w:tcBorders>
            <w:shd w:val="clear" w:color="auto" w:fill="auto"/>
            <w:noWrap/>
            <w:vAlign w:val="center"/>
            <w:hideMark/>
          </w:tcPr>
          <w:p w14:paraId="3637D2BF" w14:textId="6C848B2E" w:rsidR="00DC0DB3" w:rsidRPr="00D92E20" w:rsidRDefault="00DC0DB3" w:rsidP="00DC0DB3">
            <w:pPr>
              <w:spacing w:after="0" w:line="240" w:lineRule="auto"/>
              <w:jc w:val="center"/>
              <w:rPr>
                <w:rFonts w:cs="Arial"/>
                <w:color w:val="000000"/>
                <w:sz w:val="16"/>
                <w:szCs w:val="16"/>
              </w:rPr>
            </w:pPr>
            <w:r>
              <w:rPr>
                <w:rFonts w:cs="Arial"/>
                <w:color w:val="000000"/>
                <w:sz w:val="16"/>
                <w:szCs w:val="16"/>
              </w:rPr>
              <w:t>37,4</w:t>
            </w:r>
          </w:p>
        </w:tc>
        <w:tc>
          <w:tcPr>
            <w:tcW w:w="595" w:type="dxa"/>
            <w:tcBorders>
              <w:top w:val="nil"/>
              <w:left w:val="nil"/>
              <w:bottom w:val="nil"/>
              <w:right w:val="nil"/>
            </w:tcBorders>
            <w:shd w:val="clear" w:color="auto" w:fill="auto"/>
            <w:noWrap/>
            <w:vAlign w:val="center"/>
            <w:hideMark/>
          </w:tcPr>
          <w:p w14:paraId="169CABDA" w14:textId="297333DD" w:rsidR="00DC0DB3" w:rsidRPr="00D92E20" w:rsidRDefault="00DC0DB3" w:rsidP="00DC0DB3">
            <w:pPr>
              <w:spacing w:after="0" w:line="240" w:lineRule="auto"/>
              <w:jc w:val="center"/>
              <w:rPr>
                <w:rFonts w:cs="Arial"/>
                <w:color w:val="000000"/>
                <w:sz w:val="16"/>
                <w:szCs w:val="16"/>
              </w:rPr>
            </w:pPr>
            <w:r>
              <w:rPr>
                <w:rFonts w:cs="Arial"/>
                <w:color w:val="000000"/>
                <w:sz w:val="16"/>
                <w:szCs w:val="16"/>
              </w:rPr>
              <w:t>36,6</w:t>
            </w:r>
          </w:p>
        </w:tc>
        <w:tc>
          <w:tcPr>
            <w:tcW w:w="595" w:type="dxa"/>
            <w:tcBorders>
              <w:top w:val="nil"/>
              <w:left w:val="nil"/>
              <w:bottom w:val="nil"/>
              <w:right w:val="nil"/>
            </w:tcBorders>
            <w:shd w:val="clear" w:color="auto" w:fill="auto"/>
            <w:noWrap/>
            <w:vAlign w:val="center"/>
            <w:hideMark/>
          </w:tcPr>
          <w:p w14:paraId="13798218" w14:textId="6DD2184B"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40,1</w:t>
            </w:r>
          </w:p>
        </w:tc>
        <w:tc>
          <w:tcPr>
            <w:tcW w:w="595" w:type="dxa"/>
            <w:tcBorders>
              <w:top w:val="nil"/>
              <w:left w:val="nil"/>
              <w:bottom w:val="nil"/>
              <w:right w:val="nil"/>
            </w:tcBorders>
            <w:shd w:val="clear" w:color="auto" w:fill="auto"/>
            <w:noWrap/>
            <w:vAlign w:val="center"/>
            <w:hideMark/>
          </w:tcPr>
          <w:p w14:paraId="37809987" w14:textId="46CA0F6D"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40,8</w:t>
            </w:r>
          </w:p>
        </w:tc>
        <w:tc>
          <w:tcPr>
            <w:tcW w:w="595" w:type="dxa"/>
            <w:tcBorders>
              <w:top w:val="nil"/>
              <w:left w:val="nil"/>
              <w:bottom w:val="nil"/>
              <w:right w:val="nil"/>
            </w:tcBorders>
            <w:shd w:val="clear" w:color="auto" w:fill="auto"/>
            <w:noWrap/>
            <w:vAlign w:val="center"/>
            <w:hideMark/>
          </w:tcPr>
          <w:p w14:paraId="5B8E9C78" w14:textId="3E9AFB24" w:rsidR="00DC0DB3" w:rsidRPr="00D92E20" w:rsidRDefault="00DC0DB3" w:rsidP="00DC0DB3">
            <w:pPr>
              <w:spacing w:after="0" w:line="240" w:lineRule="auto"/>
              <w:jc w:val="center"/>
              <w:rPr>
                <w:rFonts w:cs="Arial"/>
                <w:color w:val="000000"/>
                <w:sz w:val="16"/>
                <w:szCs w:val="16"/>
              </w:rPr>
            </w:pPr>
            <w:r>
              <w:rPr>
                <w:rFonts w:cs="Arial"/>
                <w:color w:val="000000"/>
                <w:sz w:val="16"/>
                <w:szCs w:val="16"/>
              </w:rPr>
              <w:t>34,8</w:t>
            </w:r>
          </w:p>
        </w:tc>
      </w:tr>
      <w:tr w:rsidR="00DC0DB3" w:rsidRPr="00D92E20" w14:paraId="4D8F2CAA"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1AA5BEE5" w14:textId="70D898D8"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639908B8" w14:textId="7E3EFF53" w:rsidR="00DC0DB3" w:rsidRPr="00D92E20" w:rsidRDefault="00DC0DB3" w:rsidP="00DC0DB3">
            <w:pPr>
              <w:spacing w:after="0" w:line="240" w:lineRule="auto"/>
              <w:jc w:val="center"/>
              <w:rPr>
                <w:rFonts w:cs="Arial"/>
                <w:color w:val="000000"/>
                <w:sz w:val="16"/>
                <w:szCs w:val="16"/>
              </w:rPr>
            </w:pPr>
            <w:r>
              <w:rPr>
                <w:rFonts w:cs="Arial"/>
                <w:sz w:val="16"/>
                <w:szCs w:val="16"/>
              </w:rPr>
              <w:t>37,6</w:t>
            </w:r>
          </w:p>
        </w:tc>
        <w:tc>
          <w:tcPr>
            <w:tcW w:w="595" w:type="dxa"/>
            <w:tcBorders>
              <w:top w:val="nil"/>
              <w:left w:val="nil"/>
              <w:bottom w:val="nil"/>
              <w:right w:val="nil"/>
            </w:tcBorders>
            <w:shd w:val="clear" w:color="auto" w:fill="auto"/>
            <w:noWrap/>
            <w:vAlign w:val="center"/>
            <w:hideMark/>
          </w:tcPr>
          <w:p w14:paraId="00F05729" w14:textId="1B278D9A" w:rsidR="00DC0DB3" w:rsidRPr="00D92E20" w:rsidRDefault="00DC0DB3" w:rsidP="00DC0DB3">
            <w:pPr>
              <w:spacing w:after="0" w:line="240" w:lineRule="auto"/>
              <w:jc w:val="center"/>
              <w:rPr>
                <w:rFonts w:cs="Arial"/>
                <w:color w:val="000000"/>
                <w:sz w:val="16"/>
                <w:szCs w:val="16"/>
              </w:rPr>
            </w:pPr>
            <w:r>
              <w:rPr>
                <w:rFonts w:cs="Arial"/>
                <w:sz w:val="16"/>
                <w:szCs w:val="16"/>
              </w:rPr>
              <w:t>47,5</w:t>
            </w:r>
          </w:p>
        </w:tc>
        <w:tc>
          <w:tcPr>
            <w:tcW w:w="595" w:type="dxa"/>
            <w:tcBorders>
              <w:top w:val="nil"/>
              <w:left w:val="nil"/>
              <w:bottom w:val="nil"/>
              <w:right w:val="nil"/>
            </w:tcBorders>
            <w:shd w:val="clear" w:color="auto" w:fill="auto"/>
            <w:noWrap/>
            <w:vAlign w:val="center"/>
            <w:hideMark/>
          </w:tcPr>
          <w:p w14:paraId="1F4C6AFB" w14:textId="7F319C60" w:rsidR="00DC0DB3" w:rsidRPr="00D92E20" w:rsidRDefault="00DC0DB3" w:rsidP="00DC0DB3">
            <w:pPr>
              <w:spacing w:after="0" w:line="240" w:lineRule="auto"/>
              <w:jc w:val="center"/>
              <w:rPr>
                <w:rFonts w:cs="Arial"/>
                <w:color w:val="000000"/>
                <w:sz w:val="16"/>
                <w:szCs w:val="16"/>
              </w:rPr>
            </w:pPr>
            <w:r>
              <w:rPr>
                <w:rFonts w:cs="Arial"/>
                <w:sz w:val="16"/>
                <w:szCs w:val="16"/>
              </w:rPr>
              <w:t>42,5</w:t>
            </w:r>
          </w:p>
        </w:tc>
        <w:tc>
          <w:tcPr>
            <w:tcW w:w="595" w:type="dxa"/>
            <w:tcBorders>
              <w:top w:val="nil"/>
              <w:left w:val="nil"/>
              <w:bottom w:val="nil"/>
              <w:right w:val="nil"/>
            </w:tcBorders>
            <w:shd w:val="clear" w:color="auto" w:fill="auto"/>
            <w:noWrap/>
            <w:vAlign w:val="center"/>
            <w:hideMark/>
          </w:tcPr>
          <w:p w14:paraId="51B0E3AB" w14:textId="682494CE" w:rsidR="00DC0DB3" w:rsidRPr="00D92E20" w:rsidRDefault="00DC0DB3" w:rsidP="00DC0DB3">
            <w:pPr>
              <w:spacing w:after="0" w:line="240" w:lineRule="auto"/>
              <w:jc w:val="center"/>
              <w:rPr>
                <w:rFonts w:cs="Arial"/>
                <w:color w:val="000000"/>
                <w:sz w:val="16"/>
                <w:szCs w:val="16"/>
              </w:rPr>
            </w:pPr>
            <w:r>
              <w:rPr>
                <w:rFonts w:cs="Arial"/>
                <w:sz w:val="16"/>
                <w:szCs w:val="16"/>
              </w:rPr>
              <w:t>42,3</w:t>
            </w:r>
          </w:p>
        </w:tc>
        <w:tc>
          <w:tcPr>
            <w:tcW w:w="595" w:type="dxa"/>
            <w:tcBorders>
              <w:top w:val="nil"/>
              <w:left w:val="nil"/>
              <w:bottom w:val="nil"/>
              <w:right w:val="nil"/>
            </w:tcBorders>
            <w:shd w:val="clear" w:color="auto" w:fill="auto"/>
            <w:noWrap/>
            <w:vAlign w:val="center"/>
            <w:hideMark/>
          </w:tcPr>
          <w:p w14:paraId="0A1AFD37" w14:textId="2BBECEB7" w:rsidR="00DC0DB3" w:rsidRPr="00D92E20" w:rsidRDefault="00DC0DB3" w:rsidP="00DC0DB3">
            <w:pPr>
              <w:spacing w:after="0" w:line="240" w:lineRule="auto"/>
              <w:jc w:val="center"/>
              <w:rPr>
                <w:rFonts w:cs="Arial"/>
                <w:color w:val="000000"/>
                <w:sz w:val="16"/>
                <w:szCs w:val="16"/>
              </w:rPr>
            </w:pPr>
            <w:r>
              <w:rPr>
                <w:rFonts w:cs="Arial"/>
                <w:sz w:val="16"/>
                <w:szCs w:val="16"/>
              </w:rPr>
              <w:t>37,5</w:t>
            </w:r>
          </w:p>
        </w:tc>
        <w:tc>
          <w:tcPr>
            <w:tcW w:w="595" w:type="dxa"/>
            <w:tcBorders>
              <w:top w:val="nil"/>
              <w:left w:val="nil"/>
              <w:bottom w:val="nil"/>
              <w:right w:val="nil"/>
            </w:tcBorders>
            <w:shd w:val="clear" w:color="auto" w:fill="auto"/>
            <w:noWrap/>
            <w:vAlign w:val="center"/>
            <w:hideMark/>
          </w:tcPr>
          <w:p w14:paraId="4870D9EE" w14:textId="5B662E93"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2C656D15" w14:textId="28BF9E0D"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38,1</w:t>
            </w:r>
          </w:p>
        </w:tc>
        <w:tc>
          <w:tcPr>
            <w:tcW w:w="595" w:type="dxa"/>
            <w:tcBorders>
              <w:top w:val="nil"/>
              <w:left w:val="nil"/>
              <w:bottom w:val="nil"/>
              <w:right w:val="nil"/>
            </w:tcBorders>
            <w:shd w:val="clear" w:color="auto" w:fill="auto"/>
            <w:noWrap/>
            <w:vAlign w:val="center"/>
            <w:hideMark/>
          </w:tcPr>
          <w:p w14:paraId="4A168E81" w14:textId="7811E4EF" w:rsidR="00DC0DB3" w:rsidRPr="00D92E20" w:rsidRDefault="00DC0DB3" w:rsidP="00DC0DB3">
            <w:pPr>
              <w:spacing w:after="0" w:line="240" w:lineRule="auto"/>
              <w:jc w:val="center"/>
              <w:rPr>
                <w:rFonts w:cs="Arial"/>
                <w:color w:val="000000"/>
                <w:sz w:val="16"/>
                <w:szCs w:val="16"/>
              </w:rPr>
            </w:pPr>
            <w:r>
              <w:rPr>
                <w:rFonts w:cs="Arial"/>
                <w:color w:val="000000"/>
                <w:sz w:val="16"/>
                <w:szCs w:val="16"/>
              </w:rPr>
              <w:t>39,0</w:t>
            </w:r>
          </w:p>
        </w:tc>
        <w:tc>
          <w:tcPr>
            <w:tcW w:w="595" w:type="dxa"/>
            <w:tcBorders>
              <w:top w:val="nil"/>
              <w:left w:val="nil"/>
              <w:bottom w:val="nil"/>
              <w:right w:val="nil"/>
            </w:tcBorders>
            <w:shd w:val="clear" w:color="auto" w:fill="auto"/>
            <w:noWrap/>
            <w:vAlign w:val="center"/>
            <w:hideMark/>
          </w:tcPr>
          <w:p w14:paraId="5E65B677" w14:textId="4EAEF7A4"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43,7</w:t>
            </w:r>
          </w:p>
        </w:tc>
        <w:tc>
          <w:tcPr>
            <w:tcW w:w="595" w:type="dxa"/>
            <w:tcBorders>
              <w:top w:val="nil"/>
              <w:left w:val="nil"/>
              <w:bottom w:val="nil"/>
              <w:right w:val="nil"/>
            </w:tcBorders>
            <w:shd w:val="clear" w:color="auto" w:fill="auto"/>
            <w:noWrap/>
            <w:vAlign w:val="center"/>
            <w:hideMark/>
          </w:tcPr>
          <w:p w14:paraId="7F15D7A1" w14:textId="40CF975D" w:rsidR="00DC0DB3" w:rsidRPr="00D92E20" w:rsidRDefault="00DC0DB3" w:rsidP="00DC0DB3">
            <w:pPr>
              <w:spacing w:after="0" w:line="240" w:lineRule="auto"/>
              <w:jc w:val="center"/>
              <w:rPr>
                <w:rFonts w:cs="Arial"/>
                <w:color w:val="000000"/>
                <w:sz w:val="16"/>
                <w:szCs w:val="16"/>
              </w:rPr>
            </w:pPr>
            <w:r>
              <w:rPr>
                <w:rFonts w:cs="Arial"/>
                <w:color w:val="000000"/>
                <w:sz w:val="16"/>
                <w:szCs w:val="16"/>
              </w:rPr>
              <w:t>47,0</w:t>
            </w:r>
          </w:p>
        </w:tc>
        <w:tc>
          <w:tcPr>
            <w:tcW w:w="595" w:type="dxa"/>
            <w:tcBorders>
              <w:top w:val="nil"/>
              <w:left w:val="nil"/>
              <w:bottom w:val="nil"/>
              <w:right w:val="nil"/>
            </w:tcBorders>
            <w:shd w:val="clear" w:color="auto" w:fill="auto"/>
            <w:noWrap/>
            <w:vAlign w:val="center"/>
            <w:hideMark/>
          </w:tcPr>
          <w:p w14:paraId="03FE4AFB" w14:textId="3DCF2D0C"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38,5</w:t>
            </w:r>
          </w:p>
        </w:tc>
      </w:tr>
      <w:tr w:rsidR="00DC0DB3" w:rsidRPr="00D92E20" w14:paraId="043B403E" w14:textId="77777777" w:rsidTr="00DC0DB3">
        <w:trPr>
          <w:trHeight w:val="480"/>
        </w:trPr>
        <w:tc>
          <w:tcPr>
            <w:tcW w:w="3175" w:type="dxa"/>
            <w:tcBorders>
              <w:top w:val="nil"/>
              <w:left w:val="nil"/>
              <w:bottom w:val="nil"/>
              <w:right w:val="single" w:sz="4" w:space="0" w:color="auto"/>
            </w:tcBorders>
            <w:shd w:val="clear" w:color="auto" w:fill="auto"/>
            <w:vAlign w:val="center"/>
            <w:hideMark/>
          </w:tcPr>
          <w:p w14:paraId="08B1596B"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6C00151" w14:textId="278FC000" w:rsidR="00DC0DB3" w:rsidRPr="00D92E20" w:rsidRDefault="00DC0DB3" w:rsidP="00DC0DB3">
            <w:pPr>
              <w:spacing w:after="0" w:line="240" w:lineRule="auto"/>
              <w:jc w:val="center"/>
              <w:rPr>
                <w:rFonts w:cs="Arial"/>
                <w:color w:val="000000"/>
                <w:sz w:val="16"/>
                <w:szCs w:val="16"/>
              </w:rPr>
            </w:pPr>
            <w:r>
              <w:rPr>
                <w:rFonts w:cs="Arial"/>
                <w:sz w:val="16"/>
                <w:szCs w:val="16"/>
              </w:rPr>
              <w:t>33,1</w:t>
            </w:r>
          </w:p>
        </w:tc>
        <w:tc>
          <w:tcPr>
            <w:tcW w:w="595" w:type="dxa"/>
            <w:tcBorders>
              <w:top w:val="nil"/>
              <w:left w:val="nil"/>
              <w:bottom w:val="nil"/>
              <w:right w:val="nil"/>
            </w:tcBorders>
            <w:shd w:val="clear" w:color="auto" w:fill="auto"/>
            <w:noWrap/>
            <w:vAlign w:val="center"/>
            <w:hideMark/>
          </w:tcPr>
          <w:p w14:paraId="5EFF30AE" w14:textId="432812C4" w:rsidR="00DC0DB3" w:rsidRPr="00D92E20" w:rsidRDefault="00DC0DB3" w:rsidP="00DC0DB3">
            <w:pPr>
              <w:spacing w:after="0" w:line="240" w:lineRule="auto"/>
              <w:jc w:val="center"/>
              <w:rPr>
                <w:rFonts w:cs="Arial"/>
                <w:color w:val="000000"/>
                <w:sz w:val="16"/>
                <w:szCs w:val="16"/>
              </w:rPr>
            </w:pPr>
            <w:r>
              <w:rPr>
                <w:rFonts w:cs="Arial"/>
                <w:sz w:val="16"/>
                <w:szCs w:val="16"/>
              </w:rPr>
              <w:t>40,0</w:t>
            </w:r>
          </w:p>
        </w:tc>
        <w:tc>
          <w:tcPr>
            <w:tcW w:w="595" w:type="dxa"/>
            <w:tcBorders>
              <w:top w:val="nil"/>
              <w:left w:val="nil"/>
              <w:bottom w:val="nil"/>
              <w:right w:val="nil"/>
            </w:tcBorders>
            <w:shd w:val="clear" w:color="auto" w:fill="auto"/>
            <w:noWrap/>
            <w:vAlign w:val="center"/>
            <w:hideMark/>
          </w:tcPr>
          <w:p w14:paraId="7EFB5C26" w14:textId="7C984349" w:rsidR="00DC0DB3" w:rsidRPr="00D92E20" w:rsidRDefault="00DC0DB3" w:rsidP="00DC0DB3">
            <w:pPr>
              <w:spacing w:after="0" w:line="240" w:lineRule="auto"/>
              <w:jc w:val="center"/>
              <w:rPr>
                <w:rFonts w:cs="Arial"/>
                <w:color w:val="000000"/>
                <w:sz w:val="16"/>
                <w:szCs w:val="16"/>
              </w:rPr>
            </w:pPr>
            <w:r>
              <w:rPr>
                <w:rFonts w:cs="Arial"/>
                <w:sz w:val="16"/>
                <w:szCs w:val="16"/>
              </w:rPr>
              <w:t>32,3</w:t>
            </w:r>
          </w:p>
        </w:tc>
        <w:tc>
          <w:tcPr>
            <w:tcW w:w="595" w:type="dxa"/>
            <w:tcBorders>
              <w:top w:val="nil"/>
              <w:left w:val="nil"/>
              <w:bottom w:val="nil"/>
              <w:right w:val="nil"/>
            </w:tcBorders>
            <w:shd w:val="clear" w:color="auto" w:fill="auto"/>
            <w:noWrap/>
            <w:vAlign w:val="center"/>
            <w:hideMark/>
          </w:tcPr>
          <w:p w14:paraId="0C0B0EF3" w14:textId="37D7F47A" w:rsidR="00DC0DB3" w:rsidRPr="00D92E20" w:rsidRDefault="00DC0DB3" w:rsidP="00DC0DB3">
            <w:pPr>
              <w:spacing w:after="0" w:line="240" w:lineRule="auto"/>
              <w:jc w:val="center"/>
              <w:rPr>
                <w:rFonts w:cs="Arial"/>
                <w:color w:val="000000"/>
                <w:sz w:val="16"/>
                <w:szCs w:val="16"/>
              </w:rPr>
            </w:pPr>
            <w:r>
              <w:rPr>
                <w:rFonts w:cs="Arial"/>
                <w:sz w:val="16"/>
                <w:szCs w:val="16"/>
              </w:rPr>
              <w:t>37,9</w:t>
            </w:r>
          </w:p>
        </w:tc>
        <w:tc>
          <w:tcPr>
            <w:tcW w:w="595" w:type="dxa"/>
            <w:tcBorders>
              <w:top w:val="nil"/>
              <w:left w:val="nil"/>
              <w:bottom w:val="nil"/>
              <w:right w:val="nil"/>
            </w:tcBorders>
            <w:shd w:val="clear" w:color="auto" w:fill="auto"/>
            <w:noWrap/>
            <w:vAlign w:val="center"/>
            <w:hideMark/>
          </w:tcPr>
          <w:p w14:paraId="1F493E8C" w14:textId="6563841F" w:rsidR="00DC0DB3" w:rsidRPr="00D92E20" w:rsidRDefault="00DC0DB3" w:rsidP="00DC0DB3">
            <w:pPr>
              <w:spacing w:after="0" w:line="240" w:lineRule="auto"/>
              <w:jc w:val="center"/>
              <w:rPr>
                <w:rFonts w:cs="Arial"/>
                <w:color w:val="000000"/>
                <w:sz w:val="16"/>
                <w:szCs w:val="16"/>
              </w:rPr>
            </w:pPr>
            <w:r>
              <w:rPr>
                <w:rFonts w:cs="Arial"/>
                <w:sz w:val="16"/>
                <w:szCs w:val="16"/>
              </w:rPr>
              <w:t>32,7</w:t>
            </w:r>
          </w:p>
        </w:tc>
        <w:tc>
          <w:tcPr>
            <w:tcW w:w="595" w:type="dxa"/>
            <w:tcBorders>
              <w:top w:val="nil"/>
              <w:left w:val="nil"/>
              <w:bottom w:val="nil"/>
              <w:right w:val="nil"/>
            </w:tcBorders>
            <w:shd w:val="clear" w:color="auto" w:fill="auto"/>
            <w:noWrap/>
            <w:vAlign w:val="center"/>
            <w:hideMark/>
          </w:tcPr>
          <w:p w14:paraId="57F13229" w14:textId="1A0770AB" w:rsidR="00DC0DB3" w:rsidRPr="00D92E20" w:rsidRDefault="00DC0DB3" w:rsidP="00DC0DB3">
            <w:pPr>
              <w:spacing w:after="0" w:line="240" w:lineRule="auto"/>
              <w:jc w:val="center"/>
              <w:rPr>
                <w:rFonts w:cs="Arial"/>
                <w:color w:val="000000"/>
                <w:sz w:val="16"/>
                <w:szCs w:val="16"/>
              </w:rPr>
            </w:pPr>
            <w:r>
              <w:rPr>
                <w:rFonts w:cs="Arial"/>
                <w:color w:val="000000"/>
                <w:sz w:val="16"/>
                <w:szCs w:val="16"/>
              </w:rPr>
              <w:t>36,0</w:t>
            </w:r>
          </w:p>
        </w:tc>
        <w:tc>
          <w:tcPr>
            <w:tcW w:w="595" w:type="dxa"/>
            <w:tcBorders>
              <w:top w:val="nil"/>
              <w:left w:val="nil"/>
              <w:bottom w:val="nil"/>
              <w:right w:val="nil"/>
            </w:tcBorders>
            <w:shd w:val="clear" w:color="auto" w:fill="auto"/>
            <w:noWrap/>
            <w:vAlign w:val="center"/>
            <w:hideMark/>
          </w:tcPr>
          <w:p w14:paraId="5B1E3CAA" w14:textId="2A9A6033" w:rsidR="00DC0DB3" w:rsidRPr="00D92E20" w:rsidRDefault="00DC0DB3" w:rsidP="00DC0DB3">
            <w:pPr>
              <w:spacing w:after="0" w:line="240" w:lineRule="auto"/>
              <w:jc w:val="center"/>
              <w:rPr>
                <w:rFonts w:cs="Arial"/>
                <w:color w:val="000000"/>
                <w:sz w:val="16"/>
                <w:szCs w:val="16"/>
              </w:rPr>
            </w:pPr>
            <w:r>
              <w:rPr>
                <w:rFonts w:cs="Arial"/>
                <w:color w:val="000000"/>
                <w:sz w:val="16"/>
                <w:szCs w:val="16"/>
              </w:rPr>
              <w:t>34,5</w:t>
            </w:r>
          </w:p>
        </w:tc>
        <w:tc>
          <w:tcPr>
            <w:tcW w:w="595" w:type="dxa"/>
            <w:tcBorders>
              <w:top w:val="nil"/>
              <w:left w:val="nil"/>
              <w:bottom w:val="nil"/>
              <w:right w:val="nil"/>
            </w:tcBorders>
            <w:shd w:val="clear" w:color="auto" w:fill="auto"/>
            <w:noWrap/>
            <w:vAlign w:val="center"/>
            <w:hideMark/>
          </w:tcPr>
          <w:p w14:paraId="320A2392" w14:textId="0314CA59" w:rsidR="00DC0DB3" w:rsidRPr="00D92E20" w:rsidRDefault="00DC0DB3" w:rsidP="00DC0DB3">
            <w:pPr>
              <w:spacing w:after="0" w:line="240" w:lineRule="auto"/>
              <w:jc w:val="center"/>
              <w:rPr>
                <w:rFonts w:cs="Arial"/>
                <w:color w:val="000000"/>
                <w:sz w:val="16"/>
                <w:szCs w:val="16"/>
              </w:rPr>
            </w:pPr>
            <w:r>
              <w:rPr>
                <w:rFonts w:cs="Arial"/>
                <w:color w:val="000000"/>
                <w:sz w:val="16"/>
                <w:szCs w:val="16"/>
              </w:rPr>
              <w:t>32,2</w:t>
            </w:r>
          </w:p>
        </w:tc>
        <w:tc>
          <w:tcPr>
            <w:tcW w:w="595" w:type="dxa"/>
            <w:tcBorders>
              <w:top w:val="nil"/>
              <w:left w:val="nil"/>
              <w:bottom w:val="nil"/>
              <w:right w:val="nil"/>
            </w:tcBorders>
            <w:shd w:val="clear" w:color="auto" w:fill="auto"/>
            <w:noWrap/>
            <w:vAlign w:val="center"/>
            <w:hideMark/>
          </w:tcPr>
          <w:p w14:paraId="4A035B66" w14:textId="4CF2A449" w:rsidR="00DC0DB3" w:rsidRPr="00D92E20" w:rsidRDefault="00DC0DB3" w:rsidP="00DC0DB3">
            <w:pPr>
              <w:spacing w:after="0" w:line="240" w:lineRule="auto"/>
              <w:jc w:val="center"/>
              <w:rPr>
                <w:rFonts w:cs="Arial"/>
                <w:color w:val="000000"/>
                <w:sz w:val="16"/>
                <w:szCs w:val="16"/>
              </w:rPr>
            </w:pPr>
            <w:r>
              <w:rPr>
                <w:rFonts w:cs="Arial"/>
                <w:color w:val="000000"/>
                <w:sz w:val="16"/>
                <w:szCs w:val="16"/>
              </w:rPr>
              <w:t>35,6</w:t>
            </w:r>
          </w:p>
        </w:tc>
        <w:tc>
          <w:tcPr>
            <w:tcW w:w="595" w:type="dxa"/>
            <w:tcBorders>
              <w:top w:val="nil"/>
              <w:left w:val="nil"/>
              <w:bottom w:val="nil"/>
              <w:right w:val="nil"/>
            </w:tcBorders>
            <w:shd w:val="clear" w:color="auto" w:fill="auto"/>
            <w:noWrap/>
            <w:vAlign w:val="center"/>
            <w:hideMark/>
          </w:tcPr>
          <w:p w14:paraId="7DD63D34" w14:textId="64322284" w:rsidR="00DC0DB3" w:rsidRPr="00D92E20" w:rsidRDefault="00DC0DB3" w:rsidP="00DC0DB3">
            <w:pPr>
              <w:spacing w:after="0" w:line="240" w:lineRule="auto"/>
              <w:jc w:val="center"/>
              <w:rPr>
                <w:rFonts w:cs="Arial"/>
                <w:color w:val="000000"/>
                <w:sz w:val="16"/>
                <w:szCs w:val="16"/>
              </w:rPr>
            </w:pPr>
            <w:r>
              <w:rPr>
                <w:rFonts w:cs="Arial"/>
                <w:color w:val="000000"/>
                <w:sz w:val="16"/>
                <w:szCs w:val="16"/>
              </w:rPr>
              <w:t>36,7</w:t>
            </w:r>
          </w:p>
        </w:tc>
        <w:tc>
          <w:tcPr>
            <w:tcW w:w="595" w:type="dxa"/>
            <w:tcBorders>
              <w:top w:val="nil"/>
              <w:left w:val="nil"/>
              <w:bottom w:val="nil"/>
              <w:right w:val="nil"/>
            </w:tcBorders>
            <w:shd w:val="clear" w:color="auto" w:fill="auto"/>
            <w:noWrap/>
            <w:vAlign w:val="center"/>
            <w:hideMark/>
          </w:tcPr>
          <w:p w14:paraId="1EF6FC56" w14:textId="5B5C812A" w:rsidR="00DC0DB3" w:rsidRPr="00D92E20" w:rsidRDefault="00DC0DB3" w:rsidP="00DC0DB3">
            <w:pPr>
              <w:spacing w:after="0" w:line="240" w:lineRule="auto"/>
              <w:jc w:val="center"/>
              <w:rPr>
                <w:rFonts w:cs="Arial"/>
                <w:color w:val="000000"/>
                <w:sz w:val="16"/>
                <w:szCs w:val="16"/>
              </w:rPr>
            </w:pPr>
            <w:r>
              <w:rPr>
                <w:rFonts w:cs="Arial"/>
                <w:color w:val="000000"/>
                <w:sz w:val="16"/>
                <w:szCs w:val="16"/>
              </w:rPr>
              <w:t>30,4</w:t>
            </w:r>
          </w:p>
        </w:tc>
      </w:tr>
      <w:tr w:rsidR="00DC0DB3" w:rsidRPr="00D92E20" w14:paraId="40DFD105"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701C4B8F"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088BA044" w14:textId="1215E014" w:rsidR="00DC0DB3" w:rsidRPr="00D92E20" w:rsidRDefault="00DC0DB3" w:rsidP="00DC0DB3">
            <w:pPr>
              <w:spacing w:after="0" w:line="240" w:lineRule="auto"/>
              <w:jc w:val="center"/>
              <w:rPr>
                <w:rFonts w:cs="Arial"/>
                <w:color w:val="000000"/>
                <w:sz w:val="16"/>
                <w:szCs w:val="16"/>
              </w:rPr>
            </w:pPr>
            <w:r>
              <w:rPr>
                <w:rFonts w:cs="Arial"/>
                <w:sz w:val="16"/>
                <w:szCs w:val="16"/>
              </w:rPr>
              <w:t>29,9</w:t>
            </w:r>
          </w:p>
        </w:tc>
        <w:tc>
          <w:tcPr>
            <w:tcW w:w="595" w:type="dxa"/>
            <w:tcBorders>
              <w:top w:val="nil"/>
              <w:left w:val="nil"/>
              <w:bottom w:val="nil"/>
              <w:right w:val="nil"/>
            </w:tcBorders>
            <w:shd w:val="clear" w:color="auto" w:fill="auto"/>
            <w:noWrap/>
            <w:vAlign w:val="center"/>
            <w:hideMark/>
          </w:tcPr>
          <w:p w14:paraId="6F901928" w14:textId="40EF3100" w:rsidR="00DC0DB3" w:rsidRPr="00D92E20" w:rsidRDefault="00DC0DB3" w:rsidP="00DC0DB3">
            <w:pPr>
              <w:spacing w:after="0" w:line="240" w:lineRule="auto"/>
              <w:jc w:val="center"/>
              <w:rPr>
                <w:rFonts w:cs="Arial"/>
                <w:color w:val="000000"/>
                <w:sz w:val="16"/>
                <w:szCs w:val="16"/>
              </w:rPr>
            </w:pPr>
            <w:r>
              <w:rPr>
                <w:rFonts w:cs="Arial"/>
                <w:sz w:val="16"/>
                <w:szCs w:val="16"/>
              </w:rPr>
              <w:t>35,8</w:t>
            </w:r>
          </w:p>
        </w:tc>
        <w:tc>
          <w:tcPr>
            <w:tcW w:w="595" w:type="dxa"/>
            <w:tcBorders>
              <w:top w:val="nil"/>
              <w:left w:val="nil"/>
              <w:bottom w:val="nil"/>
              <w:right w:val="nil"/>
            </w:tcBorders>
            <w:shd w:val="clear" w:color="auto" w:fill="auto"/>
            <w:noWrap/>
            <w:vAlign w:val="center"/>
            <w:hideMark/>
          </w:tcPr>
          <w:p w14:paraId="0622062D" w14:textId="7B024103" w:rsidR="00DC0DB3" w:rsidRPr="00D92E20" w:rsidRDefault="00DC0DB3" w:rsidP="00DC0DB3">
            <w:pPr>
              <w:spacing w:after="0" w:line="240" w:lineRule="auto"/>
              <w:jc w:val="center"/>
              <w:rPr>
                <w:rFonts w:cs="Arial"/>
                <w:color w:val="000000"/>
                <w:sz w:val="16"/>
                <w:szCs w:val="16"/>
              </w:rPr>
            </w:pPr>
            <w:r>
              <w:rPr>
                <w:rFonts w:cs="Arial"/>
                <w:sz w:val="16"/>
                <w:szCs w:val="16"/>
              </w:rPr>
              <w:t>30,9</w:t>
            </w:r>
          </w:p>
        </w:tc>
        <w:tc>
          <w:tcPr>
            <w:tcW w:w="595" w:type="dxa"/>
            <w:tcBorders>
              <w:top w:val="nil"/>
              <w:left w:val="nil"/>
              <w:bottom w:val="nil"/>
              <w:right w:val="nil"/>
            </w:tcBorders>
            <w:shd w:val="clear" w:color="auto" w:fill="auto"/>
            <w:noWrap/>
            <w:vAlign w:val="center"/>
            <w:hideMark/>
          </w:tcPr>
          <w:p w14:paraId="62539C86" w14:textId="2C479990" w:rsidR="00DC0DB3" w:rsidRPr="00D92E20" w:rsidRDefault="00DC0DB3" w:rsidP="00DC0DB3">
            <w:pPr>
              <w:spacing w:after="0" w:line="240" w:lineRule="auto"/>
              <w:jc w:val="center"/>
              <w:rPr>
                <w:rFonts w:cs="Arial"/>
                <w:color w:val="000000"/>
                <w:sz w:val="16"/>
                <w:szCs w:val="16"/>
              </w:rPr>
            </w:pPr>
            <w:r>
              <w:rPr>
                <w:rFonts w:cs="Arial"/>
                <w:sz w:val="16"/>
                <w:szCs w:val="16"/>
              </w:rPr>
              <w:t>35,0</w:t>
            </w:r>
          </w:p>
        </w:tc>
        <w:tc>
          <w:tcPr>
            <w:tcW w:w="595" w:type="dxa"/>
            <w:tcBorders>
              <w:top w:val="nil"/>
              <w:left w:val="nil"/>
              <w:bottom w:val="nil"/>
              <w:right w:val="nil"/>
            </w:tcBorders>
            <w:shd w:val="clear" w:color="auto" w:fill="auto"/>
            <w:noWrap/>
            <w:vAlign w:val="center"/>
            <w:hideMark/>
          </w:tcPr>
          <w:p w14:paraId="3CA8B904" w14:textId="581DB778" w:rsidR="00DC0DB3" w:rsidRPr="00D92E20" w:rsidRDefault="00DC0DB3" w:rsidP="00DC0DB3">
            <w:pPr>
              <w:spacing w:after="0" w:line="240" w:lineRule="auto"/>
              <w:jc w:val="center"/>
              <w:rPr>
                <w:rFonts w:cs="Arial"/>
                <w:color w:val="000000"/>
                <w:sz w:val="16"/>
                <w:szCs w:val="16"/>
              </w:rPr>
            </w:pPr>
            <w:r>
              <w:rPr>
                <w:rFonts w:cs="Arial"/>
                <w:sz w:val="16"/>
                <w:szCs w:val="16"/>
              </w:rPr>
              <w:t>28,7</w:t>
            </w:r>
          </w:p>
        </w:tc>
        <w:tc>
          <w:tcPr>
            <w:tcW w:w="595" w:type="dxa"/>
            <w:tcBorders>
              <w:top w:val="nil"/>
              <w:left w:val="nil"/>
              <w:bottom w:val="nil"/>
              <w:right w:val="nil"/>
            </w:tcBorders>
            <w:shd w:val="clear" w:color="auto" w:fill="auto"/>
            <w:noWrap/>
            <w:vAlign w:val="center"/>
            <w:hideMark/>
          </w:tcPr>
          <w:p w14:paraId="2FCE9D5B" w14:textId="35E4EFE1" w:rsidR="00DC0DB3" w:rsidRPr="00D92E20" w:rsidRDefault="00DC0DB3" w:rsidP="00DC0DB3">
            <w:pPr>
              <w:spacing w:after="0" w:line="240" w:lineRule="auto"/>
              <w:jc w:val="center"/>
              <w:rPr>
                <w:rFonts w:cs="Arial"/>
                <w:color w:val="000000"/>
                <w:sz w:val="16"/>
                <w:szCs w:val="16"/>
              </w:rPr>
            </w:pPr>
            <w:r>
              <w:rPr>
                <w:rFonts w:cs="Arial"/>
                <w:color w:val="000000"/>
                <w:sz w:val="16"/>
                <w:szCs w:val="16"/>
              </w:rPr>
              <w:t>31,3</w:t>
            </w:r>
          </w:p>
        </w:tc>
        <w:tc>
          <w:tcPr>
            <w:tcW w:w="595" w:type="dxa"/>
            <w:tcBorders>
              <w:top w:val="nil"/>
              <w:left w:val="nil"/>
              <w:bottom w:val="nil"/>
              <w:right w:val="nil"/>
            </w:tcBorders>
            <w:shd w:val="clear" w:color="auto" w:fill="auto"/>
            <w:noWrap/>
            <w:vAlign w:val="center"/>
            <w:hideMark/>
          </w:tcPr>
          <w:p w14:paraId="247769CD" w14:textId="0908C77D" w:rsidR="00DC0DB3" w:rsidRPr="00D92E20" w:rsidRDefault="00DC0DB3" w:rsidP="00DC0DB3">
            <w:pPr>
              <w:spacing w:after="0" w:line="240" w:lineRule="auto"/>
              <w:jc w:val="center"/>
              <w:rPr>
                <w:rFonts w:cs="Arial"/>
                <w:color w:val="000000"/>
                <w:sz w:val="16"/>
                <w:szCs w:val="16"/>
              </w:rPr>
            </w:pPr>
            <w:r>
              <w:rPr>
                <w:rFonts w:cs="Arial"/>
                <w:color w:val="000000"/>
                <w:sz w:val="16"/>
                <w:szCs w:val="16"/>
              </w:rPr>
              <w:t>29,8</w:t>
            </w:r>
          </w:p>
        </w:tc>
        <w:tc>
          <w:tcPr>
            <w:tcW w:w="595" w:type="dxa"/>
            <w:tcBorders>
              <w:top w:val="nil"/>
              <w:left w:val="nil"/>
              <w:bottom w:val="nil"/>
              <w:right w:val="nil"/>
            </w:tcBorders>
            <w:shd w:val="clear" w:color="auto" w:fill="auto"/>
            <w:noWrap/>
            <w:vAlign w:val="center"/>
            <w:hideMark/>
          </w:tcPr>
          <w:p w14:paraId="1422AABA" w14:textId="29A94310" w:rsidR="00DC0DB3" w:rsidRPr="00D92E20" w:rsidRDefault="00DC0DB3" w:rsidP="00DC0DB3">
            <w:pPr>
              <w:spacing w:after="0" w:line="240" w:lineRule="auto"/>
              <w:jc w:val="center"/>
              <w:rPr>
                <w:rFonts w:cs="Arial"/>
                <w:color w:val="000000"/>
                <w:sz w:val="16"/>
                <w:szCs w:val="16"/>
              </w:rPr>
            </w:pPr>
            <w:r>
              <w:rPr>
                <w:rFonts w:cs="Arial"/>
                <w:color w:val="000000"/>
                <w:sz w:val="16"/>
                <w:szCs w:val="16"/>
              </w:rPr>
              <w:t>27,7</w:t>
            </w:r>
          </w:p>
        </w:tc>
        <w:tc>
          <w:tcPr>
            <w:tcW w:w="595" w:type="dxa"/>
            <w:tcBorders>
              <w:top w:val="nil"/>
              <w:left w:val="nil"/>
              <w:bottom w:val="nil"/>
              <w:right w:val="nil"/>
            </w:tcBorders>
            <w:shd w:val="clear" w:color="auto" w:fill="auto"/>
            <w:noWrap/>
            <w:vAlign w:val="center"/>
            <w:hideMark/>
          </w:tcPr>
          <w:p w14:paraId="10FC5F77" w14:textId="5B9A3F85" w:rsidR="00DC0DB3" w:rsidRPr="00D92E20" w:rsidRDefault="00DC0DB3" w:rsidP="00DC0DB3">
            <w:pPr>
              <w:spacing w:after="0" w:line="240" w:lineRule="auto"/>
              <w:jc w:val="center"/>
              <w:rPr>
                <w:rFonts w:cs="Arial"/>
                <w:color w:val="000000"/>
                <w:sz w:val="16"/>
                <w:szCs w:val="16"/>
              </w:rPr>
            </w:pPr>
            <w:r>
              <w:rPr>
                <w:rFonts w:cs="Arial"/>
                <w:color w:val="000000"/>
                <w:sz w:val="16"/>
                <w:szCs w:val="16"/>
              </w:rPr>
              <w:t>30,4</w:t>
            </w:r>
          </w:p>
        </w:tc>
        <w:tc>
          <w:tcPr>
            <w:tcW w:w="595" w:type="dxa"/>
            <w:tcBorders>
              <w:top w:val="nil"/>
              <w:left w:val="nil"/>
              <w:bottom w:val="nil"/>
              <w:right w:val="nil"/>
            </w:tcBorders>
            <w:shd w:val="clear" w:color="auto" w:fill="auto"/>
            <w:noWrap/>
            <w:vAlign w:val="center"/>
            <w:hideMark/>
          </w:tcPr>
          <w:p w14:paraId="3CE70D0E" w14:textId="24D36678" w:rsidR="00DC0DB3" w:rsidRPr="00D92E20" w:rsidRDefault="00DC0DB3" w:rsidP="00DC0DB3">
            <w:pPr>
              <w:spacing w:after="0" w:line="240" w:lineRule="auto"/>
              <w:jc w:val="center"/>
              <w:rPr>
                <w:rFonts w:cs="Arial"/>
                <w:color w:val="000000"/>
                <w:sz w:val="16"/>
                <w:szCs w:val="16"/>
              </w:rPr>
            </w:pPr>
            <w:r>
              <w:rPr>
                <w:rFonts w:cs="Arial"/>
                <w:color w:val="000000"/>
                <w:sz w:val="16"/>
                <w:szCs w:val="16"/>
              </w:rPr>
              <w:t>33,3</w:t>
            </w:r>
          </w:p>
        </w:tc>
        <w:tc>
          <w:tcPr>
            <w:tcW w:w="595" w:type="dxa"/>
            <w:tcBorders>
              <w:top w:val="nil"/>
              <w:left w:val="nil"/>
              <w:bottom w:val="nil"/>
              <w:right w:val="nil"/>
            </w:tcBorders>
            <w:shd w:val="clear" w:color="auto" w:fill="auto"/>
            <w:noWrap/>
            <w:vAlign w:val="center"/>
            <w:hideMark/>
          </w:tcPr>
          <w:p w14:paraId="06ECAE1A" w14:textId="1A558341" w:rsidR="00DC0DB3" w:rsidRPr="00D92E20" w:rsidRDefault="00DC0DB3" w:rsidP="00DC0DB3">
            <w:pPr>
              <w:spacing w:after="0" w:line="240" w:lineRule="auto"/>
              <w:jc w:val="center"/>
              <w:rPr>
                <w:rFonts w:cs="Arial"/>
                <w:color w:val="000000"/>
                <w:sz w:val="16"/>
                <w:szCs w:val="16"/>
              </w:rPr>
            </w:pPr>
            <w:r>
              <w:rPr>
                <w:rFonts w:cs="Arial"/>
                <w:color w:val="000000"/>
                <w:sz w:val="16"/>
                <w:szCs w:val="16"/>
              </w:rPr>
              <w:t>28,3</w:t>
            </w:r>
          </w:p>
        </w:tc>
      </w:tr>
      <w:tr w:rsidR="00DC0DB3" w:rsidRPr="00D92E20" w14:paraId="4E6588C6"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656281C8"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0F19D51D" w14:textId="56F71C90" w:rsidR="00DC0DB3" w:rsidRPr="00D92E20" w:rsidRDefault="00DC0DB3" w:rsidP="00DC0DB3">
            <w:pPr>
              <w:spacing w:after="0" w:line="240" w:lineRule="auto"/>
              <w:jc w:val="center"/>
              <w:rPr>
                <w:rFonts w:cs="Arial"/>
                <w:color w:val="000000"/>
                <w:sz w:val="16"/>
                <w:szCs w:val="16"/>
              </w:rPr>
            </w:pPr>
            <w:r>
              <w:rPr>
                <w:rFonts w:cs="Arial"/>
                <w:sz w:val="16"/>
                <w:szCs w:val="16"/>
              </w:rPr>
              <w:t>46,2</w:t>
            </w:r>
          </w:p>
        </w:tc>
        <w:tc>
          <w:tcPr>
            <w:tcW w:w="595" w:type="dxa"/>
            <w:tcBorders>
              <w:top w:val="nil"/>
              <w:left w:val="nil"/>
              <w:bottom w:val="nil"/>
              <w:right w:val="nil"/>
            </w:tcBorders>
            <w:shd w:val="clear" w:color="auto" w:fill="auto"/>
            <w:noWrap/>
            <w:vAlign w:val="center"/>
            <w:hideMark/>
          </w:tcPr>
          <w:p w14:paraId="6D116BE2" w14:textId="31D85677" w:rsidR="00DC0DB3" w:rsidRPr="00D92E20" w:rsidRDefault="00DC0DB3" w:rsidP="00DC0DB3">
            <w:pPr>
              <w:spacing w:after="0" w:line="240" w:lineRule="auto"/>
              <w:jc w:val="center"/>
              <w:rPr>
                <w:rFonts w:cs="Arial"/>
                <w:color w:val="000000"/>
                <w:sz w:val="16"/>
                <w:szCs w:val="16"/>
              </w:rPr>
            </w:pPr>
            <w:r>
              <w:rPr>
                <w:rFonts w:cs="Arial"/>
                <w:sz w:val="16"/>
                <w:szCs w:val="16"/>
              </w:rPr>
              <w:t>51,9</w:t>
            </w:r>
          </w:p>
        </w:tc>
        <w:tc>
          <w:tcPr>
            <w:tcW w:w="595" w:type="dxa"/>
            <w:tcBorders>
              <w:top w:val="nil"/>
              <w:left w:val="nil"/>
              <w:bottom w:val="nil"/>
              <w:right w:val="nil"/>
            </w:tcBorders>
            <w:shd w:val="clear" w:color="auto" w:fill="auto"/>
            <w:noWrap/>
            <w:vAlign w:val="center"/>
            <w:hideMark/>
          </w:tcPr>
          <w:p w14:paraId="5064BFB3" w14:textId="073540F7" w:rsidR="00DC0DB3" w:rsidRPr="00D92E20" w:rsidRDefault="00DC0DB3" w:rsidP="00DC0DB3">
            <w:pPr>
              <w:spacing w:after="0" w:line="240" w:lineRule="auto"/>
              <w:jc w:val="center"/>
              <w:rPr>
                <w:rFonts w:cs="Arial"/>
                <w:color w:val="000000"/>
                <w:sz w:val="16"/>
                <w:szCs w:val="16"/>
              </w:rPr>
            </w:pPr>
            <w:r>
              <w:rPr>
                <w:rFonts w:cs="Arial"/>
                <w:sz w:val="16"/>
                <w:szCs w:val="16"/>
              </w:rPr>
              <w:t>45,1</w:t>
            </w:r>
          </w:p>
        </w:tc>
        <w:tc>
          <w:tcPr>
            <w:tcW w:w="595" w:type="dxa"/>
            <w:tcBorders>
              <w:top w:val="nil"/>
              <w:left w:val="nil"/>
              <w:bottom w:val="nil"/>
              <w:right w:val="nil"/>
            </w:tcBorders>
            <w:shd w:val="clear" w:color="auto" w:fill="auto"/>
            <w:noWrap/>
            <w:vAlign w:val="center"/>
            <w:hideMark/>
          </w:tcPr>
          <w:p w14:paraId="441B26F2" w14:textId="16F5D713" w:rsidR="00DC0DB3" w:rsidRPr="00D92E20" w:rsidRDefault="00DC0DB3" w:rsidP="00DC0DB3">
            <w:pPr>
              <w:spacing w:after="0" w:line="240" w:lineRule="auto"/>
              <w:jc w:val="center"/>
              <w:rPr>
                <w:rFonts w:cs="Arial"/>
                <w:color w:val="000000"/>
                <w:sz w:val="16"/>
                <w:szCs w:val="16"/>
              </w:rPr>
            </w:pPr>
            <w:r>
              <w:rPr>
                <w:rFonts w:cs="Arial"/>
                <w:sz w:val="16"/>
                <w:szCs w:val="16"/>
              </w:rPr>
              <w:t>50,9</w:t>
            </w:r>
          </w:p>
        </w:tc>
        <w:tc>
          <w:tcPr>
            <w:tcW w:w="595" w:type="dxa"/>
            <w:tcBorders>
              <w:top w:val="nil"/>
              <w:left w:val="nil"/>
              <w:bottom w:val="nil"/>
              <w:right w:val="nil"/>
            </w:tcBorders>
            <w:shd w:val="clear" w:color="auto" w:fill="auto"/>
            <w:noWrap/>
            <w:vAlign w:val="center"/>
            <w:hideMark/>
          </w:tcPr>
          <w:p w14:paraId="60B1E17C" w14:textId="2FFC1262" w:rsidR="00DC0DB3" w:rsidRPr="00D92E20" w:rsidRDefault="00DC0DB3" w:rsidP="00DC0DB3">
            <w:pPr>
              <w:spacing w:after="0" w:line="240" w:lineRule="auto"/>
              <w:jc w:val="center"/>
              <w:rPr>
                <w:rFonts w:cs="Arial"/>
                <w:color w:val="000000"/>
                <w:sz w:val="16"/>
                <w:szCs w:val="16"/>
              </w:rPr>
            </w:pPr>
            <w:r>
              <w:rPr>
                <w:rFonts w:cs="Arial"/>
                <w:sz w:val="16"/>
                <w:szCs w:val="16"/>
              </w:rPr>
              <w:t>44,5</w:t>
            </w:r>
          </w:p>
        </w:tc>
        <w:tc>
          <w:tcPr>
            <w:tcW w:w="595" w:type="dxa"/>
            <w:tcBorders>
              <w:top w:val="nil"/>
              <w:left w:val="nil"/>
              <w:bottom w:val="nil"/>
              <w:right w:val="nil"/>
            </w:tcBorders>
            <w:shd w:val="clear" w:color="auto" w:fill="auto"/>
            <w:noWrap/>
            <w:vAlign w:val="center"/>
            <w:hideMark/>
          </w:tcPr>
          <w:p w14:paraId="23244E81" w14:textId="3D5576FC" w:rsidR="00DC0DB3" w:rsidRPr="00D92E20" w:rsidRDefault="00DC0DB3" w:rsidP="00DC0DB3">
            <w:pPr>
              <w:spacing w:after="0" w:line="240" w:lineRule="auto"/>
              <w:jc w:val="center"/>
              <w:rPr>
                <w:rFonts w:cs="Arial"/>
                <w:color w:val="000000"/>
                <w:sz w:val="16"/>
                <w:szCs w:val="16"/>
              </w:rPr>
            </w:pPr>
            <w:r>
              <w:rPr>
                <w:rFonts w:cs="Arial"/>
                <w:color w:val="000000"/>
                <w:sz w:val="16"/>
                <w:szCs w:val="16"/>
              </w:rPr>
              <w:t>46,9</w:t>
            </w:r>
          </w:p>
        </w:tc>
        <w:tc>
          <w:tcPr>
            <w:tcW w:w="595" w:type="dxa"/>
            <w:tcBorders>
              <w:top w:val="nil"/>
              <w:left w:val="nil"/>
              <w:bottom w:val="nil"/>
              <w:right w:val="nil"/>
            </w:tcBorders>
            <w:shd w:val="clear" w:color="auto" w:fill="auto"/>
            <w:noWrap/>
            <w:vAlign w:val="center"/>
            <w:hideMark/>
          </w:tcPr>
          <w:p w14:paraId="42E47963" w14:textId="4815ECE1"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45,4</w:t>
            </w:r>
          </w:p>
        </w:tc>
        <w:tc>
          <w:tcPr>
            <w:tcW w:w="595" w:type="dxa"/>
            <w:tcBorders>
              <w:top w:val="nil"/>
              <w:left w:val="nil"/>
              <w:bottom w:val="nil"/>
              <w:right w:val="nil"/>
            </w:tcBorders>
            <w:shd w:val="clear" w:color="auto" w:fill="auto"/>
            <w:noWrap/>
            <w:vAlign w:val="center"/>
            <w:hideMark/>
          </w:tcPr>
          <w:p w14:paraId="5211B297" w14:textId="43B219A8"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42,4</w:t>
            </w:r>
          </w:p>
        </w:tc>
        <w:tc>
          <w:tcPr>
            <w:tcW w:w="595" w:type="dxa"/>
            <w:tcBorders>
              <w:top w:val="nil"/>
              <w:left w:val="nil"/>
              <w:bottom w:val="nil"/>
              <w:right w:val="nil"/>
            </w:tcBorders>
            <w:shd w:val="clear" w:color="auto" w:fill="auto"/>
            <w:noWrap/>
            <w:vAlign w:val="center"/>
            <w:hideMark/>
          </w:tcPr>
          <w:p w14:paraId="0BFD2CB7" w14:textId="6999EFB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45,9</w:t>
            </w:r>
          </w:p>
        </w:tc>
        <w:tc>
          <w:tcPr>
            <w:tcW w:w="595" w:type="dxa"/>
            <w:tcBorders>
              <w:top w:val="nil"/>
              <w:left w:val="nil"/>
              <w:bottom w:val="nil"/>
              <w:right w:val="nil"/>
            </w:tcBorders>
            <w:shd w:val="clear" w:color="auto" w:fill="auto"/>
            <w:noWrap/>
            <w:vAlign w:val="center"/>
            <w:hideMark/>
          </w:tcPr>
          <w:p w14:paraId="0AA92480" w14:textId="05EFAAC2" w:rsidR="00DC0DB3" w:rsidRPr="00D92E20" w:rsidRDefault="00DC0DB3" w:rsidP="00DC0DB3">
            <w:pPr>
              <w:spacing w:after="0" w:line="240" w:lineRule="auto"/>
              <w:jc w:val="center"/>
              <w:rPr>
                <w:rFonts w:cs="Arial"/>
                <w:color w:val="000000"/>
                <w:sz w:val="16"/>
                <w:szCs w:val="16"/>
              </w:rPr>
            </w:pPr>
            <w:r>
              <w:rPr>
                <w:rFonts w:cs="Arial"/>
                <w:color w:val="000000"/>
                <w:sz w:val="16"/>
                <w:szCs w:val="16"/>
              </w:rPr>
              <w:t>43,8</w:t>
            </w:r>
          </w:p>
        </w:tc>
        <w:tc>
          <w:tcPr>
            <w:tcW w:w="595" w:type="dxa"/>
            <w:tcBorders>
              <w:top w:val="nil"/>
              <w:left w:val="nil"/>
              <w:bottom w:val="nil"/>
              <w:right w:val="nil"/>
            </w:tcBorders>
            <w:shd w:val="clear" w:color="auto" w:fill="auto"/>
            <w:noWrap/>
            <w:vAlign w:val="center"/>
            <w:hideMark/>
          </w:tcPr>
          <w:p w14:paraId="15EA08EF" w14:textId="1B2AFA3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40,3</w:t>
            </w:r>
          </w:p>
        </w:tc>
      </w:tr>
      <w:tr w:rsidR="00DC0DB3" w:rsidRPr="00D92E20" w14:paraId="44C2F5AC"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474C0C50" w14:textId="77777777" w:rsidR="00DC0DB3"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283CE681" w14:textId="12803955" w:rsidR="00DC0DB3" w:rsidRPr="00D92E20" w:rsidRDefault="00DC0DB3" w:rsidP="00DC0DB3">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43639CC8" w14:textId="55012F17" w:rsidR="00DC0DB3" w:rsidRPr="00D92E20" w:rsidRDefault="00DC0DB3" w:rsidP="00DC0DB3">
            <w:pPr>
              <w:spacing w:after="0" w:line="240" w:lineRule="auto"/>
              <w:jc w:val="center"/>
              <w:rPr>
                <w:rFonts w:cs="Arial"/>
                <w:color w:val="000000"/>
                <w:sz w:val="16"/>
                <w:szCs w:val="16"/>
              </w:rPr>
            </w:pPr>
            <w:r>
              <w:rPr>
                <w:rFonts w:cs="Arial"/>
                <w:sz w:val="16"/>
                <w:szCs w:val="16"/>
              </w:rPr>
              <w:t>40,9</w:t>
            </w:r>
          </w:p>
        </w:tc>
        <w:tc>
          <w:tcPr>
            <w:tcW w:w="595" w:type="dxa"/>
            <w:tcBorders>
              <w:top w:val="nil"/>
              <w:left w:val="nil"/>
              <w:bottom w:val="nil"/>
              <w:right w:val="nil"/>
            </w:tcBorders>
            <w:shd w:val="clear" w:color="auto" w:fill="auto"/>
            <w:noWrap/>
            <w:vAlign w:val="center"/>
            <w:hideMark/>
          </w:tcPr>
          <w:p w14:paraId="5F828E27" w14:textId="08D4DF41" w:rsidR="00DC0DB3" w:rsidRPr="00D92E20" w:rsidRDefault="00DC0DB3" w:rsidP="00DC0DB3">
            <w:pPr>
              <w:spacing w:after="0" w:line="240" w:lineRule="auto"/>
              <w:jc w:val="center"/>
              <w:rPr>
                <w:rFonts w:cs="Arial"/>
                <w:color w:val="000000"/>
                <w:sz w:val="16"/>
                <w:szCs w:val="16"/>
              </w:rPr>
            </w:pPr>
            <w:r>
              <w:rPr>
                <w:rFonts w:cs="Arial"/>
                <w:sz w:val="16"/>
                <w:szCs w:val="16"/>
              </w:rPr>
              <w:t>46,3</w:t>
            </w:r>
          </w:p>
        </w:tc>
        <w:tc>
          <w:tcPr>
            <w:tcW w:w="595" w:type="dxa"/>
            <w:tcBorders>
              <w:top w:val="nil"/>
              <w:left w:val="nil"/>
              <w:bottom w:val="nil"/>
              <w:right w:val="nil"/>
            </w:tcBorders>
            <w:shd w:val="clear" w:color="auto" w:fill="auto"/>
            <w:noWrap/>
            <w:vAlign w:val="center"/>
            <w:hideMark/>
          </w:tcPr>
          <w:p w14:paraId="2E9464C8" w14:textId="417E141D" w:rsidR="00DC0DB3" w:rsidRPr="00D92E20" w:rsidRDefault="00DC0DB3" w:rsidP="00DC0DB3">
            <w:pPr>
              <w:spacing w:after="0" w:line="240" w:lineRule="auto"/>
              <w:jc w:val="center"/>
              <w:rPr>
                <w:rFonts w:cs="Arial"/>
                <w:color w:val="000000"/>
                <w:sz w:val="16"/>
                <w:szCs w:val="16"/>
              </w:rPr>
            </w:pPr>
            <w:r>
              <w:rPr>
                <w:rFonts w:cs="Arial"/>
                <w:sz w:val="16"/>
                <w:szCs w:val="16"/>
              </w:rPr>
              <w:t>40,3</w:t>
            </w:r>
          </w:p>
        </w:tc>
        <w:tc>
          <w:tcPr>
            <w:tcW w:w="595" w:type="dxa"/>
            <w:tcBorders>
              <w:top w:val="nil"/>
              <w:left w:val="nil"/>
              <w:bottom w:val="nil"/>
              <w:right w:val="nil"/>
            </w:tcBorders>
            <w:shd w:val="clear" w:color="auto" w:fill="auto"/>
            <w:noWrap/>
            <w:vAlign w:val="center"/>
            <w:hideMark/>
          </w:tcPr>
          <w:p w14:paraId="0DEB14BE" w14:textId="6757B746" w:rsidR="00DC0DB3" w:rsidRPr="00D92E20" w:rsidRDefault="00DC0DB3" w:rsidP="00DC0DB3">
            <w:pPr>
              <w:spacing w:after="0" w:line="240" w:lineRule="auto"/>
              <w:jc w:val="center"/>
              <w:rPr>
                <w:rFonts w:cs="Arial"/>
                <w:color w:val="000000"/>
                <w:sz w:val="16"/>
                <w:szCs w:val="16"/>
              </w:rPr>
            </w:pPr>
            <w:r>
              <w:rPr>
                <w:rFonts w:cs="Arial"/>
                <w:sz w:val="16"/>
                <w:szCs w:val="16"/>
              </w:rPr>
              <w:t>44,9</w:t>
            </w:r>
          </w:p>
        </w:tc>
        <w:tc>
          <w:tcPr>
            <w:tcW w:w="595" w:type="dxa"/>
            <w:tcBorders>
              <w:top w:val="nil"/>
              <w:left w:val="nil"/>
              <w:bottom w:val="nil"/>
              <w:right w:val="nil"/>
            </w:tcBorders>
            <w:shd w:val="clear" w:color="auto" w:fill="auto"/>
            <w:noWrap/>
            <w:vAlign w:val="center"/>
            <w:hideMark/>
          </w:tcPr>
          <w:p w14:paraId="0E876676" w14:textId="5B4F91E3" w:rsidR="00DC0DB3" w:rsidRPr="00D92E20" w:rsidRDefault="00DC0DB3" w:rsidP="00DC0DB3">
            <w:pPr>
              <w:spacing w:after="0" w:line="240" w:lineRule="auto"/>
              <w:jc w:val="center"/>
              <w:rPr>
                <w:rFonts w:cs="Arial"/>
                <w:color w:val="000000"/>
                <w:sz w:val="16"/>
                <w:szCs w:val="16"/>
              </w:rPr>
            </w:pPr>
            <w:r>
              <w:rPr>
                <w:rFonts w:cs="Arial"/>
                <w:sz w:val="16"/>
                <w:szCs w:val="16"/>
              </w:rPr>
              <w:t>38,4</w:t>
            </w:r>
          </w:p>
        </w:tc>
        <w:tc>
          <w:tcPr>
            <w:tcW w:w="595" w:type="dxa"/>
            <w:tcBorders>
              <w:top w:val="nil"/>
              <w:left w:val="nil"/>
              <w:bottom w:val="nil"/>
              <w:right w:val="nil"/>
            </w:tcBorders>
            <w:shd w:val="clear" w:color="auto" w:fill="auto"/>
            <w:noWrap/>
            <w:vAlign w:val="center"/>
            <w:hideMark/>
          </w:tcPr>
          <w:p w14:paraId="7B728180" w14:textId="12A3D274"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40,9</w:t>
            </w:r>
          </w:p>
        </w:tc>
        <w:tc>
          <w:tcPr>
            <w:tcW w:w="595" w:type="dxa"/>
            <w:tcBorders>
              <w:top w:val="nil"/>
              <w:left w:val="nil"/>
              <w:bottom w:val="nil"/>
              <w:right w:val="nil"/>
            </w:tcBorders>
            <w:shd w:val="clear" w:color="auto" w:fill="auto"/>
            <w:noWrap/>
            <w:vAlign w:val="center"/>
            <w:hideMark/>
          </w:tcPr>
          <w:p w14:paraId="72DEF406" w14:textId="30ABAD1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40,2</w:t>
            </w:r>
          </w:p>
        </w:tc>
        <w:tc>
          <w:tcPr>
            <w:tcW w:w="595" w:type="dxa"/>
            <w:tcBorders>
              <w:top w:val="nil"/>
              <w:left w:val="nil"/>
              <w:bottom w:val="nil"/>
              <w:right w:val="nil"/>
            </w:tcBorders>
            <w:shd w:val="clear" w:color="auto" w:fill="auto"/>
            <w:noWrap/>
            <w:vAlign w:val="center"/>
            <w:hideMark/>
          </w:tcPr>
          <w:p w14:paraId="6E447300" w14:textId="0F684A8A" w:rsidR="00DC0DB3" w:rsidRPr="00D92E20" w:rsidRDefault="00DC0DB3" w:rsidP="00DC0DB3">
            <w:pPr>
              <w:spacing w:after="0" w:line="240" w:lineRule="auto"/>
              <w:jc w:val="center"/>
              <w:rPr>
                <w:rFonts w:cs="Arial"/>
                <w:color w:val="000000"/>
                <w:sz w:val="16"/>
                <w:szCs w:val="16"/>
              </w:rPr>
            </w:pPr>
            <w:r>
              <w:rPr>
                <w:rFonts w:cs="Arial"/>
                <w:color w:val="000000"/>
                <w:sz w:val="16"/>
                <w:szCs w:val="16"/>
              </w:rPr>
              <w:t>38,5</w:t>
            </w:r>
          </w:p>
        </w:tc>
        <w:tc>
          <w:tcPr>
            <w:tcW w:w="595" w:type="dxa"/>
            <w:tcBorders>
              <w:top w:val="nil"/>
              <w:left w:val="nil"/>
              <w:bottom w:val="nil"/>
              <w:right w:val="nil"/>
            </w:tcBorders>
            <w:shd w:val="clear" w:color="auto" w:fill="auto"/>
            <w:noWrap/>
            <w:vAlign w:val="center"/>
            <w:hideMark/>
          </w:tcPr>
          <w:p w14:paraId="52FCCBB2" w14:textId="36CFD91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40,4</w:t>
            </w:r>
          </w:p>
        </w:tc>
        <w:tc>
          <w:tcPr>
            <w:tcW w:w="595" w:type="dxa"/>
            <w:tcBorders>
              <w:top w:val="nil"/>
              <w:left w:val="nil"/>
              <w:bottom w:val="nil"/>
              <w:right w:val="nil"/>
            </w:tcBorders>
            <w:shd w:val="clear" w:color="auto" w:fill="auto"/>
            <w:noWrap/>
            <w:vAlign w:val="center"/>
            <w:hideMark/>
          </w:tcPr>
          <w:p w14:paraId="471F5FE1" w14:textId="6D3634E8" w:rsidR="00DC0DB3" w:rsidRPr="00D92E20" w:rsidRDefault="00DC0DB3" w:rsidP="00DC0DB3">
            <w:pPr>
              <w:spacing w:after="0" w:line="240" w:lineRule="auto"/>
              <w:jc w:val="center"/>
              <w:rPr>
                <w:rFonts w:cs="Arial"/>
                <w:color w:val="000000"/>
                <w:sz w:val="16"/>
                <w:szCs w:val="16"/>
              </w:rPr>
            </w:pPr>
            <w:r>
              <w:rPr>
                <w:rFonts w:cs="Arial"/>
                <w:color w:val="000000"/>
                <w:sz w:val="16"/>
                <w:szCs w:val="16"/>
              </w:rPr>
              <w:t>44,2</w:t>
            </w:r>
          </w:p>
        </w:tc>
        <w:tc>
          <w:tcPr>
            <w:tcW w:w="595" w:type="dxa"/>
            <w:tcBorders>
              <w:top w:val="nil"/>
              <w:left w:val="nil"/>
              <w:bottom w:val="nil"/>
              <w:right w:val="nil"/>
            </w:tcBorders>
            <w:shd w:val="clear" w:color="auto" w:fill="auto"/>
            <w:noWrap/>
            <w:vAlign w:val="center"/>
            <w:hideMark/>
          </w:tcPr>
          <w:p w14:paraId="19AE0A04" w14:textId="218D39EB" w:rsidR="00DC0DB3" w:rsidRPr="00D92E20" w:rsidRDefault="00DC0DB3" w:rsidP="00DC0DB3">
            <w:pPr>
              <w:spacing w:after="0" w:line="240" w:lineRule="auto"/>
              <w:jc w:val="center"/>
              <w:rPr>
                <w:rFonts w:cs="Arial"/>
                <w:color w:val="000000"/>
                <w:sz w:val="16"/>
                <w:szCs w:val="16"/>
              </w:rPr>
            </w:pPr>
            <w:r>
              <w:rPr>
                <w:rFonts w:cs="Arial"/>
                <w:color w:val="000000"/>
                <w:sz w:val="16"/>
                <w:szCs w:val="16"/>
              </w:rPr>
              <w:t>40,0</w:t>
            </w:r>
          </w:p>
        </w:tc>
      </w:tr>
      <w:tr w:rsidR="00DC0DB3" w:rsidRPr="00D92E20" w14:paraId="5BE77F2E" w14:textId="77777777" w:rsidTr="00DC0DB3">
        <w:trPr>
          <w:trHeight w:val="300"/>
        </w:trPr>
        <w:tc>
          <w:tcPr>
            <w:tcW w:w="3175" w:type="dxa"/>
            <w:tcBorders>
              <w:top w:val="nil"/>
              <w:left w:val="nil"/>
              <w:bottom w:val="nil"/>
              <w:right w:val="single" w:sz="4" w:space="0" w:color="auto"/>
            </w:tcBorders>
            <w:shd w:val="clear" w:color="auto" w:fill="auto"/>
            <w:vAlign w:val="center"/>
            <w:hideMark/>
          </w:tcPr>
          <w:p w14:paraId="0657A67F" w14:textId="77777777" w:rsidR="00DC0DB3" w:rsidRPr="00D92E20" w:rsidRDefault="00DC0DB3" w:rsidP="00DC0DB3">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B9B15E6" w14:textId="3CA0DE7A" w:rsidR="00DC0DB3" w:rsidRPr="00D92E20" w:rsidRDefault="00DC0DB3" w:rsidP="00DC0DB3">
            <w:pPr>
              <w:spacing w:after="0" w:line="240" w:lineRule="auto"/>
              <w:jc w:val="center"/>
              <w:rPr>
                <w:rFonts w:cs="Arial"/>
                <w:color w:val="000000"/>
                <w:sz w:val="16"/>
                <w:szCs w:val="16"/>
              </w:rPr>
            </w:pPr>
            <w:r>
              <w:rPr>
                <w:rFonts w:cs="Arial"/>
                <w:sz w:val="16"/>
                <w:szCs w:val="16"/>
              </w:rPr>
              <w:t>52,5</w:t>
            </w:r>
          </w:p>
        </w:tc>
        <w:tc>
          <w:tcPr>
            <w:tcW w:w="595" w:type="dxa"/>
            <w:tcBorders>
              <w:top w:val="nil"/>
              <w:left w:val="nil"/>
              <w:bottom w:val="nil"/>
              <w:right w:val="nil"/>
            </w:tcBorders>
            <w:shd w:val="clear" w:color="auto" w:fill="auto"/>
            <w:noWrap/>
            <w:vAlign w:val="center"/>
            <w:hideMark/>
          </w:tcPr>
          <w:p w14:paraId="37A40880" w14:textId="11F95D38" w:rsidR="00DC0DB3" w:rsidRPr="00D92E20" w:rsidRDefault="00DC0DB3" w:rsidP="00DC0DB3">
            <w:pPr>
              <w:spacing w:after="0" w:line="240" w:lineRule="auto"/>
              <w:jc w:val="center"/>
              <w:rPr>
                <w:rFonts w:cs="Arial"/>
                <w:color w:val="000000"/>
                <w:sz w:val="16"/>
                <w:szCs w:val="16"/>
              </w:rPr>
            </w:pPr>
            <w:r>
              <w:rPr>
                <w:rFonts w:cs="Arial"/>
                <w:sz w:val="16"/>
                <w:szCs w:val="16"/>
              </w:rPr>
              <w:t>51,3</w:t>
            </w:r>
          </w:p>
        </w:tc>
        <w:tc>
          <w:tcPr>
            <w:tcW w:w="595" w:type="dxa"/>
            <w:tcBorders>
              <w:top w:val="nil"/>
              <w:left w:val="nil"/>
              <w:bottom w:val="nil"/>
              <w:right w:val="nil"/>
            </w:tcBorders>
            <w:shd w:val="clear" w:color="auto" w:fill="auto"/>
            <w:noWrap/>
            <w:vAlign w:val="center"/>
            <w:hideMark/>
          </w:tcPr>
          <w:p w14:paraId="2AE6D85D" w14:textId="2F450359" w:rsidR="00DC0DB3" w:rsidRPr="00D92E20" w:rsidRDefault="00DC0DB3" w:rsidP="00DC0DB3">
            <w:pPr>
              <w:spacing w:after="0" w:line="240" w:lineRule="auto"/>
              <w:jc w:val="center"/>
              <w:rPr>
                <w:rFonts w:cs="Arial"/>
                <w:color w:val="000000"/>
                <w:sz w:val="16"/>
                <w:szCs w:val="16"/>
              </w:rPr>
            </w:pPr>
            <w:r>
              <w:rPr>
                <w:rFonts w:cs="Arial"/>
                <w:sz w:val="16"/>
                <w:szCs w:val="16"/>
              </w:rPr>
              <w:t>46,1</w:t>
            </w:r>
          </w:p>
        </w:tc>
        <w:tc>
          <w:tcPr>
            <w:tcW w:w="595" w:type="dxa"/>
            <w:tcBorders>
              <w:top w:val="nil"/>
              <w:left w:val="nil"/>
              <w:bottom w:val="nil"/>
              <w:right w:val="nil"/>
            </w:tcBorders>
            <w:shd w:val="clear" w:color="auto" w:fill="auto"/>
            <w:noWrap/>
            <w:vAlign w:val="center"/>
            <w:hideMark/>
          </w:tcPr>
          <w:p w14:paraId="750734A9" w14:textId="24FD6A92" w:rsidR="00DC0DB3" w:rsidRPr="00D92E20" w:rsidRDefault="00DC0DB3" w:rsidP="00DC0DB3">
            <w:pPr>
              <w:spacing w:after="0" w:line="240" w:lineRule="auto"/>
              <w:jc w:val="center"/>
              <w:rPr>
                <w:rFonts w:cs="Arial"/>
                <w:color w:val="000000"/>
                <w:sz w:val="16"/>
                <w:szCs w:val="16"/>
              </w:rPr>
            </w:pPr>
            <w:r>
              <w:rPr>
                <w:rFonts w:cs="Arial"/>
                <w:sz w:val="16"/>
                <w:szCs w:val="16"/>
              </w:rPr>
              <w:t>50,5</w:t>
            </w:r>
          </w:p>
        </w:tc>
        <w:tc>
          <w:tcPr>
            <w:tcW w:w="595" w:type="dxa"/>
            <w:tcBorders>
              <w:top w:val="nil"/>
              <w:left w:val="nil"/>
              <w:bottom w:val="nil"/>
              <w:right w:val="nil"/>
            </w:tcBorders>
            <w:shd w:val="clear" w:color="auto" w:fill="auto"/>
            <w:noWrap/>
            <w:vAlign w:val="center"/>
            <w:hideMark/>
          </w:tcPr>
          <w:p w14:paraId="307C1F2C" w14:textId="54636F46" w:rsidR="00DC0DB3" w:rsidRPr="00D92E20" w:rsidRDefault="00DC0DB3" w:rsidP="00DC0DB3">
            <w:pPr>
              <w:spacing w:after="0" w:line="240" w:lineRule="auto"/>
              <w:jc w:val="center"/>
              <w:rPr>
                <w:rFonts w:cs="Arial"/>
                <w:color w:val="000000"/>
                <w:sz w:val="16"/>
                <w:szCs w:val="16"/>
              </w:rPr>
            </w:pPr>
            <w:r>
              <w:rPr>
                <w:rFonts w:cs="Arial"/>
                <w:sz w:val="16"/>
                <w:szCs w:val="16"/>
              </w:rPr>
              <w:t>44,6</w:t>
            </w:r>
          </w:p>
        </w:tc>
        <w:tc>
          <w:tcPr>
            <w:tcW w:w="595" w:type="dxa"/>
            <w:tcBorders>
              <w:top w:val="nil"/>
              <w:left w:val="nil"/>
              <w:bottom w:val="nil"/>
              <w:right w:val="nil"/>
            </w:tcBorders>
            <w:shd w:val="clear" w:color="auto" w:fill="auto"/>
            <w:noWrap/>
            <w:vAlign w:val="center"/>
            <w:hideMark/>
          </w:tcPr>
          <w:p w14:paraId="24C4A47E" w14:textId="68388B70" w:rsidR="00DC0DB3" w:rsidRPr="00D92E20" w:rsidRDefault="00DC0DB3" w:rsidP="00DC0DB3">
            <w:pPr>
              <w:spacing w:after="0" w:line="240" w:lineRule="auto"/>
              <w:jc w:val="center"/>
              <w:rPr>
                <w:rFonts w:cs="Arial"/>
                <w:color w:val="000000"/>
                <w:sz w:val="16"/>
                <w:szCs w:val="16"/>
              </w:rPr>
            </w:pPr>
            <w:r>
              <w:rPr>
                <w:rFonts w:cs="Arial"/>
                <w:color w:val="000000"/>
                <w:sz w:val="16"/>
                <w:szCs w:val="16"/>
              </w:rPr>
              <w:t>48,0</w:t>
            </w:r>
          </w:p>
        </w:tc>
        <w:tc>
          <w:tcPr>
            <w:tcW w:w="595" w:type="dxa"/>
            <w:tcBorders>
              <w:top w:val="nil"/>
              <w:left w:val="nil"/>
              <w:bottom w:val="nil"/>
              <w:right w:val="nil"/>
            </w:tcBorders>
            <w:shd w:val="clear" w:color="auto" w:fill="auto"/>
            <w:noWrap/>
            <w:vAlign w:val="center"/>
            <w:hideMark/>
          </w:tcPr>
          <w:p w14:paraId="26E73085" w14:textId="28A94805" w:rsidR="00DC0DB3" w:rsidRPr="00D92E20" w:rsidRDefault="00DC0DB3" w:rsidP="00DC0DB3">
            <w:pPr>
              <w:spacing w:after="0" w:line="240" w:lineRule="auto"/>
              <w:jc w:val="center"/>
              <w:rPr>
                <w:rFonts w:cs="Arial"/>
                <w:color w:val="000000"/>
                <w:sz w:val="16"/>
                <w:szCs w:val="16"/>
              </w:rPr>
            </w:pPr>
            <w:r>
              <w:rPr>
                <w:rFonts w:cs="Arial"/>
                <w:color w:val="000000"/>
                <w:sz w:val="16"/>
                <w:szCs w:val="16"/>
              </w:rPr>
              <w:t>45,6</w:t>
            </w:r>
          </w:p>
        </w:tc>
        <w:tc>
          <w:tcPr>
            <w:tcW w:w="595" w:type="dxa"/>
            <w:tcBorders>
              <w:top w:val="nil"/>
              <w:left w:val="nil"/>
              <w:bottom w:val="nil"/>
              <w:right w:val="nil"/>
            </w:tcBorders>
            <w:shd w:val="clear" w:color="auto" w:fill="auto"/>
            <w:noWrap/>
            <w:vAlign w:val="center"/>
            <w:hideMark/>
          </w:tcPr>
          <w:p w14:paraId="0E3D2161" w14:textId="0F85823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42,7</w:t>
            </w:r>
          </w:p>
        </w:tc>
        <w:tc>
          <w:tcPr>
            <w:tcW w:w="595" w:type="dxa"/>
            <w:tcBorders>
              <w:top w:val="nil"/>
              <w:left w:val="nil"/>
              <w:bottom w:val="nil"/>
              <w:right w:val="nil"/>
            </w:tcBorders>
            <w:shd w:val="clear" w:color="auto" w:fill="auto"/>
            <w:noWrap/>
            <w:vAlign w:val="center"/>
            <w:hideMark/>
          </w:tcPr>
          <w:p w14:paraId="5A364F84" w14:textId="7A4AF2F5" w:rsidR="00DC0DB3" w:rsidRPr="00D92E20" w:rsidRDefault="00DC0DB3" w:rsidP="00DC0DB3">
            <w:pPr>
              <w:spacing w:after="0" w:line="240" w:lineRule="auto"/>
              <w:jc w:val="center"/>
              <w:rPr>
                <w:rFonts w:cs="Arial"/>
                <w:color w:val="000000"/>
                <w:sz w:val="16"/>
                <w:szCs w:val="16"/>
              </w:rPr>
            </w:pPr>
            <w:r>
              <w:rPr>
                <w:rFonts w:cs="Arial"/>
                <w:color w:val="000000"/>
                <w:sz w:val="16"/>
                <w:szCs w:val="16"/>
              </w:rPr>
              <w:t>46,1</w:t>
            </w:r>
          </w:p>
        </w:tc>
        <w:tc>
          <w:tcPr>
            <w:tcW w:w="595" w:type="dxa"/>
            <w:tcBorders>
              <w:top w:val="nil"/>
              <w:left w:val="nil"/>
              <w:bottom w:val="nil"/>
              <w:right w:val="nil"/>
            </w:tcBorders>
            <w:shd w:val="clear" w:color="auto" w:fill="auto"/>
            <w:noWrap/>
            <w:vAlign w:val="center"/>
            <w:hideMark/>
          </w:tcPr>
          <w:p w14:paraId="70956D84" w14:textId="413139BF" w:rsidR="00DC0DB3" w:rsidRPr="00D92E20" w:rsidRDefault="00DC0DB3" w:rsidP="00DC0DB3">
            <w:pPr>
              <w:spacing w:after="0" w:line="240" w:lineRule="auto"/>
              <w:jc w:val="center"/>
              <w:rPr>
                <w:rFonts w:cs="Arial"/>
                <w:color w:val="000000"/>
                <w:sz w:val="16"/>
                <w:szCs w:val="16"/>
              </w:rPr>
            </w:pPr>
            <w:r>
              <w:rPr>
                <w:rFonts w:cs="Arial"/>
                <w:color w:val="000000"/>
                <w:sz w:val="16"/>
                <w:szCs w:val="16"/>
              </w:rPr>
              <w:t>47,9</w:t>
            </w:r>
          </w:p>
        </w:tc>
        <w:tc>
          <w:tcPr>
            <w:tcW w:w="595" w:type="dxa"/>
            <w:tcBorders>
              <w:top w:val="nil"/>
              <w:left w:val="nil"/>
              <w:bottom w:val="nil"/>
              <w:right w:val="nil"/>
            </w:tcBorders>
            <w:shd w:val="clear" w:color="auto" w:fill="auto"/>
            <w:noWrap/>
            <w:vAlign w:val="center"/>
            <w:hideMark/>
          </w:tcPr>
          <w:p w14:paraId="2F9756BE" w14:textId="2E4A5F15" w:rsidR="00DC0DB3" w:rsidRPr="00D92E20" w:rsidRDefault="00DC0DB3" w:rsidP="00DC0DB3">
            <w:pPr>
              <w:spacing w:after="0" w:line="240" w:lineRule="auto"/>
              <w:jc w:val="center"/>
              <w:rPr>
                <w:rFonts w:cs="Arial"/>
                <w:color w:val="000000"/>
                <w:sz w:val="16"/>
                <w:szCs w:val="16"/>
              </w:rPr>
            </w:pPr>
            <w:r>
              <w:rPr>
                <w:rFonts w:cs="Arial"/>
                <w:color w:val="000000"/>
                <w:sz w:val="16"/>
                <w:szCs w:val="16"/>
              </w:rPr>
              <w:t>42,2</w:t>
            </w:r>
          </w:p>
        </w:tc>
      </w:tr>
    </w:tbl>
    <w:p w14:paraId="5B06DE7A" w14:textId="77777777" w:rsidR="00502EDF" w:rsidRPr="00D92E20" w:rsidRDefault="00502EDF" w:rsidP="00502EDF">
      <w:pPr>
        <w:spacing w:before="120"/>
        <w:rPr>
          <w:sz w:val="16"/>
        </w:rPr>
      </w:pPr>
      <w:r w:rsidRPr="00D92E20">
        <w:rPr>
          <w:sz w:val="16"/>
        </w:rPr>
        <w:t>Zdroj: ČSÚ</w:t>
      </w:r>
    </w:p>
    <w:p w14:paraId="5179683A" w14:textId="3C96DEDF" w:rsidR="00350B58" w:rsidRPr="004A31C1" w:rsidRDefault="004A31C1" w:rsidP="004A31C1">
      <w:pPr>
        <w:spacing w:after="120"/>
        <w:jc w:val="both"/>
      </w:pPr>
      <w:r w:rsidRPr="00074873">
        <w:lastRenderedPageBreak/>
        <w:t xml:space="preserve">Z pohledu </w:t>
      </w:r>
      <w:r w:rsidRPr="00074873">
        <w:rPr>
          <w:b/>
        </w:rPr>
        <w:t>detailnějšího územního členění</w:t>
      </w:r>
      <w:r w:rsidRPr="00074873">
        <w:t xml:space="preserve"> (viz kartogram 2.1) je zřejmý větší rozptyl hodnot tohoto relativního ukazatele. Nejvyšší průměrnou délku na jeden případ v 1. pol. 2021 vykazoval okres Vsetín (47,6 dne) ve Zlínském kraji a Hodonín (47,1 dne) v Jihomoravském kraji, které se na předních místech mezi okresy s nejdelší pracovní neschopností pohybují již několik let. Následovaly okresy Břeclav</w:t>
      </w:r>
      <w:r>
        <w:t xml:space="preserve"> (Jihomoravský kraj)</w:t>
      </w:r>
      <w:r w:rsidRPr="00074873">
        <w:t xml:space="preserve">, Uherské Hradiště </w:t>
      </w:r>
      <w:r>
        <w:t xml:space="preserve">(Zlínský kraj) </w:t>
      </w:r>
      <w:r w:rsidRPr="00074873">
        <w:t>a Prachatice</w:t>
      </w:r>
      <w:r>
        <w:t xml:space="preserve"> (Jihočeský kraj)</w:t>
      </w:r>
      <w:r w:rsidRPr="00074873">
        <w:t>, které vykazovaly průměrnou délku případu pracovní neschopnosti nad 44 dnů. Naopak nejkratší dobou trvání se mohl opět pochlubit okres Mladá Boleslav (28 dnů) ve Středních Čechách a královéhradecký okres Rychnov nad Kněžnou (29 dnů).</w:t>
      </w:r>
      <w:r w:rsidR="008616F7">
        <w:t xml:space="preserve"> Kompletní přehled je k dispozici v</w:t>
      </w:r>
      <w:r w:rsidR="001E73B2">
        <w:t xml:space="preserve"> tabulce 3.6 v </w:t>
      </w:r>
      <w:r w:rsidR="008616F7">
        <w:t xml:space="preserve">tabulkové části </w:t>
      </w:r>
      <w:r w:rsidR="001E73B2">
        <w:t>publikace.</w:t>
      </w:r>
    </w:p>
    <w:p w14:paraId="3191D533" w14:textId="0D42A9D1" w:rsidR="00502EDF" w:rsidRPr="00D92E20" w:rsidRDefault="00502EDF" w:rsidP="00BA6B4E">
      <w:pPr>
        <w:spacing w:after="0"/>
        <w:jc w:val="both"/>
        <w:rPr>
          <w:b/>
        </w:rPr>
      </w:pPr>
      <w:r w:rsidRPr="00D92E20">
        <w:rPr>
          <w:b/>
        </w:rPr>
        <w:t xml:space="preserve">Graf 2.11: Průměrná délka trvání dočasné pracovní neschopnosti podle krajů ČR, </w:t>
      </w:r>
      <w:r w:rsidR="00DC0DB3" w:rsidRPr="00DC0DB3">
        <w:rPr>
          <w:b/>
        </w:rPr>
        <w:t>1. pol. 2020 a 2021</w:t>
      </w:r>
    </w:p>
    <w:p w14:paraId="42ACC810" w14:textId="046FEE96" w:rsidR="00502EDF" w:rsidRPr="00D92E20" w:rsidRDefault="00DC0DB3" w:rsidP="00BA6B4E">
      <w:pPr>
        <w:jc w:val="both"/>
        <w:rPr>
          <w:sz w:val="16"/>
        </w:rPr>
      </w:pPr>
      <w:r>
        <w:rPr>
          <w:noProof/>
        </w:rPr>
        <w:drawing>
          <wp:inline distT="0" distB="0" distL="0" distR="0" wp14:anchorId="5520AA30" wp14:editId="67B04676">
            <wp:extent cx="6116400" cy="3211200"/>
            <wp:effectExtent l="0" t="0" r="17780" b="825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02EDF" w:rsidRPr="00D92E20">
        <w:rPr>
          <w:sz w:val="16"/>
        </w:rPr>
        <w:t>Zdroj: ČSÚ</w:t>
      </w:r>
    </w:p>
    <w:p w14:paraId="210AE9CA" w14:textId="77777777" w:rsidR="004A31C1" w:rsidRPr="00DC0DB3" w:rsidRDefault="004A31C1" w:rsidP="004A31C1">
      <w:pPr>
        <w:spacing w:after="0"/>
        <w:jc w:val="both"/>
        <w:rPr>
          <w:b/>
          <w:spacing w:val="-2"/>
        </w:rPr>
      </w:pPr>
      <w:r w:rsidRPr="00DC0DB3">
        <w:rPr>
          <w:b/>
          <w:spacing w:val="-2"/>
        </w:rPr>
        <w:t>Tab. 2.7: Průměrná délka trvání dočasné pracovní neschopnosti podle krajů ČR, 1. pol. 2011–1. pol. 2021</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4A31C1" w:rsidRPr="00D92E20" w14:paraId="65BDEFBC" w14:textId="77777777" w:rsidTr="00161606">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3AB7A61A" w14:textId="77777777" w:rsidR="004A31C1" w:rsidRPr="00D92E20" w:rsidRDefault="004A31C1" w:rsidP="00161606">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bottom"/>
            <w:hideMark/>
          </w:tcPr>
          <w:p w14:paraId="326C045E"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709" w:type="dxa"/>
            <w:tcBorders>
              <w:top w:val="single" w:sz="4" w:space="0" w:color="auto"/>
              <w:left w:val="nil"/>
              <w:bottom w:val="single" w:sz="4" w:space="0" w:color="auto"/>
              <w:right w:val="nil"/>
            </w:tcBorders>
            <w:shd w:val="clear" w:color="000000" w:fill="F5DADD"/>
            <w:noWrap/>
            <w:vAlign w:val="bottom"/>
            <w:hideMark/>
          </w:tcPr>
          <w:p w14:paraId="74F06A94"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709" w:type="dxa"/>
            <w:tcBorders>
              <w:top w:val="single" w:sz="4" w:space="0" w:color="auto"/>
              <w:left w:val="nil"/>
              <w:bottom w:val="single" w:sz="4" w:space="0" w:color="auto"/>
              <w:right w:val="nil"/>
            </w:tcBorders>
            <w:shd w:val="clear" w:color="000000" w:fill="F5DADD"/>
            <w:noWrap/>
            <w:vAlign w:val="bottom"/>
            <w:hideMark/>
          </w:tcPr>
          <w:p w14:paraId="4635A734"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709" w:type="dxa"/>
            <w:tcBorders>
              <w:top w:val="single" w:sz="4" w:space="0" w:color="auto"/>
              <w:left w:val="nil"/>
              <w:bottom w:val="single" w:sz="4" w:space="0" w:color="auto"/>
              <w:right w:val="nil"/>
            </w:tcBorders>
            <w:shd w:val="clear" w:color="000000" w:fill="F5DADD"/>
            <w:noWrap/>
            <w:vAlign w:val="bottom"/>
            <w:hideMark/>
          </w:tcPr>
          <w:p w14:paraId="135C3E0D"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709" w:type="dxa"/>
            <w:tcBorders>
              <w:top w:val="single" w:sz="4" w:space="0" w:color="auto"/>
              <w:left w:val="nil"/>
              <w:bottom w:val="single" w:sz="4" w:space="0" w:color="auto"/>
              <w:right w:val="nil"/>
            </w:tcBorders>
            <w:shd w:val="clear" w:color="000000" w:fill="F5DADD"/>
            <w:noWrap/>
            <w:vAlign w:val="bottom"/>
            <w:hideMark/>
          </w:tcPr>
          <w:p w14:paraId="54C52920"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709" w:type="dxa"/>
            <w:tcBorders>
              <w:top w:val="single" w:sz="4" w:space="0" w:color="auto"/>
              <w:left w:val="nil"/>
              <w:bottom w:val="single" w:sz="4" w:space="0" w:color="auto"/>
              <w:right w:val="nil"/>
            </w:tcBorders>
            <w:shd w:val="clear" w:color="000000" w:fill="F5DADD"/>
            <w:noWrap/>
            <w:vAlign w:val="bottom"/>
            <w:hideMark/>
          </w:tcPr>
          <w:p w14:paraId="2AC79781"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709" w:type="dxa"/>
            <w:tcBorders>
              <w:top w:val="single" w:sz="4" w:space="0" w:color="auto"/>
              <w:left w:val="nil"/>
              <w:bottom w:val="single" w:sz="4" w:space="0" w:color="auto"/>
              <w:right w:val="nil"/>
            </w:tcBorders>
            <w:shd w:val="clear" w:color="000000" w:fill="F5DADD"/>
            <w:noWrap/>
            <w:vAlign w:val="bottom"/>
            <w:hideMark/>
          </w:tcPr>
          <w:p w14:paraId="460BF266"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709" w:type="dxa"/>
            <w:tcBorders>
              <w:top w:val="single" w:sz="4" w:space="0" w:color="auto"/>
              <w:left w:val="nil"/>
              <w:bottom w:val="single" w:sz="4" w:space="0" w:color="auto"/>
              <w:right w:val="nil"/>
            </w:tcBorders>
            <w:shd w:val="clear" w:color="000000" w:fill="F5DADD"/>
            <w:noWrap/>
            <w:vAlign w:val="bottom"/>
            <w:hideMark/>
          </w:tcPr>
          <w:p w14:paraId="535F1848" w14:textId="77777777" w:rsidR="004A31C1" w:rsidRPr="00D92E20" w:rsidRDefault="004A31C1" w:rsidP="00161606">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709" w:type="dxa"/>
            <w:tcBorders>
              <w:top w:val="single" w:sz="4" w:space="0" w:color="auto"/>
              <w:left w:val="nil"/>
              <w:bottom w:val="single" w:sz="4" w:space="0" w:color="auto"/>
              <w:right w:val="nil"/>
            </w:tcBorders>
            <w:shd w:val="clear" w:color="000000" w:fill="F5DADD"/>
            <w:noWrap/>
            <w:vAlign w:val="bottom"/>
            <w:hideMark/>
          </w:tcPr>
          <w:p w14:paraId="02336B36" w14:textId="77777777" w:rsidR="004A31C1" w:rsidRPr="00D92E20" w:rsidRDefault="004A31C1" w:rsidP="00161606">
            <w:pPr>
              <w:spacing w:after="0" w:line="240" w:lineRule="auto"/>
              <w:jc w:val="center"/>
              <w:rPr>
                <w:rFonts w:cs="Arial"/>
                <w:color w:val="000000"/>
                <w:sz w:val="16"/>
                <w:szCs w:val="16"/>
              </w:rPr>
            </w:pPr>
            <w:r>
              <w:rPr>
                <w:rFonts w:cs="Arial"/>
                <w:sz w:val="16"/>
                <w:szCs w:val="16"/>
              </w:rPr>
              <w:t>1. pol. 2019</w:t>
            </w:r>
          </w:p>
        </w:tc>
        <w:tc>
          <w:tcPr>
            <w:tcW w:w="709" w:type="dxa"/>
            <w:tcBorders>
              <w:top w:val="single" w:sz="4" w:space="0" w:color="auto"/>
              <w:left w:val="nil"/>
              <w:bottom w:val="single" w:sz="4" w:space="0" w:color="auto"/>
              <w:right w:val="nil"/>
            </w:tcBorders>
            <w:shd w:val="clear" w:color="000000" w:fill="F5DADD"/>
            <w:noWrap/>
            <w:vAlign w:val="bottom"/>
            <w:hideMark/>
          </w:tcPr>
          <w:p w14:paraId="09A49D0F" w14:textId="77777777" w:rsidR="004A31C1" w:rsidRPr="00D92E20" w:rsidRDefault="004A31C1" w:rsidP="00161606">
            <w:pPr>
              <w:spacing w:after="0" w:line="240" w:lineRule="auto"/>
              <w:jc w:val="center"/>
              <w:rPr>
                <w:rFonts w:cs="Arial"/>
                <w:color w:val="000000"/>
                <w:sz w:val="16"/>
                <w:szCs w:val="16"/>
              </w:rPr>
            </w:pPr>
            <w:r>
              <w:rPr>
                <w:rFonts w:cs="Arial"/>
                <w:sz w:val="16"/>
                <w:szCs w:val="16"/>
              </w:rPr>
              <w:t>1. pol. 2020</w:t>
            </w:r>
          </w:p>
        </w:tc>
        <w:tc>
          <w:tcPr>
            <w:tcW w:w="709" w:type="dxa"/>
            <w:tcBorders>
              <w:top w:val="single" w:sz="4" w:space="0" w:color="auto"/>
              <w:left w:val="nil"/>
              <w:bottom w:val="single" w:sz="4" w:space="0" w:color="auto"/>
              <w:right w:val="nil"/>
            </w:tcBorders>
            <w:shd w:val="clear" w:color="000000" w:fill="F5DADD"/>
            <w:noWrap/>
            <w:vAlign w:val="bottom"/>
            <w:hideMark/>
          </w:tcPr>
          <w:p w14:paraId="0B2A02E6" w14:textId="77777777" w:rsidR="004A31C1" w:rsidRPr="00D92E20" w:rsidRDefault="004A31C1" w:rsidP="00161606">
            <w:pPr>
              <w:spacing w:after="0" w:line="240" w:lineRule="auto"/>
              <w:jc w:val="center"/>
              <w:rPr>
                <w:rFonts w:cs="Arial"/>
                <w:color w:val="000000"/>
                <w:sz w:val="16"/>
                <w:szCs w:val="16"/>
              </w:rPr>
            </w:pPr>
            <w:r>
              <w:rPr>
                <w:rFonts w:cs="Arial"/>
                <w:sz w:val="16"/>
                <w:szCs w:val="16"/>
              </w:rPr>
              <w:t>1. pol. 2021</w:t>
            </w:r>
          </w:p>
        </w:tc>
      </w:tr>
      <w:tr w:rsidR="004A31C1" w:rsidRPr="00D92E20" w14:paraId="1FD7C5C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A2E71A" w14:textId="77777777" w:rsidR="004A31C1" w:rsidRPr="00D92E20" w:rsidRDefault="004A31C1" w:rsidP="00161606">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7E88A14A"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42,8</w:t>
            </w:r>
          </w:p>
        </w:tc>
        <w:tc>
          <w:tcPr>
            <w:tcW w:w="709" w:type="dxa"/>
            <w:tcBorders>
              <w:top w:val="nil"/>
              <w:left w:val="nil"/>
              <w:bottom w:val="nil"/>
              <w:right w:val="nil"/>
            </w:tcBorders>
            <w:shd w:val="clear" w:color="auto" w:fill="auto"/>
            <w:noWrap/>
            <w:vAlign w:val="center"/>
            <w:hideMark/>
          </w:tcPr>
          <w:p w14:paraId="5AA093B6"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47,7</w:t>
            </w:r>
          </w:p>
        </w:tc>
        <w:tc>
          <w:tcPr>
            <w:tcW w:w="709" w:type="dxa"/>
            <w:tcBorders>
              <w:top w:val="nil"/>
              <w:left w:val="nil"/>
              <w:bottom w:val="nil"/>
              <w:right w:val="nil"/>
            </w:tcBorders>
            <w:shd w:val="clear" w:color="auto" w:fill="auto"/>
            <w:noWrap/>
            <w:vAlign w:val="center"/>
            <w:hideMark/>
          </w:tcPr>
          <w:p w14:paraId="5D4F8276"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42,2</w:t>
            </w:r>
          </w:p>
        </w:tc>
        <w:tc>
          <w:tcPr>
            <w:tcW w:w="709" w:type="dxa"/>
            <w:tcBorders>
              <w:top w:val="nil"/>
              <w:left w:val="nil"/>
              <w:bottom w:val="nil"/>
              <w:right w:val="nil"/>
            </w:tcBorders>
            <w:shd w:val="clear" w:color="auto" w:fill="auto"/>
            <w:noWrap/>
            <w:vAlign w:val="center"/>
            <w:hideMark/>
          </w:tcPr>
          <w:p w14:paraId="4E4CBE6F"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45,9</w:t>
            </w:r>
          </w:p>
        </w:tc>
        <w:tc>
          <w:tcPr>
            <w:tcW w:w="709" w:type="dxa"/>
            <w:tcBorders>
              <w:top w:val="nil"/>
              <w:left w:val="nil"/>
              <w:bottom w:val="nil"/>
              <w:right w:val="nil"/>
            </w:tcBorders>
            <w:shd w:val="clear" w:color="auto" w:fill="auto"/>
            <w:noWrap/>
            <w:vAlign w:val="center"/>
            <w:hideMark/>
          </w:tcPr>
          <w:p w14:paraId="713292CB"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40,1</w:t>
            </w:r>
          </w:p>
        </w:tc>
        <w:tc>
          <w:tcPr>
            <w:tcW w:w="709" w:type="dxa"/>
            <w:tcBorders>
              <w:top w:val="nil"/>
              <w:left w:val="nil"/>
              <w:bottom w:val="nil"/>
              <w:right w:val="nil"/>
            </w:tcBorders>
            <w:shd w:val="clear" w:color="auto" w:fill="auto"/>
            <w:noWrap/>
            <w:vAlign w:val="center"/>
            <w:hideMark/>
          </w:tcPr>
          <w:p w14:paraId="3C367A38"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42,0</w:t>
            </w:r>
          </w:p>
        </w:tc>
        <w:tc>
          <w:tcPr>
            <w:tcW w:w="709" w:type="dxa"/>
            <w:tcBorders>
              <w:top w:val="nil"/>
              <w:left w:val="nil"/>
              <w:bottom w:val="nil"/>
              <w:right w:val="nil"/>
            </w:tcBorders>
            <w:shd w:val="clear" w:color="auto" w:fill="auto"/>
            <w:noWrap/>
            <w:vAlign w:val="center"/>
            <w:hideMark/>
          </w:tcPr>
          <w:p w14:paraId="10FB9595" w14:textId="77777777" w:rsidR="004A31C1" w:rsidRPr="00D92E20" w:rsidRDefault="004A31C1" w:rsidP="00161606">
            <w:pPr>
              <w:spacing w:after="0" w:line="240" w:lineRule="auto"/>
              <w:jc w:val="center"/>
              <w:rPr>
                <w:rFonts w:cs="Arial"/>
                <w:b/>
                <w:bCs/>
                <w:color w:val="000000"/>
                <w:sz w:val="16"/>
                <w:szCs w:val="16"/>
              </w:rPr>
            </w:pPr>
            <w:r>
              <w:rPr>
                <w:rFonts w:cs="Arial"/>
                <w:b/>
                <w:bCs/>
                <w:sz w:val="16"/>
                <w:szCs w:val="16"/>
              </w:rPr>
              <w:t>41,0</w:t>
            </w:r>
          </w:p>
        </w:tc>
        <w:tc>
          <w:tcPr>
            <w:tcW w:w="709" w:type="dxa"/>
            <w:tcBorders>
              <w:top w:val="nil"/>
              <w:left w:val="nil"/>
              <w:bottom w:val="nil"/>
              <w:right w:val="nil"/>
            </w:tcBorders>
            <w:shd w:val="clear" w:color="auto" w:fill="auto"/>
            <w:noWrap/>
            <w:vAlign w:val="center"/>
            <w:hideMark/>
          </w:tcPr>
          <w:p w14:paraId="1EA62370" w14:textId="77777777" w:rsidR="004A31C1" w:rsidRPr="00D92E20" w:rsidRDefault="004A31C1" w:rsidP="00161606">
            <w:pPr>
              <w:spacing w:after="0" w:line="240" w:lineRule="auto"/>
              <w:jc w:val="center"/>
              <w:rPr>
                <w:rFonts w:cs="Arial"/>
                <w:b/>
                <w:bCs/>
                <w:color w:val="000000"/>
                <w:sz w:val="16"/>
                <w:szCs w:val="16"/>
              </w:rPr>
            </w:pPr>
            <w:r>
              <w:rPr>
                <w:rFonts w:cs="Arial"/>
                <w:b/>
                <w:bCs/>
                <w:color w:val="000000"/>
                <w:sz w:val="16"/>
                <w:szCs w:val="16"/>
              </w:rPr>
              <w:t>39,1</w:t>
            </w:r>
          </w:p>
        </w:tc>
        <w:tc>
          <w:tcPr>
            <w:tcW w:w="709" w:type="dxa"/>
            <w:tcBorders>
              <w:top w:val="nil"/>
              <w:left w:val="nil"/>
              <w:bottom w:val="nil"/>
              <w:right w:val="nil"/>
            </w:tcBorders>
            <w:shd w:val="clear" w:color="auto" w:fill="auto"/>
            <w:noWrap/>
            <w:vAlign w:val="center"/>
            <w:hideMark/>
          </w:tcPr>
          <w:p w14:paraId="66AA3CE7" w14:textId="77777777" w:rsidR="004A31C1" w:rsidRPr="00D92E20" w:rsidRDefault="004A31C1" w:rsidP="00161606">
            <w:pPr>
              <w:spacing w:after="0" w:line="240" w:lineRule="auto"/>
              <w:jc w:val="center"/>
              <w:rPr>
                <w:rFonts w:cs="Arial"/>
                <w:b/>
                <w:bCs/>
                <w:color w:val="000000"/>
                <w:sz w:val="16"/>
                <w:szCs w:val="16"/>
              </w:rPr>
            </w:pPr>
            <w:r>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2BEF531E" w14:textId="77777777" w:rsidR="004A31C1" w:rsidRPr="00D92E20" w:rsidRDefault="004A31C1" w:rsidP="00161606">
            <w:pPr>
              <w:spacing w:after="0" w:line="240" w:lineRule="auto"/>
              <w:jc w:val="center"/>
              <w:rPr>
                <w:rFonts w:cs="Arial"/>
                <w:b/>
                <w:bCs/>
                <w:color w:val="000000"/>
                <w:sz w:val="16"/>
                <w:szCs w:val="16"/>
              </w:rPr>
            </w:pPr>
            <w:r>
              <w:rPr>
                <w:rFonts w:cs="Arial"/>
                <w:b/>
                <w:bCs/>
                <w:color w:val="000000"/>
                <w:sz w:val="16"/>
                <w:szCs w:val="16"/>
              </w:rPr>
              <w:t>44,3</w:t>
            </w:r>
          </w:p>
        </w:tc>
        <w:tc>
          <w:tcPr>
            <w:tcW w:w="709" w:type="dxa"/>
            <w:tcBorders>
              <w:top w:val="nil"/>
              <w:left w:val="nil"/>
              <w:bottom w:val="nil"/>
              <w:right w:val="nil"/>
            </w:tcBorders>
            <w:shd w:val="clear" w:color="auto" w:fill="auto"/>
            <w:noWrap/>
            <w:vAlign w:val="center"/>
            <w:hideMark/>
          </w:tcPr>
          <w:p w14:paraId="175480A4" w14:textId="77777777" w:rsidR="004A31C1" w:rsidRPr="00D92E20" w:rsidRDefault="004A31C1" w:rsidP="00161606">
            <w:pPr>
              <w:spacing w:after="0" w:line="240" w:lineRule="auto"/>
              <w:jc w:val="center"/>
              <w:rPr>
                <w:rFonts w:cs="Arial"/>
                <w:b/>
                <w:bCs/>
                <w:color w:val="000000"/>
                <w:sz w:val="16"/>
                <w:szCs w:val="16"/>
              </w:rPr>
            </w:pPr>
            <w:r>
              <w:rPr>
                <w:rFonts w:cs="Arial"/>
                <w:b/>
                <w:bCs/>
                <w:color w:val="000000"/>
                <w:sz w:val="16"/>
                <w:szCs w:val="16"/>
              </w:rPr>
              <w:t>36,3</w:t>
            </w:r>
          </w:p>
        </w:tc>
      </w:tr>
      <w:tr w:rsidR="004A31C1" w:rsidRPr="00D92E20" w14:paraId="20CA713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3CB57F5"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AFA24BA" w14:textId="77777777" w:rsidR="004A31C1" w:rsidRPr="00D92E20" w:rsidRDefault="004A31C1" w:rsidP="00161606">
            <w:pPr>
              <w:spacing w:after="0" w:line="240" w:lineRule="auto"/>
              <w:jc w:val="center"/>
              <w:rPr>
                <w:rFonts w:cs="Arial"/>
                <w:color w:val="000000"/>
                <w:sz w:val="16"/>
                <w:szCs w:val="16"/>
              </w:rPr>
            </w:pPr>
            <w:r>
              <w:rPr>
                <w:rFonts w:cs="Arial"/>
                <w:sz w:val="16"/>
                <w:szCs w:val="16"/>
              </w:rPr>
              <w:t>36,2</w:t>
            </w:r>
          </w:p>
        </w:tc>
        <w:tc>
          <w:tcPr>
            <w:tcW w:w="709" w:type="dxa"/>
            <w:tcBorders>
              <w:top w:val="nil"/>
              <w:left w:val="nil"/>
              <w:bottom w:val="nil"/>
              <w:right w:val="nil"/>
            </w:tcBorders>
            <w:shd w:val="clear" w:color="auto" w:fill="auto"/>
            <w:noWrap/>
            <w:vAlign w:val="center"/>
            <w:hideMark/>
          </w:tcPr>
          <w:p w14:paraId="095FBB6E"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42,4</w:t>
            </w:r>
          </w:p>
        </w:tc>
        <w:tc>
          <w:tcPr>
            <w:tcW w:w="709" w:type="dxa"/>
            <w:tcBorders>
              <w:top w:val="nil"/>
              <w:left w:val="nil"/>
              <w:bottom w:val="nil"/>
              <w:right w:val="nil"/>
            </w:tcBorders>
            <w:shd w:val="clear" w:color="auto" w:fill="auto"/>
            <w:noWrap/>
            <w:vAlign w:val="center"/>
            <w:hideMark/>
          </w:tcPr>
          <w:p w14:paraId="38A625DB"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37,4</w:t>
            </w:r>
          </w:p>
        </w:tc>
        <w:tc>
          <w:tcPr>
            <w:tcW w:w="709" w:type="dxa"/>
            <w:tcBorders>
              <w:top w:val="nil"/>
              <w:left w:val="nil"/>
              <w:bottom w:val="nil"/>
              <w:right w:val="nil"/>
            </w:tcBorders>
            <w:shd w:val="clear" w:color="auto" w:fill="auto"/>
            <w:noWrap/>
            <w:vAlign w:val="center"/>
            <w:hideMark/>
          </w:tcPr>
          <w:p w14:paraId="5907138E"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7F8615FC" w14:textId="77777777" w:rsidR="004A31C1" w:rsidRPr="00D92E20" w:rsidRDefault="004A31C1" w:rsidP="00161606">
            <w:pPr>
              <w:spacing w:after="0" w:line="240" w:lineRule="auto"/>
              <w:jc w:val="center"/>
              <w:rPr>
                <w:rFonts w:cs="Arial"/>
                <w:color w:val="000000"/>
                <w:sz w:val="16"/>
                <w:szCs w:val="16"/>
              </w:rPr>
            </w:pPr>
            <w:r>
              <w:rPr>
                <w:rFonts w:cs="Arial"/>
                <w:sz w:val="16"/>
                <w:szCs w:val="16"/>
              </w:rPr>
              <w:t>36,5</w:t>
            </w:r>
          </w:p>
        </w:tc>
        <w:tc>
          <w:tcPr>
            <w:tcW w:w="709" w:type="dxa"/>
            <w:tcBorders>
              <w:top w:val="nil"/>
              <w:left w:val="nil"/>
              <w:bottom w:val="nil"/>
              <w:right w:val="nil"/>
            </w:tcBorders>
            <w:shd w:val="clear" w:color="auto" w:fill="auto"/>
            <w:noWrap/>
            <w:vAlign w:val="center"/>
            <w:hideMark/>
          </w:tcPr>
          <w:p w14:paraId="560657DC"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37,3</w:t>
            </w:r>
          </w:p>
        </w:tc>
        <w:tc>
          <w:tcPr>
            <w:tcW w:w="709" w:type="dxa"/>
            <w:tcBorders>
              <w:top w:val="nil"/>
              <w:left w:val="nil"/>
              <w:bottom w:val="nil"/>
              <w:right w:val="nil"/>
            </w:tcBorders>
            <w:shd w:val="clear" w:color="auto" w:fill="auto"/>
            <w:noWrap/>
            <w:vAlign w:val="center"/>
            <w:hideMark/>
          </w:tcPr>
          <w:p w14:paraId="4C6581BE"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37,2</w:t>
            </w:r>
          </w:p>
        </w:tc>
        <w:tc>
          <w:tcPr>
            <w:tcW w:w="709" w:type="dxa"/>
            <w:tcBorders>
              <w:top w:val="nil"/>
              <w:left w:val="nil"/>
              <w:bottom w:val="nil"/>
              <w:right w:val="nil"/>
            </w:tcBorders>
            <w:shd w:val="clear" w:color="auto" w:fill="auto"/>
            <w:noWrap/>
            <w:vAlign w:val="center"/>
            <w:hideMark/>
          </w:tcPr>
          <w:p w14:paraId="6D2F224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36,7</w:t>
            </w:r>
          </w:p>
        </w:tc>
        <w:tc>
          <w:tcPr>
            <w:tcW w:w="709" w:type="dxa"/>
            <w:tcBorders>
              <w:top w:val="nil"/>
              <w:left w:val="nil"/>
              <w:bottom w:val="nil"/>
              <w:right w:val="nil"/>
            </w:tcBorders>
            <w:shd w:val="clear" w:color="auto" w:fill="auto"/>
            <w:noWrap/>
            <w:vAlign w:val="center"/>
            <w:hideMark/>
          </w:tcPr>
          <w:p w14:paraId="4443BA5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39,5</w:t>
            </w:r>
          </w:p>
        </w:tc>
        <w:tc>
          <w:tcPr>
            <w:tcW w:w="709" w:type="dxa"/>
            <w:tcBorders>
              <w:top w:val="nil"/>
              <w:left w:val="nil"/>
              <w:bottom w:val="nil"/>
              <w:right w:val="nil"/>
            </w:tcBorders>
            <w:shd w:val="clear" w:color="auto" w:fill="auto"/>
            <w:noWrap/>
            <w:vAlign w:val="center"/>
            <w:hideMark/>
          </w:tcPr>
          <w:p w14:paraId="75516C41"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4FB2FE16"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35,8</w:t>
            </w:r>
          </w:p>
        </w:tc>
      </w:tr>
      <w:tr w:rsidR="004A31C1" w:rsidRPr="00D92E20" w14:paraId="02BA9F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16692BE"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2718403E"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41,3</w:t>
            </w:r>
          </w:p>
        </w:tc>
        <w:tc>
          <w:tcPr>
            <w:tcW w:w="709" w:type="dxa"/>
            <w:tcBorders>
              <w:top w:val="nil"/>
              <w:left w:val="nil"/>
              <w:bottom w:val="nil"/>
              <w:right w:val="nil"/>
            </w:tcBorders>
            <w:shd w:val="clear" w:color="auto" w:fill="auto"/>
            <w:noWrap/>
            <w:vAlign w:val="center"/>
            <w:hideMark/>
          </w:tcPr>
          <w:p w14:paraId="68654D5B" w14:textId="77777777" w:rsidR="004A31C1" w:rsidRPr="00D92E20" w:rsidRDefault="004A31C1" w:rsidP="00161606">
            <w:pPr>
              <w:spacing w:after="0" w:line="240" w:lineRule="auto"/>
              <w:jc w:val="center"/>
              <w:rPr>
                <w:rFonts w:cs="Arial"/>
                <w:color w:val="000000"/>
                <w:sz w:val="16"/>
                <w:szCs w:val="16"/>
              </w:rPr>
            </w:pPr>
            <w:r>
              <w:rPr>
                <w:rFonts w:cs="Arial"/>
                <w:sz w:val="16"/>
                <w:szCs w:val="16"/>
              </w:rPr>
              <w:t>46,5</w:t>
            </w:r>
          </w:p>
        </w:tc>
        <w:tc>
          <w:tcPr>
            <w:tcW w:w="709" w:type="dxa"/>
            <w:tcBorders>
              <w:top w:val="nil"/>
              <w:left w:val="nil"/>
              <w:bottom w:val="nil"/>
              <w:right w:val="nil"/>
            </w:tcBorders>
            <w:shd w:val="clear" w:color="auto" w:fill="auto"/>
            <w:noWrap/>
            <w:vAlign w:val="center"/>
            <w:hideMark/>
          </w:tcPr>
          <w:p w14:paraId="11559D2A"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40,3</w:t>
            </w:r>
          </w:p>
        </w:tc>
        <w:tc>
          <w:tcPr>
            <w:tcW w:w="709" w:type="dxa"/>
            <w:tcBorders>
              <w:top w:val="nil"/>
              <w:left w:val="nil"/>
              <w:bottom w:val="nil"/>
              <w:right w:val="nil"/>
            </w:tcBorders>
            <w:shd w:val="clear" w:color="auto" w:fill="auto"/>
            <w:noWrap/>
            <w:vAlign w:val="center"/>
            <w:hideMark/>
          </w:tcPr>
          <w:p w14:paraId="1C7B0676"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43,3</w:t>
            </w:r>
          </w:p>
        </w:tc>
        <w:tc>
          <w:tcPr>
            <w:tcW w:w="709" w:type="dxa"/>
            <w:tcBorders>
              <w:top w:val="nil"/>
              <w:left w:val="nil"/>
              <w:bottom w:val="nil"/>
              <w:right w:val="nil"/>
            </w:tcBorders>
            <w:shd w:val="clear" w:color="auto" w:fill="auto"/>
            <w:noWrap/>
            <w:vAlign w:val="center"/>
            <w:hideMark/>
          </w:tcPr>
          <w:p w14:paraId="36B3AB2B"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38,3</w:t>
            </w:r>
          </w:p>
        </w:tc>
        <w:tc>
          <w:tcPr>
            <w:tcW w:w="709" w:type="dxa"/>
            <w:tcBorders>
              <w:top w:val="nil"/>
              <w:left w:val="nil"/>
              <w:bottom w:val="nil"/>
              <w:right w:val="nil"/>
            </w:tcBorders>
            <w:shd w:val="clear" w:color="auto" w:fill="auto"/>
            <w:noWrap/>
            <w:vAlign w:val="center"/>
            <w:hideMark/>
          </w:tcPr>
          <w:p w14:paraId="25BA6358" w14:textId="77777777" w:rsidR="004A31C1" w:rsidRPr="00D92E20" w:rsidRDefault="004A31C1" w:rsidP="00161606">
            <w:pPr>
              <w:spacing w:after="0" w:line="240" w:lineRule="auto"/>
              <w:jc w:val="center"/>
              <w:rPr>
                <w:rFonts w:cs="Arial"/>
                <w:color w:val="000000"/>
                <w:sz w:val="16"/>
                <w:szCs w:val="16"/>
              </w:rPr>
            </w:pPr>
            <w:r>
              <w:rPr>
                <w:rFonts w:cs="Arial"/>
                <w:sz w:val="16"/>
                <w:szCs w:val="16"/>
              </w:rPr>
              <w:t>39,3</w:t>
            </w:r>
          </w:p>
        </w:tc>
        <w:tc>
          <w:tcPr>
            <w:tcW w:w="709" w:type="dxa"/>
            <w:tcBorders>
              <w:top w:val="nil"/>
              <w:left w:val="nil"/>
              <w:bottom w:val="nil"/>
              <w:right w:val="nil"/>
            </w:tcBorders>
            <w:shd w:val="clear" w:color="auto" w:fill="auto"/>
            <w:noWrap/>
            <w:vAlign w:val="center"/>
            <w:hideMark/>
          </w:tcPr>
          <w:p w14:paraId="7A81EED2"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38,9</w:t>
            </w:r>
          </w:p>
        </w:tc>
        <w:tc>
          <w:tcPr>
            <w:tcW w:w="709" w:type="dxa"/>
            <w:tcBorders>
              <w:top w:val="nil"/>
              <w:left w:val="nil"/>
              <w:bottom w:val="nil"/>
              <w:right w:val="nil"/>
            </w:tcBorders>
            <w:shd w:val="clear" w:color="auto" w:fill="auto"/>
            <w:noWrap/>
            <w:vAlign w:val="center"/>
            <w:hideMark/>
          </w:tcPr>
          <w:p w14:paraId="65B3F5E8"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36,8</w:t>
            </w:r>
          </w:p>
        </w:tc>
        <w:tc>
          <w:tcPr>
            <w:tcW w:w="709" w:type="dxa"/>
            <w:tcBorders>
              <w:top w:val="nil"/>
              <w:left w:val="nil"/>
              <w:bottom w:val="nil"/>
              <w:right w:val="nil"/>
            </w:tcBorders>
            <w:shd w:val="clear" w:color="auto" w:fill="auto"/>
            <w:noWrap/>
            <w:vAlign w:val="center"/>
            <w:hideMark/>
          </w:tcPr>
          <w:p w14:paraId="43EDBCCB"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27086B9"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01ED2BE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33,5</w:t>
            </w:r>
          </w:p>
        </w:tc>
      </w:tr>
      <w:tr w:rsidR="004A31C1" w:rsidRPr="00D92E20" w14:paraId="0E7046A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C85D621"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45749EA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47,6</w:t>
            </w:r>
          </w:p>
        </w:tc>
        <w:tc>
          <w:tcPr>
            <w:tcW w:w="709" w:type="dxa"/>
            <w:tcBorders>
              <w:top w:val="nil"/>
              <w:left w:val="nil"/>
              <w:bottom w:val="nil"/>
              <w:right w:val="nil"/>
            </w:tcBorders>
            <w:shd w:val="clear" w:color="auto" w:fill="auto"/>
            <w:noWrap/>
            <w:vAlign w:val="center"/>
            <w:hideMark/>
          </w:tcPr>
          <w:p w14:paraId="25F749BB" w14:textId="77777777" w:rsidR="004A31C1" w:rsidRPr="00D92E20" w:rsidRDefault="004A31C1" w:rsidP="00161606">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1AD4555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5EDAAC3E"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48,3</w:t>
            </w:r>
          </w:p>
        </w:tc>
        <w:tc>
          <w:tcPr>
            <w:tcW w:w="709" w:type="dxa"/>
            <w:tcBorders>
              <w:top w:val="nil"/>
              <w:left w:val="nil"/>
              <w:bottom w:val="nil"/>
              <w:right w:val="nil"/>
            </w:tcBorders>
            <w:shd w:val="clear" w:color="auto" w:fill="auto"/>
            <w:noWrap/>
            <w:vAlign w:val="center"/>
            <w:hideMark/>
          </w:tcPr>
          <w:p w14:paraId="060EA4DD"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41,1</w:t>
            </w:r>
          </w:p>
        </w:tc>
        <w:tc>
          <w:tcPr>
            <w:tcW w:w="709" w:type="dxa"/>
            <w:tcBorders>
              <w:top w:val="nil"/>
              <w:left w:val="nil"/>
              <w:bottom w:val="nil"/>
              <w:right w:val="nil"/>
            </w:tcBorders>
            <w:shd w:val="clear" w:color="auto" w:fill="auto"/>
            <w:noWrap/>
            <w:vAlign w:val="center"/>
            <w:hideMark/>
          </w:tcPr>
          <w:p w14:paraId="7AD759B2" w14:textId="77777777" w:rsidR="004A31C1" w:rsidRPr="00D92E20" w:rsidRDefault="004A31C1" w:rsidP="00161606">
            <w:pPr>
              <w:spacing w:after="0" w:line="240" w:lineRule="auto"/>
              <w:jc w:val="center"/>
              <w:rPr>
                <w:rFonts w:cs="Arial"/>
                <w:color w:val="000000"/>
                <w:sz w:val="16"/>
                <w:szCs w:val="16"/>
              </w:rPr>
            </w:pPr>
            <w:r>
              <w:rPr>
                <w:rFonts w:cs="Arial"/>
                <w:sz w:val="16"/>
                <w:szCs w:val="16"/>
              </w:rPr>
              <w:t>44,1</w:t>
            </w:r>
          </w:p>
        </w:tc>
        <w:tc>
          <w:tcPr>
            <w:tcW w:w="709" w:type="dxa"/>
            <w:tcBorders>
              <w:top w:val="nil"/>
              <w:left w:val="nil"/>
              <w:bottom w:val="nil"/>
              <w:right w:val="nil"/>
            </w:tcBorders>
            <w:shd w:val="clear" w:color="auto" w:fill="auto"/>
            <w:noWrap/>
            <w:vAlign w:val="center"/>
            <w:hideMark/>
          </w:tcPr>
          <w:p w14:paraId="3298F056"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42,8</w:t>
            </w:r>
          </w:p>
        </w:tc>
        <w:tc>
          <w:tcPr>
            <w:tcW w:w="709" w:type="dxa"/>
            <w:tcBorders>
              <w:top w:val="nil"/>
              <w:left w:val="nil"/>
              <w:bottom w:val="nil"/>
              <w:right w:val="nil"/>
            </w:tcBorders>
            <w:shd w:val="clear" w:color="auto" w:fill="auto"/>
            <w:noWrap/>
            <w:vAlign w:val="center"/>
            <w:hideMark/>
          </w:tcPr>
          <w:p w14:paraId="3048D1A9"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49FFFA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391ECF61"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6E069ADF"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36,6</w:t>
            </w:r>
          </w:p>
        </w:tc>
      </w:tr>
      <w:tr w:rsidR="004A31C1" w:rsidRPr="00D92E20" w14:paraId="19B374F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04539FBC"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172396B6"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38,9</w:t>
            </w:r>
          </w:p>
        </w:tc>
        <w:tc>
          <w:tcPr>
            <w:tcW w:w="709" w:type="dxa"/>
            <w:tcBorders>
              <w:top w:val="nil"/>
              <w:left w:val="nil"/>
              <w:bottom w:val="nil"/>
              <w:right w:val="nil"/>
            </w:tcBorders>
            <w:shd w:val="clear" w:color="auto" w:fill="auto"/>
            <w:noWrap/>
            <w:vAlign w:val="center"/>
            <w:hideMark/>
          </w:tcPr>
          <w:p w14:paraId="4B598C6C" w14:textId="77777777" w:rsidR="004A31C1" w:rsidRPr="00D92E20" w:rsidRDefault="004A31C1" w:rsidP="00161606">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56CEFF0"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40,0</w:t>
            </w:r>
          </w:p>
        </w:tc>
        <w:tc>
          <w:tcPr>
            <w:tcW w:w="709" w:type="dxa"/>
            <w:tcBorders>
              <w:top w:val="nil"/>
              <w:left w:val="nil"/>
              <w:bottom w:val="nil"/>
              <w:right w:val="nil"/>
            </w:tcBorders>
            <w:shd w:val="clear" w:color="auto" w:fill="auto"/>
            <w:noWrap/>
            <w:vAlign w:val="center"/>
            <w:hideMark/>
          </w:tcPr>
          <w:p w14:paraId="7F3DA8D2"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7B8269EF" w14:textId="77777777" w:rsidR="004A31C1" w:rsidRPr="00D92E20" w:rsidRDefault="004A31C1" w:rsidP="00161606">
            <w:pPr>
              <w:spacing w:after="0" w:line="240" w:lineRule="auto"/>
              <w:jc w:val="center"/>
              <w:rPr>
                <w:rFonts w:cs="Arial"/>
                <w:color w:val="000000"/>
                <w:sz w:val="16"/>
                <w:szCs w:val="16"/>
              </w:rPr>
            </w:pPr>
            <w:r>
              <w:rPr>
                <w:rFonts w:cs="Arial"/>
                <w:sz w:val="16"/>
                <w:szCs w:val="16"/>
              </w:rPr>
              <w:t>36,6</w:t>
            </w:r>
          </w:p>
        </w:tc>
        <w:tc>
          <w:tcPr>
            <w:tcW w:w="709" w:type="dxa"/>
            <w:tcBorders>
              <w:top w:val="nil"/>
              <w:left w:val="nil"/>
              <w:bottom w:val="nil"/>
              <w:right w:val="nil"/>
            </w:tcBorders>
            <w:shd w:val="clear" w:color="auto" w:fill="auto"/>
            <w:noWrap/>
            <w:vAlign w:val="center"/>
            <w:hideMark/>
          </w:tcPr>
          <w:p w14:paraId="5526FA85" w14:textId="77777777" w:rsidR="004A31C1" w:rsidRPr="00D92E20" w:rsidRDefault="004A31C1" w:rsidP="00161606">
            <w:pPr>
              <w:spacing w:after="0" w:line="240" w:lineRule="auto"/>
              <w:jc w:val="center"/>
              <w:rPr>
                <w:rFonts w:cs="Arial"/>
                <w:color w:val="000000"/>
                <w:sz w:val="16"/>
                <w:szCs w:val="16"/>
              </w:rPr>
            </w:pPr>
            <w:r>
              <w:rPr>
                <w:rFonts w:cs="Arial"/>
                <w:sz w:val="16"/>
                <w:szCs w:val="16"/>
              </w:rPr>
              <w:t>39,1</w:t>
            </w:r>
          </w:p>
        </w:tc>
        <w:tc>
          <w:tcPr>
            <w:tcW w:w="709" w:type="dxa"/>
            <w:tcBorders>
              <w:top w:val="nil"/>
              <w:left w:val="nil"/>
              <w:bottom w:val="nil"/>
              <w:right w:val="nil"/>
            </w:tcBorders>
            <w:shd w:val="clear" w:color="auto" w:fill="auto"/>
            <w:noWrap/>
            <w:vAlign w:val="center"/>
            <w:hideMark/>
          </w:tcPr>
          <w:p w14:paraId="5365B488"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37,6</w:t>
            </w:r>
          </w:p>
        </w:tc>
        <w:tc>
          <w:tcPr>
            <w:tcW w:w="709" w:type="dxa"/>
            <w:tcBorders>
              <w:top w:val="nil"/>
              <w:left w:val="nil"/>
              <w:bottom w:val="nil"/>
              <w:right w:val="nil"/>
            </w:tcBorders>
            <w:shd w:val="clear" w:color="auto" w:fill="auto"/>
            <w:noWrap/>
            <w:vAlign w:val="center"/>
            <w:hideMark/>
          </w:tcPr>
          <w:p w14:paraId="7FCB94A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35,7</w:t>
            </w:r>
          </w:p>
        </w:tc>
        <w:tc>
          <w:tcPr>
            <w:tcW w:w="709" w:type="dxa"/>
            <w:tcBorders>
              <w:top w:val="nil"/>
              <w:left w:val="nil"/>
              <w:bottom w:val="nil"/>
              <w:right w:val="nil"/>
            </w:tcBorders>
            <w:shd w:val="clear" w:color="auto" w:fill="auto"/>
            <w:noWrap/>
            <w:vAlign w:val="center"/>
            <w:hideMark/>
          </w:tcPr>
          <w:p w14:paraId="4013B7CB"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4F7EC5D4"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4D78431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33,8</w:t>
            </w:r>
          </w:p>
        </w:tc>
      </w:tr>
      <w:tr w:rsidR="004A31C1" w:rsidRPr="00D92E20" w14:paraId="7AC7BFB6"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149C1CBA"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4406C6FD"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37,2</w:t>
            </w:r>
          </w:p>
        </w:tc>
        <w:tc>
          <w:tcPr>
            <w:tcW w:w="709" w:type="dxa"/>
            <w:tcBorders>
              <w:top w:val="nil"/>
              <w:left w:val="nil"/>
              <w:bottom w:val="nil"/>
              <w:right w:val="nil"/>
            </w:tcBorders>
            <w:shd w:val="clear" w:color="auto" w:fill="auto"/>
            <w:noWrap/>
            <w:vAlign w:val="center"/>
            <w:hideMark/>
          </w:tcPr>
          <w:p w14:paraId="530CB352"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41,9</w:t>
            </w:r>
          </w:p>
        </w:tc>
        <w:tc>
          <w:tcPr>
            <w:tcW w:w="709" w:type="dxa"/>
            <w:tcBorders>
              <w:top w:val="nil"/>
              <w:left w:val="nil"/>
              <w:bottom w:val="nil"/>
              <w:right w:val="nil"/>
            </w:tcBorders>
            <w:shd w:val="clear" w:color="auto" w:fill="auto"/>
            <w:noWrap/>
            <w:vAlign w:val="center"/>
            <w:hideMark/>
          </w:tcPr>
          <w:p w14:paraId="294841B5"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540D8C54"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41,2</w:t>
            </w:r>
          </w:p>
        </w:tc>
        <w:tc>
          <w:tcPr>
            <w:tcW w:w="709" w:type="dxa"/>
            <w:tcBorders>
              <w:top w:val="nil"/>
              <w:left w:val="nil"/>
              <w:bottom w:val="nil"/>
              <w:right w:val="nil"/>
            </w:tcBorders>
            <w:shd w:val="clear" w:color="auto" w:fill="auto"/>
            <w:noWrap/>
            <w:vAlign w:val="center"/>
            <w:hideMark/>
          </w:tcPr>
          <w:p w14:paraId="26CD489C" w14:textId="77777777" w:rsidR="004A31C1" w:rsidRPr="00D92E20" w:rsidRDefault="004A31C1" w:rsidP="00161606">
            <w:pPr>
              <w:spacing w:after="0" w:line="240" w:lineRule="auto"/>
              <w:jc w:val="center"/>
              <w:rPr>
                <w:rFonts w:cs="Arial"/>
                <w:color w:val="000000"/>
                <w:sz w:val="16"/>
                <w:szCs w:val="16"/>
              </w:rPr>
            </w:pPr>
            <w:r>
              <w:rPr>
                <w:rFonts w:cs="Arial"/>
                <w:sz w:val="16"/>
                <w:szCs w:val="16"/>
              </w:rPr>
              <w:t>36,8</w:t>
            </w:r>
          </w:p>
        </w:tc>
        <w:tc>
          <w:tcPr>
            <w:tcW w:w="709" w:type="dxa"/>
            <w:tcBorders>
              <w:top w:val="nil"/>
              <w:left w:val="nil"/>
              <w:bottom w:val="nil"/>
              <w:right w:val="nil"/>
            </w:tcBorders>
            <w:shd w:val="clear" w:color="auto" w:fill="auto"/>
            <w:noWrap/>
            <w:vAlign w:val="center"/>
            <w:hideMark/>
          </w:tcPr>
          <w:p w14:paraId="2C675733"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38,7</w:t>
            </w:r>
          </w:p>
        </w:tc>
        <w:tc>
          <w:tcPr>
            <w:tcW w:w="709" w:type="dxa"/>
            <w:tcBorders>
              <w:top w:val="nil"/>
              <w:left w:val="nil"/>
              <w:bottom w:val="nil"/>
              <w:right w:val="nil"/>
            </w:tcBorders>
            <w:shd w:val="clear" w:color="auto" w:fill="auto"/>
            <w:noWrap/>
            <w:vAlign w:val="center"/>
            <w:hideMark/>
          </w:tcPr>
          <w:p w14:paraId="138900CB"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37,5</w:t>
            </w:r>
          </w:p>
        </w:tc>
        <w:tc>
          <w:tcPr>
            <w:tcW w:w="709" w:type="dxa"/>
            <w:tcBorders>
              <w:top w:val="nil"/>
              <w:left w:val="nil"/>
              <w:bottom w:val="nil"/>
              <w:right w:val="nil"/>
            </w:tcBorders>
            <w:shd w:val="clear" w:color="auto" w:fill="auto"/>
            <w:noWrap/>
            <w:vAlign w:val="center"/>
            <w:hideMark/>
          </w:tcPr>
          <w:p w14:paraId="09F0273E"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5D1E318A"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A5F67E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6922E568"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35,6</w:t>
            </w:r>
          </w:p>
        </w:tc>
      </w:tr>
      <w:tr w:rsidR="004A31C1" w:rsidRPr="00D92E20" w14:paraId="1E82042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5C12AFC3"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53EDB56A"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42,1</w:t>
            </w:r>
          </w:p>
        </w:tc>
        <w:tc>
          <w:tcPr>
            <w:tcW w:w="709" w:type="dxa"/>
            <w:tcBorders>
              <w:top w:val="nil"/>
              <w:left w:val="nil"/>
              <w:bottom w:val="nil"/>
              <w:right w:val="nil"/>
            </w:tcBorders>
            <w:shd w:val="clear" w:color="auto" w:fill="auto"/>
            <w:noWrap/>
            <w:vAlign w:val="center"/>
            <w:hideMark/>
          </w:tcPr>
          <w:p w14:paraId="61557AB9" w14:textId="77777777" w:rsidR="004A31C1" w:rsidRPr="00D92E20" w:rsidRDefault="004A31C1" w:rsidP="00161606">
            <w:pPr>
              <w:spacing w:after="0" w:line="240" w:lineRule="auto"/>
              <w:jc w:val="center"/>
              <w:rPr>
                <w:rFonts w:cs="Arial"/>
                <w:color w:val="000000"/>
                <w:sz w:val="16"/>
                <w:szCs w:val="16"/>
              </w:rPr>
            </w:pPr>
            <w:r>
              <w:rPr>
                <w:rFonts w:cs="Arial"/>
                <w:sz w:val="16"/>
                <w:szCs w:val="16"/>
              </w:rPr>
              <w:t>50,4</w:t>
            </w:r>
          </w:p>
        </w:tc>
        <w:tc>
          <w:tcPr>
            <w:tcW w:w="709" w:type="dxa"/>
            <w:tcBorders>
              <w:top w:val="nil"/>
              <w:left w:val="nil"/>
              <w:bottom w:val="nil"/>
              <w:right w:val="nil"/>
            </w:tcBorders>
            <w:shd w:val="clear" w:color="auto" w:fill="auto"/>
            <w:noWrap/>
            <w:vAlign w:val="center"/>
            <w:hideMark/>
          </w:tcPr>
          <w:p w14:paraId="2751F588" w14:textId="77777777" w:rsidR="004A31C1" w:rsidRPr="00D92E20" w:rsidRDefault="004A31C1" w:rsidP="00161606">
            <w:pPr>
              <w:spacing w:after="0" w:line="240" w:lineRule="auto"/>
              <w:jc w:val="center"/>
              <w:rPr>
                <w:rFonts w:cs="Arial"/>
                <w:color w:val="000000"/>
                <w:sz w:val="16"/>
                <w:szCs w:val="16"/>
              </w:rPr>
            </w:pPr>
            <w:r>
              <w:rPr>
                <w:rFonts w:cs="Arial"/>
                <w:sz w:val="16"/>
                <w:szCs w:val="16"/>
              </w:rPr>
              <w:t>44,8</w:t>
            </w:r>
          </w:p>
        </w:tc>
        <w:tc>
          <w:tcPr>
            <w:tcW w:w="709" w:type="dxa"/>
            <w:tcBorders>
              <w:top w:val="nil"/>
              <w:left w:val="nil"/>
              <w:bottom w:val="nil"/>
              <w:right w:val="nil"/>
            </w:tcBorders>
            <w:shd w:val="clear" w:color="auto" w:fill="auto"/>
            <w:noWrap/>
            <w:vAlign w:val="center"/>
            <w:hideMark/>
          </w:tcPr>
          <w:p w14:paraId="0E453295"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0FB23F3F"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44310171"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271136AD"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41,7</w:t>
            </w:r>
          </w:p>
        </w:tc>
        <w:tc>
          <w:tcPr>
            <w:tcW w:w="709" w:type="dxa"/>
            <w:tcBorders>
              <w:top w:val="nil"/>
              <w:left w:val="nil"/>
              <w:bottom w:val="nil"/>
              <w:right w:val="nil"/>
            </w:tcBorders>
            <w:shd w:val="clear" w:color="auto" w:fill="auto"/>
            <w:noWrap/>
            <w:vAlign w:val="center"/>
            <w:hideMark/>
          </w:tcPr>
          <w:p w14:paraId="5A6B5088"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1FD4865"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4CCF4679"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46CF6C7E"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34,8</w:t>
            </w:r>
          </w:p>
        </w:tc>
      </w:tr>
      <w:tr w:rsidR="004A31C1" w:rsidRPr="00D92E20" w14:paraId="72DD9458"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CE51E1B"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CC0F3E1"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42,7</w:t>
            </w:r>
          </w:p>
        </w:tc>
        <w:tc>
          <w:tcPr>
            <w:tcW w:w="709" w:type="dxa"/>
            <w:tcBorders>
              <w:top w:val="nil"/>
              <w:left w:val="nil"/>
              <w:bottom w:val="nil"/>
              <w:right w:val="nil"/>
            </w:tcBorders>
            <w:shd w:val="clear" w:color="auto" w:fill="auto"/>
            <w:noWrap/>
            <w:vAlign w:val="center"/>
            <w:hideMark/>
          </w:tcPr>
          <w:p w14:paraId="11590B88"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47,3</w:t>
            </w:r>
          </w:p>
        </w:tc>
        <w:tc>
          <w:tcPr>
            <w:tcW w:w="709" w:type="dxa"/>
            <w:tcBorders>
              <w:top w:val="nil"/>
              <w:left w:val="nil"/>
              <w:bottom w:val="nil"/>
              <w:right w:val="nil"/>
            </w:tcBorders>
            <w:shd w:val="clear" w:color="auto" w:fill="auto"/>
            <w:noWrap/>
            <w:vAlign w:val="center"/>
            <w:hideMark/>
          </w:tcPr>
          <w:p w14:paraId="201C1F9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40,2</w:t>
            </w:r>
          </w:p>
        </w:tc>
        <w:tc>
          <w:tcPr>
            <w:tcW w:w="709" w:type="dxa"/>
            <w:tcBorders>
              <w:top w:val="nil"/>
              <w:left w:val="nil"/>
              <w:bottom w:val="nil"/>
              <w:right w:val="nil"/>
            </w:tcBorders>
            <w:shd w:val="clear" w:color="auto" w:fill="auto"/>
            <w:noWrap/>
            <w:vAlign w:val="center"/>
            <w:hideMark/>
          </w:tcPr>
          <w:p w14:paraId="71F40299"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43,2</w:t>
            </w:r>
          </w:p>
        </w:tc>
        <w:tc>
          <w:tcPr>
            <w:tcW w:w="709" w:type="dxa"/>
            <w:tcBorders>
              <w:top w:val="nil"/>
              <w:left w:val="nil"/>
              <w:bottom w:val="nil"/>
              <w:right w:val="nil"/>
            </w:tcBorders>
            <w:shd w:val="clear" w:color="auto" w:fill="auto"/>
            <w:noWrap/>
            <w:vAlign w:val="center"/>
            <w:hideMark/>
          </w:tcPr>
          <w:p w14:paraId="39148A43"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64090EB8"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38,5</w:t>
            </w:r>
          </w:p>
        </w:tc>
        <w:tc>
          <w:tcPr>
            <w:tcW w:w="709" w:type="dxa"/>
            <w:tcBorders>
              <w:top w:val="nil"/>
              <w:left w:val="nil"/>
              <w:bottom w:val="nil"/>
              <w:right w:val="nil"/>
            </w:tcBorders>
            <w:shd w:val="clear" w:color="auto" w:fill="auto"/>
            <w:noWrap/>
            <w:vAlign w:val="center"/>
            <w:hideMark/>
          </w:tcPr>
          <w:p w14:paraId="4A8695A4" w14:textId="77777777" w:rsidR="004A31C1" w:rsidRPr="00D92E20" w:rsidRDefault="004A31C1" w:rsidP="00161606">
            <w:pPr>
              <w:spacing w:after="0" w:line="240" w:lineRule="auto"/>
              <w:jc w:val="center"/>
              <w:rPr>
                <w:rFonts w:cs="Arial"/>
                <w:color w:val="000000"/>
                <w:sz w:val="16"/>
                <w:szCs w:val="16"/>
              </w:rPr>
            </w:pPr>
            <w:r>
              <w:rPr>
                <w:rFonts w:cs="Arial"/>
                <w:sz w:val="16"/>
                <w:szCs w:val="16"/>
              </w:rPr>
              <w:t>37,8</w:t>
            </w:r>
          </w:p>
        </w:tc>
        <w:tc>
          <w:tcPr>
            <w:tcW w:w="709" w:type="dxa"/>
            <w:tcBorders>
              <w:top w:val="nil"/>
              <w:left w:val="nil"/>
              <w:bottom w:val="nil"/>
              <w:right w:val="nil"/>
            </w:tcBorders>
            <w:shd w:val="clear" w:color="auto" w:fill="auto"/>
            <w:noWrap/>
            <w:vAlign w:val="center"/>
            <w:hideMark/>
          </w:tcPr>
          <w:p w14:paraId="28278487"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35,3</w:t>
            </w:r>
          </w:p>
        </w:tc>
        <w:tc>
          <w:tcPr>
            <w:tcW w:w="709" w:type="dxa"/>
            <w:tcBorders>
              <w:top w:val="nil"/>
              <w:left w:val="nil"/>
              <w:bottom w:val="nil"/>
              <w:right w:val="nil"/>
            </w:tcBorders>
            <w:shd w:val="clear" w:color="auto" w:fill="auto"/>
            <w:noWrap/>
            <w:vAlign w:val="center"/>
            <w:hideMark/>
          </w:tcPr>
          <w:p w14:paraId="0F14019E"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D8EC45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41,2</w:t>
            </w:r>
          </w:p>
        </w:tc>
        <w:tc>
          <w:tcPr>
            <w:tcW w:w="709" w:type="dxa"/>
            <w:tcBorders>
              <w:top w:val="nil"/>
              <w:left w:val="nil"/>
              <w:bottom w:val="nil"/>
              <w:right w:val="nil"/>
            </w:tcBorders>
            <w:shd w:val="clear" w:color="auto" w:fill="auto"/>
            <w:noWrap/>
            <w:vAlign w:val="center"/>
            <w:hideMark/>
          </w:tcPr>
          <w:p w14:paraId="390E40E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32,6</w:t>
            </w:r>
          </w:p>
        </w:tc>
      </w:tr>
      <w:tr w:rsidR="004A31C1" w:rsidRPr="00D92E20" w14:paraId="021B216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3990E26A"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064ACC76"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7E927712" w14:textId="77777777" w:rsidR="004A31C1" w:rsidRPr="00D92E20" w:rsidRDefault="004A31C1" w:rsidP="00161606">
            <w:pPr>
              <w:spacing w:after="0" w:line="240" w:lineRule="auto"/>
              <w:jc w:val="center"/>
              <w:rPr>
                <w:rFonts w:cs="Arial"/>
                <w:color w:val="000000"/>
                <w:sz w:val="16"/>
                <w:szCs w:val="16"/>
              </w:rPr>
            </w:pPr>
            <w:r>
              <w:rPr>
                <w:rFonts w:cs="Arial"/>
                <w:sz w:val="16"/>
                <w:szCs w:val="16"/>
              </w:rPr>
              <w:t>45,2</w:t>
            </w:r>
          </w:p>
        </w:tc>
        <w:tc>
          <w:tcPr>
            <w:tcW w:w="709" w:type="dxa"/>
            <w:tcBorders>
              <w:top w:val="nil"/>
              <w:left w:val="nil"/>
              <w:bottom w:val="nil"/>
              <w:right w:val="nil"/>
            </w:tcBorders>
            <w:shd w:val="clear" w:color="auto" w:fill="auto"/>
            <w:noWrap/>
            <w:vAlign w:val="center"/>
            <w:hideMark/>
          </w:tcPr>
          <w:p w14:paraId="53EEF42F" w14:textId="77777777" w:rsidR="004A31C1" w:rsidRPr="00D92E20" w:rsidRDefault="004A31C1" w:rsidP="00161606">
            <w:pPr>
              <w:spacing w:after="0" w:line="240" w:lineRule="auto"/>
              <w:jc w:val="center"/>
              <w:rPr>
                <w:rFonts w:cs="Arial"/>
                <w:color w:val="000000"/>
                <w:sz w:val="16"/>
                <w:szCs w:val="16"/>
              </w:rPr>
            </w:pPr>
            <w:r>
              <w:rPr>
                <w:rFonts w:cs="Arial"/>
                <w:sz w:val="16"/>
                <w:szCs w:val="16"/>
              </w:rPr>
              <w:t>39,5</w:t>
            </w:r>
          </w:p>
        </w:tc>
        <w:tc>
          <w:tcPr>
            <w:tcW w:w="709" w:type="dxa"/>
            <w:tcBorders>
              <w:top w:val="nil"/>
              <w:left w:val="nil"/>
              <w:bottom w:val="nil"/>
              <w:right w:val="nil"/>
            </w:tcBorders>
            <w:shd w:val="clear" w:color="auto" w:fill="auto"/>
            <w:noWrap/>
            <w:vAlign w:val="center"/>
            <w:hideMark/>
          </w:tcPr>
          <w:p w14:paraId="111A98A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445EEF85"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38,4</w:t>
            </w:r>
          </w:p>
        </w:tc>
        <w:tc>
          <w:tcPr>
            <w:tcW w:w="709" w:type="dxa"/>
            <w:tcBorders>
              <w:top w:val="nil"/>
              <w:left w:val="nil"/>
              <w:bottom w:val="nil"/>
              <w:right w:val="nil"/>
            </w:tcBorders>
            <w:shd w:val="clear" w:color="auto" w:fill="auto"/>
            <w:noWrap/>
            <w:vAlign w:val="center"/>
            <w:hideMark/>
          </w:tcPr>
          <w:p w14:paraId="0917ABA5" w14:textId="77777777" w:rsidR="004A31C1" w:rsidRPr="00D92E20" w:rsidRDefault="004A31C1" w:rsidP="00161606">
            <w:pPr>
              <w:spacing w:after="0" w:line="240" w:lineRule="auto"/>
              <w:jc w:val="center"/>
              <w:rPr>
                <w:rFonts w:cs="Arial"/>
                <w:color w:val="000000"/>
                <w:sz w:val="16"/>
                <w:szCs w:val="16"/>
              </w:rPr>
            </w:pPr>
            <w:r>
              <w:rPr>
                <w:rFonts w:cs="Arial"/>
                <w:sz w:val="16"/>
                <w:szCs w:val="16"/>
              </w:rPr>
              <w:t>39,0</w:t>
            </w:r>
          </w:p>
        </w:tc>
        <w:tc>
          <w:tcPr>
            <w:tcW w:w="709" w:type="dxa"/>
            <w:tcBorders>
              <w:top w:val="nil"/>
              <w:left w:val="nil"/>
              <w:bottom w:val="nil"/>
              <w:right w:val="nil"/>
            </w:tcBorders>
            <w:shd w:val="clear" w:color="auto" w:fill="auto"/>
            <w:noWrap/>
            <w:vAlign w:val="center"/>
            <w:hideMark/>
          </w:tcPr>
          <w:p w14:paraId="6C2082C0" w14:textId="77777777" w:rsidR="004A31C1" w:rsidRPr="00D92E20" w:rsidRDefault="004A31C1" w:rsidP="00161606">
            <w:pPr>
              <w:spacing w:after="0" w:line="240" w:lineRule="auto"/>
              <w:jc w:val="center"/>
              <w:rPr>
                <w:rFonts w:cs="Arial"/>
                <w:color w:val="000000"/>
                <w:sz w:val="16"/>
                <w:szCs w:val="16"/>
              </w:rPr>
            </w:pPr>
            <w:r>
              <w:rPr>
                <w:rFonts w:cs="Arial"/>
                <w:sz w:val="16"/>
                <w:szCs w:val="16"/>
              </w:rPr>
              <w:t>38,2</w:t>
            </w:r>
          </w:p>
        </w:tc>
        <w:tc>
          <w:tcPr>
            <w:tcW w:w="709" w:type="dxa"/>
            <w:tcBorders>
              <w:top w:val="nil"/>
              <w:left w:val="nil"/>
              <w:bottom w:val="nil"/>
              <w:right w:val="nil"/>
            </w:tcBorders>
            <w:shd w:val="clear" w:color="auto" w:fill="auto"/>
            <w:noWrap/>
            <w:vAlign w:val="center"/>
            <w:hideMark/>
          </w:tcPr>
          <w:p w14:paraId="3644E73A"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36,1</w:t>
            </w:r>
          </w:p>
        </w:tc>
        <w:tc>
          <w:tcPr>
            <w:tcW w:w="709" w:type="dxa"/>
            <w:tcBorders>
              <w:top w:val="nil"/>
              <w:left w:val="nil"/>
              <w:bottom w:val="nil"/>
              <w:right w:val="nil"/>
            </w:tcBorders>
            <w:shd w:val="clear" w:color="auto" w:fill="auto"/>
            <w:noWrap/>
            <w:vAlign w:val="center"/>
            <w:hideMark/>
          </w:tcPr>
          <w:p w14:paraId="0C67701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77430767"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41,8</w:t>
            </w:r>
          </w:p>
        </w:tc>
        <w:tc>
          <w:tcPr>
            <w:tcW w:w="709" w:type="dxa"/>
            <w:tcBorders>
              <w:top w:val="nil"/>
              <w:left w:val="nil"/>
              <w:bottom w:val="nil"/>
              <w:right w:val="nil"/>
            </w:tcBorders>
            <w:shd w:val="clear" w:color="auto" w:fill="auto"/>
            <w:noWrap/>
            <w:vAlign w:val="center"/>
            <w:hideMark/>
          </w:tcPr>
          <w:p w14:paraId="617FE258"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32,5</w:t>
            </w:r>
          </w:p>
        </w:tc>
      </w:tr>
      <w:tr w:rsidR="004A31C1" w:rsidRPr="00D92E20" w14:paraId="1812B0BF"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65DD9202"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03740E8"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41,3</w:t>
            </w:r>
          </w:p>
        </w:tc>
        <w:tc>
          <w:tcPr>
            <w:tcW w:w="709" w:type="dxa"/>
            <w:tcBorders>
              <w:top w:val="nil"/>
              <w:left w:val="nil"/>
              <w:bottom w:val="nil"/>
              <w:right w:val="nil"/>
            </w:tcBorders>
            <w:shd w:val="clear" w:color="auto" w:fill="auto"/>
            <w:noWrap/>
            <w:vAlign w:val="center"/>
            <w:hideMark/>
          </w:tcPr>
          <w:p w14:paraId="62C1B728" w14:textId="77777777" w:rsidR="004A31C1" w:rsidRPr="00D92E20" w:rsidRDefault="004A31C1" w:rsidP="00161606">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3C9C602F"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5622CD74" w14:textId="77777777" w:rsidR="004A31C1" w:rsidRPr="00D92E20" w:rsidRDefault="004A31C1" w:rsidP="00161606">
            <w:pPr>
              <w:spacing w:after="0" w:line="240" w:lineRule="auto"/>
              <w:jc w:val="center"/>
              <w:rPr>
                <w:rFonts w:cs="Arial"/>
                <w:color w:val="000000"/>
                <w:sz w:val="16"/>
                <w:szCs w:val="16"/>
              </w:rPr>
            </w:pPr>
            <w:r>
              <w:rPr>
                <w:rFonts w:cs="Arial"/>
                <w:sz w:val="16"/>
                <w:szCs w:val="16"/>
              </w:rPr>
              <w:t>45,5</w:t>
            </w:r>
          </w:p>
        </w:tc>
        <w:tc>
          <w:tcPr>
            <w:tcW w:w="709" w:type="dxa"/>
            <w:tcBorders>
              <w:top w:val="nil"/>
              <w:left w:val="nil"/>
              <w:bottom w:val="nil"/>
              <w:right w:val="nil"/>
            </w:tcBorders>
            <w:shd w:val="clear" w:color="auto" w:fill="auto"/>
            <w:noWrap/>
            <w:vAlign w:val="center"/>
            <w:hideMark/>
          </w:tcPr>
          <w:p w14:paraId="1030C7F1" w14:textId="77777777" w:rsidR="004A31C1" w:rsidRPr="00D92E20" w:rsidRDefault="004A31C1" w:rsidP="00161606">
            <w:pPr>
              <w:spacing w:after="0" w:line="240" w:lineRule="auto"/>
              <w:jc w:val="center"/>
              <w:rPr>
                <w:rFonts w:cs="Arial"/>
                <w:color w:val="000000"/>
                <w:sz w:val="16"/>
                <w:szCs w:val="16"/>
              </w:rPr>
            </w:pPr>
            <w:r>
              <w:rPr>
                <w:rFonts w:cs="Arial"/>
                <w:sz w:val="16"/>
                <w:szCs w:val="16"/>
              </w:rPr>
              <w:t>39,7</w:t>
            </w:r>
          </w:p>
        </w:tc>
        <w:tc>
          <w:tcPr>
            <w:tcW w:w="709" w:type="dxa"/>
            <w:tcBorders>
              <w:top w:val="nil"/>
              <w:left w:val="nil"/>
              <w:bottom w:val="nil"/>
              <w:right w:val="nil"/>
            </w:tcBorders>
            <w:shd w:val="clear" w:color="auto" w:fill="auto"/>
            <w:noWrap/>
            <w:vAlign w:val="center"/>
            <w:hideMark/>
          </w:tcPr>
          <w:p w14:paraId="3A73122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6B8B9B49"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41,0</w:t>
            </w:r>
          </w:p>
        </w:tc>
        <w:tc>
          <w:tcPr>
            <w:tcW w:w="709" w:type="dxa"/>
            <w:tcBorders>
              <w:top w:val="nil"/>
              <w:left w:val="nil"/>
              <w:bottom w:val="nil"/>
              <w:right w:val="nil"/>
            </w:tcBorders>
            <w:shd w:val="clear" w:color="auto" w:fill="auto"/>
            <w:noWrap/>
            <w:vAlign w:val="center"/>
            <w:hideMark/>
          </w:tcPr>
          <w:p w14:paraId="65D11FC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38,3</w:t>
            </w:r>
          </w:p>
        </w:tc>
        <w:tc>
          <w:tcPr>
            <w:tcW w:w="709" w:type="dxa"/>
            <w:tcBorders>
              <w:top w:val="nil"/>
              <w:left w:val="nil"/>
              <w:bottom w:val="nil"/>
              <w:right w:val="nil"/>
            </w:tcBorders>
            <w:shd w:val="clear" w:color="auto" w:fill="auto"/>
            <w:noWrap/>
            <w:vAlign w:val="center"/>
            <w:hideMark/>
          </w:tcPr>
          <w:p w14:paraId="22BDE50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41,9</w:t>
            </w:r>
          </w:p>
        </w:tc>
        <w:tc>
          <w:tcPr>
            <w:tcW w:w="709" w:type="dxa"/>
            <w:tcBorders>
              <w:top w:val="nil"/>
              <w:left w:val="nil"/>
              <w:bottom w:val="nil"/>
              <w:right w:val="nil"/>
            </w:tcBorders>
            <w:shd w:val="clear" w:color="auto" w:fill="auto"/>
            <w:noWrap/>
            <w:vAlign w:val="center"/>
            <w:hideMark/>
          </w:tcPr>
          <w:p w14:paraId="6A08D493"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6FCFF5B9"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33,8</w:t>
            </w:r>
          </w:p>
        </w:tc>
      </w:tr>
      <w:tr w:rsidR="004A31C1" w:rsidRPr="00D92E20" w14:paraId="5A9936A5"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01350A7"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2009D22A"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43,4</w:t>
            </w:r>
          </w:p>
        </w:tc>
        <w:tc>
          <w:tcPr>
            <w:tcW w:w="709" w:type="dxa"/>
            <w:tcBorders>
              <w:top w:val="nil"/>
              <w:left w:val="nil"/>
              <w:bottom w:val="nil"/>
              <w:right w:val="nil"/>
            </w:tcBorders>
            <w:shd w:val="clear" w:color="auto" w:fill="auto"/>
            <w:noWrap/>
            <w:vAlign w:val="center"/>
            <w:hideMark/>
          </w:tcPr>
          <w:p w14:paraId="33D0514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45,6</w:t>
            </w:r>
          </w:p>
        </w:tc>
        <w:tc>
          <w:tcPr>
            <w:tcW w:w="709" w:type="dxa"/>
            <w:tcBorders>
              <w:top w:val="nil"/>
              <w:left w:val="nil"/>
              <w:bottom w:val="nil"/>
              <w:right w:val="nil"/>
            </w:tcBorders>
            <w:shd w:val="clear" w:color="auto" w:fill="auto"/>
            <w:noWrap/>
            <w:vAlign w:val="center"/>
            <w:hideMark/>
          </w:tcPr>
          <w:p w14:paraId="59CAD739"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41,6</w:t>
            </w:r>
          </w:p>
        </w:tc>
        <w:tc>
          <w:tcPr>
            <w:tcW w:w="709" w:type="dxa"/>
            <w:tcBorders>
              <w:top w:val="nil"/>
              <w:left w:val="nil"/>
              <w:bottom w:val="nil"/>
              <w:right w:val="nil"/>
            </w:tcBorders>
            <w:shd w:val="clear" w:color="auto" w:fill="auto"/>
            <w:noWrap/>
            <w:vAlign w:val="center"/>
            <w:hideMark/>
          </w:tcPr>
          <w:p w14:paraId="55AF9C05" w14:textId="77777777" w:rsidR="004A31C1" w:rsidRPr="00D92E20" w:rsidRDefault="004A31C1" w:rsidP="00161606">
            <w:pPr>
              <w:spacing w:after="0" w:line="240" w:lineRule="auto"/>
              <w:jc w:val="center"/>
              <w:rPr>
                <w:rFonts w:cs="Arial"/>
                <w:color w:val="000000"/>
                <w:sz w:val="16"/>
                <w:szCs w:val="16"/>
              </w:rPr>
            </w:pPr>
            <w:r>
              <w:rPr>
                <w:rFonts w:cs="Arial"/>
                <w:sz w:val="16"/>
                <w:szCs w:val="16"/>
              </w:rPr>
              <w:t>46,6</w:t>
            </w:r>
          </w:p>
        </w:tc>
        <w:tc>
          <w:tcPr>
            <w:tcW w:w="709" w:type="dxa"/>
            <w:tcBorders>
              <w:top w:val="nil"/>
              <w:left w:val="nil"/>
              <w:bottom w:val="nil"/>
              <w:right w:val="nil"/>
            </w:tcBorders>
            <w:shd w:val="clear" w:color="auto" w:fill="auto"/>
            <w:noWrap/>
            <w:vAlign w:val="center"/>
            <w:hideMark/>
          </w:tcPr>
          <w:p w14:paraId="4D013E6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40,4</w:t>
            </w:r>
          </w:p>
        </w:tc>
        <w:tc>
          <w:tcPr>
            <w:tcW w:w="709" w:type="dxa"/>
            <w:tcBorders>
              <w:top w:val="nil"/>
              <w:left w:val="nil"/>
              <w:bottom w:val="nil"/>
              <w:right w:val="nil"/>
            </w:tcBorders>
            <w:shd w:val="clear" w:color="auto" w:fill="auto"/>
            <w:noWrap/>
            <w:vAlign w:val="center"/>
            <w:hideMark/>
          </w:tcPr>
          <w:p w14:paraId="43C33C3F"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43,7</w:t>
            </w:r>
          </w:p>
        </w:tc>
        <w:tc>
          <w:tcPr>
            <w:tcW w:w="709" w:type="dxa"/>
            <w:tcBorders>
              <w:top w:val="nil"/>
              <w:left w:val="nil"/>
              <w:bottom w:val="nil"/>
              <w:right w:val="nil"/>
            </w:tcBorders>
            <w:shd w:val="clear" w:color="auto" w:fill="auto"/>
            <w:noWrap/>
            <w:vAlign w:val="center"/>
            <w:hideMark/>
          </w:tcPr>
          <w:p w14:paraId="33EB266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42,9</w:t>
            </w:r>
          </w:p>
        </w:tc>
        <w:tc>
          <w:tcPr>
            <w:tcW w:w="709" w:type="dxa"/>
            <w:tcBorders>
              <w:top w:val="nil"/>
              <w:left w:val="nil"/>
              <w:bottom w:val="nil"/>
              <w:right w:val="nil"/>
            </w:tcBorders>
            <w:shd w:val="clear" w:color="auto" w:fill="auto"/>
            <w:noWrap/>
            <w:vAlign w:val="center"/>
            <w:hideMark/>
          </w:tcPr>
          <w:p w14:paraId="5F2C7436"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47732A10"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2821779D"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6F686A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37,5</w:t>
            </w:r>
          </w:p>
        </w:tc>
      </w:tr>
      <w:tr w:rsidR="004A31C1" w:rsidRPr="00D92E20" w14:paraId="4FD377EA"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2D240B1"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7089D98" w14:textId="77777777" w:rsidR="004A31C1" w:rsidRPr="00D92E20" w:rsidRDefault="004A31C1" w:rsidP="00161606">
            <w:pPr>
              <w:spacing w:after="0" w:line="240" w:lineRule="auto"/>
              <w:jc w:val="center"/>
              <w:rPr>
                <w:rFonts w:cs="Arial"/>
                <w:color w:val="000000"/>
                <w:sz w:val="16"/>
                <w:szCs w:val="16"/>
              </w:rPr>
            </w:pPr>
            <w:r>
              <w:rPr>
                <w:rFonts w:cs="Arial"/>
                <w:sz w:val="16"/>
                <w:szCs w:val="16"/>
              </w:rPr>
              <w:t>45,4</w:t>
            </w:r>
          </w:p>
        </w:tc>
        <w:tc>
          <w:tcPr>
            <w:tcW w:w="709" w:type="dxa"/>
            <w:tcBorders>
              <w:top w:val="nil"/>
              <w:left w:val="nil"/>
              <w:bottom w:val="nil"/>
              <w:right w:val="nil"/>
            </w:tcBorders>
            <w:shd w:val="clear" w:color="auto" w:fill="auto"/>
            <w:noWrap/>
            <w:vAlign w:val="center"/>
            <w:hideMark/>
          </w:tcPr>
          <w:p w14:paraId="40929B26" w14:textId="77777777" w:rsidR="004A31C1" w:rsidRPr="00D92E20" w:rsidRDefault="004A31C1" w:rsidP="00161606">
            <w:pPr>
              <w:spacing w:after="0" w:line="240" w:lineRule="auto"/>
              <w:jc w:val="center"/>
              <w:rPr>
                <w:rFonts w:cs="Arial"/>
                <w:color w:val="000000"/>
                <w:sz w:val="16"/>
                <w:szCs w:val="16"/>
              </w:rPr>
            </w:pPr>
            <w:r>
              <w:rPr>
                <w:rFonts w:cs="Arial"/>
                <w:sz w:val="16"/>
                <w:szCs w:val="16"/>
              </w:rPr>
              <w:t>49,6</w:t>
            </w:r>
          </w:p>
        </w:tc>
        <w:tc>
          <w:tcPr>
            <w:tcW w:w="709" w:type="dxa"/>
            <w:tcBorders>
              <w:top w:val="nil"/>
              <w:left w:val="nil"/>
              <w:bottom w:val="nil"/>
              <w:right w:val="nil"/>
            </w:tcBorders>
            <w:shd w:val="clear" w:color="auto" w:fill="auto"/>
            <w:noWrap/>
            <w:vAlign w:val="center"/>
            <w:hideMark/>
          </w:tcPr>
          <w:p w14:paraId="5356CCDB" w14:textId="77777777" w:rsidR="004A31C1" w:rsidRPr="00D92E20" w:rsidRDefault="004A31C1" w:rsidP="00161606">
            <w:pPr>
              <w:spacing w:after="0" w:line="240" w:lineRule="auto"/>
              <w:jc w:val="center"/>
              <w:rPr>
                <w:rFonts w:cs="Arial"/>
                <w:color w:val="000000"/>
                <w:sz w:val="16"/>
                <w:szCs w:val="16"/>
              </w:rPr>
            </w:pPr>
            <w:r>
              <w:rPr>
                <w:rFonts w:cs="Arial"/>
                <w:sz w:val="16"/>
                <w:szCs w:val="16"/>
              </w:rPr>
              <w:t>43,5</w:t>
            </w:r>
          </w:p>
        </w:tc>
        <w:tc>
          <w:tcPr>
            <w:tcW w:w="709" w:type="dxa"/>
            <w:tcBorders>
              <w:top w:val="nil"/>
              <w:left w:val="nil"/>
              <w:bottom w:val="nil"/>
              <w:right w:val="nil"/>
            </w:tcBorders>
            <w:shd w:val="clear" w:color="auto" w:fill="auto"/>
            <w:noWrap/>
            <w:vAlign w:val="center"/>
            <w:hideMark/>
          </w:tcPr>
          <w:p w14:paraId="43FDD569"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47,2</w:t>
            </w:r>
          </w:p>
        </w:tc>
        <w:tc>
          <w:tcPr>
            <w:tcW w:w="709" w:type="dxa"/>
            <w:tcBorders>
              <w:top w:val="nil"/>
              <w:left w:val="nil"/>
              <w:bottom w:val="nil"/>
              <w:right w:val="nil"/>
            </w:tcBorders>
            <w:shd w:val="clear" w:color="auto" w:fill="auto"/>
            <w:noWrap/>
            <w:vAlign w:val="center"/>
            <w:hideMark/>
          </w:tcPr>
          <w:p w14:paraId="7BF0ED8A" w14:textId="77777777" w:rsidR="004A31C1" w:rsidRPr="00D92E20" w:rsidRDefault="004A31C1" w:rsidP="00161606">
            <w:pPr>
              <w:spacing w:after="0" w:line="240" w:lineRule="auto"/>
              <w:jc w:val="center"/>
              <w:rPr>
                <w:rFonts w:cs="Arial"/>
                <w:color w:val="000000"/>
                <w:sz w:val="16"/>
                <w:szCs w:val="16"/>
              </w:rPr>
            </w:pPr>
            <w:r>
              <w:rPr>
                <w:rFonts w:cs="Arial"/>
                <w:sz w:val="16"/>
                <w:szCs w:val="16"/>
              </w:rPr>
              <w:t>41,4</w:t>
            </w:r>
          </w:p>
        </w:tc>
        <w:tc>
          <w:tcPr>
            <w:tcW w:w="709" w:type="dxa"/>
            <w:tcBorders>
              <w:top w:val="nil"/>
              <w:left w:val="nil"/>
              <w:bottom w:val="nil"/>
              <w:right w:val="nil"/>
            </w:tcBorders>
            <w:shd w:val="clear" w:color="auto" w:fill="auto"/>
            <w:noWrap/>
            <w:vAlign w:val="center"/>
            <w:hideMark/>
          </w:tcPr>
          <w:p w14:paraId="64D5C38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44,3</w:t>
            </w:r>
          </w:p>
        </w:tc>
        <w:tc>
          <w:tcPr>
            <w:tcW w:w="709" w:type="dxa"/>
            <w:tcBorders>
              <w:top w:val="nil"/>
              <w:left w:val="nil"/>
              <w:bottom w:val="nil"/>
              <w:right w:val="nil"/>
            </w:tcBorders>
            <w:shd w:val="clear" w:color="auto" w:fill="auto"/>
            <w:noWrap/>
            <w:vAlign w:val="center"/>
            <w:hideMark/>
          </w:tcPr>
          <w:p w14:paraId="77BA6682" w14:textId="77777777" w:rsidR="004A31C1" w:rsidRPr="00D92E20" w:rsidRDefault="004A31C1" w:rsidP="00161606">
            <w:pPr>
              <w:spacing w:after="0" w:line="240" w:lineRule="auto"/>
              <w:jc w:val="center"/>
              <w:rPr>
                <w:rFonts w:cs="Arial"/>
                <w:color w:val="000000"/>
                <w:sz w:val="16"/>
                <w:szCs w:val="16"/>
              </w:rPr>
            </w:pPr>
            <w:r>
              <w:rPr>
                <w:rFonts w:cs="Arial"/>
                <w:sz w:val="16"/>
                <w:szCs w:val="16"/>
              </w:rPr>
              <w:t>42,0</w:t>
            </w:r>
          </w:p>
        </w:tc>
        <w:tc>
          <w:tcPr>
            <w:tcW w:w="709" w:type="dxa"/>
            <w:tcBorders>
              <w:top w:val="nil"/>
              <w:left w:val="nil"/>
              <w:bottom w:val="nil"/>
              <w:right w:val="nil"/>
            </w:tcBorders>
            <w:shd w:val="clear" w:color="auto" w:fill="auto"/>
            <w:noWrap/>
            <w:vAlign w:val="center"/>
            <w:hideMark/>
          </w:tcPr>
          <w:p w14:paraId="44FB74F9"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DC35616"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49CA7DD5"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45,9</w:t>
            </w:r>
          </w:p>
        </w:tc>
        <w:tc>
          <w:tcPr>
            <w:tcW w:w="709" w:type="dxa"/>
            <w:tcBorders>
              <w:top w:val="nil"/>
              <w:left w:val="nil"/>
              <w:bottom w:val="nil"/>
              <w:right w:val="nil"/>
            </w:tcBorders>
            <w:shd w:val="clear" w:color="auto" w:fill="auto"/>
            <w:noWrap/>
            <w:vAlign w:val="center"/>
            <w:hideMark/>
          </w:tcPr>
          <w:p w14:paraId="784A275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38,7</w:t>
            </w:r>
          </w:p>
        </w:tc>
      </w:tr>
      <w:tr w:rsidR="004A31C1" w:rsidRPr="00D92E20" w14:paraId="26E57087"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7EAC210C"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2C7CCFC8" w14:textId="77777777" w:rsidR="004A31C1" w:rsidRPr="00D92E20" w:rsidRDefault="004A31C1" w:rsidP="00161606">
            <w:pPr>
              <w:spacing w:after="0" w:line="240" w:lineRule="auto"/>
              <w:jc w:val="center"/>
              <w:rPr>
                <w:rFonts w:cs="Arial"/>
                <w:color w:val="000000"/>
                <w:sz w:val="16"/>
                <w:szCs w:val="16"/>
              </w:rPr>
            </w:pPr>
            <w:r>
              <w:rPr>
                <w:rFonts w:cs="Arial"/>
                <w:sz w:val="16"/>
                <w:szCs w:val="16"/>
              </w:rPr>
              <w:t>50,5</w:t>
            </w:r>
          </w:p>
        </w:tc>
        <w:tc>
          <w:tcPr>
            <w:tcW w:w="709" w:type="dxa"/>
            <w:tcBorders>
              <w:top w:val="nil"/>
              <w:left w:val="nil"/>
              <w:bottom w:val="nil"/>
              <w:right w:val="nil"/>
            </w:tcBorders>
            <w:shd w:val="clear" w:color="auto" w:fill="auto"/>
            <w:noWrap/>
            <w:vAlign w:val="center"/>
            <w:hideMark/>
          </w:tcPr>
          <w:p w14:paraId="4B3C0066" w14:textId="77777777" w:rsidR="004A31C1" w:rsidRPr="00D92E20" w:rsidRDefault="004A31C1" w:rsidP="00161606">
            <w:pPr>
              <w:spacing w:after="0" w:line="240" w:lineRule="auto"/>
              <w:jc w:val="center"/>
              <w:rPr>
                <w:rFonts w:cs="Arial"/>
                <w:color w:val="000000"/>
                <w:sz w:val="16"/>
                <w:szCs w:val="16"/>
              </w:rPr>
            </w:pPr>
            <w:r>
              <w:rPr>
                <w:rFonts w:cs="Arial"/>
                <w:sz w:val="16"/>
                <w:szCs w:val="16"/>
              </w:rPr>
              <w:t>54,5</w:t>
            </w:r>
          </w:p>
        </w:tc>
        <w:tc>
          <w:tcPr>
            <w:tcW w:w="709" w:type="dxa"/>
            <w:tcBorders>
              <w:top w:val="nil"/>
              <w:left w:val="nil"/>
              <w:bottom w:val="nil"/>
              <w:right w:val="nil"/>
            </w:tcBorders>
            <w:shd w:val="clear" w:color="auto" w:fill="auto"/>
            <w:noWrap/>
            <w:vAlign w:val="center"/>
            <w:hideMark/>
          </w:tcPr>
          <w:p w14:paraId="57E8339A"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48,0</w:t>
            </w:r>
          </w:p>
        </w:tc>
        <w:tc>
          <w:tcPr>
            <w:tcW w:w="709" w:type="dxa"/>
            <w:tcBorders>
              <w:top w:val="nil"/>
              <w:left w:val="nil"/>
              <w:bottom w:val="nil"/>
              <w:right w:val="nil"/>
            </w:tcBorders>
            <w:shd w:val="clear" w:color="auto" w:fill="auto"/>
            <w:noWrap/>
            <w:vAlign w:val="center"/>
            <w:hideMark/>
          </w:tcPr>
          <w:p w14:paraId="02108007" w14:textId="77777777" w:rsidR="004A31C1" w:rsidRPr="00D92E20" w:rsidRDefault="004A31C1" w:rsidP="00161606">
            <w:pPr>
              <w:spacing w:after="0" w:line="240" w:lineRule="auto"/>
              <w:jc w:val="center"/>
              <w:rPr>
                <w:rFonts w:cs="Arial"/>
                <w:color w:val="000000"/>
                <w:sz w:val="16"/>
                <w:szCs w:val="16"/>
              </w:rPr>
            </w:pPr>
            <w:r>
              <w:rPr>
                <w:rFonts w:cs="Arial"/>
                <w:sz w:val="16"/>
                <w:szCs w:val="16"/>
              </w:rPr>
              <w:t>54,8</w:t>
            </w:r>
          </w:p>
        </w:tc>
        <w:tc>
          <w:tcPr>
            <w:tcW w:w="709" w:type="dxa"/>
            <w:tcBorders>
              <w:top w:val="nil"/>
              <w:left w:val="nil"/>
              <w:bottom w:val="nil"/>
              <w:right w:val="nil"/>
            </w:tcBorders>
            <w:shd w:val="clear" w:color="auto" w:fill="auto"/>
            <w:noWrap/>
            <w:vAlign w:val="center"/>
            <w:hideMark/>
          </w:tcPr>
          <w:p w14:paraId="4E0C414B" w14:textId="77777777" w:rsidR="004A31C1" w:rsidRPr="00D92E20" w:rsidRDefault="004A31C1" w:rsidP="00161606">
            <w:pPr>
              <w:spacing w:after="0" w:line="240" w:lineRule="auto"/>
              <w:jc w:val="center"/>
              <w:rPr>
                <w:rFonts w:cs="Arial"/>
                <w:color w:val="000000"/>
                <w:sz w:val="16"/>
                <w:szCs w:val="16"/>
              </w:rPr>
            </w:pPr>
            <w:r>
              <w:rPr>
                <w:rFonts w:cs="Arial"/>
                <w:sz w:val="16"/>
                <w:szCs w:val="16"/>
              </w:rPr>
              <w:t>44,0</w:t>
            </w:r>
          </w:p>
        </w:tc>
        <w:tc>
          <w:tcPr>
            <w:tcW w:w="709" w:type="dxa"/>
            <w:tcBorders>
              <w:top w:val="nil"/>
              <w:left w:val="nil"/>
              <w:bottom w:val="nil"/>
              <w:right w:val="nil"/>
            </w:tcBorders>
            <w:shd w:val="clear" w:color="auto" w:fill="auto"/>
            <w:noWrap/>
            <w:vAlign w:val="center"/>
            <w:hideMark/>
          </w:tcPr>
          <w:p w14:paraId="4731AF4B"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581EA0F1" w14:textId="77777777" w:rsidR="004A31C1" w:rsidRPr="00D92E20" w:rsidRDefault="004A31C1" w:rsidP="00161606">
            <w:pPr>
              <w:spacing w:after="0" w:line="240" w:lineRule="auto"/>
              <w:jc w:val="center"/>
              <w:rPr>
                <w:rFonts w:cs="Arial"/>
                <w:color w:val="000000"/>
                <w:sz w:val="16"/>
                <w:szCs w:val="16"/>
              </w:rPr>
            </w:pPr>
            <w:r>
              <w:rPr>
                <w:rFonts w:cs="Arial"/>
                <w:sz w:val="16"/>
                <w:szCs w:val="16"/>
              </w:rPr>
              <w:t>45,0</w:t>
            </w:r>
          </w:p>
        </w:tc>
        <w:tc>
          <w:tcPr>
            <w:tcW w:w="709" w:type="dxa"/>
            <w:tcBorders>
              <w:top w:val="nil"/>
              <w:left w:val="nil"/>
              <w:bottom w:val="nil"/>
              <w:right w:val="nil"/>
            </w:tcBorders>
            <w:shd w:val="clear" w:color="auto" w:fill="auto"/>
            <w:noWrap/>
            <w:vAlign w:val="center"/>
            <w:hideMark/>
          </w:tcPr>
          <w:p w14:paraId="2A112F7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7055DF7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46,3</w:t>
            </w:r>
          </w:p>
        </w:tc>
        <w:tc>
          <w:tcPr>
            <w:tcW w:w="709" w:type="dxa"/>
            <w:tcBorders>
              <w:top w:val="nil"/>
              <w:left w:val="nil"/>
              <w:bottom w:val="nil"/>
              <w:right w:val="nil"/>
            </w:tcBorders>
            <w:shd w:val="clear" w:color="auto" w:fill="auto"/>
            <w:noWrap/>
            <w:vAlign w:val="center"/>
            <w:hideMark/>
          </w:tcPr>
          <w:p w14:paraId="296B854B"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1CE561CB"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38,6</w:t>
            </w:r>
          </w:p>
        </w:tc>
      </w:tr>
      <w:tr w:rsidR="004A31C1" w:rsidRPr="00D92E20" w14:paraId="32F60489"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4B1AC555"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5D1122FF" w14:textId="77777777" w:rsidR="004A31C1" w:rsidRPr="00D92E20" w:rsidRDefault="004A31C1" w:rsidP="00161606">
            <w:pPr>
              <w:spacing w:after="0" w:line="240" w:lineRule="auto"/>
              <w:jc w:val="center"/>
              <w:rPr>
                <w:rFonts w:cs="Arial"/>
                <w:color w:val="000000"/>
                <w:sz w:val="16"/>
                <w:szCs w:val="16"/>
              </w:rPr>
            </w:pPr>
            <w:r>
              <w:rPr>
                <w:rFonts w:cs="Arial"/>
                <w:sz w:val="16"/>
                <w:szCs w:val="16"/>
              </w:rPr>
              <w:t>55,5</w:t>
            </w:r>
          </w:p>
        </w:tc>
        <w:tc>
          <w:tcPr>
            <w:tcW w:w="709" w:type="dxa"/>
            <w:tcBorders>
              <w:top w:val="nil"/>
              <w:left w:val="nil"/>
              <w:bottom w:val="nil"/>
              <w:right w:val="nil"/>
            </w:tcBorders>
            <w:shd w:val="clear" w:color="auto" w:fill="auto"/>
            <w:noWrap/>
            <w:vAlign w:val="center"/>
            <w:hideMark/>
          </w:tcPr>
          <w:p w14:paraId="757877A9" w14:textId="77777777" w:rsidR="004A31C1" w:rsidRPr="00D92E20" w:rsidRDefault="004A31C1" w:rsidP="00161606">
            <w:pPr>
              <w:spacing w:after="0" w:line="240" w:lineRule="auto"/>
              <w:jc w:val="center"/>
              <w:rPr>
                <w:rFonts w:cs="Arial"/>
                <w:color w:val="000000"/>
                <w:sz w:val="16"/>
                <w:szCs w:val="16"/>
              </w:rPr>
            </w:pPr>
            <w:r>
              <w:rPr>
                <w:rFonts w:cs="Arial"/>
                <w:sz w:val="16"/>
                <w:szCs w:val="16"/>
              </w:rPr>
              <w:t>56,1</w:t>
            </w:r>
          </w:p>
        </w:tc>
        <w:tc>
          <w:tcPr>
            <w:tcW w:w="709" w:type="dxa"/>
            <w:tcBorders>
              <w:top w:val="nil"/>
              <w:left w:val="nil"/>
              <w:bottom w:val="nil"/>
              <w:right w:val="nil"/>
            </w:tcBorders>
            <w:shd w:val="clear" w:color="auto" w:fill="auto"/>
            <w:noWrap/>
            <w:vAlign w:val="center"/>
            <w:hideMark/>
          </w:tcPr>
          <w:p w14:paraId="2993853C" w14:textId="77777777" w:rsidR="004A31C1" w:rsidRPr="00D92E20" w:rsidRDefault="004A31C1" w:rsidP="00161606">
            <w:pPr>
              <w:spacing w:after="0" w:line="240" w:lineRule="auto"/>
              <w:jc w:val="center"/>
              <w:rPr>
                <w:rFonts w:cs="Arial"/>
                <w:color w:val="000000"/>
                <w:sz w:val="16"/>
                <w:szCs w:val="16"/>
              </w:rPr>
            </w:pPr>
            <w:r>
              <w:rPr>
                <w:rFonts w:cs="Arial"/>
                <w:sz w:val="16"/>
                <w:szCs w:val="16"/>
              </w:rPr>
              <w:t>51,4</w:t>
            </w:r>
          </w:p>
        </w:tc>
        <w:tc>
          <w:tcPr>
            <w:tcW w:w="709" w:type="dxa"/>
            <w:tcBorders>
              <w:top w:val="nil"/>
              <w:left w:val="nil"/>
              <w:bottom w:val="nil"/>
              <w:right w:val="nil"/>
            </w:tcBorders>
            <w:shd w:val="clear" w:color="auto" w:fill="auto"/>
            <w:noWrap/>
            <w:vAlign w:val="center"/>
            <w:hideMark/>
          </w:tcPr>
          <w:p w14:paraId="1B6B0592" w14:textId="77777777" w:rsidR="004A31C1" w:rsidRPr="00D92E20" w:rsidRDefault="004A31C1" w:rsidP="00161606">
            <w:pPr>
              <w:spacing w:after="0" w:line="240" w:lineRule="auto"/>
              <w:jc w:val="center"/>
              <w:rPr>
                <w:rFonts w:cs="Arial"/>
                <w:color w:val="000000"/>
                <w:sz w:val="16"/>
                <w:szCs w:val="16"/>
              </w:rPr>
            </w:pPr>
            <w:r>
              <w:rPr>
                <w:rFonts w:cs="Arial"/>
                <w:sz w:val="16"/>
                <w:szCs w:val="16"/>
              </w:rPr>
              <w:t>56,4</w:t>
            </w:r>
          </w:p>
        </w:tc>
        <w:tc>
          <w:tcPr>
            <w:tcW w:w="709" w:type="dxa"/>
            <w:tcBorders>
              <w:top w:val="nil"/>
              <w:left w:val="nil"/>
              <w:bottom w:val="nil"/>
              <w:right w:val="nil"/>
            </w:tcBorders>
            <w:shd w:val="clear" w:color="auto" w:fill="auto"/>
            <w:noWrap/>
            <w:vAlign w:val="center"/>
            <w:hideMark/>
          </w:tcPr>
          <w:p w14:paraId="73C18369"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47,0</w:t>
            </w:r>
          </w:p>
        </w:tc>
        <w:tc>
          <w:tcPr>
            <w:tcW w:w="709" w:type="dxa"/>
            <w:tcBorders>
              <w:top w:val="nil"/>
              <w:left w:val="nil"/>
              <w:bottom w:val="nil"/>
              <w:right w:val="nil"/>
            </w:tcBorders>
            <w:shd w:val="clear" w:color="auto" w:fill="auto"/>
            <w:noWrap/>
            <w:vAlign w:val="center"/>
            <w:hideMark/>
          </w:tcPr>
          <w:p w14:paraId="61DB3706" w14:textId="77777777" w:rsidR="004A31C1" w:rsidRPr="00D92E20" w:rsidRDefault="004A31C1" w:rsidP="00161606">
            <w:pPr>
              <w:spacing w:after="0" w:line="240" w:lineRule="auto"/>
              <w:jc w:val="center"/>
              <w:rPr>
                <w:rFonts w:cs="Arial"/>
                <w:color w:val="000000"/>
                <w:sz w:val="16"/>
                <w:szCs w:val="16"/>
              </w:rPr>
            </w:pPr>
            <w:r>
              <w:rPr>
                <w:rFonts w:cs="Arial"/>
                <w:sz w:val="16"/>
                <w:szCs w:val="16"/>
              </w:rPr>
              <w:t>50,5</w:t>
            </w:r>
          </w:p>
        </w:tc>
        <w:tc>
          <w:tcPr>
            <w:tcW w:w="709" w:type="dxa"/>
            <w:tcBorders>
              <w:top w:val="nil"/>
              <w:left w:val="nil"/>
              <w:bottom w:val="nil"/>
              <w:right w:val="nil"/>
            </w:tcBorders>
            <w:shd w:val="clear" w:color="auto" w:fill="auto"/>
            <w:noWrap/>
            <w:vAlign w:val="center"/>
            <w:hideMark/>
          </w:tcPr>
          <w:p w14:paraId="31DABFF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300337F4"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6866196"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49,3</w:t>
            </w:r>
          </w:p>
        </w:tc>
        <w:tc>
          <w:tcPr>
            <w:tcW w:w="709" w:type="dxa"/>
            <w:tcBorders>
              <w:top w:val="nil"/>
              <w:left w:val="nil"/>
              <w:bottom w:val="nil"/>
              <w:right w:val="nil"/>
            </w:tcBorders>
            <w:shd w:val="clear" w:color="auto" w:fill="auto"/>
            <w:noWrap/>
            <w:vAlign w:val="center"/>
            <w:hideMark/>
          </w:tcPr>
          <w:p w14:paraId="6C5A7814"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51,8</w:t>
            </w:r>
          </w:p>
        </w:tc>
        <w:tc>
          <w:tcPr>
            <w:tcW w:w="709" w:type="dxa"/>
            <w:tcBorders>
              <w:top w:val="nil"/>
              <w:left w:val="nil"/>
              <w:bottom w:val="nil"/>
              <w:right w:val="nil"/>
            </w:tcBorders>
            <w:shd w:val="clear" w:color="auto" w:fill="auto"/>
            <w:noWrap/>
            <w:vAlign w:val="center"/>
            <w:hideMark/>
          </w:tcPr>
          <w:p w14:paraId="65BD8722"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42,4</w:t>
            </w:r>
          </w:p>
        </w:tc>
      </w:tr>
      <w:tr w:rsidR="004A31C1" w:rsidRPr="00D92E20" w14:paraId="3BEAF281" w14:textId="77777777" w:rsidTr="00161606">
        <w:trPr>
          <w:trHeight w:val="300"/>
        </w:trPr>
        <w:tc>
          <w:tcPr>
            <w:tcW w:w="1871" w:type="dxa"/>
            <w:tcBorders>
              <w:top w:val="nil"/>
              <w:left w:val="nil"/>
              <w:bottom w:val="nil"/>
              <w:right w:val="single" w:sz="4" w:space="0" w:color="auto"/>
            </w:tcBorders>
            <w:shd w:val="clear" w:color="auto" w:fill="auto"/>
            <w:noWrap/>
            <w:vAlign w:val="center"/>
            <w:hideMark/>
          </w:tcPr>
          <w:p w14:paraId="2318C5CD" w14:textId="77777777" w:rsidR="004A31C1" w:rsidRPr="00D92E20" w:rsidRDefault="004A31C1" w:rsidP="00161606">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08690EA3"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48,2</w:t>
            </w:r>
          </w:p>
        </w:tc>
        <w:tc>
          <w:tcPr>
            <w:tcW w:w="709" w:type="dxa"/>
            <w:tcBorders>
              <w:top w:val="nil"/>
              <w:left w:val="nil"/>
              <w:bottom w:val="nil"/>
              <w:right w:val="nil"/>
            </w:tcBorders>
            <w:shd w:val="clear" w:color="auto" w:fill="auto"/>
            <w:noWrap/>
            <w:vAlign w:val="center"/>
            <w:hideMark/>
          </w:tcPr>
          <w:p w14:paraId="4163296E" w14:textId="77777777" w:rsidR="004A31C1" w:rsidRPr="00D92E20" w:rsidRDefault="004A31C1" w:rsidP="00161606">
            <w:pPr>
              <w:spacing w:after="0" w:line="240" w:lineRule="auto"/>
              <w:jc w:val="center"/>
              <w:rPr>
                <w:rFonts w:cs="Arial"/>
                <w:color w:val="000000"/>
                <w:sz w:val="16"/>
                <w:szCs w:val="16"/>
              </w:rPr>
            </w:pPr>
            <w:r>
              <w:rPr>
                <w:rFonts w:cs="Arial"/>
                <w:sz w:val="16"/>
                <w:szCs w:val="16"/>
              </w:rPr>
              <w:t>52,2</w:t>
            </w:r>
          </w:p>
        </w:tc>
        <w:tc>
          <w:tcPr>
            <w:tcW w:w="709" w:type="dxa"/>
            <w:tcBorders>
              <w:top w:val="nil"/>
              <w:left w:val="nil"/>
              <w:bottom w:val="nil"/>
              <w:right w:val="nil"/>
            </w:tcBorders>
            <w:shd w:val="clear" w:color="auto" w:fill="auto"/>
            <w:noWrap/>
            <w:vAlign w:val="center"/>
            <w:hideMark/>
          </w:tcPr>
          <w:p w14:paraId="14392CDE"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47,6</w:t>
            </w:r>
          </w:p>
        </w:tc>
        <w:tc>
          <w:tcPr>
            <w:tcW w:w="709" w:type="dxa"/>
            <w:tcBorders>
              <w:top w:val="nil"/>
              <w:left w:val="nil"/>
              <w:bottom w:val="nil"/>
              <w:right w:val="nil"/>
            </w:tcBorders>
            <w:shd w:val="clear" w:color="auto" w:fill="auto"/>
            <w:noWrap/>
            <w:vAlign w:val="center"/>
            <w:hideMark/>
          </w:tcPr>
          <w:p w14:paraId="707AF432" w14:textId="77777777" w:rsidR="004A31C1" w:rsidRPr="00D92E20" w:rsidRDefault="004A31C1" w:rsidP="00161606">
            <w:pPr>
              <w:spacing w:after="0" w:line="240" w:lineRule="auto"/>
              <w:jc w:val="center"/>
              <w:rPr>
                <w:rFonts w:cs="Arial"/>
                <w:color w:val="000000"/>
                <w:sz w:val="16"/>
                <w:szCs w:val="16"/>
              </w:rPr>
            </w:pPr>
            <w:r>
              <w:rPr>
                <w:rFonts w:cs="Arial"/>
                <w:sz w:val="16"/>
                <w:szCs w:val="16"/>
              </w:rPr>
              <w:t>53,4</w:t>
            </w:r>
          </w:p>
        </w:tc>
        <w:tc>
          <w:tcPr>
            <w:tcW w:w="709" w:type="dxa"/>
            <w:tcBorders>
              <w:top w:val="nil"/>
              <w:left w:val="nil"/>
              <w:bottom w:val="nil"/>
              <w:right w:val="nil"/>
            </w:tcBorders>
            <w:shd w:val="clear" w:color="auto" w:fill="auto"/>
            <w:noWrap/>
            <w:vAlign w:val="center"/>
            <w:hideMark/>
          </w:tcPr>
          <w:p w14:paraId="37F7212B" w14:textId="77777777" w:rsidR="004A31C1" w:rsidRPr="00D92E20" w:rsidRDefault="004A31C1" w:rsidP="00161606">
            <w:pPr>
              <w:spacing w:after="0" w:line="240" w:lineRule="auto"/>
              <w:jc w:val="center"/>
              <w:rPr>
                <w:rFonts w:cs="Arial"/>
                <w:color w:val="000000"/>
                <w:sz w:val="16"/>
                <w:szCs w:val="16"/>
              </w:rPr>
            </w:pPr>
            <w:r>
              <w:rPr>
                <w:rFonts w:cs="Arial"/>
                <w:sz w:val="16"/>
                <w:szCs w:val="16"/>
              </w:rPr>
              <w:t>46,0</w:t>
            </w:r>
          </w:p>
        </w:tc>
        <w:tc>
          <w:tcPr>
            <w:tcW w:w="709" w:type="dxa"/>
            <w:tcBorders>
              <w:top w:val="nil"/>
              <w:left w:val="nil"/>
              <w:bottom w:val="nil"/>
              <w:right w:val="nil"/>
            </w:tcBorders>
            <w:shd w:val="clear" w:color="auto" w:fill="auto"/>
            <w:noWrap/>
            <w:vAlign w:val="center"/>
            <w:hideMark/>
          </w:tcPr>
          <w:p w14:paraId="1EC043F7" w14:textId="77777777" w:rsidR="004A31C1" w:rsidRPr="00D92E20" w:rsidRDefault="004A31C1" w:rsidP="00161606">
            <w:pPr>
              <w:spacing w:after="0" w:line="240" w:lineRule="auto"/>
              <w:jc w:val="center"/>
              <w:rPr>
                <w:rFonts w:cs="Arial"/>
                <w:color w:val="000000"/>
                <w:sz w:val="16"/>
                <w:szCs w:val="16"/>
              </w:rPr>
            </w:pPr>
            <w:r>
              <w:rPr>
                <w:rFonts w:cs="Arial"/>
                <w:sz w:val="16"/>
                <w:szCs w:val="16"/>
              </w:rPr>
              <w:t>48,6</w:t>
            </w:r>
          </w:p>
        </w:tc>
        <w:tc>
          <w:tcPr>
            <w:tcW w:w="709" w:type="dxa"/>
            <w:tcBorders>
              <w:top w:val="nil"/>
              <w:left w:val="nil"/>
              <w:bottom w:val="nil"/>
              <w:right w:val="nil"/>
            </w:tcBorders>
            <w:shd w:val="clear" w:color="auto" w:fill="auto"/>
            <w:noWrap/>
            <w:vAlign w:val="center"/>
            <w:hideMark/>
          </w:tcPr>
          <w:p w14:paraId="50FC304C" w14:textId="77777777" w:rsidR="004A31C1" w:rsidRPr="00D92E20" w:rsidRDefault="004A31C1" w:rsidP="00161606">
            <w:pPr>
              <w:spacing w:after="0" w:line="240" w:lineRule="auto"/>
              <w:jc w:val="center"/>
              <w:rPr>
                <w:rFonts w:cs="Arial"/>
                <w:color w:val="000000"/>
                <w:sz w:val="16"/>
                <w:szCs w:val="16"/>
              </w:rPr>
            </w:pPr>
            <w:r>
              <w:rPr>
                <w:rFonts w:cs="Arial"/>
                <w:sz w:val="16"/>
                <w:szCs w:val="16"/>
              </w:rPr>
              <w:t>47,4</w:t>
            </w:r>
          </w:p>
        </w:tc>
        <w:tc>
          <w:tcPr>
            <w:tcW w:w="709" w:type="dxa"/>
            <w:tcBorders>
              <w:top w:val="nil"/>
              <w:left w:val="nil"/>
              <w:bottom w:val="nil"/>
              <w:right w:val="nil"/>
            </w:tcBorders>
            <w:shd w:val="clear" w:color="auto" w:fill="auto"/>
            <w:noWrap/>
            <w:vAlign w:val="center"/>
            <w:hideMark/>
          </w:tcPr>
          <w:p w14:paraId="75D5BE14"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3EA09BE"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648476E4"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48D203DC" w14:textId="77777777" w:rsidR="004A31C1" w:rsidRPr="00D92E20" w:rsidRDefault="004A31C1" w:rsidP="00161606">
            <w:pPr>
              <w:spacing w:after="0" w:line="240" w:lineRule="auto"/>
              <w:jc w:val="center"/>
              <w:rPr>
                <w:rFonts w:cs="Arial"/>
                <w:color w:val="000000"/>
                <w:sz w:val="16"/>
                <w:szCs w:val="16"/>
              </w:rPr>
            </w:pPr>
            <w:r>
              <w:rPr>
                <w:rFonts w:cs="Arial"/>
                <w:color w:val="000000"/>
                <w:sz w:val="16"/>
                <w:szCs w:val="16"/>
              </w:rPr>
              <w:t>40,9</w:t>
            </w:r>
          </w:p>
        </w:tc>
      </w:tr>
    </w:tbl>
    <w:p w14:paraId="3F6601B3" w14:textId="77777777" w:rsidR="004A31C1" w:rsidRPr="00D92E20" w:rsidRDefault="004A31C1" w:rsidP="004A31C1">
      <w:pPr>
        <w:spacing w:before="120"/>
        <w:rPr>
          <w:sz w:val="16"/>
        </w:rPr>
      </w:pPr>
      <w:r w:rsidRPr="00D92E20">
        <w:rPr>
          <w:sz w:val="16"/>
        </w:rPr>
        <w:t>Zdroj: ČSÚ</w:t>
      </w:r>
    </w:p>
    <w:p w14:paraId="0334B10B" w14:textId="77777777" w:rsidR="004A31C1" w:rsidRDefault="004A31C1">
      <w:pPr>
        <w:spacing w:after="0" w:line="240" w:lineRule="auto"/>
        <w:rPr>
          <w:b/>
          <w:spacing w:val="-4"/>
        </w:rPr>
      </w:pPr>
      <w:r>
        <w:rPr>
          <w:b/>
          <w:spacing w:val="-4"/>
        </w:rPr>
        <w:br w:type="page"/>
      </w:r>
    </w:p>
    <w:p w14:paraId="7983F30A" w14:textId="156C9FA1" w:rsidR="007B0701" w:rsidRPr="001359B8" w:rsidRDefault="007B0701" w:rsidP="007B0701">
      <w:pPr>
        <w:jc w:val="both"/>
        <w:rPr>
          <w:b/>
          <w:spacing w:val="-4"/>
        </w:rPr>
      </w:pPr>
      <w:r w:rsidRPr="001359B8">
        <w:rPr>
          <w:b/>
          <w:spacing w:val="-4"/>
        </w:rPr>
        <w:lastRenderedPageBreak/>
        <w:t>K</w:t>
      </w:r>
      <w:r w:rsidR="001359B8" w:rsidRPr="001359B8">
        <w:rPr>
          <w:b/>
          <w:spacing w:val="-4"/>
        </w:rPr>
        <w:t>artogram</w:t>
      </w:r>
      <w:r w:rsidRPr="001359B8">
        <w:rPr>
          <w:b/>
          <w:spacing w:val="-4"/>
        </w:rPr>
        <w:t xml:space="preserve"> 2.1: Průměrná délka trvání dočasné pracovní neschopnosti v okresech a krajích ČR, </w:t>
      </w:r>
      <w:r w:rsidR="001359B8" w:rsidRPr="001359B8">
        <w:rPr>
          <w:b/>
          <w:spacing w:val="-4"/>
        </w:rPr>
        <w:t>1. pol. 2021</w:t>
      </w:r>
    </w:p>
    <w:p w14:paraId="560FAFAE" w14:textId="12A3F06F" w:rsidR="00693023" w:rsidRPr="00D92E20" w:rsidRDefault="001359B8" w:rsidP="007B0701">
      <w:pPr>
        <w:jc w:val="both"/>
        <w:rPr>
          <w:b/>
        </w:rPr>
      </w:pPr>
      <w:r w:rsidRPr="001359B8">
        <w:rPr>
          <w:b/>
          <w:noProof/>
        </w:rPr>
        <w:drawing>
          <wp:inline distT="0" distB="0" distL="0" distR="0" wp14:anchorId="310793CB" wp14:editId="792C2447">
            <wp:extent cx="6116400" cy="4325388"/>
            <wp:effectExtent l="0" t="0" r="0" b="0"/>
            <wp:docPr id="16" name="Obrázek 16" descr="D:\hykysova23070\Documents\PN\2021\1. pol\publ\podklady\Alča_neschopnost_202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ykysova23070\Documents\PN\2021\1. pol\publ\podklady\Alča_neschopnost_2021_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400" cy="4325388"/>
                    </a:xfrm>
                    <a:prstGeom prst="rect">
                      <a:avLst/>
                    </a:prstGeom>
                    <a:noFill/>
                    <a:ln>
                      <a:noFill/>
                    </a:ln>
                  </pic:spPr>
                </pic:pic>
              </a:graphicData>
            </a:graphic>
          </wp:inline>
        </w:drawing>
      </w:r>
    </w:p>
    <w:p w14:paraId="32D39987" w14:textId="77777777" w:rsidR="007B0701" w:rsidRPr="00D92E20" w:rsidRDefault="007B0701" w:rsidP="007B0701">
      <w:pPr>
        <w:spacing w:before="120"/>
        <w:rPr>
          <w:sz w:val="16"/>
        </w:rPr>
      </w:pPr>
      <w:r w:rsidRPr="00D92E20">
        <w:rPr>
          <w:sz w:val="16"/>
        </w:rPr>
        <w:t>Zdroj: ČSÚ</w:t>
      </w:r>
    </w:p>
    <w:p w14:paraId="161BB50D" w14:textId="1D566EA2" w:rsidR="007B0701" w:rsidRPr="00DA3030" w:rsidRDefault="00551C14" w:rsidP="00000A90">
      <w:pPr>
        <w:spacing w:before="120" w:after="120"/>
        <w:jc w:val="both"/>
      </w:pPr>
      <w:r w:rsidRPr="00DA3030">
        <w:rPr>
          <w:b/>
        </w:rPr>
        <w:t>Osoby samostatně výdělečně činné (</w:t>
      </w:r>
      <w:r w:rsidR="007B0701" w:rsidRPr="00DA3030">
        <w:rPr>
          <w:b/>
        </w:rPr>
        <w:t>OSVČ</w:t>
      </w:r>
      <w:r w:rsidRPr="00DA3030">
        <w:rPr>
          <w:b/>
        </w:rPr>
        <w:t>)</w:t>
      </w:r>
      <w:r w:rsidR="007B0701" w:rsidRPr="00DA3030">
        <w:t xml:space="preserve"> nastupují do pracovní neschopnosti méně často než zaměstnanci (</w:t>
      </w:r>
      <w:r w:rsidR="008D7B44" w:rsidRPr="00DA3030">
        <w:t>1</w:t>
      </w:r>
      <w:r w:rsidR="00DA3030" w:rsidRPr="00DA3030">
        <w:t>0</w:t>
      </w:r>
      <w:r w:rsidR="007B0701" w:rsidRPr="00DA3030">
        <w:t xml:space="preserve"> případů na 100 nemocensky pojištěných OSVČ vs. </w:t>
      </w:r>
      <w:r w:rsidR="00DA3030" w:rsidRPr="00DA3030">
        <w:t>30</w:t>
      </w:r>
      <w:r w:rsidR="008D7B44" w:rsidRPr="00DA3030">
        <w:t xml:space="preserve"> </w:t>
      </w:r>
      <w:r w:rsidR="007B0701" w:rsidRPr="00DA3030">
        <w:t>případů u zaměstnanců za</w:t>
      </w:r>
      <w:r w:rsidR="00CD63E8">
        <w:t> </w:t>
      </w:r>
      <w:r w:rsidR="00DA3030" w:rsidRPr="00DA3030">
        <w:t>1.</w:t>
      </w:r>
      <w:r w:rsidR="00CD63E8">
        <w:t> </w:t>
      </w:r>
      <w:r w:rsidR="00DA3030" w:rsidRPr="00DA3030">
        <w:t>pol.</w:t>
      </w:r>
      <w:r w:rsidR="00CD63E8">
        <w:t> </w:t>
      </w:r>
      <w:r w:rsidR="00DA3030" w:rsidRPr="00DA3030">
        <w:t>2021</w:t>
      </w:r>
      <w:r w:rsidR="007B0701" w:rsidRPr="00DA3030">
        <w:t>). Pokud jsou však ze zdravotních důvodů z výkonu práce indisponováni, průměrná délka jejich pracovní neschopnosti značně převyšuje ostatní sledované kategorie velikosti podniku (podle počtu zaměstnanců; viz</w:t>
      </w:r>
      <w:r w:rsidR="00B74855" w:rsidRPr="00DA3030">
        <w:t> </w:t>
      </w:r>
      <w:r w:rsidR="007B0701" w:rsidRPr="00DA3030">
        <w:t>graf 2.</w:t>
      </w:r>
      <w:r w:rsidR="008D7B44" w:rsidRPr="00DA3030">
        <w:t>12</w:t>
      </w:r>
      <w:r w:rsidR="007B0701" w:rsidRPr="00DA3030">
        <w:t>).</w:t>
      </w:r>
    </w:p>
    <w:p w14:paraId="4722479A" w14:textId="2241CD2E" w:rsidR="004A31C1" w:rsidRPr="00DA3030" w:rsidRDefault="004A31C1" w:rsidP="004A31C1">
      <w:pPr>
        <w:spacing w:before="120" w:after="120"/>
        <w:jc w:val="both"/>
      </w:pPr>
      <w:r w:rsidRPr="00DA3030">
        <w:t>Dočasná pracovní neschopnost OSVČ v 1. pol. 2021 trvala průměrně 83 dní.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Další možností, kterou OSVČ mohou využít</w:t>
      </w:r>
      <w:r>
        <w:t>,</w:t>
      </w:r>
      <w:r w:rsidRPr="00DA3030">
        <w:t xml:space="preserve"> je sjednání pojištění pracovní neschopnosti u soukromých pojišťoven v rámci životního pojištění. Tomu se však tato publikace nevěnuje.</w:t>
      </w:r>
    </w:p>
    <w:p w14:paraId="0921A84E" w14:textId="77777777" w:rsidR="004A31C1" w:rsidRPr="00D92E20" w:rsidRDefault="004A31C1" w:rsidP="004A31C1">
      <w:pPr>
        <w:spacing w:before="120" w:after="120"/>
        <w:jc w:val="both"/>
      </w:pPr>
      <w:r w:rsidRPr="00831173">
        <w:t xml:space="preserve">U </w:t>
      </w:r>
      <w:r>
        <w:t>zaměstnanců</w:t>
      </w:r>
      <w:r w:rsidRPr="00831173">
        <w:t xml:space="preserve"> </w:t>
      </w:r>
      <w:r>
        <w:t xml:space="preserve">byla průměrná </w:t>
      </w:r>
      <w:r w:rsidRPr="00831173">
        <w:t xml:space="preserve">délka pracovní neschopnosti (bez ohledu na příčinu) </w:t>
      </w:r>
      <w:r>
        <w:t>ve srovnání s OSVČ zhruba poloviční</w:t>
      </w:r>
      <w:r w:rsidRPr="00831173">
        <w:t xml:space="preserve">. Nejdelší </w:t>
      </w:r>
      <w:r>
        <w:t>zaznamenaly malé podniky mající</w:t>
      </w:r>
      <w:r w:rsidRPr="00831173">
        <w:t xml:space="preserve"> do 49 zaměstnanců (40 dnů). V ostatních velikostních kategoriích se tato hodnota pohybovala okolo 34 dnů.</w:t>
      </w:r>
    </w:p>
    <w:p w14:paraId="6B60DFB2" w14:textId="77777777" w:rsidR="004A31C1" w:rsidRDefault="004A31C1">
      <w:pPr>
        <w:spacing w:after="0" w:line="240" w:lineRule="auto"/>
        <w:rPr>
          <w:b/>
        </w:rPr>
      </w:pPr>
      <w:r>
        <w:rPr>
          <w:b/>
        </w:rPr>
        <w:br w:type="page"/>
      </w:r>
    </w:p>
    <w:p w14:paraId="69C373E7" w14:textId="126297A9" w:rsidR="007B0701" w:rsidRPr="00DC0DB3" w:rsidRDefault="007B0701" w:rsidP="00000A90">
      <w:pPr>
        <w:spacing w:after="0"/>
        <w:jc w:val="both"/>
        <w:rPr>
          <w:b/>
        </w:rPr>
      </w:pPr>
      <w:r w:rsidRPr="00DC0DB3">
        <w:rPr>
          <w:b/>
        </w:rPr>
        <w:lastRenderedPageBreak/>
        <w:t xml:space="preserve">Graf 2.12: Průměrná délka trvání dočasné pracovní neschopnosti podle velikosti podniku a příčiny, </w:t>
      </w:r>
      <w:r w:rsidR="00DC0DB3">
        <w:rPr>
          <w:b/>
        </w:rPr>
        <w:br/>
      </w:r>
      <w:r w:rsidR="00DC0DB3" w:rsidRPr="00DC0DB3">
        <w:rPr>
          <w:b/>
        </w:rPr>
        <w:t>1. pol. 2021</w:t>
      </w:r>
    </w:p>
    <w:p w14:paraId="0A425FBB" w14:textId="4991E158" w:rsidR="00A71AB2" w:rsidRPr="00D92E20" w:rsidRDefault="00DC0DB3" w:rsidP="00C371A5">
      <w:pPr>
        <w:tabs>
          <w:tab w:val="left" w:pos="1418"/>
        </w:tabs>
        <w:spacing w:after="0"/>
        <w:jc w:val="both"/>
        <w:rPr>
          <w:rFonts w:cs="Arial"/>
        </w:rPr>
      </w:pPr>
      <w:r>
        <w:rPr>
          <w:noProof/>
        </w:rPr>
        <w:drawing>
          <wp:inline distT="0" distB="0" distL="0" distR="0" wp14:anchorId="7C7EC7DA" wp14:editId="0A0F371E">
            <wp:extent cx="6116400" cy="2858400"/>
            <wp:effectExtent l="0" t="0" r="17780" b="1841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5F313F" w14:textId="36C314F3" w:rsidR="007B0701" w:rsidRDefault="007B0701" w:rsidP="007B0701">
      <w:pPr>
        <w:spacing w:before="120"/>
        <w:rPr>
          <w:sz w:val="16"/>
        </w:rPr>
      </w:pPr>
      <w:r w:rsidRPr="00D92E20">
        <w:rPr>
          <w:sz w:val="16"/>
        </w:rPr>
        <w:t>Zdroj: ČSÚ</w:t>
      </w:r>
    </w:p>
    <w:p w14:paraId="71F10D15" w14:textId="27BF3EA5" w:rsidR="000273BE" w:rsidRPr="00D92E20" w:rsidRDefault="000273BE" w:rsidP="00000A90">
      <w:pPr>
        <w:pStyle w:val="Nadpis3"/>
        <w:numPr>
          <w:ilvl w:val="2"/>
          <w:numId w:val="22"/>
        </w:numPr>
        <w:spacing w:after="120"/>
        <w:ind w:left="709"/>
        <w:jc w:val="both"/>
      </w:pPr>
      <w:bookmarkStart w:id="20" w:name="_Toc54262802"/>
      <w:bookmarkStart w:id="21" w:name="_Toc86233480"/>
      <w:r w:rsidRPr="00D92E20">
        <w:t>Průměrné procento dočasné pracovní nes</w:t>
      </w:r>
      <w:r w:rsidR="004A31C1">
        <w:t xml:space="preserve">chopnosti a průměrný denní stav </w:t>
      </w:r>
      <w:r w:rsidRPr="00D92E20">
        <w:t>dočasně práce neschopných</w:t>
      </w:r>
      <w:bookmarkEnd w:id="20"/>
      <w:bookmarkEnd w:id="21"/>
    </w:p>
    <w:p w14:paraId="478FDE9B" w14:textId="77777777" w:rsidR="000273BE" w:rsidRPr="00D92E20" w:rsidRDefault="000273BE" w:rsidP="00000A90">
      <w:pPr>
        <w:spacing w:after="120"/>
        <w:jc w:val="both"/>
      </w:pPr>
      <w:r w:rsidRPr="00D92E20">
        <w:t xml:space="preserve">Nejkomplexnějším ukazatelem statistiky pracovní neschopnosti pro nemoc a úraz je </w:t>
      </w:r>
      <w:r w:rsidRPr="00D92E20">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92E20">
        <w:rPr>
          <w:b/>
        </w:rPr>
        <w:t>průměrný denní stav dočasně práce neschopných</w:t>
      </w:r>
      <w:r w:rsidRPr="00D92E20">
        <w:t>, který říká, kolik osob průměrně denně chybělo na pracovišti v důsledku dočasné pracovní neschopnosti pro nemoc a úraz.</w:t>
      </w:r>
    </w:p>
    <w:p w14:paraId="755BC370" w14:textId="77777777" w:rsidR="000273BE" w:rsidRPr="00D92E20" w:rsidRDefault="000273BE" w:rsidP="000273BE">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C658570" w14:textId="77777777" w:rsidR="000273BE" w:rsidRPr="00D92E20" w:rsidRDefault="000273BE" w:rsidP="000273BE">
      <w:pPr>
        <w:pStyle w:val="Box1"/>
        <w:ind w:left="0"/>
        <w:jc w:val="both"/>
        <w:rPr>
          <w:i/>
          <w:u w:val="single"/>
        </w:rPr>
      </w:pPr>
      <w:r w:rsidRPr="00D92E20">
        <w:rPr>
          <w:i/>
          <w:u w:val="single"/>
        </w:rPr>
        <w:t>Způsob výpočtu:</w:t>
      </w:r>
    </w:p>
    <w:p w14:paraId="3DBD0D4D" w14:textId="77777777" w:rsidR="000273BE" w:rsidRPr="00D92E20" w:rsidRDefault="000273BE" w:rsidP="00000A90">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18B4273B" w14:textId="1B5DF887" w:rsidR="000273BE" w:rsidRPr="00D92E20" w:rsidRDefault="000273BE" w:rsidP="000273BE">
      <w:pPr>
        <w:pStyle w:val="Box1"/>
        <w:ind w:left="0"/>
        <w:jc w:val="both"/>
        <w:rPr>
          <w:i/>
        </w:rPr>
      </w:pPr>
      <w:r w:rsidRPr="00D92E20">
        <w:rPr>
          <w:b/>
          <w:i/>
        </w:rPr>
        <w:t xml:space="preserve">Průměrný denní stav </w:t>
      </w:r>
      <w:r w:rsidR="008B4180" w:rsidRPr="00D92E20">
        <w:rPr>
          <w:b/>
          <w:i/>
        </w:rPr>
        <w:t xml:space="preserve">dočasně </w:t>
      </w:r>
      <w:r w:rsidRPr="00D92E20">
        <w:rPr>
          <w:b/>
          <w:i/>
        </w:rPr>
        <w:t xml:space="preserve">práce neschopných </w:t>
      </w:r>
      <w:r w:rsidRPr="00D92E20">
        <w:rPr>
          <w:i/>
        </w:rPr>
        <w:t>– ukazatel vyjadřuje počet nemocensky pojištěných, kteří byli ve sledovaném období (</w:t>
      </w:r>
      <w:r w:rsidR="00FF4E21">
        <w:rPr>
          <w:i/>
        </w:rPr>
        <w:t>1. pololetí</w:t>
      </w:r>
      <w:r w:rsidRPr="00D92E20">
        <w:rPr>
          <w:i/>
        </w:rPr>
        <w:t xml:space="preserve">) denně nepřítomni v práci z důvodů pracovní neschopnosti. </w:t>
      </w:r>
    </w:p>
    <w:p w14:paraId="5251B742" w14:textId="77777777" w:rsidR="000273BE" w:rsidRPr="00D92E20" w:rsidRDefault="000273BE" w:rsidP="000273BE">
      <w:pPr>
        <w:pStyle w:val="Box1"/>
        <w:ind w:left="0"/>
        <w:jc w:val="both"/>
        <w:rPr>
          <w:i/>
          <w:u w:val="single"/>
        </w:rPr>
      </w:pPr>
      <w:r w:rsidRPr="00D92E20">
        <w:rPr>
          <w:i/>
          <w:u w:val="single"/>
        </w:rPr>
        <w:t>Způsob výpočtu:</w:t>
      </w:r>
    </w:p>
    <w:p w14:paraId="23F03AFE" w14:textId="0E01620F" w:rsidR="000273BE" w:rsidRPr="00D92E20" w:rsidRDefault="000273BE" w:rsidP="00000A90">
      <w:pPr>
        <w:pStyle w:val="Box1"/>
        <w:spacing w:before="120" w:after="120"/>
        <w:ind w:left="0"/>
        <w:contextualSpacing w:val="0"/>
        <w:jc w:val="both"/>
        <w:rPr>
          <w:i/>
        </w:rPr>
      </w:pPr>
      <w:r w:rsidRPr="00D92E20">
        <w:rPr>
          <w:i/>
        </w:rPr>
        <w:t xml:space="preserve">Průměrný denní stav </w:t>
      </w:r>
      <w:r w:rsidR="008B4180" w:rsidRPr="00D92E20">
        <w:rPr>
          <w:i/>
        </w:rPr>
        <w:t xml:space="preserve">dočasně </w:t>
      </w:r>
      <w:r w:rsidRPr="00D92E20">
        <w:rPr>
          <w:i/>
        </w:rPr>
        <w:t xml:space="preserve">práce neschopných = </w:t>
      </w:r>
      <w:r w:rsidR="00BE43F5">
        <w:rPr>
          <w:i/>
        </w:rPr>
        <w:t xml:space="preserve">počet </w:t>
      </w:r>
      <w:r w:rsidRPr="00D92E20">
        <w:rPr>
          <w:i/>
        </w:rPr>
        <w:t>kalendářní</w:t>
      </w:r>
      <w:r w:rsidR="00BE43F5">
        <w:rPr>
          <w:i/>
        </w:rPr>
        <w:t>ch</w:t>
      </w:r>
      <w:r w:rsidRPr="00D92E20">
        <w:rPr>
          <w:i/>
        </w:rPr>
        <w:t xml:space="preserve"> dn</w:t>
      </w:r>
      <w:r w:rsidR="00BE43F5">
        <w:rPr>
          <w:i/>
        </w:rPr>
        <w:t>ů</w:t>
      </w:r>
      <w:r w:rsidRPr="00D92E20">
        <w:rPr>
          <w:i/>
        </w:rPr>
        <w:t xml:space="preserve"> dočasné pracovní neschopnosti / počet kalendářních dnů ve sledovaném období.</w:t>
      </w:r>
    </w:p>
    <w:p w14:paraId="5213D7D9" w14:textId="154B98D1" w:rsidR="00425CDF" w:rsidRPr="00D92E20" w:rsidRDefault="00425CDF" w:rsidP="00000A90">
      <w:pPr>
        <w:spacing w:before="120" w:after="120"/>
        <w:jc w:val="both"/>
      </w:pPr>
      <w:r w:rsidRPr="00D92E20">
        <w:t xml:space="preserve">Hodnota ukazatele </w:t>
      </w:r>
      <w:r w:rsidRPr="00D92E20">
        <w:rPr>
          <w:b/>
        </w:rPr>
        <w:t>průměrné procento dočasné pracovní neschopnosti</w:t>
      </w:r>
      <w:r w:rsidRPr="00D92E20">
        <w:t xml:space="preserve"> má od </w:t>
      </w:r>
      <w:r w:rsidR="00FF4E21">
        <w:t>1. pol. 2015</w:t>
      </w:r>
      <w:r w:rsidRPr="00D92E20">
        <w:t xml:space="preserve"> rostoucí tendenci. Meziročně oproti </w:t>
      </w:r>
      <w:r w:rsidR="00FF4E21">
        <w:t>1. pol. 2020</w:t>
      </w:r>
      <w:r w:rsidRPr="00D92E20">
        <w:t xml:space="preserve"> vzrostl o 0,</w:t>
      </w:r>
      <w:r w:rsidR="00FF4E21">
        <w:t>4</w:t>
      </w:r>
      <w:r w:rsidRPr="00D92E20">
        <w:t xml:space="preserve"> p. b. na </w:t>
      </w:r>
      <w:r w:rsidR="00FF4E21">
        <w:t>6</w:t>
      </w:r>
      <w:r w:rsidRPr="00D92E20">
        <w:t xml:space="preserve"> % v</w:t>
      </w:r>
      <w:r w:rsidR="00FF4E21">
        <w:t> 1. pol. 2021, což je dáno nárůstem počtu případů PN</w:t>
      </w:r>
      <w:r w:rsidRPr="00D92E20">
        <w:t>. Ve srovnání s</w:t>
      </w:r>
      <w:r w:rsidR="00FF4E21">
        <w:t xml:space="preserve"> 1. pol. </w:t>
      </w:r>
      <w:r w:rsidRPr="00D92E20">
        <w:t xml:space="preserve">2012 </w:t>
      </w:r>
      <w:r w:rsidR="006F113C" w:rsidRPr="00D92E20">
        <w:t xml:space="preserve">průměrné procento dočasné pracovní neschopnosti </w:t>
      </w:r>
      <w:r w:rsidRPr="00D92E20">
        <w:t>vzrostl</w:t>
      </w:r>
      <w:r w:rsidR="006F113C" w:rsidRPr="00D92E20">
        <w:t>o</w:t>
      </w:r>
      <w:r w:rsidRPr="00D92E20">
        <w:t xml:space="preserve"> dokonce o 2</w:t>
      </w:r>
      <w:r w:rsidR="00FF4E21">
        <w:t>,4</w:t>
      </w:r>
      <w:r w:rsidRPr="00D92E20">
        <w:t xml:space="preserve"> p. b. Podíl na růstu může mít mj. </w:t>
      </w:r>
      <w:r w:rsidR="00551C14" w:rsidRPr="00D92E20">
        <w:t xml:space="preserve">i </w:t>
      </w:r>
      <w:r w:rsidRPr="00D92E20">
        <w:t>stárnutí populace a zvyšování průměrného věku zaměstnanců (dáno vyšším věkem odchodu do důchodu než bylo v minulosti). Průměrné procento dočasné pracovní neschopnosti je dlouhodobě vyšší u žen</w:t>
      </w:r>
      <w:r w:rsidR="00BE43F5">
        <w:t>, u kterých</w:t>
      </w:r>
      <w:r w:rsidR="00A771D5">
        <w:t xml:space="preserve"> v 1. pol. 2021</w:t>
      </w:r>
      <w:r w:rsidR="00BE43F5">
        <w:t xml:space="preserve"> č</w:t>
      </w:r>
      <w:r w:rsidRPr="00D92E20">
        <w:t xml:space="preserve">inilo </w:t>
      </w:r>
      <w:r w:rsidR="006F113C" w:rsidRPr="00D92E20">
        <w:t>6</w:t>
      </w:r>
      <w:r w:rsidR="00FF4E21">
        <w:t>,4</w:t>
      </w:r>
      <w:r w:rsidRPr="00D92E20">
        <w:t xml:space="preserve"> %, zatímco pro muže 5</w:t>
      </w:r>
      <w:r w:rsidR="00FF4E21">
        <w:t>,6</w:t>
      </w:r>
      <w:r w:rsidRPr="00D92E20">
        <w:t xml:space="preserve"> %.</w:t>
      </w:r>
    </w:p>
    <w:p w14:paraId="37D71C20" w14:textId="77777777" w:rsidR="00350B58" w:rsidRDefault="00350B58">
      <w:pPr>
        <w:spacing w:after="0" w:line="240" w:lineRule="auto"/>
        <w:rPr>
          <w:b/>
        </w:rPr>
      </w:pPr>
      <w:r>
        <w:rPr>
          <w:b/>
        </w:rPr>
        <w:br w:type="page"/>
      </w:r>
    </w:p>
    <w:p w14:paraId="5E4C74CD" w14:textId="12F7647F" w:rsidR="006F113C" w:rsidRPr="00D92E20" w:rsidRDefault="006F113C" w:rsidP="00000A90">
      <w:pPr>
        <w:spacing w:after="0"/>
        <w:jc w:val="both"/>
        <w:rPr>
          <w:b/>
        </w:rPr>
      </w:pPr>
      <w:r w:rsidRPr="00D92E20">
        <w:rPr>
          <w:b/>
        </w:rPr>
        <w:lastRenderedPageBreak/>
        <w:t xml:space="preserve">Graf 2.13: Průměrné procento dočasné pracovní neschopnosti podle odvětví (sekce CZ-NACE), </w:t>
      </w:r>
      <w:r w:rsidR="00FF4E21">
        <w:rPr>
          <w:b/>
        </w:rPr>
        <w:br/>
      </w:r>
      <w:r w:rsidR="00FF4E21" w:rsidRPr="00FF4E21">
        <w:rPr>
          <w:b/>
        </w:rPr>
        <w:t>1. pol. 2021</w:t>
      </w:r>
    </w:p>
    <w:p w14:paraId="3629B590" w14:textId="4521F450" w:rsidR="006F113C" w:rsidRPr="00D92E20" w:rsidRDefault="00FF4E21" w:rsidP="00000A90">
      <w:pPr>
        <w:pStyle w:val="Seznam"/>
        <w:jc w:val="both"/>
      </w:pPr>
      <w:r>
        <w:rPr>
          <w:noProof/>
        </w:rPr>
        <w:drawing>
          <wp:inline distT="0" distB="0" distL="0" distR="0" wp14:anchorId="42A688FD" wp14:editId="44EC8647">
            <wp:extent cx="6116400" cy="5112000"/>
            <wp:effectExtent l="0" t="0" r="17780" b="1270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F113C" w:rsidRPr="00D92E20">
        <w:rPr>
          <w:sz w:val="16"/>
        </w:rPr>
        <w:t>Zdroj: ČSÚ</w:t>
      </w:r>
    </w:p>
    <w:p w14:paraId="6F1D9EC7" w14:textId="7BD5D243" w:rsidR="00350B58" w:rsidRDefault="006F113C" w:rsidP="006C7D54">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Těžba a dobývání (</w:t>
      </w:r>
      <w:r w:rsidR="00FF4E21">
        <w:rPr>
          <w:rFonts w:cs="Arial"/>
          <w:color w:val="000000"/>
          <w:szCs w:val="16"/>
        </w:rPr>
        <w:t>8,8</w:t>
      </w:r>
      <w:r w:rsidRPr="00D92E20">
        <w:rPr>
          <w:rFonts w:cs="Arial"/>
          <w:color w:val="000000"/>
          <w:szCs w:val="16"/>
        </w:rPr>
        <w:t xml:space="preserve"> %)</w:t>
      </w:r>
      <w:r w:rsidR="006C7D54">
        <w:rPr>
          <w:rFonts w:cs="Arial"/>
          <w:color w:val="000000"/>
          <w:szCs w:val="16"/>
        </w:rPr>
        <w:t>. Jinými slovy, téměř 9</w:t>
      </w:r>
      <w:r w:rsidRPr="00D92E20">
        <w:rPr>
          <w:rFonts w:cs="Arial"/>
          <w:color w:val="000000"/>
          <w:szCs w:val="16"/>
        </w:rPr>
        <w:t xml:space="preserve"> % pojištěnců pracujících v sekci Těžba a dobývání bylo denně v pracovní neschopnosti. Odvětvími s</w:t>
      </w:r>
      <w:r w:rsidR="00BE43F5">
        <w:rPr>
          <w:rFonts w:cs="Arial"/>
          <w:color w:val="000000"/>
          <w:szCs w:val="16"/>
        </w:rPr>
        <w:t xml:space="preserve"> více než </w:t>
      </w:r>
      <w:r w:rsidRPr="00D92E20">
        <w:rPr>
          <w:rFonts w:cs="Arial"/>
          <w:color w:val="000000"/>
          <w:szCs w:val="16"/>
        </w:rPr>
        <w:t xml:space="preserve">7% podílem osob </w:t>
      </w:r>
      <w:r w:rsidR="00BE43F5">
        <w:rPr>
          <w:rFonts w:cs="Arial"/>
          <w:color w:val="000000"/>
          <w:szCs w:val="16"/>
        </w:rPr>
        <w:t xml:space="preserve">denně </w:t>
      </w:r>
      <w:r w:rsidRPr="00D92E20">
        <w:rPr>
          <w:rFonts w:cs="Arial"/>
          <w:color w:val="000000"/>
          <w:szCs w:val="16"/>
        </w:rPr>
        <w:t>dočasně práce neschopných byl i Zpracovatelský průmysl (7,</w:t>
      </w:r>
      <w:r w:rsidR="006C7D54">
        <w:rPr>
          <w:rFonts w:cs="Arial"/>
          <w:color w:val="000000"/>
          <w:szCs w:val="16"/>
        </w:rPr>
        <w:t>9</w:t>
      </w:r>
      <w:r w:rsidRPr="00D92E20">
        <w:rPr>
          <w:rFonts w:cs="Arial"/>
          <w:color w:val="000000"/>
          <w:szCs w:val="16"/>
        </w:rPr>
        <w:t xml:space="preserve"> %), Admini</w:t>
      </w:r>
      <w:r w:rsidR="006C7D54">
        <w:rPr>
          <w:rFonts w:cs="Arial"/>
          <w:color w:val="000000"/>
          <w:szCs w:val="16"/>
        </w:rPr>
        <w:t>strativní a podpůrné činnosti (7,5</w:t>
      </w:r>
      <w:r w:rsidRPr="00D92E20">
        <w:rPr>
          <w:rFonts w:cs="Arial"/>
          <w:color w:val="000000"/>
          <w:szCs w:val="16"/>
        </w:rPr>
        <w:t xml:space="preserve"> %)</w:t>
      </w:r>
      <w:r w:rsidR="006C7D54">
        <w:rPr>
          <w:rFonts w:cs="Arial"/>
          <w:color w:val="000000"/>
          <w:szCs w:val="16"/>
        </w:rPr>
        <w:t>, Zásobování vodou, činnosti související s odpady a sanacemi a Zemědělství, lesnictví a ryb</w:t>
      </w:r>
      <w:r w:rsidR="00844FBA">
        <w:rPr>
          <w:rFonts w:cs="Arial"/>
          <w:color w:val="000000"/>
          <w:szCs w:val="16"/>
        </w:rPr>
        <w:t>ářství (obě sekce shodně 7,0 %)</w:t>
      </w:r>
      <w:r w:rsidRPr="00D92E20">
        <w:rPr>
          <w:rFonts w:cs="Arial"/>
          <w:color w:val="000000"/>
          <w:szCs w:val="16"/>
        </w:rPr>
        <w:t xml:space="preserve">. Naopak nejméně pracovníků </w:t>
      </w:r>
      <w:r w:rsidR="00600B22">
        <w:rPr>
          <w:rFonts w:cs="Arial"/>
          <w:color w:val="000000"/>
          <w:szCs w:val="16"/>
        </w:rPr>
        <w:t>na neschopence</w:t>
      </w:r>
      <w:r w:rsidRPr="00D92E20">
        <w:rPr>
          <w:rFonts w:cs="Arial"/>
          <w:color w:val="000000"/>
          <w:szCs w:val="16"/>
        </w:rPr>
        <w:t xml:space="preserve"> ze 100 pojištěnců bylo denně evidováno v odvětví Informa</w:t>
      </w:r>
      <w:r w:rsidR="00CD287A" w:rsidRPr="00D92E20">
        <w:rPr>
          <w:rFonts w:cs="Arial"/>
          <w:color w:val="000000"/>
          <w:szCs w:val="16"/>
        </w:rPr>
        <w:t>ční a komunikační činnosti (</w:t>
      </w:r>
      <w:r w:rsidR="006C7D54">
        <w:rPr>
          <w:rFonts w:cs="Arial"/>
          <w:color w:val="000000"/>
          <w:szCs w:val="16"/>
        </w:rPr>
        <w:t>2,0</w:t>
      </w:r>
      <w:r w:rsidRPr="00D92E20">
        <w:rPr>
          <w:rFonts w:cs="Arial"/>
          <w:color w:val="000000"/>
          <w:szCs w:val="16"/>
        </w:rPr>
        <w:t>) a Peněžnictví a pojišťovnictví (2,</w:t>
      </w:r>
      <w:r w:rsidR="006C7D54">
        <w:rPr>
          <w:rFonts w:cs="Arial"/>
          <w:color w:val="000000"/>
          <w:szCs w:val="16"/>
        </w:rPr>
        <w:t>9</w:t>
      </w:r>
      <w:r w:rsidRPr="00D92E20">
        <w:rPr>
          <w:rFonts w:cs="Arial"/>
          <w:color w:val="000000"/>
          <w:szCs w:val="16"/>
        </w:rPr>
        <w:t>). Podrobněji viz graf 2.13 a</w:t>
      </w:r>
      <w:r w:rsidR="00C02C40" w:rsidRPr="00D92E20">
        <w:rPr>
          <w:rFonts w:cs="Arial"/>
          <w:color w:val="000000"/>
          <w:szCs w:val="16"/>
        </w:rPr>
        <w:t> </w:t>
      </w:r>
      <w:r w:rsidRPr="00D92E20">
        <w:rPr>
          <w:rFonts w:cs="Arial"/>
          <w:color w:val="000000"/>
          <w:szCs w:val="16"/>
        </w:rPr>
        <w:t>tabulka</w:t>
      </w:r>
      <w:r w:rsidR="00CD287A" w:rsidRPr="00D92E20">
        <w:rPr>
          <w:rFonts w:cs="Arial"/>
          <w:color w:val="000000"/>
          <w:szCs w:val="16"/>
        </w:rPr>
        <w:t> </w:t>
      </w:r>
      <w:r w:rsidRPr="00D92E20">
        <w:rPr>
          <w:rFonts w:cs="Arial"/>
          <w:color w:val="000000"/>
          <w:szCs w:val="16"/>
        </w:rPr>
        <w:t>2.8.</w:t>
      </w:r>
    </w:p>
    <w:p w14:paraId="7262CA26" w14:textId="77777777" w:rsidR="00350B58" w:rsidRDefault="00350B58">
      <w:pPr>
        <w:spacing w:after="0" w:line="240" w:lineRule="auto"/>
        <w:rPr>
          <w:rFonts w:cs="Arial"/>
          <w:color w:val="000000"/>
          <w:szCs w:val="16"/>
        </w:rPr>
      </w:pPr>
      <w:r>
        <w:rPr>
          <w:rFonts w:cs="Arial"/>
          <w:color w:val="000000"/>
          <w:szCs w:val="16"/>
        </w:rPr>
        <w:br w:type="page"/>
      </w:r>
    </w:p>
    <w:p w14:paraId="5E612935" w14:textId="5E1E5569" w:rsidR="006F113C" w:rsidRPr="006C7D54" w:rsidRDefault="006F113C" w:rsidP="00000A90">
      <w:pPr>
        <w:spacing w:before="120" w:after="0"/>
        <w:jc w:val="both"/>
        <w:rPr>
          <w:rFonts w:cs="Arial"/>
          <w:b/>
          <w:color w:val="000000"/>
          <w:szCs w:val="16"/>
        </w:rPr>
      </w:pPr>
      <w:r w:rsidRPr="006C7D54">
        <w:rPr>
          <w:rFonts w:cs="Arial"/>
          <w:b/>
          <w:color w:val="000000"/>
          <w:szCs w:val="16"/>
        </w:rPr>
        <w:lastRenderedPageBreak/>
        <w:t xml:space="preserve">Tab. 2.8: Průměrné procento dočasné pracovní neschopnosti podle odvětví (sekce CZ-NACE), </w:t>
      </w:r>
      <w:r w:rsidR="006C7D54">
        <w:rPr>
          <w:rFonts w:cs="Arial"/>
          <w:b/>
          <w:color w:val="000000"/>
          <w:szCs w:val="16"/>
        </w:rPr>
        <w:br/>
      </w:r>
      <w:r w:rsidR="006C7D54" w:rsidRPr="006C7D54">
        <w:rPr>
          <w:rFonts w:cs="Arial"/>
          <w:b/>
          <w:color w:val="000000"/>
          <w:szCs w:val="16"/>
        </w:rPr>
        <w:t>1. pol. 2011–1. pol. 2021</w:t>
      </w:r>
    </w:p>
    <w:tbl>
      <w:tblPr>
        <w:tblW w:w="9663" w:type="dxa"/>
        <w:tblCellMar>
          <w:left w:w="70" w:type="dxa"/>
          <w:right w:w="70" w:type="dxa"/>
        </w:tblCellMar>
        <w:tblLook w:val="04A0" w:firstRow="1" w:lastRow="0" w:firstColumn="1" w:lastColumn="0" w:noHBand="0" w:noVBand="1"/>
      </w:tblPr>
      <w:tblGrid>
        <w:gridCol w:w="3118"/>
        <w:gridCol w:w="595"/>
        <w:gridCol w:w="595"/>
        <w:gridCol w:w="595"/>
        <w:gridCol w:w="595"/>
        <w:gridCol w:w="595"/>
        <w:gridCol w:w="595"/>
        <w:gridCol w:w="595"/>
        <w:gridCol w:w="595"/>
        <w:gridCol w:w="595"/>
        <w:gridCol w:w="595"/>
        <w:gridCol w:w="595"/>
      </w:tblGrid>
      <w:tr w:rsidR="006C7D54" w:rsidRPr="00D92E20" w14:paraId="048D215C" w14:textId="77777777" w:rsidTr="006C7D54">
        <w:trPr>
          <w:trHeight w:val="300"/>
        </w:trPr>
        <w:tc>
          <w:tcPr>
            <w:tcW w:w="3118" w:type="dxa"/>
            <w:tcBorders>
              <w:top w:val="single" w:sz="4" w:space="0" w:color="auto"/>
              <w:left w:val="nil"/>
              <w:bottom w:val="single" w:sz="4" w:space="0" w:color="auto"/>
              <w:right w:val="single" w:sz="4" w:space="0" w:color="auto"/>
            </w:tcBorders>
            <w:shd w:val="clear" w:color="000000" w:fill="F5DADD"/>
            <w:vAlign w:val="center"/>
            <w:hideMark/>
          </w:tcPr>
          <w:p w14:paraId="5076CC44" w14:textId="77777777" w:rsidR="006C7D54" w:rsidRPr="00D92E20" w:rsidRDefault="006C7D54" w:rsidP="006C7D54">
            <w:pPr>
              <w:spacing w:after="0" w:line="240" w:lineRule="auto"/>
              <w:jc w:val="center"/>
              <w:rPr>
                <w:rFonts w:cs="Arial"/>
                <w:color w:val="000000"/>
                <w:sz w:val="16"/>
                <w:szCs w:val="16"/>
              </w:rPr>
            </w:pPr>
            <w:r w:rsidRPr="00D92E20">
              <w:rPr>
                <w:rFonts w:cs="Arial"/>
                <w:color w:val="000000"/>
                <w:sz w:val="16"/>
                <w:szCs w:val="16"/>
              </w:rPr>
              <w:t>Sekce CZ-NACE</w:t>
            </w:r>
          </w:p>
        </w:tc>
        <w:tc>
          <w:tcPr>
            <w:tcW w:w="595" w:type="dxa"/>
            <w:tcBorders>
              <w:top w:val="single" w:sz="4" w:space="0" w:color="auto"/>
              <w:left w:val="nil"/>
              <w:bottom w:val="single" w:sz="4" w:space="0" w:color="auto"/>
              <w:right w:val="nil"/>
            </w:tcBorders>
            <w:shd w:val="clear" w:color="000000" w:fill="F5DADD"/>
            <w:noWrap/>
            <w:vAlign w:val="bottom"/>
            <w:hideMark/>
          </w:tcPr>
          <w:p w14:paraId="788729C3" w14:textId="3BF27735"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595" w:type="dxa"/>
            <w:tcBorders>
              <w:top w:val="single" w:sz="4" w:space="0" w:color="auto"/>
              <w:left w:val="nil"/>
              <w:bottom w:val="single" w:sz="4" w:space="0" w:color="auto"/>
              <w:right w:val="nil"/>
            </w:tcBorders>
            <w:shd w:val="clear" w:color="000000" w:fill="F5DADD"/>
            <w:noWrap/>
            <w:vAlign w:val="bottom"/>
            <w:hideMark/>
          </w:tcPr>
          <w:p w14:paraId="745A0E9B" w14:textId="636ADEDB"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595" w:type="dxa"/>
            <w:tcBorders>
              <w:top w:val="single" w:sz="4" w:space="0" w:color="auto"/>
              <w:left w:val="nil"/>
              <w:bottom w:val="single" w:sz="4" w:space="0" w:color="auto"/>
              <w:right w:val="nil"/>
            </w:tcBorders>
            <w:shd w:val="clear" w:color="000000" w:fill="F5DADD"/>
            <w:noWrap/>
            <w:vAlign w:val="bottom"/>
            <w:hideMark/>
          </w:tcPr>
          <w:p w14:paraId="3DEF3862" w14:textId="5AF46FEE"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595" w:type="dxa"/>
            <w:tcBorders>
              <w:top w:val="single" w:sz="4" w:space="0" w:color="auto"/>
              <w:left w:val="nil"/>
              <w:bottom w:val="single" w:sz="4" w:space="0" w:color="auto"/>
              <w:right w:val="nil"/>
            </w:tcBorders>
            <w:shd w:val="clear" w:color="000000" w:fill="F5DADD"/>
            <w:noWrap/>
            <w:vAlign w:val="bottom"/>
            <w:hideMark/>
          </w:tcPr>
          <w:p w14:paraId="1D52ECFB" w14:textId="617627E6"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595" w:type="dxa"/>
            <w:tcBorders>
              <w:top w:val="single" w:sz="4" w:space="0" w:color="auto"/>
              <w:left w:val="nil"/>
              <w:bottom w:val="single" w:sz="4" w:space="0" w:color="auto"/>
              <w:right w:val="nil"/>
            </w:tcBorders>
            <w:shd w:val="clear" w:color="000000" w:fill="F5DADD"/>
            <w:noWrap/>
            <w:vAlign w:val="bottom"/>
            <w:hideMark/>
          </w:tcPr>
          <w:p w14:paraId="115A29CF" w14:textId="5F264F38"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595" w:type="dxa"/>
            <w:tcBorders>
              <w:top w:val="single" w:sz="4" w:space="0" w:color="auto"/>
              <w:left w:val="nil"/>
              <w:bottom w:val="single" w:sz="4" w:space="0" w:color="auto"/>
              <w:right w:val="nil"/>
            </w:tcBorders>
            <w:shd w:val="clear" w:color="000000" w:fill="F5DADD"/>
            <w:noWrap/>
            <w:vAlign w:val="bottom"/>
            <w:hideMark/>
          </w:tcPr>
          <w:p w14:paraId="4B02AEC2" w14:textId="085D9EA1"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595" w:type="dxa"/>
            <w:tcBorders>
              <w:top w:val="single" w:sz="4" w:space="0" w:color="auto"/>
              <w:left w:val="nil"/>
              <w:bottom w:val="single" w:sz="4" w:space="0" w:color="auto"/>
              <w:right w:val="nil"/>
            </w:tcBorders>
            <w:shd w:val="clear" w:color="000000" w:fill="F5DADD"/>
            <w:noWrap/>
            <w:vAlign w:val="bottom"/>
            <w:hideMark/>
          </w:tcPr>
          <w:p w14:paraId="40F72A09" w14:textId="7E9B9AF4"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595" w:type="dxa"/>
            <w:tcBorders>
              <w:top w:val="single" w:sz="4" w:space="0" w:color="auto"/>
              <w:left w:val="nil"/>
              <w:bottom w:val="single" w:sz="4" w:space="0" w:color="auto"/>
              <w:right w:val="nil"/>
            </w:tcBorders>
            <w:shd w:val="clear" w:color="000000" w:fill="F5DADD"/>
            <w:noWrap/>
            <w:vAlign w:val="bottom"/>
            <w:hideMark/>
          </w:tcPr>
          <w:p w14:paraId="651461C6" w14:textId="04EB3B8D" w:rsidR="006C7D54" w:rsidRPr="00D92E20" w:rsidRDefault="006C7D54" w:rsidP="006C7D54">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595" w:type="dxa"/>
            <w:tcBorders>
              <w:top w:val="single" w:sz="4" w:space="0" w:color="auto"/>
              <w:left w:val="nil"/>
              <w:bottom w:val="single" w:sz="4" w:space="0" w:color="auto"/>
              <w:right w:val="nil"/>
            </w:tcBorders>
            <w:shd w:val="clear" w:color="000000" w:fill="F5DADD"/>
            <w:noWrap/>
            <w:vAlign w:val="bottom"/>
            <w:hideMark/>
          </w:tcPr>
          <w:p w14:paraId="59F7E635" w14:textId="05A8F88B" w:rsidR="006C7D54" w:rsidRPr="00D92E20" w:rsidRDefault="006C7D54" w:rsidP="006C7D54">
            <w:pPr>
              <w:spacing w:after="0" w:line="240" w:lineRule="auto"/>
              <w:jc w:val="center"/>
              <w:rPr>
                <w:rFonts w:cs="Arial"/>
                <w:color w:val="000000"/>
                <w:sz w:val="16"/>
                <w:szCs w:val="16"/>
              </w:rPr>
            </w:pPr>
            <w:r>
              <w:rPr>
                <w:rFonts w:cs="Arial"/>
                <w:sz w:val="16"/>
                <w:szCs w:val="16"/>
              </w:rPr>
              <w:t>1. pol. 2019</w:t>
            </w:r>
          </w:p>
        </w:tc>
        <w:tc>
          <w:tcPr>
            <w:tcW w:w="595" w:type="dxa"/>
            <w:tcBorders>
              <w:top w:val="single" w:sz="4" w:space="0" w:color="auto"/>
              <w:left w:val="nil"/>
              <w:bottom w:val="single" w:sz="4" w:space="0" w:color="auto"/>
              <w:right w:val="nil"/>
            </w:tcBorders>
            <w:shd w:val="clear" w:color="000000" w:fill="F5DADD"/>
            <w:noWrap/>
            <w:vAlign w:val="bottom"/>
            <w:hideMark/>
          </w:tcPr>
          <w:p w14:paraId="16477412" w14:textId="28D988E2" w:rsidR="006C7D54" w:rsidRPr="00D92E20" w:rsidRDefault="006C7D54" w:rsidP="006C7D54">
            <w:pPr>
              <w:spacing w:after="0" w:line="240" w:lineRule="auto"/>
              <w:jc w:val="center"/>
              <w:rPr>
                <w:rFonts w:cs="Arial"/>
                <w:color w:val="000000"/>
                <w:sz w:val="16"/>
                <w:szCs w:val="16"/>
              </w:rPr>
            </w:pPr>
            <w:r>
              <w:rPr>
                <w:rFonts w:cs="Arial"/>
                <w:sz w:val="16"/>
                <w:szCs w:val="16"/>
              </w:rPr>
              <w:t>1. pol. 2020</w:t>
            </w:r>
          </w:p>
        </w:tc>
        <w:tc>
          <w:tcPr>
            <w:tcW w:w="595" w:type="dxa"/>
            <w:tcBorders>
              <w:top w:val="single" w:sz="4" w:space="0" w:color="auto"/>
              <w:left w:val="nil"/>
              <w:bottom w:val="single" w:sz="4" w:space="0" w:color="auto"/>
              <w:right w:val="nil"/>
            </w:tcBorders>
            <w:shd w:val="clear" w:color="000000" w:fill="F5DADD"/>
            <w:noWrap/>
            <w:vAlign w:val="bottom"/>
            <w:hideMark/>
          </w:tcPr>
          <w:p w14:paraId="4E3C90D5" w14:textId="095FCD96" w:rsidR="006C7D54" w:rsidRPr="00D92E20" w:rsidRDefault="006C7D54" w:rsidP="006C7D54">
            <w:pPr>
              <w:spacing w:after="0" w:line="240" w:lineRule="auto"/>
              <w:jc w:val="center"/>
              <w:rPr>
                <w:rFonts w:cs="Arial"/>
                <w:color w:val="000000"/>
                <w:sz w:val="16"/>
                <w:szCs w:val="16"/>
              </w:rPr>
            </w:pPr>
            <w:r>
              <w:rPr>
                <w:rFonts w:cs="Arial"/>
                <w:sz w:val="16"/>
                <w:szCs w:val="16"/>
              </w:rPr>
              <w:t>1. pol. 2021</w:t>
            </w:r>
          </w:p>
        </w:tc>
      </w:tr>
      <w:tr w:rsidR="006C7D54" w:rsidRPr="00D92E20" w14:paraId="7A24A8A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5458211" w14:textId="77777777" w:rsidR="006C7D54" w:rsidRPr="00D92E20" w:rsidRDefault="006C7D54" w:rsidP="006C7D54">
            <w:pPr>
              <w:spacing w:after="0" w:line="240" w:lineRule="auto"/>
              <w:rPr>
                <w:rFonts w:cs="Arial"/>
                <w:b/>
                <w:bCs/>
                <w:color w:val="000000"/>
                <w:sz w:val="16"/>
                <w:szCs w:val="16"/>
              </w:rPr>
            </w:pPr>
            <w:r w:rsidRPr="00D92E20">
              <w:rPr>
                <w:rFonts w:cs="Arial"/>
                <w:b/>
                <w:bCs/>
                <w:color w:val="000000"/>
                <w:sz w:val="16"/>
                <w:szCs w:val="16"/>
              </w:rPr>
              <w:t>Celkem</w:t>
            </w:r>
          </w:p>
        </w:tc>
        <w:tc>
          <w:tcPr>
            <w:tcW w:w="595" w:type="dxa"/>
            <w:tcBorders>
              <w:top w:val="nil"/>
              <w:left w:val="nil"/>
              <w:bottom w:val="nil"/>
              <w:right w:val="nil"/>
            </w:tcBorders>
            <w:shd w:val="clear" w:color="auto" w:fill="auto"/>
            <w:noWrap/>
            <w:vAlign w:val="center"/>
            <w:hideMark/>
          </w:tcPr>
          <w:p w14:paraId="469B9021" w14:textId="3AEA563D" w:rsidR="006C7D54" w:rsidRPr="00D92E20" w:rsidRDefault="006C7D54" w:rsidP="006C7D54">
            <w:pPr>
              <w:spacing w:after="0" w:line="240" w:lineRule="auto"/>
              <w:jc w:val="center"/>
              <w:rPr>
                <w:rFonts w:cs="Arial"/>
                <w:b/>
                <w:bCs/>
                <w:color w:val="000000"/>
                <w:sz w:val="16"/>
                <w:szCs w:val="16"/>
              </w:rPr>
            </w:pPr>
            <w:r>
              <w:rPr>
                <w:rFonts w:ascii="Arial CE" w:hAnsi="Arial CE" w:cs="Arial CE"/>
                <w:b/>
                <w:bCs/>
                <w:sz w:val="16"/>
                <w:szCs w:val="16"/>
              </w:rPr>
              <w:t>4,0</w:t>
            </w:r>
          </w:p>
        </w:tc>
        <w:tc>
          <w:tcPr>
            <w:tcW w:w="595" w:type="dxa"/>
            <w:tcBorders>
              <w:top w:val="nil"/>
              <w:left w:val="nil"/>
              <w:bottom w:val="nil"/>
              <w:right w:val="nil"/>
            </w:tcBorders>
            <w:shd w:val="clear" w:color="auto" w:fill="auto"/>
            <w:noWrap/>
            <w:vAlign w:val="center"/>
            <w:hideMark/>
          </w:tcPr>
          <w:p w14:paraId="58F5268A" w14:textId="21E38D10" w:rsidR="006C7D54" w:rsidRPr="00D92E20" w:rsidRDefault="006C7D54" w:rsidP="006C7D54">
            <w:pPr>
              <w:spacing w:after="0" w:line="240" w:lineRule="auto"/>
              <w:jc w:val="center"/>
              <w:rPr>
                <w:rFonts w:cs="Arial"/>
                <w:b/>
                <w:bCs/>
                <w:color w:val="000000"/>
                <w:sz w:val="16"/>
                <w:szCs w:val="16"/>
              </w:rPr>
            </w:pPr>
            <w:r>
              <w:rPr>
                <w:rFonts w:cs="Arial"/>
                <w:b/>
                <w:bCs/>
                <w:sz w:val="16"/>
                <w:szCs w:val="16"/>
              </w:rPr>
              <w:t>3,6</w:t>
            </w:r>
          </w:p>
        </w:tc>
        <w:tc>
          <w:tcPr>
            <w:tcW w:w="595" w:type="dxa"/>
            <w:tcBorders>
              <w:top w:val="nil"/>
              <w:left w:val="nil"/>
              <w:bottom w:val="nil"/>
              <w:right w:val="nil"/>
            </w:tcBorders>
            <w:shd w:val="clear" w:color="auto" w:fill="auto"/>
            <w:noWrap/>
            <w:vAlign w:val="center"/>
            <w:hideMark/>
          </w:tcPr>
          <w:p w14:paraId="4FD47331" w14:textId="7F7C1F78" w:rsidR="006C7D54" w:rsidRPr="00D92E20" w:rsidRDefault="006C7D54" w:rsidP="006C7D54">
            <w:pPr>
              <w:spacing w:after="0" w:line="240" w:lineRule="auto"/>
              <w:jc w:val="center"/>
              <w:rPr>
                <w:rFonts w:cs="Arial"/>
                <w:b/>
                <w:bCs/>
                <w:color w:val="000000"/>
                <w:sz w:val="16"/>
                <w:szCs w:val="16"/>
              </w:rPr>
            </w:pPr>
            <w:r>
              <w:rPr>
                <w:rFonts w:cs="Arial"/>
                <w:b/>
                <w:bCs/>
                <w:sz w:val="16"/>
                <w:szCs w:val="16"/>
              </w:rPr>
              <w:t>4,0</w:t>
            </w:r>
          </w:p>
        </w:tc>
        <w:tc>
          <w:tcPr>
            <w:tcW w:w="595" w:type="dxa"/>
            <w:tcBorders>
              <w:top w:val="nil"/>
              <w:left w:val="nil"/>
              <w:bottom w:val="nil"/>
              <w:right w:val="nil"/>
            </w:tcBorders>
            <w:shd w:val="clear" w:color="auto" w:fill="auto"/>
            <w:noWrap/>
            <w:vAlign w:val="center"/>
            <w:hideMark/>
          </w:tcPr>
          <w:p w14:paraId="245410B2" w14:textId="68796723" w:rsidR="006C7D54" w:rsidRPr="00D92E20" w:rsidRDefault="006C7D54" w:rsidP="006C7D54">
            <w:pPr>
              <w:spacing w:after="0" w:line="240" w:lineRule="auto"/>
              <w:jc w:val="center"/>
              <w:rPr>
                <w:rFonts w:cs="Arial"/>
                <w:b/>
                <w:bCs/>
                <w:color w:val="000000"/>
                <w:sz w:val="16"/>
                <w:szCs w:val="16"/>
              </w:rPr>
            </w:pPr>
            <w:r>
              <w:rPr>
                <w:rFonts w:cs="Arial"/>
                <w:b/>
                <w:bCs/>
                <w:sz w:val="16"/>
                <w:szCs w:val="16"/>
              </w:rPr>
              <w:t>3,8</w:t>
            </w:r>
          </w:p>
        </w:tc>
        <w:tc>
          <w:tcPr>
            <w:tcW w:w="595" w:type="dxa"/>
            <w:tcBorders>
              <w:top w:val="nil"/>
              <w:left w:val="nil"/>
              <w:bottom w:val="nil"/>
              <w:right w:val="nil"/>
            </w:tcBorders>
            <w:shd w:val="clear" w:color="auto" w:fill="auto"/>
            <w:noWrap/>
            <w:vAlign w:val="center"/>
            <w:hideMark/>
          </w:tcPr>
          <w:p w14:paraId="481133BC" w14:textId="23C6B78F" w:rsidR="006C7D54" w:rsidRPr="00D92E20" w:rsidRDefault="006C7D54" w:rsidP="006C7D54">
            <w:pPr>
              <w:spacing w:after="0" w:line="240" w:lineRule="auto"/>
              <w:jc w:val="center"/>
              <w:rPr>
                <w:rFonts w:cs="Arial"/>
                <w:b/>
                <w:bCs/>
                <w:color w:val="000000"/>
                <w:sz w:val="16"/>
                <w:szCs w:val="16"/>
              </w:rPr>
            </w:pPr>
            <w:r>
              <w:rPr>
                <w:rFonts w:cs="Arial"/>
                <w:b/>
                <w:bCs/>
                <w:sz w:val="16"/>
                <w:szCs w:val="16"/>
              </w:rPr>
              <w:t>4,3</w:t>
            </w:r>
          </w:p>
        </w:tc>
        <w:tc>
          <w:tcPr>
            <w:tcW w:w="595" w:type="dxa"/>
            <w:tcBorders>
              <w:top w:val="nil"/>
              <w:left w:val="nil"/>
              <w:bottom w:val="nil"/>
              <w:right w:val="nil"/>
            </w:tcBorders>
            <w:shd w:val="clear" w:color="auto" w:fill="auto"/>
            <w:noWrap/>
            <w:vAlign w:val="center"/>
            <w:hideMark/>
          </w:tcPr>
          <w:p w14:paraId="56FAA08B" w14:textId="5F3E941A"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4,5</w:t>
            </w:r>
          </w:p>
        </w:tc>
        <w:tc>
          <w:tcPr>
            <w:tcW w:w="595" w:type="dxa"/>
            <w:tcBorders>
              <w:top w:val="nil"/>
              <w:left w:val="nil"/>
              <w:bottom w:val="nil"/>
              <w:right w:val="nil"/>
            </w:tcBorders>
            <w:shd w:val="clear" w:color="auto" w:fill="auto"/>
            <w:noWrap/>
            <w:vAlign w:val="center"/>
            <w:hideMark/>
          </w:tcPr>
          <w:p w14:paraId="67EDC7E4" w14:textId="547FF298"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4,6</w:t>
            </w:r>
          </w:p>
        </w:tc>
        <w:tc>
          <w:tcPr>
            <w:tcW w:w="595" w:type="dxa"/>
            <w:tcBorders>
              <w:top w:val="nil"/>
              <w:left w:val="nil"/>
              <w:bottom w:val="nil"/>
              <w:right w:val="nil"/>
            </w:tcBorders>
            <w:shd w:val="clear" w:color="auto" w:fill="auto"/>
            <w:noWrap/>
            <w:vAlign w:val="center"/>
            <w:hideMark/>
          </w:tcPr>
          <w:p w14:paraId="281A560A" w14:textId="1FF6AE3D"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156379CE" w14:textId="3DFCC005"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4,8</w:t>
            </w:r>
          </w:p>
        </w:tc>
        <w:tc>
          <w:tcPr>
            <w:tcW w:w="595" w:type="dxa"/>
            <w:tcBorders>
              <w:top w:val="nil"/>
              <w:left w:val="nil"/>
              <w:bottom w:val="nil"/>
              <w:right w:val="nil"/>
            </w:tcBorders>
            <w:shd w:val="clear" w:color="auto" w:fill="auto"/>
            <w:noWrap/>
            <w:vAlign w:val="center"/>
            <w:hideMark/>
          </w:tcPr>
          <w:p w14:paraId="244481D8" w14:textId="76982F60"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5,6</w:t>
            </w:r>
          </w:p>
        </w:tc>
        <w:tc>
          <w:tcPr>
            <w:tcW w:w="595" w:type="dxa"/>
            <w:tcBorders>
              <w:top w:val="nil"/>
              <w:left w:val="nil"/>
              <w:bottom w:val="nil"/>
              <w:right w:val="nil"/>
            </w:tcBorders>
            <w:shd w:val="clear" w:color="auto" w:fill="auto"/>
            <w:noWrap/>
            <w:vAlign w:val="center"/>
            <w:hideMark/>
          </w:tcPr>
          <w:p w14:paraId="7336032C" w14:textId="0DC23091" w:rsidR="006C7D54" w:rsidRPr="00D92E20" w:rsidRDefault="006C7D54" w:rsidP="006C7D54">
            <w:pPr>
              <w:spacing w:after="0" w:line="240" w:lineRule="auto"/>
              <w:jc w:val="center"/>
              <w:rPr>
                <w:rFonts w:cs="Arial"/>
                <w:b/>
                <w:bCs/>
                <w:color w:val="000000"/>
                <w:sz w:val="16"/>
                <w:szCs w:val="16"/>
              </w:rPr>
            </w:pPr>
            <w:r>
              <w:rPr>
                <w:rFonts w:cs="Arial"/>
                <w:b/>
                <w:bCs/>
                <w:color w:val="000000"/>
                <w:sz w:val="16"/>
                <w:szCs w:val="16"/>
              </w:rPr>
              <w:t>6,0</w:t>
            </w:r>
          </w:p>
        </w:tc>
      </w:tr>
      <w:tr w:rsidR="006C7D54" w:rsidRPr="00D92E20" w14:paraId="20663403"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7CDA8D25" w14:textId="450F19BF"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6765C5D7" w14:textId="1073D174"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5,2</w:t>
            </w:r>
          </w:p>
        </w:tc>
        <w:tc>
          <w:tcPr>
            <w:tcW w:w="595" w:type="dxa"/>
            <w:tcBorders>
              <w:top w:val="nil"/>
              <w:left w:val="nil"/>
              <w:bottom w:val="nil"/>
              <w:right w:val="nil"/>
            </w:tcBorders>
            <w:shd w:val="clear" w:color="auto" w:fill="auto"/>
            <w:noWrap/>
            <w:vAlign w:val="center"/>
            <w:hideMark/>
          </w:tcPr>
          <w:p w14:paraId="4663BD9E" w14:textId="45F689E2" w:rsidR="006C7D54" w:rsidRPr="00D92E20" w:rsidRDefault="006C7D54" w:rsidP="006C7D54">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7B6E418B" w14:textId="12C4FE54" w:rsidR="006C7D54" w:rsidRPr="00D92E20" w:rsidRDefault="006C7D54" w:rsidP="006C7D54">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4FD567F5" w14:textId="65AB6F70" w:rsidR="006C7D54" w:rsidRPr="00D92E20" w:rsidRDefault="006C7D54" w:rsidP="006C7D54">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49020296" w14:textId="154C565E" w:rsidR="006C7D54" w:rsidRPr="00D92E20" w:rsidRDefault="006C7D54" w:rsidP="006C7D54">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6D2A1380" w14:textId="2C3A55C4" w:rsidR="006C7D54" w:rsidRPr="00D92E20" w:rsidRDefault="006C7D54" w:rsidP="006C7D54">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023AFBA2" w14:textId="6E66E358" w:rsidR="006C7D54" w:rsidRPr="00D92E20" w:rsidRDefault="006C7D54" w:rsidP="006C7D54">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2BD41925" w14:textId="57809B74" w:rsidR="006C7D54" w:rsidRPr="00D92E20" w:rsidRDefault="006C7D54" w:rsidP="006C7D54">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02D56921" w14:textId="41B3DEAD" w:rsidR="006C7D54" w:rsidRPr="00D92E20" w:rsidRDefault="006C7D54" w:rsidP="006C7D54">
            <w:pPr>
              <w:spacing w:after="0" w:line="240" w:lineRule="auto"/>
              <w:jc w:val="center"/>
              <w:rPr>
                <w:rFonts w:cs="Arial"/>
                <w:color w:val="000000"/>
                <w:sz w:val="16"/>
                <w:szCs w:val="16"/>
              </w:rPr>
            </w:pPr>
            <w:r>
              <w:rPr>
                <w:rFonts w:cs="Arial"/>
                <w:color w:val="000000"/>
                <w:sz w:val="16"/>
                <w:szCs w:val="16"/>
              </w:rPr>
              <w:t>5,8</w:t>
            </w:r>
          </w:p>
        </w:tc>
        <w:tc>
          <w:tcPr>
            <w:tcW w:w="595" w:type="dxa"/>
            <w:tcBorders>
              <w:top w:val="nil"/>
              <w:left w:val="nil"/>
              <w:bottom w:val="nil"/>
              <w:right w:val="nil"/>
            </w:tcBorders>
            <w:shd w:val="clear" w:color="auto" w:fill="auto"/>
            <w:noWrap/>
            <w:vAlign w:val="center"/>
            <w:hideMark/>
          </w:tcPr>
          <w:p w14:paraId="502EC272" w14:textId="3E8C58EB" w:rsidR="006C7D54" w:rsidRPr="00D92E20" w:rsidRDefault="006C7D54" w:rsidP="006C7D54">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2CE676BE" w14:textId="7E14FB7A" w:rsidR="006C7D54" w:rsidRPr="00D92E20" w:rsidRDefault="006C7D54" w:rsidP="006C7D54">
            <w:pPr>
              <w:spacing w:after="0" w:line="240" w:lineRule="auto"/>
              <w:jc w:val="center"/>
              <w:rPr>
                <w:rFonts w:cs="Arial"/>
                <w:color w:val="000000"/>
                <w:sz w:val="16"/>
                <w:szCs w:val="16"/>
              </w:rPr>
            </w:pPr>
            <w:r>
              <w:rPr>
                <w:rFonts w:cs="Arial"/>
                <w:color w:val="000000"/>
                <w:sz w:val="16"/>
                <w:szCs w:val="16"/>
              </w:rPr>
              <w:t>7,0</w:t>
            </w:r>
          </w:p>
        </w:tc>
      </w:tr>
      <w:tr w:rsidR="006C7D54" w:rsidRPr="00D92E20" w14:paraId="1113BCC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0BE61A87"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95" w:type="dxa"/>
            <w:tcBorders>
              <w:top w:val="nil"/>
              <w:left w:val="nil"/>
              <w:bottom w:val="nil"/>
              <w:right w:val="nil"/>
            </w:tcBorders>
            <w:shd w:val="clear" w:color="auto" w:fill="auto"/>
            <w:noWrap/>
            <w:vAlign w:val="center"/>
            <w:hideMark/>
          </w:tcPr>
          <w:p w14:paraId="159472CE" w14:textId="5AA5A50C"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4,4</w:t>
            </w:r>
          </w:p>
        </w:tc>
        <w:tc>
          <w:tcPr>
            <w:tcW w:w="595" w:type="dxa"/>
            <w:tcBorders>
              <w:top w:val="nil"/>
              <w:left w:val="nil"/>
              <w:bottom w:val="nil"/>
              <w:right w:val="nil"/>
            </w:tcBorders>
            <w:shd w:val="clear" w:color="auto" w:fill="auto"/>
            <w:noWrap/>
            <w:vAlign w:val="center"/>
            <w:hideMark/>
          </w:tcPr>
          <w:p w14:paraId="7B05006E" w14:textId="2EEFE56F" w:rsidR="006C7D54" w:rsidRPr="00D92E20" w:rsidRDefault="006C7D54" w:rsidP="006C7D54">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09EE73A0" w14:textId="22168A0D" w:rsidR="006C7D54" w:rsidRPr="00D92E20" w:rsidRDefault="006C7D54" w:rsidP="006C7D54">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1BD677C0" w14:textId="7B3A2BB4" w:rsidR="006C7D54" w:rsidRPr="00D92E20" w:rsidRDefault="006C7D54" w:rsidP="006C7D54">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0DBCC430" w14:textId="2CE4C998" w:rsidR="006C7D54" w:rsidRPr="00D92E20" w:rsidRDefault="006C7D54" w:rsidP="006C7D54">
            <w:pPr>
              <w:spacing w:after="0" w:line="240" w:lineRule="auto"/>
              <w:jc w:val="center"/>
              <w:rPr>
                <w:rFonts w:cs="Arial"/>
                <w:color w:val="000000"/>
                <w:sz w:val="16"/>
                <w:szCs w:val="16"/>
              </w:rPr>
            </w:pPr>
            <w:r>
              <w:rPr>
                <w:rFonts w:cs="Arial"/>
                <w:sz w:val="16"/>
                <w:szCs w:val="16"/>
              </w:rPr>
              <w:t>5,0</w:t>
            </w:r>
          </w:p>
        </w:tc>
        <w:tc>
          <w:tcPr>
            <w:tcW w:w="595" w:type="dxa"/>
            <w:tcBorders>
              <w:top w:val="nil"/>
              <w:left w:val="nil"/>
              <w:bottom w:val="nil"/>
              <w:right w:val="nil"/>
            </w:tcBorders>
            <w:shd w:val="clear" w:color="auto" w:fill="auto"/>
            <w:noWrap/>
            <w:vAlign w:val="center"/>
            <w:hideMark/>
          </w:tcPr>
          <w:p w14:paraId="1DBF2B33" w14:textId="5D1636D8" w:rsidR="006C7D54" w:rsidRPr="00D92E20" w:rsidRDefault="006C7D54" w:rsidP="006C7D54">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49E8FB20" w14:textId="76BCEB06" w:rsidR="006C7D54" w:rsidRPr="00D92E20" w:rsidRDefault="006C7D54" w:rsidP="006C7D54">
            <w:pPr>
              <w:spacing w:after="0" w:line="240" w:lineRule="auto"/>
              <w:jc w:val="center"/>
              <w:rPr>
                <w:rFonts w:cs="Arial"/>
                <w:color w:val="000000"/>
                <w:sz w:val="16"/>
                <w:szCs w:val="16"/>
              </w:rPr>
            </w:pPr>
            <w:r>
              <w:rPr>
                <w:rFonts w:cs="Arial"/>
                <w:color w:val="000000"/>
                <w:sz w:val="16"/>
                <w:szCs w:val="16"/>
              </w:rPr>
              <w:t>6,6</w:t>
            </w:r>
          </w:p>
        </w:tc>
        <w:tc>
          <w:tcPr>
            <w:tcW w:w="595" w:type="dxa"/>
            <w:tcBorders>
              <w:top w:val="nil"/>
              <w:left w:val="nil"/>
              <w:bottom w:val="nil"/>
              <w:right w:val="nil"/>
            </w:tcBorders>
            <w:shd w:val="clear" w:color="auto" w:fill="auto"/>
            <w:noWrap/>
            <w:vAlign w:val="center"/>
            <w:hideMark/>
          </w:tcPr>
          <w:p w14:paraId="09F6CBED" w14:textId="074ADBEC"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5BF9F9A5" w14:textId="01356168" w:rsidR="006C7D54" w:rsidRPr="00D92E20" w:rsidRDefault="006C7D54" w:rsidP="006C7D54">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1FEB11C6" w14:textId="5E7AA906" w:rsidR="006C7D54" w:rsidRPr="00D92E20" w:rsidRDefault="006C7D54" w:rsidP="006C7D54">
            <w:pPr>
              <w:spacing w:after="0" w:line="240" w:lineRule="auto"/>
              <w:jc w:val="center"/>
              <w:rPr>
                <w:rFonts w:cs="Arial"/>
                <w:color w:val="000000"/>
                <w:sz w:val="16"/>
                <w:szCs w:val="16"/>
              </w:rPr>
            </w:pPr>
            <w:r>
              <w:rPr>
                <w:rFonts w:cs="Arial"/>
                <w:color w:val="000000"/>
                <w:sz w:val="16"/>
                <w:szCs w:val="16"/>
              </w:rPr>
              <w:t>7,6</w:t>
            </w:r>
          </w:p>
        </w:tc>
        <w:tc>
          <w:tcPr>
            <w:tcW w:w="595" w:type="dxa"/>
            <w:tcBorders>
              <w:top w:val="nil"/>
              <w:left w:val="nil"/>
              <w:bottom w:val="nil"/>
              <w:right w:val="nil"/>
            </w:tcBorders>
            <w:shd w:val="clear" w:color="auto" w:fill="auto"/>
            <w:noWrap/>
            <w:vAlign w:val="center"/>
            <w:hideMark/>
          </w:tcPr>
          <w:p w14:paraId="1815A2D0" w14:textId="4F8E6C3E" w:rsidR="006C7D54" w:rsidRPr="00D92E20" w:rsidRDefault="006C7D54" w:rsidP="006C7D54">
            <w:pPr>
              <w:spacing w:after="0" w:line="240" w:lineRule="auto"/>
              <w:jc w:val="center"/>
              <w:rPr>
                <w:rFonts w:cs="Arial"/>
                <w:color w:val="000000"/>
                <w:sz w:val="16"/>
                <w:szCs w:val="16"/>
              </w:rPr>
            </w:pPr>
            <w:r>
              <w:rPr>
                <w:rFonts w:cs="Arial"/>
                <w:color w:val="000000"/>
                <w:sz w:val="16"/>
                <w:szCs w:val="16"/>
              </w:rPr>
              <w:t>8,8</w:t>
            </w:r>
          </w:p>
        </w:tc>
      </w:tr>
      <w:tr w:rsidR="006C7D54" w:rsidRPr="00D92E20" w14:paraId="049C815A"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3D3E3FD7"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95" w:type="dxa"/>
            <w:tcBorders>
              <w:top w:val="nil"/>
              <w:left w:val="nil"/>
              <w:bottom w:val="nil"/>
              <w:right w:val="nil"/>
            </w:tcBorders>
            <w:shd w:val="clear" w:color="auto" w:fill="auto"/>
            <w:noWrap/>
            <w:vAlign w:val="center"/>
            <w:hideMark/>
          </w:tcPr>
          <w:p w14:paraId="1823E643" w14:textId="6EFDBF92"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4,6</w:t>
            </w:r>
          </w:p>
        </w:tc>
        <w:tc>
          <w:tcPr>
            <w:tcW w:w="595" w:type="dxa"/>
            <w:tcBorders>
              <w:top w:val="nil"/>
              <w:left w:val="nil"/>
              <w:bottom w:val="nil"/>
              <w:right w:val="nil"/>
            </w:tcBorders>
            <w:shd w:val="clear" w:color="auto" w:fill="auto"/>
            <w:noWrap/>
            <w:vAlign w:val="center"/>
            <w:hideMark/>
          </w:tcPr>
          <w:p w14:paraId="344552EF" w14:textId="1F7FDA9E" w:rsidR="006C7D54" w:rsidRPr="00D92E20" w:rsidRDefault="006C7D54" w:rsidP="006C7D54">
            <w:pPr>
              <w:spacing w:after="0" w:line="240" w:lineRule="auto"/>
              <w:jc w:val="center"/>
              <w:rPr>
                <w:rFonts w:cs="Arial"/>
                <w:color w:val="000000"/>
                <w:sz w:val="16"/>
                <w:szCs w:val="16"/>
              </w:rPr>
            </w:pPr>
            <w:r>
              <w:rPr>
                <w:rFonts w:cs="Arial"/>
                <w:sz w:val="16"/>
                <w:szCs w:val="16"/>
              </w:rPr>
              <w:t>4,4</w:t>
            </w:r>
          </w:p>
        </w:tc>
        <w:tc>
          <w:tcPr>
            <w:tcW w:w="595" w:type="dxa"/>
            <w:tcBorders>
              <w:top w:val="nil"/>
              <w:left w:val="nil"/>
              <w:bottom w:val="nil"/>
              <w:right w:val="nil"/>
            </w:tcBorders>
            <w:shd w:val="clear" w:color="auto" w:fill="auto"/>
            <w:noWrap/>
            <w:vAlign w:val="center"/>
            <w:hideMark/>
          </w:tcPr>
          <w:p w14:paraId="628B764F" w14:textId="275D5A7B" w:rsidR="006C7D54" w:rsidRPr="00D92E20" w:rsidRDefault="006C7D54" w:rsidP="006C7D54">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1B46AC96" w14:textId="13D79943" w:rsidR="006C7D54" w:rsidRPr="00D92E20" w:rsidRDefault="006C7D54" w:rsidP="006C7D54">
            <w:pPr>
              <w:spacing w:after="0" w:line="240" w:lineRule="auto"/>
              <w:jc w:val="center"/>
              <w:rPr>
                <w:rFonts w:cs="Arial"/>
                <w:color w:val="000000"/>
                <w:sz w:val="16"/>
                <w:szCs w:val="16"/>
              </w:rPr>
            </w:pPr>
            <w:r>
              <w:rPr>
                <w:rFonts w:cs="Arial"/>
                <w:sz w:val="16"/>
                <w:szCs w:val="16"/>
              </w:rPr>
              <w:t>4,6</w:t>
            </w:r>
          </w:p>
        </w:tc>
        <w:tc>
          <w:tcPr>
            <w:tcW w:w="595" w:type="dxa"/>
            <w:tcBorders>
              <w:top w:val="nil"/>
              <w:left w:val="nil"/>
              <w:bottom w:val="nil"/>
              <w:right w:val="nil"/>
            </w:tcBorders>
            <w:shd w:val="clear" w:color="auto" w:fill="auto"/>
            <w:noWrap/>
            <w:vAlign w:val="center"/>
            <w:hideMark/>
          </w:tcPr>
          <w:p w14:paraId="0157C1F3" w14:textId="383A9ECC" w:rsidR="006C7D54" w:rsidRPr="00D92E20" w:rsidRDefault="006C7D54" w:rsidP="006C7D54">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1EB83762" w14:textId="3C1A76B7" w:rsidR="006C7D54" w:rsidRPr="00D92E20" w:rsidRDefault="006C7D54" w:rsidP="006C7D54">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1C31759C" w14:textId="361A59F0"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307999D5" w14:textId="0E6BA0C8" w:rsidR="006C7D54" w:rsidRPr="00D92E20" w:rsidRDefault="006C7D54" w:rsidP="006C7D54">
            <w:pPr>
              <w:spacing w:after="0" w:line="240" w:lineRule="auto"/>
              <w:jc w:val="center"/>
              <w:rPr>
                <w:rFonts w:cs="Arial"/>
                <w:color w:val="000000"/>
                <w:sz w:val="16"/>
                <w:szCs w:val="16"/>
              </w:rPr>
            </w:pPr>
            <w:r>
              <w:rPr>
                <w:rFonts w:cs="Arial"/>
                <w:color w:val="000000"/>
                <w:sz w:val="16"/>
                <w:szCs w:val="16"/>
              </w:rPr>
              <w:t>6,1</w:t>
            </w:r>
          </w:p>
        </w:tc>
        <w:tc>
          <w:tcPr>
            <w:tcW w:w="595" w:type="dxa"/>
            <w:tcBorders>
              <w:top w:val="nil"/>
              <w:left w:val="nil"/>
              <w:bottom w:val="nil"/>
              <w:right w:val="nil"/>
            </w:tcBorders>
            <w:shd w:val="clear" w:color="auto" w:fill="auto"/>
            <w:noWrap/>
            <w:vAlign w:val="center"/>
            <w:hideMark/>
          </w:tcPr>
          <w:p w14:paraId="440F4C65" w14:textId="771FA17E" w:rsidR="006C7D54" w:rsidRPr="00D92E20" w:rsidRDefault="006C7D54" w:rsidP="006C7D54">
            <w:pPr>
              <w:spacing w:after="0" w:line="240" w:lineRule="auto"/>
              <w:jc w:val="center"/>
              <w:rPr>
                <w:rFonts w:cs="Arial"/>
                <w:color w:val="000000"/>
                <w:sz w:val="16"/>
                <w:szCs w:val="16"/>
              </w:rPr>
            </w:pPr>
            <w:r>
              <w:rPr>
                <w:rFonts w:cs="Arial"/>
                <w:color w:val="000000"/>
                <w:sz w:val="16"/>
                <w:szCs w:val="16"/>
              </w:rPr>
              <w:t>6,3</w:t>
            </w:r>
          </w:p>
        </w:tc>
        <w:tc>
          <w:tcPr>
            <w:tcW w:w="595" w:type="dxa"/>
            <w:tcBorders>
              <w:top w:val="nil"/>
              <w:left w:val="nil"/>
              <w:bottom w:val="nil"/>
              <w:right w:val="nil"/>
            </w:tcBorders>
            <w:shd w:val="clear" w:color="auto" w:fill="auto"/>
            <w:noWrap/>
            <w:vAlign w:val="center"/>
            <w:hideMark/>
          </w:tcPr>
          <w:p w14:paraId="19F28FE1" w14:textId="332FBF5D" w:rsidR="006C7D54" w:rsidRPr="00D92E20" w:rsidRDefault="006C7D54" w:rsidP="006C7D54">
            <w:pPr>
              <w:spacing w:after="0" w:line="240" w:lineRule="auto"/>
              <w:jc w:val="center"/>
              <w:rPr>
                <w:rFonts w:cs="Arial"/>
                <w:color w:val="000000"/>
                <w:sz w:val="16"/>
                <w:szCs w:val="16"/>
              </w:rPr>
            </w:pPr>
            <w:r>
              <w:rPr>
                <w:rFonts w:cs="Arial"/>
                <w:color w:val="000000"/>
                <w:sz w:val="16"/>
                <w:szCs w:val="16"/>
              </w:rPr>
              <w:t>7,2</w:t>
            </w:r>
          </w:p>
        </w:tc>
        <w:tc>
          <w:tcPr>
            <w:tcW w:w="595" w:type="dxa"/>
            <w:tcBorders>
              <w:top w:val="nil"/>
              <w:left w:val="nil"/>
              <w:bottom w:val="nil"/>
              <w:right w:val="nil"/>
            </w:tcBorders>
            <w:shd w:val="clear" w:color="auto" w:fill="auto"/>
            <w:noWrap/>
            <w:vAlign w:val="center"/>
            <w:hideMark/>
          </w:tcPr>
          <w:p w14:paraId="098669FB" w14:textId="5BE00E35" w:rsidR="006C7D54" w:rsidRPr="00D92E20" w:rsidRDefault="006C7D54" w:rsidP="006C7D54">
            <w:pPr>
              <w:spacing w:after="0" w:line="240" w:lineRule="auto"/>
              <w:jc w:val="center"/>
              <w:rPr>
                <w:rFonts w:cs="Arial"/>
                <w:color w:val="000000"/>
                <w:sz w:val="16"/>
                <w:szCs w:val="16"/>
              </w:rPr>
            </w:pPr>
            <w:r>
              <w:rPr>
                <w:rFonts w:cs="Arial"/>
                <w:color w:val="000000"/>
                <w:sz w:val="16"/>
                <w:szCs w:val="16"/>
              </w:rPr>
              <w:t>7,9</w:t>
            </w:r>
          </w:p>
        </w:tc>
      </w:tr>
      <w:tr w:rsidR="006C7D54" w:rsidRPr="00D92E20" w14:paraId="4827B5E3"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E463907" w14:textId="77777777" w:rsidR="006C7D54"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w:t>
            </w:r>
            <w:r>
              <w:rPr>
                <w:rFonts w:cs="Arial"/>
                <w:color w:val="000000"/>
                <w:sz w:val="16"/>
                <w:szCs w:val="16"/>
              </w:rPr>
              <w:t xml:space="preserve">plynu,  </w:t>
            </w:r>
          </w:p>
          <w:p w14:paraId="408A3A82" w14:textId="46351F35" w:rsidR="006C7D54" w:rsidRPr="00D92E20" w:rsidRDefault="006C7D54" w:rsidP="006C7D54">
            <w:pPr>
              <w:spacing w:after="0" w:line="240" w:lineRule="auto"/>
              <w:ind w:firstLineChars="100" w:firstLine="160"/>
              <w:rPr>
                <w:rFonts w:cs="Arial"/>
                <w:color w:val="000000"/>
                <w:sz w:val="16"/>
                <w:szCs w:val="16"/>
              </w:rPr>
            </w:pPr>
            <w:r>
              <w:rPr>
                <w:rFonts w:cs="Arial"/>
                <w:color w:val="000000"/>
                <w:sz w:val="16"/>
                <w:szCs w:val="16"/>
              </w:rPr>
              <w:t xml:space="preserve">       tepla</w:t>
            </w:r>
            <w:r w:rsidRPr="00D92E20">
              <w:rPr>
                <w:rFonts w:cs="Arial"/>
                <w:color w:val="000000"/>
                <w:sz w:val="16"/>
                <w:szCs w:val="16"/>
              </w:rPr>
              <w:t xml:space="preserve"> a klimatizovaného vzduchu</w:t>
            </w:r>
          </w:p>
        </w:tc>
        <w:tc>
          <w:tcPr>
            <w:tcW w:w="595" w:type="dxa"/>
            <w:tcBorders>
              <w:top w:val="nil"/>
              <w:left w:val="nil"/>
              <w:bottom w:val="nil"/>
              <w:right w:val="nil"/>
            </w:tcBorders>
            <w:shd w:val="clear" w:color="auto" w:fill="auto"/>
            <w:noWrap/>
            <w:vAlign w:val="center"/>
            <w:hideMark/>
          </w:tcPr>
          <w:p w14:paraId="11F36F8A" w14:textId="06630E82"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2,2</w:t>
            </w:r>
          </w:p>
        </w:tc>
        <w:tc>
          <w:tcPr>
            <w:tcW w:w="595" w:type="dxa"/>
            <w:tcBorders>
              <w:top w:val="nil"/>
              <w:left w:val="nil"/>
              <w:bottom w:val="nil"/>
              <w:right w:val="nil"/>
            </w:tcBorders>
            <w:shd w:val="clear" w:color="auto" w:fill="auto"/>
            <w:noWrap/>
            <w:vAlign w:val="center"/>
            <w:hideMark/>
          </w:tcPr>
          <w:p w14:paraId="430AB13D" w14:textId="533025EA" w:rsidR="006C7D54" w:rsidRPr="00D92E20" w:rsidRDefault="006C7D54" w:rsidP="006C7D54">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0C3E3C2B" w14:textId="135A985F"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A96EA47" w14:textId="72AEC579" w:rsidR="006C7D54" w:rsidRPr="00D92E20" w:rsidRDefault="006C7D54" w:rsidP="006C7D54">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1AA68986" w14:textId="1F26DF87" w:rsidR="006C7D54" w:rsidRPr="00D92E20" w:rsidRDefault="006C7D54" w:rsidP="006C7D54">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01F6AA75" w14:textId="6462182A" w:rsidR="006C7D54" w:rsidRPr="00D92E20" w:rsidRDefault="006C7D54" w:rsidP="006C7D54">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6EF5F6A2" w14:textId="713C4BD7" w:rsidR="006C7D54" w:rsidRPr="00D92E20" w:rsidRDefault="006C7D54" w:rsidP="006C7D54">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6D03A487" w14:textId="10B44D13" w:rsidR="006C7D54" w:rsidRPr="00D92E20" w:rsidRDefault="006C7D54" w:rsidP="006C7D54">
            <w:pPr>
              <w:spacing w:after="0" w:line="240" w:lineRule="auto"/>
              <w:jc w:val="center"/>
              <w:rPr>
                <w:rFonts w:cs="Arial"/>
                <w:color w:val="000000"/>
                <w:sz w:val="16"/>
                <w:szCs w:val="16"/>
              </w:rPr>
            </w:pPr>
            <w:r>
              <w:rPr>
                <w:rFonts w:cs="Arial"/>
                <w:color w:val="000000"/>
                <w:sz w:val="16"/>
                <w:szCs w:val="16"/>
              </w:rPr>
              <w:t>3,0</w:t>
            </w:r>
          </w:p>
        </w:tc>
        <w:tc>
          <w:tcPr>
            <w:tcW w:w="595" w:type="dxa"/>
            <w:tcBorders>
              <w:top w:val="nil"/>
              <w:left w:val="nil"/>
              <w:bottom w:val="nil"/>
              <w:right w:val="nil"/>
            </w:tcBorders>
            <w:shd w:val="clear" w:color="auto" w:fill="auto"/>
            <w:noWrap/>
            <w:vAlign w:val="center"/>
            <w:hideMark/>
          </w:tcPr>
          <w:p w14:paraId="3FCBD3BE" w14:textId="6C34C8EF" w:rsidR="006C7D54" w:rsidRPr="00D92E20" w:rsidRDefault="006C7D54" w:rsidP="006C7D54">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0986EDE1" w14:textId="5D25B31A" w:rsidR="006C7D54" w:rsidRPr="00D92E20" w:rsidRDefault="006C7D54" w:rsidP="006C7D54">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186079A7" w14:textId="74B468BE" w:rsidR="006C7D54" w:rsidRPr="00D92E20" w:rsidRDefault="006C7D54" w:rsidP="006C7D54">
            <w:pPr>
              <w:spacing w:after="0" w:line="240" w:lineRule="auto"/>
              <w:jc w:val="center"/>
              <w:rPr>
                <w:rFonts w:cs="Arial"/>
                <w:color w:val="000000"/>
                <w:sz w:val="16"/>
                <w:szCs w:val="16"/>
              </w:rPr>
            </w:pPr>
            <w:r>
              <w:rPr>
                <w:rFonts w:cs="Arial"/>
                <w:color w:val="000000"/>
                <w:sz w:val="16"/>
                <w:szCs w:val="16"/>
              </w:rPr>
              <w:t>3,9</w:t>
            </w:r>
          </w:p>
        </w:tc>
      </w:tr>
      <w:tr w:rsidR="006C7D54" w:rsidRPr="00D92E20" w14:paraId="0C9189A1"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3679A47A"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95" w:type="dxa"/>
            <w:tcBorders>
              <w:top w:val="nil"/>
              <w:left w:val="nil"/>
              <w:bottom w:val="nil"/>
              <w:right w:val="nil"/>
            </w:tcBorders>
            <w:shd w:val="clear" w:color="auto" w:fill="auto"/>
            <w:noWrap/>
            <w:vAlign w:val="center"/>
            <w:hideMark/>
          </w:tcPr>
          <w:p w14:paraId="73A79C15" w14:textId="0CD4B106"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3,9</w:t>
            </w:r>
          </w:p>
        </w:tc>
        <w:tc>
          <w:tcPr>
            <w:tcW w:w="595" w:type="dxa"/>
            <w:tcBorders>
              <w:top w:val="nil"/>
              <w:left w:val="nil"/>
              <w:bottom w:val="nil"/>
              <w:right w:val="nil"/>
            </w:tcBorders>
            <w:shd w:val="clear" w:color="auto" w:fill="auto"/>
            <w:noWrap/>
            <w:vAlign w:val="center"/>
            <w:hideMark/>
          </w:tcPr>
          <w:p w14:paraId="001BC193" w14:textId="1C75ACD6" w:rsidR="006C7D54" w:rsidRPr="00D92E20" w:rsidRDefault="006C7D54" w:rsidP="006C7D54">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43DDE644" w14:textId="2C83ACAE" w:rsidR="006C7D54" w:rsidRPr="00D92E20" w:rsidRDefault="006C7D54" w:rsidP="006C7D54">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32D78B95" w14:textId="3B299BA1" w:rsidR="006C7D54" w:rsidRPr="00D92E20" w:rsidRDefault="006C7D54" w:rsidP="006C7D54">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1212A2EE" w14:textId="45844444" w:rsidR="006C7D54" w:rsidRPr="00D92E20" w:rsidRDefault="006C7D54" w:rsidP="006C7D54">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70014918" w14:textId="5299E83B" w:rsidR="006C7D54" w:rsidRPr="00D92E20" w:rsidRDefault="006C7D54" w:rsidP="006C7D54">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7C5E063E" w14:textId="3F187030" w:rsidR="006C7D54" w:rsidRPr="00D92E20" w:rsidRDefault="006C7D54" w:rsidP="006C7D54">
            <w:pPr>
              <w:spacing w:after="0" w:line="240" w:lineRule="auto"/>
              <w:jc w:val="center"/>
              <w:rPr>
                <w:rFonts w:cs="Arial"/>
                <w:color w:val="000000"/>
                <w:sz w:val="16"/>
                <w:szCs w:val="16"/>
              </w:rPr>
            </w:pPr>
            <w:r>
              <w:rPr>
                <w:rFonts w:cs="Arial"/>
                <w:color w:val="000000"/>
                <w:sz w:val="16"/>
                <w:szCs w:val="16"/>
              </w:rPr>
              <w:t>5,0</w:t>
            </w:r>
          </w:p>
        </w:tc>
        <w:tc>
          <w:tcPr>
            <w:tcW w:w="595" w:type="dxa"/>
            <w:tcBorders>
              <w:top w:val="nil"/>
              <w:left w:val="nil"/>
              <w:bottom w:val="nil"/>
              <w:right w:val="nil"/>
            </w:tcBorders>
            <w:shd w:val="clear" w:color="auto" w:fill="auto"/>
            <w:noWrap/>
            <w:vAlign w:val="center"/>
            <w:hideMark/>
          </w:tcPr>
          <w:p w14:paraId="3E226159" w14:textId="0CB10932" w:rsidR="006C7D54" w:rsidRPr="00D92E20" w:rsidRDefault="006C7D54" w:rsidP="006C7D54">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47FD71AB" w14:textId="55406266" w:rsidR="006C7D54" w:rsidRPr="00D92E20" w:rsidRDefault="006C7D54" w:rsidP="006C7D54">
            <w:pPr>
              <w:spacing w:after="0" w:line="240" w:lineRule="auto"/>
              <w:jc w:val="center"/>
              <w:rPr>
                <w:rFonts w:cs="Arial"/>
                <w:color w:val="000000"/>
                <w:sz w:val="16"/>
                <w:szCs w:val="16"/>
              </w:rPr>
            </w:pPr>
            <w:r>
              <w:rPr>
                <w:rFonts w:cs="Arial"/>
                <w:color w:val="000000"/>
                <w:sz w:val="16"/>
                <w:szCs w:val="16"/>
              </w:rPr>
              <w:t>5,4</w:t>
            </w:r>
          </w:p>
        </w:tc>
        <w:tc>
          <w:tcPr>
            <w:tcW w:w="595" w:type="dxa"/>
            <w:tcBorders>
              <w:top w:val="nil"/>
              <w:left w:val="nil"/>
              <w:bottom w:val="nil"/>
              <w:right w:val="nil"/>
            </w:tcBorders>
            <w:shd w:val="clear" w:color="auto" w:fill="auto"/>
            <w:noWrap/>
            <w:vAlign w:val="center"/>
            <w:hideMark/>
          </w:tcPr>
          <w:p w14:paraId="60FE7AE5" w14:textId="3B65404E"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1DBD91DD" w14:textId="3C0A9D12" w:rsidR="006C7D54" w:rsidRPr="00D92E20" w:rsidRDefault="006C7D54" w:rsidP="006C7D54">
            <w:pPr>
              <w:spacing w:after="0" w:line="240" w:lineRule="auto"/>
              <w:jc w:val="center"/>
              <w:rPr>
                <w:rFonts w:cs="Arial"/>
                <w:color w:val="000000"/>
                <w:sz w:val="16"/>
                <w:szCs w:val="16"/>
              </w:rPr>
            </w:pPr>
            <w:r>
              <w:rPr>
                <w:rFonts w:cs="Arial"/>
                <w:color w:val="000000"/>
                <w:sz w:val="16"/>
                <w:szCs w:val="16"/>
              </w:rPr>
              <w:t>7,0</w:t>
            </w:r>
          </w:p>
        </w:tc>
      </w:tr>
      <w:tr w:rsidR="006C7D54" w:rsidRPr="00D92E20" w14:paraId="4F69138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6599DC2"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95" w:type="dxa"/>
            <w:tcBorders>
              <w:top w:val="nil"/>
              <w:left w:val="nil"/>
              <w:bottom w:val="nil"/>
              <w:right w:val="nil"/>
            </w:tcBorders>
            <w:shd w:val="clear" w:color="auto" w:fill="auto"/>
            <w:noWrap/>
            <w:vAlign w:val="center"/>
            <w:hideMark/>
          </w:tcPr>
          <w:p w14:paraId="7706051F" w14:textId="59661753"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5,7</w:t>
            </w:r>
          </w:p>
        </w:tc>
        <w:tc>
          <w:tcPr>
            <w:tcW w:w="595" w:type="dxa"/>
            <w:tcBorders>
              <w:top w:val="nil"/>
              <w:left w:val="nil"/>
              <w:bottom w:val="nil"/>
              <w:right w:val="nil"/>
            </w:tcBorders>
            <w:shd w:val="clear" w:color="auto" w:fill="auto"/>
            <w:noWrap/>
            <w:vAlign w:val="center"/>
            <w:hideMark/>
          </w:tcPr>
          <w:p w14:paraId="3CFF7ACF" w14:textId="71C2433F" w:rsidR="006C7D54" w:rsidRPr="00D92E20" w:rsidRDefault="006C7D54" w:rsidP="006C7D54">
            <w:pPr>
              <w:spacing w:after="0" w:line="240" w:lineRule="auto"/>
              <w:jc w:val="center"/>
              <w:rPr>
                <w:rFonts w:cs="Arial"/>
                <w:color w:val="000000"/>
                <w:sz w:val="16"/>
                <w:szCs w:val="16"/>
              </w:rPr>
            </w:pPr>
            <w:r>
              <w:rPr>
                <w:rFonts w:cs="Arial"/>
                <w:sz w:val="16"/>
                <w:szCs w:val="16"/>
              </w:rPr>
              <w:t>4,8</w:t>
            </w:r>
          </w:p>
        </w:tc>
        <w:tc>
          <w:tcPr>
            <w:tcW w:w="595" w:type="dxa"/>
            <w:tcBorders>
              <w:top w:val="nil"/>
              <w:left w:val="nil"/>
              <w:bottom w:val="nil"/>
              <w:right w:val="nil"/>
            </w:tcBorders>
            <w:shd w:val="clear" w:color="auto" w:fill="auto"/>
            <w:noWrap/>
            <w:vAlign w:val="center"/>
            <w:hideMark/>
          </w:tcPr>
          <w:p w14:paraId="30173D7A" w14:textId="0048B420" w:rsidR="006C7D54" w:rsidRPr="00D92E20" w:rsidRDefault="006C7D54" w:rsidP="006C7D54">
            <w:pPr>
              <w:spacing w:after="0" w:line="240" w:lineRule="auto"/>
              <w:jc w:val="center"/>
              <w:rPr>
                <w:rFonts w:cs="Arial"/>
                <w:color w:val="000000"/>
                <w:sz w:val="16"/>
                <w:szCs w:val="16"/>
              </w:rPr>
            </w:pPr>
            <w:r>
              <w:rPr>
                <w:rFonts w:cs="Arial"/>
                <w:sz w:val="16"/>
                <w:szCs w:val="16"/>
              </w:rPr>
              <w:t>5,4</w:t>
            </w:r>
          </w:p>
        </w:tc>
        <w:tc>
          <w:tcPr>
            <w:tcW w:w="595" w:type="dxa"/>
            <w:tcBorders>
              <w:top w:val="nil"/>
              <w:left w:val="nil"/>
              <w:bottom w:val="nil"/>
              <w:right w:val="nil"/>
            </w:tcBorders>
            <w:shd w:val="clear" w:color="auto" w:fill="auto"/>
            <w:noWrap/>
            <w:vAlign w:val="center"/>
            <w:hideMark/>
          </w:tcPr>
          <w:p w14:paraId="069E48D7" w14:textId="3A45195F" w:rsidR="006C7D54" w:rsidRPr="00D92E20" w:rsidRDefault="006C7D54" w:rsidP="006C7D54">
            <w:pPr>
              <w:spacing w:after="0" w:line="240" w:lineRule="auto"/>
              <w:jc w:val="center"/>
              <w:rPr>
                <w:rFonts w:cs="Arial"/>
                <w:color w:val="000000"/>
                <w:sz w:val="16"/>
                <w:szCs w:val="16"/>
              </w:rPr>
            </w:pPr>
            <w:r>
              <w:rPr>
                <w:rFonts w:cs="Arial"/>
                <w:sz w:val="16"/>
                <w:szCs w:val="16"/>
              </w:rPr>
              <w:t>4,9</w:t>
            </w:r>
          </w:p>
        </w:tc>
        <w:tc>
          <w:tcPr>
            <w:tcW w:w="595" w:type="dxa"/>
            <w:tcBorders>
              <w:top w:val="nil"/>
              <w:left w:val="nil"/>
              <w:bottom w:val="nil"/>
              <w:right w:val="nil"/>
            </w:tcBorders>
            <w:shd w:val="clear" w:color="auto" w:fill="auto"/>
            <w:noWrap/>
            <w:vAlign w:val="center"/>
            <w:hideMark/>
          </w:tcPr>
          <w:p w14:paraId="015D1994" w14:textId="623E27ED" w:rsidR="006C7D54" w:rsidRPr="00D92E20" w:rsidRDefault="006C7D54" w:rsidP="006C7D54">
            <w:pPr>
              <w:spacing w:after="0" w:line="240" w:lineRule="auto"/>
              <w:jc w:val="center"/>
              <w:rPr>
                <w:rFonts w:cs="Arial"/>
                <w:color w:val="000000"/>
                <w:sz w:val="16"/>
                <w:szCs w:val="16"/>
              </w:rPr>
            </w:pPr>
            <w:r>
              <w:rPr>
                <w:rFonts w:cs="Arial"/>
                <w:sz w:val="16"/>
                <w:szCs w:val="16"/>
              </w:rPr>
              <w:t>5,1</w:t>
            </w:r>
          </w:p>
        </w:tc>
        <w:tc>
          <w:tcPr>
            <w:tcW w:w="595" w:type="dxa"/>
            <w:tcBorders>
              <w:top w:val="nil"/>
              <w:left w:val="nil"/>
              <w:bottom w:val="nil"/>
              <w:right w:val="nil"/>
            </w:tcBorders>
            <w:shd w:val="clear" w:color="auto" w:fill="auto"/>
            <w:noWrap/>
            <w:vAlign w:val="center"/>
            <w:hideMark/>
          </w:tcPr>
          <w:p w14:paraId="6BAB0274" w14:textId="4A4A584A" w:rsidR="006C7D54" w:rsidRPr="00D92E20" w:rsidRDefault="006C7D54" w:rsidP="006C7D54">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1A8A051E" w14:textId="5D64EED0" w:rsidR="006C7D54" w:rsidRPr="00D92E20" w:rsidRDefault="006C7D54" w:rsidP="006C7D54">
            <w:pPr>
              <w:spacing w:after="0" w:line="240" w:lineRule="auto"/>
              <w:jc w:val="center"/>
              <w:rPr>
                <w:rFonts w:cs="Arial"/>
                <w:color w:val="000000"/>
                <w:sz w:val="16"/>
                <w:szCs w:val="16"/>
              </w:rPr>
            </w:pPr>
            <w:r>
              <w:rPr>
                <w:rFonts w:cs="Arial"/>
                <w:color w:val="000000"/>
                <w:sz w:val="16"/>
                <w:szCs w:val="16"/>
              </w:rPr>
              <w:t>5,3</w:t>
            </w:r>
          </w:p>
        </w:tc>
        <w:tc>
          <w:tcPr>
            <w:tcW w:w="595" w:type="dxa"/>
            <w:tcBorders>
              <w:top w:val="nil"/>
              <w:left w:val="nil"/>
              <w:bottom w:val="nil"/>
              <w:right w:val="nil"/>
            </w:tcBorders>
            <w:shd w:val="clear" w:color="auto" w:fill="auto"/>
            <w:noWrap/>
            <w:vAlign w:val="center"/>
            <w:hideMark/>
          </w:tcPr>
          <w:p w14:paraId="3BF32159" w14:textId="6DE6A36A" w:rsidR="006C7D54" w:rsidRPr="00D92E20" w:rsidRDefault="006C7D54" w:rsidP="006C7D54">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795317D0" w14:textId="6885D08E" w:rsidR="006C7D54" w:rsidRPr="00D92E20" w:rsidRDefault="006C7D54" w:rsidP="006C7D54">
            <w:pPr>
              <w:spacing w:after="0" w:line="240" w:lineRule="auto"/>
              <w:jc w:val="center"/>
              <w:rPr>
                <w:rFonts w:cs="Arial"/>
                <w:color w:val="000000"/>
                <w:sz w:val="16"/>
                <w:szCs w:val="16"/>
              </w:rPr>
            </w:pPr>
            <w:r>
              <w:rPr>
                <w:rFonts w:cs="Arial"/>
                <w:color w:val="000000"/>
                <w:sz w:val="16"/>
                <w:szCs w:val="16"/>
              </w:rPr>
              <w:t>5,2</w:t>
            </w:r>
          </w:p>
        </w:tc>
        <w:tc>
          <w:tcPr>
            <w:tcW w:w="595" w:type="dxa"/>
            <w:tcBorders>
              <w:top w:val="nil"/>
              <w:left w:val="nil"/>
              <w:bottom w:val="nil"/>
              <w:right w:val="nil"/>
            </w:tcBorders>
            <w:shd w:val="clear" w:color="auto" w:fill="auto"/>
            <w:noWrap/>
            <w:vAlign w:val="center"/>
            <w:hideMark/>
          </w:tcPr>
          <w:p w14:paraId="03C58785" w14:textId="17BDDE16"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4BEC9DA8" w14:textId="42A4FF8F" w:rsidR="006C7D54" w:rsidRPr="00D92E20" w:rsidRDefault="006C7D54" w:rsidP="006C7D54">
            <w:pPr>
              <w:spacing w:after="0" w:line="240" w:lineRule="auto"/>
              <w:jc w:val="center"/>
              <w:rPr>
                <w:rFonts w:cs="Arial"/>
                <w:color w:val="000000"/>
                <w:sz w:val="16"/>
                <w:szCs w:val="16"/>
              </w:rPr>
            </w:pPr>
            <w:r>
              <w:rPr>
                <w:rFonts w:cs="Arial"/>
                <w:color w:val="000000"/>
                <w:sz w:val="16"/>
                <w:szCs w:val="16"/>
              </w:rPr>
              <w:t>6,4</w:t>
            </w:r>
          </w:p>
        </w:tc>
      </w:tr>
      <w:tr w:rsidR="006C7D54" w:rsidRPr="00D92E20" w14:paraId="679070A0"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0D1F895A" w14:textId="17B31194"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w:t>
            </w:r>
            <w:r>
              <w:rPr>
                <w:rFonts w:cs="Arial"/>
                <w:color w:val="000000"/>
                <w:sz w:val="16"/>
                <w:szCs w:val="16"/>
              </w:rPr>
              <w:t xml:space="preserve">  </w:t>
            </w:r>
            <w:r w:rsidRPr="00D92E20">
              <w:rPr>
                <w:rFonts w:cs="Arial"/>
                <w:color w:val="000000"/>
                <w:sz w:val="16"/>
                <w:szCs w:val="16"/>
              </w:rPr>
              <w:t>opravy a údržba motorových</w:t>
            </w:r>
            <w:r>
              <w:rPr>
                <w:rFonts w:cs="Arial"/>
                <w:color w:val="000000"/>
                <w:sz w:val="16"/>
                <w:szCs w:val="16"/>
              </w:rPr>
              <w:t xml:space="preserve"> </w:t>
            </w:r>
            <w:r w:rsidRPr="00D92E20">
              <w:rPr>
                <w:rFonts w:cs="Arial"/>
                <w:color w:val="000000"/>
                <w:sz w:val="16"/>
                <w:szCs w:val="16"/>
              </w:rPr>
              <w:t>vozidel</w:t>
            </w:r>
          </w:p>
        </w:tc>
        <w:tc>
          <w:tcPr>
            <w:tcW w:w="595" w:type="dxa"/>
            <w:tcBorders>
              <w:top w:val="nil"/>
              <w:left w:val="nil"/>
              <w:bottom w:val="nil"/>
              <w:right w:val="nil"/>
            </w:tcBorders>
            <w:shd w:val="clear" w:color="auto" w:fill="auto"/>
            <w:noWrap/>
            <w:vAlign w:val="center"/>
            <w:hideMark/>
          </w:tcPr>
          <w:p w14:paraId="0DE4EA9C" w14:textId="725414EA"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4,0</w:t>
            </w:r>
          </w:p>
        </w:tc>
        <w:tc>
          <w:tcPr>
            <w:tcW w:w="595" w:type="dxa"/>
            <w:tcBorders>
              <w:top w:val="nil"/>
              <w:left w:val="nil"/>
              <w:bottom w:val="nil"/>
              <w:right w:val="nil"/>
            </w:tcBorders>
            <w:shd w:val="clear" w:color="auto" w:fill="auto"/>
            <w:noWrap/>
            <w:vAlign w:val="center"/>
            <w:hideMark/>
          </w:tcPr>
          <w:p w14:paraId="22091CE5" w14:textId="5E43A81B" w:rsidR="006C7D54" w:rsidRPr="00D92E20" w:rsidRDefault="006C7D54" w:rsidP="006C7D54">
            <w:pPr>
              <w:spacing w:after="0" w:line="240" w:lineRule="auto"/>
              <w:jc w:val="center"/>
              <w:rPr>
                <w:rFonts w:cs="Arial"/>
                <w:color w:val="000000"/>
                <w:sz w:val="16"/>
                <w:szCs w:val="16"/>
              </w:rPr>
            </w:pPr>
            <w:r>
              <w:rPr>
                <w:rFonts w:cs="Arial"/>
                <w:sz w:val="16"/>
                <w:szCs w:val="16"/>
              </w:rPr>
              <w:t>3,5</w:t>
            </w:r>
          </w:p>
        </w:tc>
        <w:tc>
          <w:tcPr>
            <w:tcW w:w="595" w:type="dxa"/>
            <w:tcBorders>
              <w:top w:val="nil"/>
              <w:left w:val="nil"/>
              <w:bottom w:val="nil"/>
              <w:right w:val="nil"/>
            </w:tcBorders>
            <w:shd w:val="clear" w:color="auto" w:fill="auto"/>
            <w:noWrap/>
            <w:vAlign w:val="center"/>
            <w:hideMark/>
          </w:tcPr>
          <w:p w14:paraId="52A635D6" w14:textId="457870E9" w:rsidR="006C7D54" w:rsidRPr="00D92E20" w:rsidRDefault="006C7D54" w:rsidP="006C7D54">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4D6C38DE" w14:textId="176A3AE3" w:rsidR="006C7D54" w:rsidRPr="00D92E20" w:rsidRDefault="006C7D54" w:rsidP="006C7D54">
            <w:pPr>
              <w:spacing w:after="0" w:line="240" w:lineRule="auto"/>
              <w:jc w:val="center"/>
              <w:rPr>
                <w:rFonts w:cs="Arial"/>
                <w:color w:val="000000"/>
                <w:sz w:val="16"/>
                <w:szCs w:val="16"/>
              </w:rPr>
            </w:pPr>
            <w:r>
              <w:rPr>
                <w:rFonts w:cs="Arial"/>
                <w:sz w:val="16"/>
                <w:szCs w:val="16"/>
              </w:rPr>
              <w:t>3,8</w:t>
            </w:r>
          </w:p>
        </w:tc>
        <w:tc>
          <w:tcPr>
            <w:tcW w:w="595" w:type="dxa"/>
            <w:tcBorders>
              <w:top w:val="nil"/>
              <w:left w:val="nil"/>
              <w:bottom w:val="nil"/>
              <w:right w:val="nil"/>
            </w:tcBorders>
            <w:shd w:val="clear" w:color="auto" w:fill="auto"/>
            <w:noWrap/>
            <w:vAlign w:val="center"/>
            <w:hideMark/>
          </w:tcPr>
          <w:p w14:paraId="4BCE8C97" w14:textId="01F138AE" w:rsidR="006C7D54" w:rsidRPr="00D92E20" w:rsidRDefault="006C7D54" w:rsidP="006C7D54">
            <w:pPr>
              <w:spacing w:after="0" w:line="240" w:lineRule="auto"/>
              <w:jc w:val="center"/>
              <w:rPr>
                <w:rFonts w:cs="Arial"/>
                <w:color w:val="000000"/>
                <w:sz w:val="16"/>
                <w:szCs w:val="16"/>
              </w:rPr>
            </w:pPr>
            <w:r>
              <w:rPr>
                <w:rFonts w:cs="Arial"/>
                <w:sz w:val="16"/>
                <w:szCs w:val="16"/>
              </w:rPr>
              <w:t>4,2</w:t>
            </w:r>
          </w:p>
        </w:tc>
        <w:tc>
          <w:tcPr>
            <w:tcW w:w="595" w:type="dxa"/>
            <w:tcBorders>
              <w:top w:val="nil"/>
              <w:left w:val="nil"/>
              <w:bottom w:val="nil"/>
              <w:right w:val="nil"/>
            </w:tcBorders>
            <w:shd w:val="clear" w:color="auto" w:fill="auto"/>
            <w:noWrap/>
            <w:vAlign w:val="center"/>
            <w:hideMark/>
          </w:tcPr>
          <w:p w14:paraId="4DF464EE" w14:textId="1EFC3080" w:rsidR="006C7D54" w:rsidRPr="00D92E20" w:rsidRDefault="006C7D54" w:rsidP="006C7D54">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33D0E3C4" w14:textId="0887087E" w:rsidR="006C7D54" w:rsidRPr="00D92E20" w:rsidRDefault="006C7D54" w:rsidP="006C7D54">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6FBE9FDB" w14:textId="7E562C0B" w:rsidR="006C7D54" w:rsidRPr="00D92E20" w:rsidRDefault="006C7D54" w:rsidP="006C7D54">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7F078399" w14:textId="3E6364F7" w:rsidR="006C7D54" w:rsidRPr="00D92E20" w:rsidRDefault="006C7D54" w:rsidP="006C7D54">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5E508C47" w14:textId="5DF9880B"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c>
          <w:tcPr>
            <w:tcW w:w="595" w:type="dxa"/>
            <w:tcBorders>
              <w:top w:val="nil"/>
              <w:left w:val="nil"/>
              <w:bottom w:val="nil"/>
              <w:right w:val="nil"/>
            </w:tcBorders>
            <w:shd w:val="clear" w:color="auto" w:fill="auto"/>
            <w:noWrap/>
            <w:vAlign w:val="center"/>
            <w:hideMark/>
          </w:tcPr>
          <w:p w14:paraId="532257D5" w14:textId="12849890" w:rsidR="006C7D54" w:rsidRPr="00D92E20" w:rsidRDefault="006C7D54" w:rsidP="006C7D54">
            <w:pPr>
              <w:spacing w:after="0" w:line="240" w:lineRule="auto"/>
              <w:jc w:val="center"/>
              <w:rPr>
                <w:rFonts w:cs="Arial"/>
                <w:color w:val="000000"/>
                <w:sz w:val="16"/>
                <w:szCs w:val="16"/>
              </w:rPr>
            </w:pPr>
            <w:r>
              <w:rPr>
                <w:rFonts w:cs="Arial"/>
                <w:color w:val="000000"/>
                <w:sz w:val="16"/>
                <w:szCs w:val="16"/>
              </w:rPr>
              <w:t>6,3</w:t>
            </w:r>
          </w:p>
        </w:tc>
      </w:tr>
      <w:tr w:rsidR="006C7D54" w:rsidRPr="00D92E20" w14:paraId="19EAA2A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B3D99B2"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95" w:type="dxa"/>
            <w:tcBorders>
              <w:top w:val="nil"/>
              <w:left w:val="nil"/>
              <w:bottom w:val="nil"/>
              <w:right w:val="nil"/>
            </w:tcBorders>
            <w:shd w:val="clear" w:color="auto" w:fill="auto"/>
            <w:noWrap/>
            <w:vAlign w:val="center"/>
            <w:hideMark/>
          </w:tcPr>
          <w:p w14:paraId="753E06E5" w14:textId="6287E50C"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4,0</w:t>
            </w:r>
          </w:p>
        </w:tc>
        <w:tc>
          <w:tcPr>
            <w:tcW w:w="595" w:type="dxa"/>
            <w:tcBorders>
              <w:top w:val="nil"/>
              <w:left w:val="nil"/>
              <w:bottom w:val="nil"/>
              <w:right w:val="nil"/>
            </w:tcBorders>
            <w:shd w:val="clear" w:color="auto" w:fill="auto"/>
            <w:noWrap/>
            <w:vAlign w:val="center"/>
            <w:hideMark/>
          </w:tcPr>
          <w:p w14:paraId="679B7919" w14:textId="287DE950" w:rsidR="006C7D54" w:rsidRPr="00D92E20" w:rsidRDefault="006C7D54" w:rsidP="006C7D54">
            <w:pPr>
              <w:spacing w:after="0" w:line="240" w:lineRule="auto"/>
              <w:jc w:val="center"/>
              <w:rPr>
                <w:rFonts w:cs="Arial"/>
                <w:color w:val="000000"/>
                <w:sz w:val="16"/>
                <w:szCs w:val="16"/>
              </w:rPr>
            </w:pPr>
            <w:r>
              <w:rPr>
                <w:rFonts w:cs="Arial"/>
                <w:sz w:val="16"/>
                <w:szCs w:val="16"/>
              </w:rPr>
              <w:t>3,6</w:t>
            </w:r>
          </w:p>
        </w:tc>
        <w:tc>
          <w:tcPr>
            <w:tcW w:w="595" w:type="dxa"/>
            <w:tcBorders>
              <w:top w:val="nil"/>
              <w:left w:val="nil"/>
              <w:bottom w:val="nil"/>
              <w:right w:val="nil"/>
            </w:tcBorders>
            <w:shd w:val="clear" w:color="auto" w:fill="auto"/>
            <w:noWrap/>
            <w:vAlign w:val="center"/>
            <w:hideMark/>
          </w:tcPr>
          <w:p w14:paraId="5281A24D" w14:textId="369B63F7" w:rsidR="006C7D54" w:rsidRPr="00D92E20" w:rsidRDefault="006C7D54" w:rsidP="006C7D54">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523C453B" w14:textId="58569FFA" w:rsidR="006C7D54" w:rsidRPr="00D92E20" w:rsidRDefault="006C7D54" w:rsidP="006C7D54">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6D38B96E" w14:textId="646E262C" w:rsidR="006C7D54" w:rsidRPr="00D92E20" w:rsidRDefault="006C7D54" w:rsidP="006C7D54">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342E985D" w14:textId="5C721D77" w:rsidR="006C7D54" w:rsidRPr="00D92E20" w:rsidRDefault="006C7D54" w:rsidP="006C7D54">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7A97F4BC" w14:textId="7FFF24DB" w:rsidR="006C7D54" w:rsidRPr="00D92E20" w:rsidRDefault="006C7D54" w:rsidP="006C7D54">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3294BF0B" w14:textId="00CD7AD1" w:rsidR="006C7D54" w:rsidRPr="00D92E20" w:rsidRDefault="006C7D54" w:rsidP="006C7D54">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0F71CE75" w14:textId="5A873B63" w:rsidR="006C7D54" w:rsidRPr="00D92E20" w:rsidRDefault="006C7D54" w:rsidP="006C7D54">
            <w:pPr>
              <w:spacing w:after="0" w:line="240" w:lineRule="auto"/>
              <w:jc w:val="center"/>
              <w:rPr>
                <w:rFonts w:cs="Arial"/>
                <w:color w:val="000000"/>
                <w:sz w:val="16"/>
                <w:szCs w:val="16"/>
              </w:rPr>
            </w:pPr>
            <w:r>
              <w:rPr>
                <w:rFonts w:cs="Arial"/>
                <w:color w:val="000000"/>
                <w:sz w:val="16"/>
                <w:szCs w:val="16"/>
              </w:rPr>
              <w:t>5,1</w:t>
            </w:r>
          </w:p>
        </w:tc>
        <w:tc>
          <w:tcPr>
            <w:tcW w:w="595" w:type="dxa"/>
            <w:tcBorders>
              <w:top w:val="nil"/>
              <w:left w:val="nil"/>
              <w:bottom w:val="nil"/>
              <w:right w:val="nil"/>
            </w:tcBorders>
            <w:shd w:val="clear" w:color="auto" w:fill="auto"/>
            <w:noWrap/>
            <w:vAlign w:val="center"/>
            <w:hideMark/>
          </w:tcPr>
          <w:p w14:paraId="1C0A2098" w14:textId="019163C2" w:rsidR="006C7D54" w:rsidRPr="00D92E20" w:rsidRDefault="006C7D54" w:rsidP="006C7D54">
            <w:pPr>
              <w:spacing w:after="0" w:line="240" w:lineRule="auto"/>
              <w:jc w:val="center"/>
              <w:rPr>
                <w:rFonts w:cs="Arial"/>
                <w:color w:val="000000"/>
                <w:sz w:val="16"/>
                <w:szCs w:val="16"/>
              </w:rPr>
            </w:pPr>
            <w:r>
              <w:rPr>
                <w:rFonts w:cs="Arial"/>
                <w:color w:val="000000"/>
                <w:sz w:val="16"/>
                <w:szCs w:val="16"/>
              </w:rPr>
              <w:t>6,0</w:t>
            </w:r>
          </w:p>
        </w:tc>
        <w:tc>
          <w:tcPr>
            <w:tcW w:w="595" w:type="dxa"/>
            <w:tcBorders>
              <w:top w:val="nil"/>
              <w:left w:val="nil"/>
              <w:bottom w:val="nil"/>
              <w:right w:val="nil"/>
            </w:tcBorders>
            <w:shd w:val="clear" w:color="auto" w:fill="auto"/>
            <w:noWrap/>
            <w:vAlign w:val="center"/>
            <w:hideMark/>
          </w:tcPr>
          <w:p w14:paraId="4B9122A3" w14:textId="1D383307" w:rsidR="006C7D54" w:rsidRPr="00D92E20" w:rsidRDefault="006C7D54" w:rsidP="006C7D54">
            <w:pPr>
              <w:spacing w:after="0" w:line="240" w:lineRule="auto"/>
              <w:jc w:val="center"/>
              <w:rPr>
                <w:rFonts w:cs="Arial"/>
                <w:color w:val="000000"/>
                <w:sz w:val="16"/>
                <w:szCs w:val="16"/>
              </w:rPr>
            </w:pPr>
            <w:r>
              <w:rPr>
                <w:rFonts w:cs="Arial"/>
                <w:color w:val="000000"/>
                <w:sz w:val="16"/>
                <w:szCs w:val="16"/>
              </w:rPr>
              <w:t>6,7</w:t>
            </w:r>
          </w:p>
        </w:tc>
      </w:tr>
      <w:tr w:rsidR="006C7D54" w:rsidRPr="00D92E20" w14:paraId="2269FFD1"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96DC50A" w14:textId="4E52F9BC"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632D0691" w14:textId="78E5735C"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4,6</w:t>
            </w:r>
          </w:p>
        </w:tc>
        <w:tc>
          <w:tcPr>
            <w:tcW w:w="595" w:type="dxa"/>
            <w:tcBorders>
              <w:top w:val="nil"/>
              <w:left w:val="nil"/>
              <w:bottom w:val="nil"/>
              <w:right w:val="nil"/>
            </w:tcBorders>
            <w:shd w:val="clear" w:color="auto" w:fill="auto"/>
            <w:noWrap/>
            <w:vAlign w:val="center"/>
            <w:hideMark/>
          </w:tcPr>
          <w:p w14:paraId="5161E522" w14:textId="0BC72742" w:rsidR="006C7D54" w:rsidRPr="00D92E20" w:rsidRDefault="006C7D54" w:rsidP="006C7D54">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33A017E1" w14:textId="2ABAE6C6" w:rsidR="006C7D54" w:rsidRPr="00D92E20" w:rsidRDefault="006C7D54" w:rsidP="006C7D54">
            <w:pPr>
              <w:spacing w:after="0" w:line="240" w:lineRule="auto"/>
              <w:jc w:val="center"/>
              <w:rPr>
                <w:rFonts w:cs="Arial"/>
                <w:color w:val="000000"/>
                <w:sz w:val="16"/>
                <w:szCs w:val="16"/>
              </w:rPr>
            </w:pPr>
            <w:r>
              <w:rPr>
                <w:rFonts w:cs="Arial"/>
                <w:sz w:val="16"/>
                <w:szCs w:val="16"/>
              </w:rPr>
              <w:t>4,1</w:t>
            </w:r>
          </w:p>
        </w:tc>
        <w:tc>
          <w:tcPr>
            <w:tcW w:w="595" w:type="dxa"/>
            <w:tcBorders>
              <w:top w:val="nil"/>
              <w:left w:val="nil"/>
              <w:bottom w:val="nil"/>
              <w:right w:val="nil"/>
            </w:tcBorders>
            <w:shd w:val="clear" w:color="auto" w:fill="auto"/>
            <w:noWrap/>
            <w:vAlign w:val="center"/>
            <w:hideMark/>
          </w:tcPr>
          <w:p w14:paraId="1FC0D401" w14:textId="6A4F109A" w:rsidR="006C7D54" w:rsidRPr="00D92E20" w:rsidRDefault="006C7D54" w:rsidP="006C7D54">
            <w:pPr>
              <w:spacing w:after="0" w:line="240" w:lineRule="auto"/>
              <w:jc w:val="center"/>
              <w:rPr>
                <w:rFonts w:cs="Arial"/>
                <w:color w:val="000000"/>
                <w:sz w:val="16"/>
                <w:szCs w:val="16"/>
              </w:rPr>
            </w:pPr>
            <w:r>
              <w:rPr>
                <w:rFonts w:cs="Arial"/>
                <w:sz w:val="16"/>
                <w:szCs w:val="16"/>
              </w:rPr>
              <w:t>4,0</w:t>
            </w:r>
          </w:p>
        </w:tc>
        <w:tc>
          <w:tcPr>
            <w:tcW w:w="595" w:type="dxa"/>
            <w:tcBorders>
              <w:top w:val="nil"/>
              <w:left w:val="nil"/>
              <w:bottom w:val="nil"/>
              <w:right w:val="nil"/>
            </w:tcBorders>
            <w:shd w:val="clear" w:color="auto" w:fill="auto"/>
            <w:noWrap/>
            <w:vAlign w:val="center"/>
            <w:hideMark/>
          </w:tcPr>
          <w:p w14:paraId="4391E5DB" w14:textId="14AE09A8" w:rsidR="006C7D54" w:rsidRPr="00D92E20" w:rsidRDefault="006C7D54" w:rsidP="006C7D54">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4F2BE4F0" w14:textId="0B49916A" w:rsidR="006C7D54" w:rsidRPr="00D92E20" w:rsidRDefault="006C7D54" w:rsidP="006C7D54">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61FAB7FB" w14:textId="0EBC0CA3" w:rsidR="006C7D54" w:rsidRPr="00D92E20" w:rsidRDefault="006C7D54" w:rsidP="006C7D54">
            <w:pPr>
              <w:spacing w:after="0" w:line="240" w:lineRule="auto"/>
              <w:jc w:val="center"/>
              <w:rPr>
                <w:rFonts w:cs="Arial"/>
                <w:color w:val="000000"/>
                <w:sz w:val="16"/>
                <w:szCs w:val="16"/>
              </w:rPr>
            </w:pPr>
            <w:r>
              <w:rPr>
                <w:rFonts w:cs="Arial"/>
                <w:color w:val="000000"/>
                <w:sz w:val="16"/>
                <w:szCs w:val="16"/>
              </w:rPr>
              <w:t>4,4</w:t>
            </w:r>
          </w:p>
        </w:tc>
        <w:tc>
          <w:tcPr>
            <w:tcW w:w="595" w:type="dxa"/>
            <w:tcBorders>
              <w:top w:val="nil"/>
              <w:left w:val="nil"/>
              <w:bottom w:val="nil"/>
              <w:right w:val="nil"/>
            </w:tcBorders>
            <w:shd w:val="clear" w:color="auto" w:fill="auto"/>
            <w:noWrap/>
            <w:vAlign w:val="center"/>
            <w:hideMark/>
          </w:tcPr>
          <w:p w14:paraId="6A710E7E" w14:textId="53F9AE94" w:rsidR="006C7D54" w:rsidRPr="00D92E20" w:rsidRDefault="006C7D54" w:rsidP="006C7D54">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0E45F0B6" w14:textId="3F3C426E" w:rsidR="006C7D54" w:rsidRPr="00D92E20" w:rsidRDefault="006C7D54" w:rsidP="006C7D54">
            <w:pPr>
              <w:spacing w:after="0" w:line="240" w:lineRule="auto"/>
              <w:jc w:val="center"/>
              <w:rPr>
                <w:rFonts w:cs="Arial"/>
                <w:color w:val="000000"/>
                <w:sz w:val="16"/>
                <w:szCs w:val="16"/>
              </w:rPr>
            </w:pPr>
            <w:r>
              <w:rPr>
                <w:rFonts w:cs="Arial"/>
                <w:color w:val="000000"/>
                <w:sz w:val="16"/>
                <w:szCs w:val="16"/>
              </w:rPr>
              <w:t>4,8</w:t>
            </w:r>
          </w:p>
        </w:tc>
        <w:tc>
          <w:tcPr>
            <w:tcW w:w="595" w:type="dxa"/>
            <w:tcBorders>
              <w:top w:val="nil"/>
              <w:left w:val="nil"/>
              <w:bottom w:val="nil"/>
              <w:right w:val="nil"/>
            </w:tcBorders>
            <w:shd w:val="clear" w:color="auto" w:fill="auto"/>
            <w:noWrap/>
            <w:vAlign w:val="center"/>
            <w:hideMark/>
          </w:tcPr>
          <w:p w14:paraId="2C30300A" w14:textId="3166F28A" w:rsidR="006C7D54" w:rsidRPr="00D92E20" w:rsidRDefault="006C7D54" w:rsidP="006C7D54">
            <w:pPr>
              <w:spacing w:after="0" w:line="240" w:lineRule="auto"/>
              <w:jc w:val="center"/>
              <w:rPr>
                <w:rFonts w:cs="Arial"/>
                <w:color w:val="000000"/>
                <w:sz w:val="16"/>
                <w:szCs w:val="16"/>
              </w:rPr>
            </w:pPr>
            <w:r>
              <w:rPr>
                <w:rFonts w:cs="Arial"/>
                <w:color w:val="000000"/>
                <w:sz w:val="16"/>
                <w:szCs w:val="16"/>
              </w:rPr>
              <w:t>7,0</w:t>
            </w:r>
          </w:p>
        </w:tc>
        <w:tc>
          <w:tcPr>
            <w:tcW w:w="595" w:type="dxa"/>
            <w:tcBorders>
              <w:top w:val="nil"/>
              <w:left w:val="nil"/>
              <w:bottom w:val="nil"/>
              <w:right w:val="nil"/>
            </w:tcBorders>
            <w:shd w:val="clear" w:color="auto" w:fill="auto"/>
            <w:noWrap/>
            <w:vAlign w:val="center"/>
            <w:hideMark/>
          </w:tcPr>
          <w:p w14:paraId="4FAFB2C5" w14:textId="49F0A33B" w:rsidR="006C7D54" w:rsidRPr="00D92E20" w:rsidRDefault="006C7D54" w:rsidP="006C7D54">
            <w:pPr>
              <w:spacing w:after="0" w:line="240" w:lineRule="auto"/>
              <w:jc w:val="center"/>
              <w:rPr>
                <w:rFonts w:cs="Arial"/>
                <w:color w:val="000000"/>
                <w:sz w:val="16"/>
                <w:szCs w:val="16"/>
              </w:rPr>
            </w:pPr>
            <w:r>
              <w:rPr>
                <w:rFonts w:cs="Arial"/>
                <w:color w:val="000000"/>
                <w:sz w:val="16"/>
                <w:szCs w:val="16"/>
              </w:rPr>
              <w:t>5,5</w:t>
            </w:r>
          </w:p>
        </w:tc>
      </w:tr>
      <w:tr w:rsidR="006C7D54" w:rsidRPr="00D92E20" w14:paraId="2D3175CC"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787BD01"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0D6AC587" w14:textId="7E20D01D"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2,1</w:t>
            </w:r>
          </w:p>
        </w:tc>
        <w:tc>
          <w:tcPr>
            <w:tcW w:w="595" w:type="dxa"/>
            <w:tcBorders>
              <w:top w:val="nil"/>
              <w:left w:val="nil"/>
              <w:bottom w:val="nil"/>
              <w:right w:val="nil"/>
            </w:tcBorders>
            <w:shd w:val="clear" w:color="auto" w:fill="auto"/>
            <w:noWrap/>
            <w:vAlign w:val="center"/>
            <w:hideMark/>
          </w:tcPr>
          <w:p w14:paraId="542890AD" w14:textId="75ED5FFD" w:rsidR="006C7D54" w:rsidRPr="00D92E20" w:rsidRDefault="006C7D54" w:rsidP="006C7D54">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33432560" w14:textId="41FCECCC" w:rsidR="006C7D54" w:rsidRPr="00D92E20" w:rsidRDefault="006C7D54" w:rsidP="006C7D54">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31FD9643" w14:textId="0AC6FA26" w:rsidR="006C7D54" w:rsidRPr="00D92E20" w:rsidRDefault="006C7D54" w:rsidP="006C7D54">
            <w:pPr>
              <w:spacing w:after="0" w:line="240" w:lineRule="auto"/>
              <w:jc w:val="center"/>
              <w:rPr>
                <w:rFonts w:cs="Arial"/>
                <w:color w:val="000000"/>
                <w:sz w:val="16"/>
                <w:szCs w:val="16"/>
              </w:rPr>
            </w:pPr>
            <w:r>
              <w:rPr>
                <w:rFonts w:cs="Arial"/>
                <w:sz w:val="16"/>
                <w:szCs w:val="16"/>
              </w:rPr>
              <w:t>1,7</w:t>
            </w:r>
          </w:p>
        </w:tc>
        <w:tc>
          <w:tcPr>
            <w:tcW w:w="595" w:type="dxa"/>
            <w:tcBorders>
              <w:top w:val="nil"/>
              <w:left w:val="nil"/>
              <w:bottom w:val="nil"/>
              <w:right w:val="nil"/>
            </w:tcBorders>
            <w:shd w:val="clear" w:color="auto" w:fill="auto"/>
            <w:noWrap/>
            <w:vAlign w:val="center"/>
            <w:hideMark/>
          </w:tcPr>
          <w:p w14:paraId="687A5FA1" w14:textId="1098DF6C" w:rsidR="006C7D54" w:rsidRPr="00D92E20" w:rsidRDefault="006C7D54" w:rsidP="006C7D54">
            <w:pPr>
              <w:spacing w:after="0" w:line="240" w:lineRule="auto"/>
              <w:jc w:val="center"/>
              <w:rPr>
                <w:rFonts w:cs="Arial"/>
                <w:color w:val="000000"/>
                <w:sz w:val="16"/>
                <w:szCs w:val="16"/>
              </w:rPr>
            </w:pPr>
            <w:r>
              <w:rPr>
                <w:rFonts w:cs="Arial"/>
                <w:sz w:val="16"/>
                <w:szCs w:val="16"/>
              </w:rPr>
              <w:t>1,9</w:t>
            </w:r>
          </w:p>
        </w:tc>
        <w:tc>
          <w:tcPr>
            <w:tcW w:w="595" w:type="dxa"/>
            <w:tcBorders>
              <w:top w:val="nil"/>
              <w:left w:val="nil"/>
              <w:bottom w:val="nil"/>
              <w:right w:val="nil"/>
            </w:tcBorders>
            <w:shd w:val="clear" w:color="auto" w:fill="auto"/>
            <w:noWrap/>
            <w:vAlign w:val="center"/>
            <w:hideMark/>
          </w:tcPr>
          <w:p w14:paraId="39B394C8" w14:textId="06FE44B6" w:rsidR="006C7D54" w:rsidRPr="00D92E20" w:rsidRDefault="006C7D54" w:rsidP="006C7D54">
            <w:pPr>
              <w:spacing w:after="0" w:line="240" w:lineRule="auto"/>
              <w:jc w:val="center"/>
              <w:rPr>
                <w:rFonts w:cs="Arial"/>
                <w:color w:val="000000"/>
                <w:sz w:val="16"/>
                <w:szCs w:val="16"/>
              </w:rPr>
            </w:pPr>
            <w:r>
              <w:rPr>
                <w:rFonts w:cs="Arial"/>
                <w:color w:val="000000"/>
                <w:sz w:val="16"/>
                <w:szCs w:val="16"/>
              </w:rPr>
              <w:t>1,8</w:t>
            </w:r>
          </w:p>
        </w:tc>
        <w:tc>
          <w:tcPr>
            <w:tcW w:w="595" w:type="dxa"/>
            <w:tcBorders>
              <w:top w:val="nil"/>
              <w:left w:val="nil"/>
              <w:bottom w:val="nil"/>
              <w:right w:val="nil"/>
            </w:tcBorders>
            <w:shd w:val="clear" w:color="auto" w:fill="auto"/>
            <w:noWrap/>
            <w:vAlign w:val="center"/>
            <w:hideMark/>
          </w:tcPr>
          <w:p w14:paraId="395F88B6" w14:textId="599050BA" w:rsidR="006C7D54" w:rsidRPr="00D92E20" w:rsidRDefault="006C7D54" w:rsidP="006C7D54">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210C6F9B" w14:textId="11DC3166" w:rsidR="006C7D54" w:rsidRPr="00D92E20" w:rsidRDefault="006C7D54" w:rsidP="006C7D54">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75225DB4" w14:textId="3FA6A4E2" w:rsidR="006C7D54" w:rsidRPr="00D92E20" w:rsidRDefault="006C7D54" w:rsidP="006C7D54">
            <w:pPr>
              <w:spacing w:after="0" w:line="240" w:lineRule="auto"/>
              <w:jc w:val="center"/>
              <w:rPr>
                <w:rFonts w:cs="Arial"/>
                <w:color w:val="000000"/>
                <w:sz w:val="16"/>
                <w:szCs w:val="16"/>
              </w:rPr>
            </w:pPr>
            <w:r>
              <w:rPr>
                <w:rFonts w:cs="Arial"/>
                <w:color w:val="000000"/>
                <w:sz w:val="16"/>
                <w:szCs w:val="16"/>
              </w:rPr>
              <w:t>2,0</w:t>
            </w:r>
          </w:p>
        </w:tc>
        <w:tc>
          <w:tcPr>
            <w:tcW w:w="595" w:type="dxa"/>
            <w:tcBorders>
              <w:top w:val="nil"/>
              <w:left w:val="nil"/>
              <w:bottom w:val="nil"/>
              <w:right w:val="nil"/>
            </w:tcBorders>
            <w:shd w:val="clear" w:color="auto" w:fill="auto"/>
            <w:noWrap/>
            <w:vAlign w:val="center"/>
            <w:hideMark/>
          </w:tcPr>
          <w:p w14:paraId="4271BEC6" w14:textId="4513672F" w:rsidR="006C7D54" w:rsidRPr="00D92E20" w:rsidRDefault="006C7D54" w:rsidP="006C7D54">
            <w:pPr>
              <w:spacing w:after="0" w:line="240" w:lineRule="auto"/>
              <w:jc w:val="center"/>
              <w:rPr>
                <w:rFonts w:cs="Arial"/>
                <w:color w:val="000000"/>
                <w:sz w:val="16"/>
                <w:szCs w:val="16"/>
              </w:rPr>
            </w:pPr>
            <w:r>
              <w:rPr>
                <w:rFonts w:cs="Arial"/>
                <w:color w:val="000000"/>
                <w:sz w:val="16"/>
                <w:szCs w:val="16"/>
              </w:rPr>
              <w:t>1,9</w:t>
            </w:r>
          </w:p>
        </w:tc>
        <w:tc>
          <w:tcPr>
            <w:tcW w:w="595" w:type="dxa"/>
            <w:tcBorders>
              <w:top w:val="nil"/>
              <w:left w:val="nil"/>
              <w:bottom w:val="nil"/>
              <w:right w:val="nil"/>
            </w:tcBorders>
            <w:shd w:val="clear" w:color="auto" w:fill="auto"/>
            <w:noWrap/>
            <w:vAlign w:val="center"/>
            <w:hideMark/>
          </w:tcPr>
          <w:p w14:paraId="20B0797D" w14:textId="4BF0680B" w:rsidR="006C7D54" w:rsidRPr="00D92E20" w:rsidRDefault="006C7D54" w:rsidP="006C7D54">
            <w:pPr>
              <w:spacing w:after="0" w:line="240" w:lineRule="auto"/>
              <w:jc w:val="center"/>
              <w:rPr>
                <w:rFonts w:cs="Arial"/>
                <w:color w:val="000000"/>
                <w:sz w:val="16"/>
                <w:szCs w:val="16"/>
              </w:rPr>
            </w:pPr>
            <w:r>
              <w:rPr>
                <w:rFonts w:cs="Arial"/>
                <w:color w:val="000000"/>
                <w:sz w:val="16"/>
                <w:szCs w:val="16"/>
              </w:rPr>
              <w:t>2,0</w:t>
            </w:r>
          </w:p>
        </w:tc>
      </w:tr>
      <w:tr w:rsidR="006C7D54" w:rsidRPr="00D92E20" w14:paraId="251644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5D80CE3A"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31746CF9" w14:textId="4C391E61"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2,9</w:t>
            </w:r>
          </w:p>
        </w:tc>
        <w:tc>
          <w:tcPr>
            <w:tcW w:w="595" w:type="dxa"/>
            <w:tcBorders>
              <w:top w:val="nil"/>
              <w:left w:val="nil"/>
              <w:bottom w:val="nil"/>
              <w:right w:val="nil"/>
            </w:tcBorders>
            <w:shd w:val="clear" w:color="auto" w:fill="auto"/>
            <w:noWrap/>
            <w:vAlign w:val="center"/>
            <w:hideMark/>
          </w:tcPr>
          <w:p w14:paraId="5A85677E" w14:textId="68CAABEC"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4AE04136" w14:textId="21A00686" w:rsidR="006C7D54" w:rsidRPr="00D92E20" w:rsidRDefault="006C7D54" w:rsidP="006C7D54">
            <w:pPr>
              <w:spacing w:after="0" w:line="240" w:lineRule="auto"/>
              <w:jc w:val="center"/>
              <w:rPr>
                <w:rFonts w:cs="Arial"/>
                <w:color w:val="000000"/>
                <w:sz w:val="16"/>
                <w:szCs w:val="16"/>
              </w:rPr>
            </w:pPr>
            <w:r>
              <w:rPr>
                <w:rFonts w:cs="Arial"/>
                <w:sz w:val="16"/>
                <w:szCs w:val="16"/>
              </w:rPr>
              <w:t>2,5</w:t>
            </w:r>
          </w:p>
        </w:tc>
        <w:tc>
          <w:tcPr>
            <w:tcW w:w="595" w:type="dxa"/>
            <w:tcBorders>
              <w:top w:val="nil"/>
              <w:left w:val="nil"/>
              <w:bottom w:val="nil"/>
              <w:right w:val="nil"/>
            </w:tcBorders>
            <w:shd w:val="clear" w:color="auto" w:fill="auto"/>
            <w:noWrap/>
            <w:vAlign w:val="center"/>
            <w:hideMark/>
          </w:tcPr>
          <w:p w14:paraId="183298CD" w14:textId="5A1CDE6D"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681C9E54" w14:textId="7B95831E" w:rsidR="006C7D54" w:rsidRPr="00D92E20" w:rsidRDefault="006C7D54" w:rsidP="006C7D54">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2CF2DCA6" w14:textId="2D1F1AB3" w:rsidR="006C7D54" w:rsidRPr="00D92E20" w:rsidRDefault="006C7D54" w:rsidP="006C7D54">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7C07A7DD" w14:textId="21D78933" w:rsidR="006C7D54" w:rsidRPr="00D92E20" w:rsidRDefault="006C7D54" w:rsidP="006C7D54">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4CBFC823" w14:textId="61648F93" w:rsidR="006C7D54" w:rsidRPr="00D92E20" w:rsidRDefault="006C7D54" w:rsidP="006C7D54">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746DD47B" w14:textId="0D7ADFFF" w:rsidR="006C7D54" w:rsidRPr="00D92E20" w:rsidRDefault="006C7D54" w:rsidP="006C7D54">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347D76DC" w14:textId="39C9D34D" w:rsidR="006C7D54" w:rsidRPr="00D92E20" w:rsidRDefault="006C7D54" w:rsidP="006C7D54">
            <w:pPr>
              <w:spacing w:after="0" w:line="240" w:lineRule="auto"/>
              <w:jc w:val="center"/>
              <w:rPr>
                <w:rFonts w:cs="Arial"/>
                <w:color w:val="000000"/>
                <w:sz w:val="16"/>
                <w:szCs w:val="16"/>
              </w:rPr>
            </w:pPr>
            <w:r>
              <w:rPr>
                <w:rFonts w:cs="Arial"/>
                <w:color w:val="000000"/>
                <w:sz w:val="16"/>
                <w:szCs w:val="16"/>
              </w:rPr>
              <w:t>2,8</w:t>
            </w:r>
          </w:p>
        </w:tc>
        <w:tc>
          <w:tcPr>
            <w:tcW w:w="595" w:type="dxa"/>
            <w:tcBorders>
              <w:top w:val="nil"/>
              <w:left w:val="nil"/>
              <w:bottom w:val="nil"/>
              <w:right w:val="nil"/>
            </w:tcBorders>
            <w:shd w:val="clear" w:color="auto" w:fill="auto"/>
            <w:noWrap/>
            <w:vAlign w:val="center"/>
            <w:hideMark/>
          </w:tcPr>
          <w:p w14:paraId="4C459948" w14:textId="5DAD0E1B" w:rsidR="006C7D54" w:rsidRPr="00D92E20" w:rsidRDefault="006C7D54" w:rsidP="006C7D54">
            <w:pPr>
              <w:spacing w:after="0" w:line="240" w:lineRule="auto"/>
              <w:jc w:val="center"/>
              <w:rPr>
                <w:rFonts w:cs="Arial"/>
                <w:color w:val="000000"/>
                <w:sz w:val="16"/>
                <w:szCs w:val="16"/>
              </w:rPr>
            </w:pPr>
            <w:r>
              <w:rPr>
                <w:rFonts w:cs="Arial"/>
                <w:color w:val="000000"/>
                <w:sz w:val="16"/>
                <w:szCs w:val="16"/>
              </w:rPr>
              <w:t>2,9</w:t>
            </w:r>
          </w:p>
        </w:tc>
      </w:tr>
      <w:tr w:rsidR="006C7D54" w:rsidRPr="00D92E20" w14:paraId="2450DBF4"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2476CC7"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69250594" w14:textId="3673EA58"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3,2</w:t>
            </w:r>
          </w:p>
        </w:tc>
        <w:tc>
          <w:tcPr>
            <w:tcW w:w="595" w:type="dxa"/>
            <w:tcBorders>
              <w:top w:val="nil"/>
              <w:left w:val="nil"/>
              <w:bottom w:val="nil"/>
              <w:right w:val="nil"/>
            </w:tcBorders>
            <w:shd w:val="clear" w:color="auto" w:fill="auto"/>
            <w:noWrap/>
            <w:vAlign w:val="center"/>
            <w:hideMark/>
          </w:tcPr>
          <w:p w14:paraId="4C53DF33" w14:textId="3CD2A954" w:rsidR="006C7D54" w:rsidRPr="00D92E20" w:rsidRDefault="006C7D54" w:rsidP="006C7D54">
            <w:pPr>
              <w:spacing w:after="0" w:line="240" w:lineRule="auto"/>
              <w:jc w:val="center"/>
              <w:rPr>
                <w:rFonts w:cs="Arial"/>
                <w:color w:val="000000"/>
                <w:sz w:val="16"/>
                <w:szCs w:val="16"/>
              </w:rPr>
            </w:pPr>
            <w:r>
              <w:rPr>
                <w:rFonts w:cs="Arial"/>
                <w:sz w:val="16"/>
                <w:szCs w:val="16"/>
              </w:rPr>
              <w:t>2,3</w:t>
            </w:r>
          </w:p>
        </w:tc>
        <w:tc>
          <w:tcPr>
            <w:tcW w:w="595" w:type="dxa"/>
            <w:tcBorders>
              <w:top w:val="nil"/>
              <w:left w:val="nil"/>
              <w:bottom w:val="nil"/>
              <w:right w:val="nil"/>
            </w:tcBorders>
            <w:shd w:val="clear" w:color="auto" w:fill="auto"/>
            <w:noWrap/>
            <w:vAlign w:val="center"/>
            <w:hideMark/>
          </w:tcPr>
          <w:p w14:paraId="48A67899" w14:textId="16A89250"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356D73F4" w14:textId="4D912170" w:rsidR="006C7D54" w:rsidRPr="00D92E20" w:rsidRDefault="006C7D54" w:rsidP="006C7D54">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43062079" w14:textId="052CDC22"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D188AB6" w14:textId="6924BDC5" w:rsidR="006C7D54" w:rsidRPr="00D92E20" w:rsidRDefault="006C7D54" w:rsidP="006C7D54">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18E5045" w14:textId="768BB1F7" w:rsidR="006C7D54" w:rsidRPr="00D92E20" w:rsidRDefault="006C7D54" w:rsidP="006C7D54">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1BAA2CFA" w14:textId="2A4313F0" w:rsidR="006C7D54" w:rsidRPr="00D92E20" w:rsidRDefault="006C7D54" w:rsidP="006C7D54">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6A8C385A" w14:textId="1AD71DD9" w:rsidR="006C7D54" w:rsidRPr="00D92E20" w:rsidRDefault="006C7D54" w:rsidP="006C7D54">
            <w:pPr>
              <w:spacing w:after="0" w:line="240" w:lineRule="auto"/>
              <w:jc w:val="center"/>
              <w:rPr>
                <w:rFonts w:cs="Arial"/>
                <w:color w:val="000000"/>
                <w:sz w:val="16"/>
                <w:szCs w:val="16"/>
              </w:rPr>
            </w:pPr>
            <w:r>
              <w:rPr>
                <w:rFonts w:cs="Arial"/>
                <w:color w:val="000000"/>
                <w:sz w:val="16"/>
                <w:szCs w:val="16"/>
              </w:rPr>
              <w:t>2,7</w:t>
            </w:r>
          </w:p>
        </w:tc>
        <w:tc>
          <w:tcPr>
            <w:tcW w:w="595" w:type="dxa"/>
            <w:tcBorders>
              <w:top w:val="nil"/>
              <w:left w:val="nil"/>
              <w:bottom w:val="nil"/>
              <w:right w:val="nil"/>
            </w:tcBorders>
            <w:shd w:val="clear" w:color="auto" w:fill="auto"/>
            <w:noWrap/>
            <w:vAlign w:val="center"/>
            <w:hideMark/>
          </w:tcPr>
          <w:p w14:paraId="205AC41E" w14:textId="3904CFC6" w:rsidR="006C7D54" w:rsidRPr="00D92E20" w:rsidRDefault="006C7D54" w:rsidP="006C7D54">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55226A32" w14:textId="0C3C0C02" w:rsidR="006C7D54" w:rsidRPr="00D92E20" w:rsidRDefault="006C7D54" w:rsidP="006C7D54">
            <w:pPr>
              <w:spacing w:after="0" w:line="240" w:lineRule="auto"/>
              <w:jc w:val="center"/>
              <w:rPr>
                <w:rFonts w:cs="Arial"/>
                <w:color w:val="000000"/>
                <w:sz w:val="16"/>
                <w:szCs w:val="16"/>
              </w:rPr>
            </w:pPr>
            <w:r>
              <w:rPr>
                <w:rFonts w:cs="Arial"/>
                <w:color w:val="000000"/>
                <w:sz w:val="16"/>
                <w:szCs w:val="16"/>
              </w:rPr>
              <w:t>3,3</w:t>
            </w:r>
          </w:p>
        </w:tc>
      </w:tr>
      <w:tr w:rsidR="006C7D54" w:rsidRPr="00D92E20" w14:paraId="49E3D586"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AE19BF1" w14:textId="77777777" w:rsidR="006C7D54"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M – Profesní, vědecké a technické </w:t>
            </w:r>
          </w:p>
          <w:p w14:paraId="4D12E6AC" w14:textId="7420E743" w:rsidR="006C7D54" w:rsidRPr="00D92E20" w:rsidRDefault="006C7D54" w:rsidP="006C7D54">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692835D0" w14:textId="428C9484"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2,9</w:t>
            </w:r>
          </w:p>
        </w:tc>
        <w:tc>
          <w:tcPr>
            <w:tcW w:w="595" w:type="dxa"/>
            <w:tcBorders>
              <w:top w:val="nil"/>
              <w:left w:val="nil"/>
              <w:bottom w:val="nil"/>
              <w:right w:val="nil"/>
            </w:tcBorders>
            <w:shd w:val="clear" w:color="auto" w:fill="auto"/>
            <w:noWrap/>
            <w:vAlign w:val="center"/>
            <w:hideMark/>
          </w:tcPr>
          <w:p w14:paraId="46A56AE4" w14:textId="458417EA" w:rsidR="006C7D54" w:rsidRPr="00D92E20" w:rsidRDefault="006C7D54" w:rsidP="006C7D54">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5302901B" w14:textId="5CB753D8"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245F4F80" w14:textId="45DE7F66" w:rsidR="006C7D54" w:rsidRPr="00D92E20" w:rsidRDefault="006C7D54" w:rsidP="006C7D54">
            <w:pPr>
              <w:spacing w:after="0" w:line="240" w:lineRule="auto"/>
              <w:jc w:val="center"/>
              <w:rPr>
                <w:rFonts w:cs="Arial"/>
                <w:color w:val="000000"/>
                <w:sz w:val="16"/>
                <w:szCs w:val="16"/>
              </w:rPr>
            </w:pPr>
            <w:r>
              <w:rPr>
                <w:rFonts w:cs="Arial"/>
                <w:sz w:val="16"/>
                <w:szCs w:val="16"/>
              </w:rPr>
              <w:t>2,2</w:t>
            </w:r>
          </w:p>
        </w:tc>
        <w:tc>
          <w:tcPr>
            <w:tcW w:w="595" w:type="dxa"/>
            <w:tcBorders>
              <w:top w:val="nil"/>
              <w:left w:val="nil"/>
              <w:bottom w:val="nil"/>
              <w:right w:val="nil"/>
            </w:tcBorders>
            <w:shd w:val="clear" w:color="auto" w:fill="auto"/>
            <w:noWrap/>
            <w:vAlign w:val="center"/>
            <w:hideMark/>
          </w:tcPr>
          <w:p w14:paraId="7779A65B" w14:textId="049462B9"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10EFEE7E" w14:textId="3E7C596F" w:rsidR="006C7D54" w:rsidRPr="00D92E20" w:rsidRDefault="006C7D54" w:rsidP="006C7D54">
            <w:pPr>
              <w:spacing w:after="0" w:line="240" w:lineRule="auto"/>
              <w:jc w:val="center"/>
              <w:rPr>
                <w:rFonts w:cs="Arial"/>
                <w:color w:val="000000"/>
                <w:sz w:val="16"/>
                <w:szCs w:val="16"/>
              </w:rPr>
            </w:pPr>
            <w:r>
              <w:rPr>
                <w:rFonts w:cs="Arial"/>
                <w:color w:val="000000"/>
                <w:sz w:val="16"/>
                <w:szCs w:val="16"/>
              </w:rPr>
              <w:t>2,4</w:t>
            </w:r>
          </w:p>
        </w:tc>
        <w:tc>
          <w:tcPr>
            <w:tcW w:w="595" w:type="dxa"/>
            <w:tcBorders>
              <w:top w:val="nil"/>
              <w:left w:val="nil"/>
              <w:bottom w:val="nil"/>
              <w:right w:val="nil"/>
            </w:tcBorders>
            <w:shd w:val="clear" w:color="auto" w:fill="auto"/>
            <w:noWrap/>
            <w:vAlign w:val="center"/>
            <w:hideMark/>
          </w:tcPr>
          <w:p w14:paraId="5F9D0DF2" w14:textId="170426E7" w:rsidR="006C7D54" w:rsidRPr="00D92E20" w:rsidRDefault="006C7D54" w:rsidP="006C7D54">
            <w:pPr>
              <w:spacing w:after="0" w:line="240" w:lineRule="auto"/>
              <w:jc w:val="center"/>
              <w:rPr>
                <w:rFonts w:cs="Arial"/>
                <w:color w:val="000000"/>
                <w:sz w:val="16"/>
                <w:szCs w:val="16"/>
              </w:rPr>
            </w:pPr>
            <w:r>
              <w:rPr>
                <w:rFonts w:cs="Arial"/>
                <w:color w:val="000000"/>
                <w:sz w:val="16"/>
                <w:szCs w:val="16"/>
              </w:rPr>
              <w:t>2,5</w:t>
            </w:r>
          </w:p>
        </w:tc>
        <w:tc>
          <w:tcPr>
            <w:tcW w:w="595" w:type="dxa"/>
            <w:tcBorders>
              <w:top w:val="nil"/>
              <w:left w:val="nil"/>
              <w:bottom w:val="nil"/>
              <w:right w:val="nil"/>
            </w:tcBorders>
            <w:shd w:val="clear" w:color="auto" w:fill="auto"/>
            <w:noWrap/>
            <w:vAlign w:val="center"/>
            <w:hideMark/>
          </w:tcPr>
          <w:p w14:paraId="272CE345" w14:textId="7DECF3FF" w:rsidR="006C7D54" w:rsidRPr="00D92E20" w:rsidRDefault="006C7D54" w:rsidP="006C7D54">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00178631" w14:textId="335CE5EC" w:rsidR="006C7D54" w:rsidRPr="00D92E20" w:rsidRDefault="006C7D54" w:rsidP="006C7D54">
            <w:pPr>
              <w:spacing w:after="0" w:line="240" w:lineRule="auto"/>
              <w:jc w:val="center"/>
              <w:rPr>
                <w:rFonts w:cs="Arial"/>
                <w:color w:val="000000"/>
                <w:sz w:val="16"/>
                <w:szCs w:val="16"/>
              </w:rPr>
            </w:pPr>
            <w:r>
              <w:rPr>
                <w:rFonts w:cs="Arial"/>
                <w:color w:val="000000"/>
                <w:sz w:val="16"/>
                <w:szCs w:val="16"/>
              </w:rPr>
              <w:t>2,6</w:t>
            </w:r>
          </w:p>
        </w:tc>
        <w:tc>
          <w:tcPr>
            <w:tcW w:w="595" w:type="dxa"/>
            <w:tcBorders>
              <w:top w:val="nil"/>
              <w:left w:val="nil"/>
              <w:bottom w:val="nil"/>
              <w:right w:val="nil"/>
            </w:tcBorders>
            <w:shd w:val="clear" w:color="auto" w:fill="auto"/>
            <w:noWrap/>
            <w:vAlign w:val="center"/>
            <w:hideMark/>
          </w:tcPr>
          <w:p w14:paraId="2183BB27" w14:textId="648766F7" w:rsidR="006C7D54" w:rsidRPr="00D92E20" w:rsidRDefault="006C7D54" w:rsidP="006C7D54">
            <w:pPr>
              <w:spacing w:after="0" w:line="240" w:lineRule="auto"/>
              <w:jc w:val="center"/>
              <w:rPr>
                <w:rFonts w:cs="Arial"/>
                <w:color w:val="000000"/>
                <w:sz w:val="16"/>
                <w:szCs w:val="16"/>
              </w:rPr>
            </w:pPr>
            <w:r>
              <w:rPr>
                <w:rFonts w:cs="Arial"/>
                <w:color w:val="000000"/>
                <w:sz w:val="16"/>
                <w:szCs w:val="16"/>
              </w:rPr>
              <w:t>2,9</w:t>
            </w:r>
          </w:p>
        </w:tc>
        <w:tc>
          <w:tcPr>
            <w:tcW w:w="595" w:type="dxa"/>
            <w:tcBorders>
              <w:top w:val="nil"/>
              <w:left w:val="nil"/>
              <w:bottom w:val="nil"/>
              <w:right w:val="nil"/>
            </w:tcBorders>
            <w:shd w:val="clear" w:color="auto" w:fill="auto"/>
            <w:noWrap/>
            <w:vAlign w:val="center"/>
            <w:hideMark/>
          </w:tcPr>
          <w:p w14:paraId="55AF873B" w14:textId="6454530F" w:rsidR="006C7D54" w:rsidRPr="00D92E20" w:rsidRDefault="006C7D54" w:rsidP="006C7D54">
            <w:pPr>
              <w:spacing w:after="0" w:line="240" w:lineRule="auto"/>
              <w:jc w:val="center"/>
              <w:rPr>
                <w:rFonts w:cs="Arial"/>
                <w:color w:val="000000"/>
                <w:sz w:val="16"/>
                <w:szCs w:val="16"/>
              </w:rPr>
            </w:pPr>
            <w:r>
              <w:rPr>
                <w:rFonts w:cs="Arial"/>
                <w:color w:val="000000"/>
                <w:sz w:val="16"/>
                <w:szCs w:val="16"/>
              </w:rPr>
              <w:t>2,9</w:t>
            </w:r>
          </w:p>
        </w:tc>
      </w:tr>
      <w:tr w:rsidR="006C7D54" w:rsidRPr="00D92E20" w14:paraId="379C2DBB"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44834F85" w14:textId="25DA5940"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7C8E72FC" w14:textId="24D12582"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4,5</w:t>
            </w:r>
          </w:p>
        </w:tc>
        <w:tc>
          <w:tcPr>
            <w:tcW w:w="595" w:type="dxa"/>
            <w:tcBorders>
              <w:top w:val="nil"/>
              <w:left w:val="nil"/>
              <w:bottom w:val="nil"/>
              <w:right w:val="nil"/>
            </w:tcBorders>
            <w:shd w:val="clear" w:color="auto" w:fill="auto"/>
            <w:noWrap/>
            <w:vAlign w:val="center"/>
            <w:hideMark/>
          </w:tcPr>
          <w:p w14:paraId="7FDE2D4C" w14:textId="2D3E33FF" w:rsidR="006C7D54" w:rsidRPr="00D92E20" w:rsidRDefault="006C7D54" w:rsidP="006C7D54">
            <w:pPr>
              <w:spacing w:after="0" w:line="240" w:lineRule="auto"/>
              <w:jc w:val="center"/>
              <w:rPr>
                <w:rFonts w:cs="Arial"/>
                <w:color w:val="000000"/>
                <w:sz w:val="16"/>
                <w:szCs w:val="16"/>
              </w:rPr>
            </w:pPr>
            <w:r>
              <w:rPr>
                <w:rFonts w:cs="Arial"/>
                <w:sz w:val="16"/>
                <w:szCs w:val="16"/>
              </w:rPr>
              <w:t>3,9</w:t>
            </w:r>
          </w:p>
        </w:tc>
        <w:tc>
          <w:tcPr>
            <w:tcW w:w="595" w:type="dxa"/>
            <w:tcBorders>
              <w:top w:val="nil"/>
              <w:left w:val="nil"/>
              <w:bottom w:val="nil"/>
              <w:right w:val="nil"/>
            </w:tcBorders>
            <w:shd w:val="clear" w:color="auto" w:fill="auto"/>
            <w:noWrap/>
            <w:vAlign w:val="center"/>
            <w:hideMark/>
          </w:tcPr>
          <w:p w14:paraId="097CB147" w14:textId="0E21A529" w:rsidR="006C7D54" w:rsidRPr="00D92E20" w:rsidRDefault="006C7D54" w:rsidP="006C7D54">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0FA99D3B" w14:textId="49A357A3" w:rsidR="006C7D54" w:rsidRPr="00D92E20" w:rsidRDefault="006C7D54" w:rsidP="006C7D54">
            <w:pPr>
              <w:spacing w:after="0" w:line="240" w:lineRule="auto"/>
              <w:jc w:val="center"/>
              <w:rPr>
                <w:rFonts w:cs="Arial"/>
                <w:color w:val="000000"/>
                <w:sz w:val="16"/>
                <w:szCs w:val="16"/>
              </w:rPr>
            </w:pPr>
            <w:r>
              <w:rPr>
                <w:rFonts w:cs="Arial"/>
                <w:sz w:val="16"/>
                <w:szCs w:val="16"/>
              </w:rPr>
              <w:t>4,5</w:t>
            </w:r>
          </w:p>
        </w:tc>
        <w:tc>
          <w:tcPr>
            <w:tcW w:w="595" w:type="dxa"/>
            <w:tcBorders>
              <w:top w:val="nil"/>
              <w:left w:val="nil"/>
              <w:bottom w:val="nil"/>
              <w:right w:val="nil"/>
            </w:tcBorders>
            <w:shd w:val="clear" w:color="auto" w:fill="auto"/>
            <w:noWrap/>
            <w:vAlign w:val="center"/>
            <w:hideMark/>
          </w:tcPr>
          <w:p w14:paraId="790188E4" w14:textId="523C1DA5" w:rsidR="006C7D54" w:rsidRPr="00D92E20" w:rsidRDefault="006C7D54" w:rsidP="006C7D54">
            <w:pPr>
              <w:spacing w:after="0" w:line="240" w:lineRule="auto"/>
              <w:jc w:val="center"/>
              <w:rPr>
                <w:rFonts w:cs="Arial"/>
                <w:color w:val="000000"/>
                <w:sz w:val="16"/>
                <w:szCs w:val="16"/>
              </w:rPr>
            </w:pPr>
            <w:r>
              <w:rPr>
                <w:rFonts w:cs="Arial"/>
                <w:sz w:val="16"/>
                <w:szCs w:val="16"/>
              </w:rPr>
              <w:t>5,3</w:t>
            </w:r>
          </w:p>
        </w:tc>
        <w:tc>
          <w:tcPr>
            <w:tcW w:w="595" w:type="dxa"/>
            <w:tcBorders>
              <w:top w:val="nil"/>
              <w:left w:val="nil"/>
              <w:bottom w:val="nil"/>
              <w:right w:val="nil"/>
            </w:tcBorders>
            <w:shd w:val="clear" w:color="auto" w:fill="auto"/>
            <w:noWrap/>
            <w:vAlign w:val="center"/>
            <w:hideMark/>
          </w:tcPr>
          <w:p w14:paraId="4AED9654" w14:textId="21B4D107" w:rsidR="006C7D54" w:rsidRPr="00D92E20" w:rsidRDefault="006C7D54" w:rsidP="006C7D54">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17ACE5F7" w14:textId="612CE3D1" w:rsidR="006C7D54" w:rsidRPr="00D92E20" w:rsidRDefault="006C7D54" w:rsidP="006C7D54">
            <w:pPr>
              <w:spacing w:after="0" w:line="240" w:lineRule="auto"/>
              <w:jc w:val="center"/>
              <w:rPr>
                <w:rFonts w:cs="Arial"/>
                <w:color w:val="000000"/>
                <w:sz w:val="16"/>
                <w:szCs w:val="16"/>
              </w:rPr>
            </w:pPr>
            <w:r>
              <w:rPr>
                <w:rFonts w:cs="Arial"/>
                <w:color w:val="000000"/>
                <w:sz w:val="16"/>
                <w:szCs w:val="16"/>
              </w:rPr>
              <w:t>5,5</w:t>
            </w:r>
          </w:p>
        </w:tc>
        <w:tc>
          <w:tcPr>
            <w:tcW w:w="595" w:type="dxa"/>
            <w:tcBorders>
              <w:top w:val="nil"/>
              <w:left w:val="nil"/>
              <w:bottom w:val="nil"/>
              <w:right w:val="nil"/>
            </w:tcBorders>
            <w:shd w:val="clear" w:color="auto" w:fill="auto"/>
            <w:noWrap/>
            <w:vAlign w:val="center"/>
            <w:hideMark/>
          </w:tcPr>
          <w:p w14:paraId="5EFEF937" w14:textId="5A6C3153" w:rsidR="006C7D54" w:rsidRPr="00D92E20" w:rsidRDefault="006C7D54" w:rsidP="006C7D54">
            <w:pPr>
              <w:spacing w:after="0" w:line="240" w:lineRule="auto"/>
              <w:jc w:val="center"/>
              <w:rPr>
                <w:rFonts w:cs="Arial"/>
                <w:color w:val="000000"/>
                <w:sz w:val="16"/>
                <w:szCs w:val="16"/>
              </w:rPr>
            </w:pPr>
            <w:r>
              <w:rPr>
                <w:rFonts w:cs="Arial"/>
                <w:color w:val="000000"/>
                <w:sz w:val="16"/>
                <w:szCs w:val="16"/>
              </w:rPr>
              <w:t>5,6</w:t>
            </w:r>
          </w:p>
        </w:tc>
        <w:tc>
          <w:tcPr>
            <w:tcW w:w="595" w:type="dxa"/>
            <w:tcBorders>
              <w:top w:val="nil"/>
              <w:left w:val="nil"/>
              <w:bottom w:val="nil"/>
              <w:right w:val="nil"/>
            </w:tcBorders>
            <w:shd w:val="clear" w:color="auto" w:fill="auto"/>
            <w:noWrap/>
            <w:vAlign w:val="center"/>
            <w:hideMark/>
          </w:tcPr>
          <w:p w14:paraId="76AB8D91" w14:textId="2368F3A9" w:rsidR="006C7D54" w:rsidRPr="00D92E20" w:rsidRDefault="006C7D54" w:rsidP="006C7D54">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2E62E4AB" w14:textId="3730E1D3" w:rsidR="006C7D54" w:rsidRPr="00D92E20" w:rsidRDefault="006C7D54" w:rsidP="006C7D54">
            <w:pPr>
              <w:spacing w:after="0" w:line="240" w:lineRule="auto"/>
              <w:jc w:val="center"/>
              <w:rPr>
                <w:rFonts w:cs="Arial"/>
                <w:color w:val="000000"/>
                <w:sz w:val="16"/>
                <w:szCs w:val="16"/>
              </w:rPr>
            </w:pPr>
            <w:r>
              <w:rPr>
                <w:rFonts w:cs="Arial"/>
                <w:color w:val="000000"/>
                <w:sz w:val="16"/>
                <w:szCs w:val="16"/>
              </w:rPr>
              <w:t>6,9</w:t>
            </w:r>
          </w:p>
        </w:tc>
        <w:tc>
          <w:tcPr>
            <w:tcW w:w="595" w:type="dxa"/>
            <w:tcBorders>
              <w:top w:val="nil"/>
              <w:left w:val="nil"/>
              <w:bottom w:val="nil"/>
              <w:right w:val="nil"/>
            </w:tcBorders>
            <w:shd w:val="clear" w:color="auto" w:fill="auto"/>
            <w:noWrap/>
            <w:vAlign w:val="center"/>
            <w:hideMark/>
          </w:tcPr>
          <w:p w14:paraId="22EB4AAA" w14:textId="5E139A43" w:rsidR="006C7D54" w:rsidRPr="00D92E20" w:rsidRDefault="006C7D54" w:rsidP="006C7D54">
            <w:pPr>
              <w:spacing w:after="0" w:line="240" w:lineRule="auto"/>
              <w:jc w:val="center"/>
              <w:rPr>
                <w:rFonts w:cs="Arial"/>
                <w:color w:val="000000"/>
                <w:sz w:val="16"/>
                <w:szCs w:val="16"/>
              </w:rPr>
            </w:pPr>
            <w:r>
              <w:rPr>
                <w:rFonts w:cs="Arial"/>
                <w:color w:val="000000"/>
                <w:sz w:val="16"/>
                <w:szCs w:val="16"/>
              </w:rPr>
              <w:t>7,5</w:t>
            </w:r>
          </w:p>
        </w:tc>
      </w:tr>
      <w:tr w:rsidR="006C7D54" w:rsidRPr="00D92E20" w14:paraId="5FF59439" w14:textId="77777777" w:rsidTr="006C7D54">
        <w:trPr>
          <w:trHeight w:val="480"/>
        </w:trPr>
        <w:tc>
          <w:tcPr>
            <w:tcW w:w="3118" w:type="dxa"/>
            <w:tcBorders>
              <w:top w:val="nil"/>
              <w:left w:val="nil"/>
              <w:bottom w:val="nil"/>
              <w:right w:val="single" w:sz="4" w:space="0" w:color="auto"/>
            </w:tcBorders>
            <w:shd w:val="clear" w:color="auto" w:fill="auto"/>
            <w:vAlign w:val="center"/>
            <w:hideMark/>
          </w:tcPr>
          <w:p w14:paraId="7D932DD4"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95" w:type="dxa"/>
            <w:tcBorders>
              <w:top w:val="nil"/>
              <w:left w:val="nil"/>
              <w:bottom w:val="nil"/>
              <w:right w:val="nil"/>
            </w:tcBorders>
            <w:shd w:val="clear" w:color="auto" w:fill="auto"/>
            <w:noWrap/>
            <w:vAlign w:val="center"/>
            <w:hideMark/>
          </w:tcPr>
          <w:p w14:paraId="1252287C" w14:textId="190C9DF0"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3,1</w:t>
            </w:r>
          </w:p>
        </w:tc>
        <w:tc>
          <w:tcPr>
            <w:tcW w:w="595" w:type="dxa"/>
            <w:tcBorders>
              <w:top w:val="nil"/>
              <w:left w:val="nil"/>
              <w:bottom w:val="nil"/>
              <w:right w:val="nil"/>
            </w:tcBorders>
            <w:shd w:val="clear" w:color="auto" w:fill="auto"/>
            <w:noWrap/>
            <w:vAlign w:val="center"/>
            <w:hideMark/>
          </w:tcPr>
          <w:p w14:paraId="74E7EA4C" w14:textId="57443FDD" w:rsidR="006C7D54" w:rsidRPr="00D92E20" w:rsidRDefault="006C7D54" w:rsidP="006C7D54">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001449DE" w14:textId="35990D34" w:rsidR="006C7D54" w:rsidRPr="00D92E20" w:rsidRDefault="006C7D54" w:rsidP="006C7D54">
            <w:pPr>
              <w:spacing w:after="0" w:line="240" w:lineRule="auto"/>
              <w:jc w:val="center"/>
              <w:rPr>
                <w:rFonts w:cs="Arial"/>
                <w:color w:val="000000"/>
                <w:sz w:val="16"/>
                <w:szCs w:val="16"/>
              </w:rPr>
            </w:pPr>
            <w:r>
              <w:rPr>
                <w:rFonts w:cs="Arial"/>
                <w:sz w:val="16"/>
                <w:szCs w:val="16"/>
              </w:rPr>
              <w:t>2,9</w:t>
            </w:r>
          </w:p>
        </w:tc>
        <w:tc>
          <w:tcPr>
            <w:tcW w:w="595" w:type="dxa"/>
            <w:tcBorders>
              <w:top w:val="nil"/>
              <w:left w:val="nil"/>
              <w:bottom w:val="nil"/>
              <w:right w:val="nil"/>
            </w:tcBorders>
            <w:shd w:val="clear" w:color="auto" w:fill="auto"/>
            <w:noWrap/>
            <w:vAlign w:val="center"/>
            <w:hideMark/>
          </w:tcPr>
          <w:p w14:paraId="25627EA0" w14:textId="474931AD" w:rsidR="006C7D54" w:rsidRPr="00D92E20" w:rsidRDefault="006C7D54" w:rsidP="006C7D54">
            <w:pPr>
              <w:spacing w:after="0" w:line="240" w:lineRule="auto"/>
              <w:jc w:val="center"/>
              <w:rPr>
                <w:rFonts w:cs="Arial"/>
                <w:color w:val="000000"/>
                <w:sz w:val="16"/>
                <w:szCs w:val="16"/>
              </w:rPr>
            </w:pPr>
            <w:r>
              <w:rPr>
                <w:rFonts w:cs="Arial"/>
                <w:sz w:val="16"/>
                <w:szCs w:val="16"/>
              </w:rPr>
              <w:t>2,8</w:t>
            </w:r>
          </w:p>
        </w:tc>
        <w:tc>
          <w:tcPr>
            <w:tcW w:w="595" w:type="dxa"/>
            <w:tcBorders>
              <w:top w:val="nil"/>
              <w:left w:val="nil"/>
              <w:bottom w:val="nil"/>
              <w:right w:val="nil"/>
            </w:tcBorders>
            <w:shd w:val="clear" w:color="auto" w:fill="auto"/>
            <w:noWrap/>
            <w:vAlign w:val="center"/>
            <w:hideMark/>
          </w:tcPr>
          <w:p w14:paraId="4EA083B6" w14:textId="4B3CCD7D" w:rsidR="006C7D54" w:rsidRPr="00D92E20" w:rsidRDefault="006C7D54" w:rsidP="006C7D54">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7EE9BE72" w14:textId="0D538F7B" w:rsidR="006C7D54" w:rsidRPr="00D92E20" w:rsidRDefault="006C7D54" w:rsidP="006C7D54">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83C19BE" w14:textId="6B2128A3" w:rsidR="006C7D54" w:rsidRPr="00D92E20" w:rsidRDefault="006C7D54" w:rsidP="006C7D54">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64B47174" w14:textId="70AB52B5" w:rsidR="006C7D54" w:rsidRPr="00D92E20" w:rsidRDefault="006C7D54" w:rsidP="006C7D54">
            <w:pPr>
              <w:spacing w:after="0" w:line="240" w:lineRule="auto"/>
              <w:jc w:val="center"/>
              <w:rPr>
                <w:rFonts w:cs="Arial"/>
                <w:color w:val="000000"/>
                <w:sz w:val="16"/>
                <w:szCs w:val="16"/>
              </w:rPr>
            </w:pPr>
            <w:r>
              <w:rPr>
                <w:rFonts w:cs="Arial"/>
                <w:color w:val="000000"/>
                <w:sz w:val="16"/>
                <w:szCs w:val="16"/>
              </w:rPr>
              <w:t>3,6</w:t>
            </w:r>
          </w:p>
        </w:tc>
        <w:tc>
          <w:tcPr>
            <w:tcW w:w="595" w:type="dxa"/>
            <w:tcBorders>
              <w:top w:val="nil"/>
              <w:left w:val="nil"/>
              <w:bottom w:val="nil"/>
              <w:right w:val="nil"/>
            </w:tcBorders>
            <w:shd w:val="clear" w:color="auto" w:fill="auto"/>
            <w:noWrap/>
            <w:vAlign w:val="center"/>
            <w:hideMark/>
          </w:tcPr>
          <w:p w14:paraId="79714A66" w14:textId="0D0A7227" w:rsidR="006C7D54" w:rsidRPr="00D92E20" w:rsidRDefault="006C7D54" w:rsidP="006C7D54">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0A403467" w14:textId="31DED841" w:rsidR="006C7D54" w:rsidRPr="00D92E20" w:rsidRDefault="006C7D54" w:rsidP="006C7D54">
            <w:pPr>
              <w:spacing w:after="0" w:line="240" w:lineRule="auto"/>
              <w:jc w:val="center"/>
              <w:rPr>
                <w:rFonts w:cs="Arial"/>
                <w:color w:val="000000"/>
                <w:sz w:val="16"/>
                <w:szCs w:val="16"/>
              </w:rPr>
            </w:pPr>
            <w:r>
              <w:rPr>
                <w:rFonts w:cs="Arial"/>
                <w:color w:val="000000"/>
                <w:sz w:val="16"/>
                <w:szCs w:val="16"/>
              </w:rPr>
              <w:t>3,8</w:t>
            </w:r>
          </w:p>
        </w:tc>
        <w:tc>
          <w:tcPr>
            <w:tcW w:w="595" w:type="dxa"/>
            <w:tcBorders>
              <w:top w:val="nil"/>
              <w:left w:val="nil"/>
              <w:bottom w:val="nil"/>
              <w:right w:val="nil"/>
            </w:tcBorders>
            <w:shd w:val="clear" w:color="auto" w:fill="auto"/>
            <w:noWrap/>
            <w:vAlign w:val="center"/>
            <w:hideMark/>
          </w:tcPr>
          <w:p w14:paraId="5C2704F2" w14:textId="2032BD93" w:rsidR="006C7D54" w:rsidRPr="00D92E20" w:rsidRDefault="006C7D54" w:rsidP="006C7D54">
            <w:pPr>
              <w:spacing w:after="0" w:line="240" w:lineRule="auto"/>
              <w:jc w:val="center"/>
              <w:rPr>
                <w:rFonts w:cs="Arial"/>
                <w:color w:val="000000"/>
                <w:sz w:val="16"/>
                <w:szCs w:val="16"/>
              </w:rPr>
            </w:pPr>
            <w:r>
              <w:rPr>
                <w:rFonts w:cs="Arial"/>
                <w:color w:val="000000"/>
                <w:sz w:val="16"/>
                <w:szCs w:val="16"/>
              </w:rPr>
              <w:t>4,6</w:t>
            </w:r>
          </w:p>
        </w:tc>
      </w:tr>
      <w:tr w:rsidR="006C7D54" w:rsidRPr="00D92E20" w14:paraId="6537B68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6B444684"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95" w:type="dxa"/>
            <w:tcBorders>
              <w:top w:val="nil"/>
              <w:left w:val="nil"/>
              <w:bottom w:val="nil"/>
              <w:right w:val="nil"/>
            </w:tcBorders>
            <w:shd w:val="clear" w:color="auto" w:fill="auto"/>
            <w:noWrap/>
            <w:vAlign w:val="center"/>
            <w:hideMark/>
          </w:tcPr>
          <w:p w14:paraId="355220CD" w14:textId="63EC052D"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2,7</w:t>
            </w:r>
          </w:p>
        </w:tc>
        <w:tc>
          <w:tcPr>
            <w:tcW w:w="595" w:type="dxa"/>
            <w:tcBorders>
              <w:top w:val="nil"/>
              <w:left w:val="nil"/>
              <w:bottom w:val="nil"/>
              <w:right w:val="nil"/>
            </w:tcBorders>
            <w:shd w:val="clear" w:color="auto" w:fill="auto"/>
            <w:noWrap/>
            <w:vAlign w:val="center"/>
            <w:hideMark/>
          </w:tcPr>
          <w:p w14:paraId="2AC13336" w14:textId="4D4C73DC"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50D6772F" w14:textId="3A2C1B33" w:rsidR="006C7D54" w:rsidRPr="00D92E20" w:rsidRDefault="006C7D54" w:rsidP="006C7D54">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4EA71460" w14:textId="59F9CD0C" w:rsidR="006C7D54" w:rsidRPr="00D92E20" w:rsidRDefault="006C7D54" w:rsidP="006C7D54">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7AC57998" w14:textId="24B30918" w:rsidR="006C7D54" w:rsidRPr="00D92E20" w:rsidRDefault="006C7D54" w:rsidP="006C7D54">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04D6AA71" w14:textId="10A73B07" w:rsidR="006C7D54" w:rsidRPr="00D92E20" w:rsidRDefault="006C7D54" w:rsidP="006C7D54">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3A556C05" w14:textId="0B31846B" w:rsidR="006C7D54" w:rsidRPr="00D92E20" w:rsidRDefault="006C7D54" w:rsidP="006C7D54">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7A1DD3C7" w14:textId="0ECC80BB" w:rsidR="006C7D54" w:rsidRPr="00D92E20" w:rsidRDefault="006C7D54" w:rsidP="006C7D54">
            <w:pPr>
              <w:spacing w:after="0" w:line="240" w:lineRule="auto"/>
              <w:jc w:val="center"/>
              <w:rPr>
                <w:rFonts w:cs="Arial"/>
                <w:color w:val="000000"/>
                <w:sz w:val="16"/>
                <w:szCs w:val="16"/>
              </w:rPr>
            </w:pPr>
            <w:r>
              <w:rPr>
                <w:rFonts w:cs="Arial"/>
                <w:color w:val="000000"/>
                <w:sz w:val="16"/>
                <w:szCs w:val="16"/>
              </w:rPr>
              <w:t>3,5</w:t>
            </w:r>
          </w:p>
        </w:tc>
        <w:tc>
          <w:tcPr>
            <w:tcW w:w="595" w:type="dxa"/>
            <w:tcBorders>
              <w:top w:val="nil"/>
              <w:left w:val="nil"/>
              <w:bottom w:val="nil"/>
              <w:right w:val="nil"/>
            </w:tcBorders>
            <w:shd w:val="clear" w:color="auto" w:fill="auto"/>
            <w:noWrap/>
            <w:vAlign w:val="center"/>
            <w:hideMark/>
          </w:tcPr>
          <w:p w14:paraId="655282EF" w14:textId="1B6E99D7" w:rsidR="006C7D54" w:rsidRPr="00D92E20" w:rsidRDefault="006C7D54" w:rsidP="006C7D54">
            <w:pPr>
              <w:spacing w:after="0" w:line="240" w:lineRule="auto"/>
              <w:jc w:val="center"/>
              <w:rPr>
                <w:rFonts w:cs="Arial"/>
                <w:color w:val="000000"/>
                <w:sz w:val="16"/>
                <w:szCs w:val="16"/>
              </w:rPr>
            </w:pPr>
            <w:r>
              <w:rPr>
                <w:rFonts w:cs="Arial"/>
                <w:color w:val="000000"/>
                <w:sz w:val="16"/>
                <w:szCs w:val="16"/>
              </w:rPr>
              <w:t>3,4</w:t>
            </w:r>
          </w:p>
        </w:tc>
        <w:tc>
          <w:tcPr>
            <w:tcW w:w="595" w:type="dxa"/>
            <w:tcBorders>
              <w:top w:val="nil"/>
              <w:left w:val="nil"/>
              <w:bottom w:val="nil"/>
              <w:right w:val="nil"/>
            </w:tcBorders>
            <w:shd w:val="clear" w:color="auto" w:fill="auto"/>
            <w:noWrap/>
            <w:vAlign w:val="center"/>
            <w:hideMark/>
          </w:tcPr>
          <w:p w14:paraId="2975FE97" w14:textId="7DC29E8E" w:rsidR="006C7D54" w:rsidRPr="00D92E20" w:rsidRDefault="006C7D54" w:rsidP="006C7D54">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2EB4B2AF" w14:textId="5B7A71AE" w:rsidR="006C7D54" w:rsidRPr="00D92E20" w:rsidRDefault="006C7D54" w:rsidP="006C7D54">
            <w:pPr>
              <w:spacing w:after="0" w:line="240" w:lineRule="auto"/>
              <w:jc w:val="center"/>
              <w:rPr>
                <w:rFonts w:cs="Arial"/>
                <w:color w:val="000000"/>
                <w:sz w:val="16"/>
                <w:szCs w:val="16"/>
              </w:rPr>
            </w:pPr>
            <w:r>
              <w:rPr>
                <w:rFonts w:cs="Arial"/>
                <w:color w:val="000000"/>
                <w:sz w:val="16"/>
                <w:szCs w:val="16"/>
              </w:rPr>
              <w:t>3,7</w:t>
            </w:r>
          </w:p>
        </w:tc>
      </w:tr>
      <w:tr w:rsidR="006C7D54" w:rsidRPr="00D92E20" w14:paraId="45A0E750"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561E914"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95" w:type="dxa"/>
            <w:tcBorders>
              <w:top w:val="nil"/>
              <w:left w:val="nil"/>
              <w:bottom w:val="nil"/>
              <w:right w:val="nil"/>
            </w:tcBorders>
            <w:shd w:val="clear" w:color="auto" w:fill="auto"/>
            <w:noWrap/>
            <w:vAlign w:val="center"/>
            <w:hideMark/>
          </w:tcPr>
          <w:p w14:paraId="38377929" w14:textId="49941801"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3,7</w:t>
            </w:r>
          </w:p>
        </w:tc>
        <w:tc>
          <w:tcPr>
            <w:tcW w:w="595" w:type="dxa"/>
            <w:tcBorders>
              <w:top w:val="nil"/>
              <w:left w:val="nil"/>
              <w:bottom w:val="nil"/>
              <w:right w:val="nil"/>
            </w:tcBorders>
            <w:shd w:val="clear" w:color="auto" w:fill="auto"/>
            <w:noWrap/>
            <w:vAlign w:val="center"/>
            <w:hideMark/>
          </w:tcPr>
          <w:p w14:paraId="432FEC04" w14:textId="5E53E581" w:rsidR="006C7D54" w:rsidRPr="00D92E20" w:rsidRDefault="006C7D54" w:rsidP="006C7D54">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207E324B" w14:textId="17F56A0E" w:rsidR="006C7D54" w:rsidRPr="00D92E20" w:rsidRDefault="006C7D54" w:rsidP="006C7D54">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245C1CBF" w14:textId="3A857067" w:rsidR="006C7D54" w:rsidRPr="00D92E20" w:rsidRDefault="006C7D54" w:rsidP="006C7D54">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7CC79962" w14:textId="2C6ED8BF" w:rsidR="006C7D54" w:rsidRPr="00D92E20" w:rsidRDefault="006C7D54" w:rsidP="006C7D54">
            <w:pPr>
              <w:spacing w:after="0" w:line="240" w:lineRule="auto"/>
              <w:jc w:val="center"/>
              <w:rPr>
                <w:rFonts w:cs="Arial"/>
                <w:color w:val="000000"/>
                <w:sz w:val="16"/>
                <w:szCs w:val="16"/>
              </w:rPr>
            </w:pPr>
            <w:r>
              <w:rPr>
                <w:rFonts w:cs="Arial"/>
                <w:sz w:val="16"/>
                <w:szCs w:val="16"/>
              </w:rPr>
              <w:t>4,3</w:t>
            </w:r>
          </w:p>
        </w:tc>
        <w:tc>
          <w:tcPr>
            <w:tcW w:w="595" w:type="dxa"/>
            <w:tcBorders>
              <w:top w:val="nil"/>
              <w:left w:val="nil"/>
              <w:bottom w:val="nil"/>
              <w:right w:val="nil"/>
            </w:tcBorders>
            <w:shd w:val="clear" w:color="auto" w:fill="auto"/>
            <w:noWrap/>
            <w:vAlign w:val="center"/>
            <w:hideMark/>
          </w:tcPr>
          <w:p w14:paraId="1054482E" w14:textId="7FDE83C9" w:rsidR="006C7D54" w:rsidRPr="00D92E20" w:rsidRDefault="006C7D54" w:rsidP="006C7D54">
            <w:pPr>
              <w:spacing w:after="0" w:line="240" w:lineRule="auto"/>
              <w:jc w:val="center"/>
              <w:rPr>
                <w:rFonts w:cs="Arial"/>
                <w:color w:val="000000"/>
                <w:sz w:val="16"/>
                <w:szCs w:val="16"/>
              </w:rPr>
            </w:pPr>
            <w:r>
              <w:rPr>
                <w:rFonts w:cs="Arial"/>
                <w:color w:val="000000"/>
                <w:sz w:val="16"/>
                <w:szCs w:val="16"/>
              </w:rPr>
              <w:t>4,3</w:t>
            </w:r>
          </w:p>
        </w:tc>
        <w:tc>
          <w:tcPr>
            <w:tcW w:w="595" w:type="dxa"/>
            <w:tcBorders>
              <w:top w:val="nil"/>
              <w:left w:val="nil"/>
              <w:bottom w:val="nil"/>
              <w:right w:val="nil"/>
            </w:tcBorders>
            <w:shd w:val="clear" w:color="auto" w:fill="auto"/>
            <w:noWrap/>
            <w:vAlign w:val="center"/>
            <w:hideMark/>
          </w:tcPr>
          <w:p w14:paraId="0C61BEB1" w14:textId="47B1B274" w:rsidR="006C7D54" w:rsidRPr="00D92E20" w:rsidRDefault="006C7D54" w:rsidP="006C7D54">
            <w:pPr>
              <w:spacing w:after="0" w:line="240" w:lineRule="auto"/>
              <w:jc w:val="center"/>
              <w:rPr>
                <w:rFonts w:cs="Arial"/>
                <w:color w:val="000000"/>
                <w:sz w:val="16"/>
                <w:szCs w:val="16"/>
              </w:rPr>
            </w:pPr>
            <w:r>
              <w:rPr>
                <w:rFonts w:cs="Arial"/>
                <w:color w:val="000000"/>
                <w:sz w:val="16"/>
                <w:szCs w:val="16"/>
              </w:rPr>
              <w:t>4,5</w:t>
            </w:r>
          </w:p>
        </w:tc>
        <w:tc>
          <w:tcPr>
            <w:tcW w:w="595" w:type="dxa"/>
            <w:tcBorders>
              <w:top w:val="nil"/>
              <w:left w:val="nil"/>
              <w:bottom w:val="nil"/>
              <w:right w:val="nil"/>
            </w:tcBorders>
            <w:shd w:val="clear" w:color="auto" w:fill="auto"/>
            <w:noWrap/>
            <w:vAlign w:val="center"/>
            <w:hideMark/>
          </w:tcPr>
          <w:p w14:paraId="1CDD45B3" w14:textId="3C2930FC" w:rsidR="006C7D54" w:rsidRPr="00D92E20" w:rsidRDefault="006C7D54" w:rsidP="006C7D54">
            <w:pPr>
              <w:spacing w:after="0" w:line="240" w:lineRule="auto"/>
              <w:jc w:val="center"/>
              <w:rPr>
                <w:rFonts w:cs="Arial"/>
                <w:color w:val="000000"/>
                <w:sz w:val="16"/>
                <w:szCs w:val="16"/>
              </w:rPr>
            </w:pPr>
            <w:r>
              <w:rPr>
                <w:rFonts w:cs="Arial"/>
                <w:color w:val="000000"/>
                <w:sz w:val="16"/>
                <w:szCs w:val="16"/>
              </w:rPr>
              <w:t>4,6</w:t>
            </w:r>
          </w:p>
        </w:tc>
        <w:tc>
          <w:tcPr>
            <w:tcW w:w="595" w:type="dxa"/>
            <w:tcBorders>
              <w:top w:val="nil"/>
              <w:left w:val="nil"/>
              <w:bottom w:val="nil"/>
              <w:right w:val="nil"/>
            </w:tcBorders>
            <w:shd w:val="clear" w:color="auto" w:fill="auto"/>
            <w:noWrap/>
            <w:vAlign w:val="center"/>
            <w:hideMark/>
          </w:tcPr>
          <w:p w14:paraId="6FC79CBF" w14:textId="7279D8D1" w:rsidR="006C7D54" w:rsidRPr="00D92E20" w:rsidRDefault="006C7D54" w:rsidP="006C7D54">
            <w:pPr>
              <w:spacing w:after="0" w:line="240" w:lineRule="auto"/>
              <w:jc w:val="center"/>
              <w:rPr>
                <w:rFonts w:cs="Arial"/>
                <w:color w:val="000000"/>
                <w:sz w:val="16"/>
                <w:szCs w:val="16"/>
              </w:rPr>
            </w:pPr>
            <w:r>
              <w:rPr>
                <w:rFonts w:cs="Arial"/>
                <w:color w:val="000000"/>
                <w:sz w:val="16"/>
                <w:szCs w:val="16"/>
              </w:rPr>
              <w:t>4,7</w:t>
            </w:r>
          </w:p>
        </w:tc>
        <w:tc>
          <w:tcPr>
            <w:tcW w:w="595" w:type="dxa"/>
            <w:tcBorders>
              <w:top w:val="nil"/>
              <w:left w:val="nil"/>
              <w:bottom w:val="nil"/>
              <w:right w:val="nil"/>
            </w:tcBorders>
            <w:shd w:val="clear" w:color="auto" w:fill="auto"/>
            <w:noWrap/>
            <w:vAlign w:val="center"/>
            <w:hideMark/>
          </w:tcPr>
          <w:p w14:paraId="57D5387B" w14:textId="0CEA40C5" w:rsidR="006C7D54" w:rsidRPr="00D92E20" w:rsidRDefault="006C7D54" w:rsidP="006C7D54">
            <w:pPr>
              <w:spacing w:after="0" w:line="240" w:lineRule="auto"/>
              <w:jc w:val="center"/>
              <w:rPr>
                <w:rFonts w:cs="Arial"/>
                <w:color w:val="000000"/>
                <w:sz w:val="16"/>
                <w:szCs w:val="16"/>
              </w:rPr>
            </w:pPr>
            <w:r>
              <w:rPr>
                <w:rFonts w:cs="Arial"/>
                <w:color w:val="000000"/>
                <w:sz w:val="16"/>
                <w:szCs w:val="16"/>
              </w:rPr>
              <w:t>5,7</w:t>
            </w:r>
          </w:p>
        </w:tc>
        <w:tc>
          <w:tcPr>
            <w:tcW w:w="595" w:type="dxa"/>
            <w:tcBorders>
              <w:top w:val="nil"/>
              <w:left w:val="nil"/>
              <w:bottom w:val="nil"/>
              <w:right w:val="nil"/>
            </w:tcBorders>
            <w:shd w:val="clear" w:color="auto" w:fill="auto"/>
            <w:noWrap/>
            <w:vAlign w:val="center"/>
            <w:hideMark/>
          </w:tcPr>
          <w:p w14:paraId="29E4B282" w14:textId="13F601F0" w:rsidR="006C7D54" w:rsidRPr="00D92E20" w:rsidRDefault="006C7D54" w:rsidP="006C7D54">
            <w:pPr>
              <w:spacing w:after="0" w:line="240" w:lineRule="auto"/>
              <w:jc w:val="center"/>
              <w:rPr>
                <w:rFonts w:cs="Arial"/>
                <w:color w:val="000000"/>
                <w:sz w:val="16"/>
                <w:szCs w:val="16"/>
              </w:rPr>
            </w:pPr>
            <w:r>
              <w:rPr>
                <w:rFonts w:cs="Arial"/>
                <w:color w:val="000000"/>
                <w:sz w:val="16"/>
                <w:szCs w:val="16"/>
              </w:rPr>
              <w:t>5,9</w:t>
            </w:r>
          </w:p>
        </w:tc>
      </w:tr>
      <w:tr w:rsidR="006C7D54" w:rsidRPr="00D92E20" w14:paraId="34013AB5"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14AB5824" w14:textId="77777777" w:rsidR="006C7D54"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 xml:space="preserve">R – Kulturní, zábavní a rekreační </w:t>
            </w:r>
          </w:p>
          <w:p w14:paraId="48D6C9D8" w14:textId="387B937F" w:rsidR="006C7D54" w:rsidRPr="00D92E20" w:rsidRDefault="006C7D54" w:rsidP="006C7D54">
            <w:pPr>
              <w:spacing w:after="0" w:line="240" w:lineRule="auto"/>
              <w:ind w:firstLineChars="100" w:firstLine="160"/>
              <w:rPr>
                <w:rFonts w:cs="Arial"/>
                <w:color w:val="000000"/>
                <w:sz w:val="16"/>
                <w:szCs w:val="16"/>
              </w:rPr>
            </w:pPr>
            <w:r>
              <w:rPr>
                <w:rFonts w:cs="Arial"/>
                <w:color w:val="000000"/>
                <w:sz w:val="16"/>
                <w:szCs w:val="16"/>
              </w:rPr>
              <w:t xml:space="preserve">       </w:t>
            </w:r>
            <w:r w:rsidRPr="00D92E20">
              <w:rPr>
                <w:rFonts w:cs="Arial"/>
                <w:color w:val="000000"/>
                <w:sz w:val="16"/>
                <w:szCs w:val="16"/>
              </w:rPr>
              <w:t>činnosti</w:t>
            </w:r>
          </w:p>
        </w:tc>
        <w:tc>
          <w:tcPr>
            <w:tcW w:w="595" w:type="dxa"/>
            <w:tcBorders>
              <w:top w:val="nil"/>
              <w:left w:val="nil"/>
              <w:bottom w:val="nil"/>
              <w:right w:val="nil"/>
            </w:tcBorders>
            <w:shd w:val="clear" w:color="auto" w:fill="auto"/>
            <w:noWrap/>
            <w:vAlign w:val="center"/>
            <w:hideMark/>
          </w:tcPr>
          <w:p w14:paraId="730A3EE1" w14:textId="3F5E31A5"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2,9</w:t>
            </w:r>
          </w:p>
        </w:tc>
        <w:tc>
          <w:tcPr>
            <w:tcW w:w="595" w:type="dxa"/>
            <w:tcBorders>
              <w:top w:val="nil"/>
              <w:left w:val="nil"/>
              <w:bottom w:val="nil"/>
              <w:right w:val="nil"/>
            </w:tcBorders>
            <w:shd w:val="clear" w:color="auto" w:fill="auto"/>
            <w:noWrap/>
            <w:vAlign w:val="center"/>
            <w:hideMark/>
          </w:tcPr>
          <w:p w14:paraId="6B1B2EA7" w14:textId="65D8C96C" w:rsidR="006C7D54" w:rsidRPr="00D92E20" w:rsidRDefault="006C7D54" w:rsidP="006C7D54">
            <w:pPr>
              <w:spacing w:after="0" w:line="240" w:lineRule="auto"/>
              <w:jc w:val="center"/>
              <w:rPr>
                <w:rFonts w:cs="Arial"/>
                <w:color w:val="000000"/>
                <w:sz w:val="16"/>
                <w:szCs w:val="16"/>
              </w:rPr>
            </w:pPr>
            <w:r>
              <w:rPr>
                <w:rFonts w:cs="Arial"/>
                <w:sz w:val="16"/>
                <w:szCs w:val="16"/>
              </w:rPr>
              <w:t>2,4</w:t>
            </w:r>
          </w:p>
        </w:tc>
        <w:tc>
          <w:tcPr>
            <w:tcW w:w="595" w:type="dxa"/>
            <w:tcBorders>
              <w:top w:val="nil"/>
              <w:left w:val="nil"/>
              <w:bottom w:val="nil"/>
              <w:right w:val="nil"/>
            </w:tcBorders>
            <w:shd w:val="clear" w:color="auto" w:fill="auto"/>
            <w:noWrap/>
            <w:vAlign w:val="center"/>
            <w:hideMark/>
          </w:tcPr>
          <w:p w14:paraId="0CD9B2AF" w14:textId="3FE890ED" w:rsidR="006C7D54" w:rsidRPr="00D92E20" w:rsidRDefault="006C7D54" w:rsidP="006C7D54">
            <w:pPr>
              <w:spacing w:after="0" w:line="240" w:lineRule="auto"/>
              <w:jc w:val="center"/>
              <w:rPr>
                <w:rFonts w:cs="Arial"/>
                <w:color w:val="000000"/>
                <w:sz w:val="16"/>
                <w:szCs w:val="16"/>
              </w:rPr>
            </w:pPr>
            <w:r>
              <w:rPr>
                <w:rFonts w:cs="Arial"/>
                <w:sz w:val="16"/>
                <w:szCs w:val="16"/>
              </w:rPr>
              <w:t>2,7</w:t>
            </w:r>
          </w:p>
        </w:tc>
        <w:tc>
          <w:tcPr>
            <w:tcW w:w="595" w:type="dxa"/>
            <w:tcBorders>
              <w:top w:val="nil"/>
              <w:left w:val="nil"/>
              <w:bottom w:val="nil"/>
              <w:right w:val="nil"/>
            </w:tcBorders>
            <w:shd w:val="clear" w:color="auto" w:fill="auto"/>
            <w:noWrap/>
            <w:vAlign w:val="center"/>
            <w:hideMark/>
          </w:tcPr>
          <w:p w14:paraId="16A89A5A" w14:textId="796B4281" w:rsidR="006C7D54" w:rsidRPr="00D92E20" w:rsidRDefault="006C7D54" w:rsidP="006C7D54">
            <w:pPr>
              <w:spacing w:after="0" w:line="240" w:lineRule="auto"/>
              <w:jc w:val="center"/>
              <w:rPr>
                <w:rFonts w:cs="Arial"/>
                <w:color w:val="000000"/>
                <w:sz w:val="16"/>
                <w:szCs w:val="16"/>
              </w:rPr>
            </w:pPr>
            <w:r>
              <w:rPr>
                <w:rFonts w:cs="Arial"/>
                <w:sz w:val="16"/>
                <w:szCs w:val="16"/>
              </w:rPr>
              <w:t>2,6</w:t>
            </w:r>
          </w:p>
        </w:tc>
        <w:tc>
          <w:tcPr>
            <w:tcW w:w="595" w:type="dxa"/>
            <w:tcBorders>
              <w:top w:val="nil"/>
              <w:left w:val="nil"/>
              <w:bottom w:val="nil"/>
              <w:right w:val="nil"/>
            </w:tcBorders>
            <w:shd w:val="clear" w:color="auto" w:fill="auto"/>
            <w:noWrap/>
            <w:vAlign w:val="center"/>
            <w:hideMark/>
          </w:tcPr>
          <w:p w14:paraId="5D3619B4" w14:textId="02A29047" w:rsidR="006C7D54" w:rsidRPr="00D92E20" w:rsidRDefault="006C7D54" w:rsidP="006C7D54">
            <w:pPr>
              <w:spacing w:after="0" w:line="240" w:lineRule="auto"/>
              <w:jc w:val="center"/>
              <w:rPr>
                <w:rFonts w:cs="Arial"/>
                <w:color w:val="000000"/>
                <w:sz w:val="16"/>
                <w:szCs w:val="16"/>
              </w:rPr>
            </w:pPr>
            <w:r>
              <w:rPr>
                <w:rFonts w:cs="Arial"/>
                <w:sz w:val="16"/>
                <w:szCs w:val="16"/>
              </w:rPr>
              <w:t>3,0</w:t>
            </w:r>
          </w:p>
        </w:tc>
        <w:tc>
          <w:tcPr>
            <w:tcW w:w="595" w:type="dxa"/>
            <w:tcBorders>
              <w:top w:val="nil"/>
              <w:left w:val="nil"/>
              <w:bottom w:val="nil"/>
              <w:right w:val="nil"/>
            </w:tcBorders>
            <w:shd w:val="clear" w:color="auto" w:fill="auto"/>
            <w:noWrap/>
            <w:vAlign w:val="center"/>
            <w:hideMark/>
          </w:tcPr>
          <w:p w14:paraId="7F84F244" w14:textId="6FF5EDA9" w:rsidR="006C7D54" w:rsidRPr="00D92E20" w:rsidRDefault="006C7D54" w:rsidP="006C7D54">
            <w:pPr>
              <w:spacing w:after="0" w:line="240" w:lineRule="auto"/>
              <w:jc w:val="center"/>
              <w:rPr>
                <w:rFonts w:cs="Arial"/>
                <w:color w:val="000000"/>
                <w:sz w:val="16"/>
                <w:szCs w:val="16"/>
              </w:rPr>
            </w:pPr>
            <w:r>
              <w:rPr>
                <w:rFonts w:cs="Arial"/>
                <w:color w:val="000000"/>
                <w:sz w:val="16"/>
                <w:szCs w:val="16"/>
              </w:rPr>
              <w:t>3,1</w:t>
            </w:r>
          </w:p>
        </w:tc>
        <w:tc>
          <w:tcPr>
            <w:tcW w:w="595" w:type="dxa"/>
            <w:tcBorders>
              <w:top w:val="nil"/>
              <w:left w:val="nil"/>
              <w:bottom w:val="nil"/>
              <w:right w:val="nil"/>
            </w:tcBorders>
            <w:shd w:val="clear" w:color="auto" w:fill="auto"/>
            <w:noWrap/>
            <w:vAlign w:val="center"/>
            <w:hideMark/>
          </w:tcPr>
          <w:p w14:paraId="2A4F1FC7" w14:textId="70CB99D9" w:rsidR="006C7D54" w:rsidRPr="00D92E20" w:rsidRDefault="006C7D54" w:rsidP="006C7D54">
            <w:pPr>
              <w:spacing w:after="0" w:line="240" w:lineRule="auto"/>
              <w:jc w:val="center"/>
              <w:rPr>
                <w:rFonts w:cs="Arial"/>
                <w:color w:val="000000"/>
                <w:sz w:val="16"/>
                <w:szCs w:val="16"/>
              </w:rPr>
            </w:pPr>
            <w:r>
              <w:rPr>
                <w:rFonts w:cs="Arial"/>
                <w:color w:val="000000"/>
                <w:sz w:val="16"/>
                <w:szCs w:val="16"/>
              </w:rPr>
              <w:t>3,2</w:t>
            </w:r>
          </w:p>
        </w:tc>
        <w:tc>
          <w:tcPr>
            <w:tcW w:w="595" w:type="dxa"/>
            <w:tcBorders>
              <w:top w:val="nil"/>
              <w:left w:val="nil"/>
              <w:bottom w:val="nil"/>
              <w:right w:val="nil"/>
            </w:tcBorders>
            <w:shd w:val="clear" w:color="auto" w:fill="auto"/>
            <w:noWrap/>
            <w:vAlign w:val="center"/>
            <w:hideMark/>
          </w:tcPr>
          <w:p w14:paraId="3882DF8C" w14:textId="40655CC7" w:rsidR="006C7D54" w:rsidRPr="00D92E20" w:rsidRDefault="006C7D54" w:rsidP="006C7D54">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0FC6D7ED" w14:textId="55B5D7E1" w:rsidR="006C7D54" w:rsidRPr="00D92E20" w:rsidRDefault="006C7D54" w:rsidP="006C7D54">
            <w:pPr>
              <w:spacing w:after="0" w:line="240" w:lineRule="auto"/>
              <w:jc w:val="center"/>
              <w:rPr>
                <w:rFonts w:cs="Arial"/>
                <w:color w:val="000000"/>
                <w:sz w:val="16"/>
                <w:szCs w:val="16"/>
              </w:rPr>
            </w:pPr>
            <w:r>
              <w:rPr>
                <w:rFonts w:cs="Arial"/>
                <w:color w:val="000000"/>
                <w:sz w:val="16"/>
                <w:szCs w:val="16"/>
              </w:rPr>
              <w:t>3,3</w:t>
            </w:r>
          </w:p>
        </w:tc>
        <w:tc>
          <w:tcPr>
            <w:tcW w:w="595" w:type="dxa"/>
            <w:tcBorders>
              <w:top w:val="nil"/>
              <w:left w:val="nil"/>
              <w:bottom w:val="nil"/>
              <w:right w:val="nil"/>
            </w:tcBorders>
            <w:shd w:val="clear" w:color="auto" w:fill="auto"/>
            <w:noWrap/>
            <w:vAlign w:val="center"/>
            <w:hideMark/>
          </w:tcPr>
          <w:p w14:paraId="5A565F4F" w14:textId="59E651FF" w:rsidR="006C7D54" w:rsidRPr="00D92E20" w:rsidRDefault="006C7D54" w:rsidP="006C7D54">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3E934D17" w14:textId="2086194C" w:rsidR="006C7D54" w:rsidRPr="00D92E20" w:rsidRDefault="006C7D54" w:rsidP="006C7D54">
            <w:pPr>
              <w:spacing w:after="0" w:line="240" w:lineRule="auto"/>
              <w:jc w:val="center"/>
              <w:rPr>
                <w:rFonts w:cs="Arial"/>
                <w:color w:val="000000"/>
                <w:sz w:val="16"/>
                <w:szCs w:val="16"/>
              </w:rPr>
            </w:pPr>
            <w:r>
              <w:rPr>
                <w:rFonts w:cs="Arial"/>
                <w:color w:val="000000"/>
                <w:sz w:val="16"/>
                <w:szCs w:val="16"/>
              </w:rPr>
              <w:t>3,5</w:t>
            </w:r>
          </w:p>
        </w:tc>
      </w:tr>
      <w:tr w:rsidR="006C7D54" w:rsidRPr="00D92E20" w14:paraId="23A725A7" w14:textId="77777777" w:rsidTr="006C7D54">
        <w:trPr>
          <w:trHeight w:val="300"/>
        </w:trPr>
        <w:tc>
          <w:tcPr>
            <w:tcW w:w="3118" w:type="dxa"/>
            <w:tcBorders>
              <w:top w:val="nil"/>
              <w:left w:val="nil"/>
              <w:bottom w:val="nil"/>
              <w:right w:val="single" w:sz="4" w:space="0" w:color="auto"/>
            </w:tcBorders>
            <w:shd w:val="clear" w:color="auto" w:fill="auto"/>
            <w:vAlign w:val="center"/>
            <w:hideMark/>
          </w:tcPr>
          <w:p w14:paraId="2E35F2F1" w14:textId="77777777" w:rsidR="006C7D54" w:rsidRPr="00D92E20" w:rsidRDefault="006C7D54" w:rsidP="006C7D54">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95" w:type="dxa"/>
            <w:tcBorders>
              <w:top w:val="nil"/>
              <w:left w:val="nil"/>
              <w:bottom w:val="nil"/>
              <w:right w:val="nil"/>
            </w:tcBorders>
            <w:shd w:val="clear" w:color="auto" w:fill="auto"/>
            <w:noWrap/>
            <w:vAlign w:val="center"/>
            <w:hideMark/>
          </w:tcPr>
          <w:p w14:paraId="66B5E270" w14:textId="36975E10" w:rsidR="006C7D54" w:rsidRPr="00D92E20" w:rsidRDefault="006C7D54" w:rsidP="006C7D54">
            <w:pPr>
              <w:spacing w:after="0" w:line="240" w:lineRule="auto"/>
              <w:jc w:val="center"/>
              <w:rPr>
                <w:rFonts w:cs="Arial"/>
                <w:color w:val="000000"/>
                <w:sz w:val="16"/>
                <w:szCs w:val="16"/>
              </w:rPr>
            </w:pPr>
            <w:r>
              <w:rPr>
                <w:rFonts w:ascii="Arial CE" w:hAnsi="Arial CE" w:cs="Arial CE"/>
                <w:sz w:val="16"/>
                <w:szCs w:val="16"/>
              </w:rPr>
              <w:t>4,0</w:t>
            </w:r>
          </w:p>
        </w:tc>
        <w:tc>
          <w:tcPr>
            <w:tcW w:w="595" w:type="dxa"/>
            <w:tcBorders>
              <w:top w:val="nil"/>
              <w:left w:val="nil"/>
              <w:bottom w:val="nil"/>
              <w:right w:val="nil"/>
            </w:tcBorders>
            <w:shd w:val="clear" w:color="auto" w:fill="auto"/>
            <w:noWrap/>
            <w:vAlign w:val="center"/>
            <w:hideMark/>
          </w:tcPr>
          <w:p w14:paraId="6ABCC930" w14:textId="7037A122" w:rsidR="006C7D54" w:rsidRPr="00D92E20" w:rsidRDefault="006C7D54" w:rsidP="006C7D54">
            <w:pPr>
              <w:spacing w:after="0" w:line="240" w:lineRule="auto"/>
              <w:jc w:val="center"/>
              <w:rPr>
                <w:rFonts w:cs="Arial"/>
                <w:color w:val="000000"/>
                <w:sz w:val="16"/>
                <w:szCs w:val="16"/>
              </w:rPr>
            </w:pPr>
            <w:r>
              <w:rPr>
                <w:rFonts w:cs="Arial"/>
                <w:sz w:val="16"/>
                <w:szCs w:val="16"/>
              </w:rPr>
              <w:t>3,1</w:t>
            </w:r>
          </w:p>
        </w:tc>
        <w:tc>
          <w:tcPr>
            <w:tcW w:w="595" w:type="dxa"/>
            <w:tcBorders>
              <w:top w:val="nil"/>
              <w:left w:val="nil"/>
              <w:bottom w:val="nil"/>
              <w:right w:val="nil"/>
            </w:tcBorders>
            <w:shd w:val="clear" w:color="auto" w:fill="auto"/>
            <w:noWrap/>
            <w:vAlign w:val="center"/>
            <w:hideMark/>
          </w:tcPr>
          <w:p w14:paraId="677F22DB" w14:textId="6B650AA0" w:rsidR="006C7D54" w:rsidRPr="00D92E20" w:rsidRDefault="006C7D54" w:rsidP="006C7D54">
            <w:pPr>
              <w:spacing w:after="0" w:line="240" w:lineRule="auto"/>
              <w:jc w:val="center"/>
              <w:rPr>
                <w:rFonts w:cs="Arial"/>
                <w:color w:val="000000"/>
                <w:sz w:val="16"/>
                <w:szCs w:val="16"/>
              </w:rPr>
            </w:pPr>
            <w:r>
              <w:rPr>
                <w:rFonts w:cs="Arial"/>
                <w:sz w:val="16"/>
                <w:szCs w:val="16"/>
              </w:rPr>
              <w:t>3,4</w:t>
            </w:r>
          </w:p>
        </w:tc>
        <w:tc>
          <w:tcPr>
            <w:tcW w:w="595" w:type="dxa"/>
            <w:tcBorders>
              <w:top w:val="nil"/>
              <w:left w:val="nil"/>
              <w:bottom w:val="nil"/>
              <w:right w:val="nil"/>
            </w:tcBorders>
            <w:shd w:val="clear" w:color="auto" w:fill="auto"/>
            <w:noWrap/>
            <w:vAlign w:val="center"/>
            <w:hideMark/>
          </w:tcPr>
          <w:p w14:paraId="13692565" w14:textId="53A907B7" w:rsidR="006C7D54" w:rsidRPr="00D92E20" w:rsidRDefault="006C7D54" w:rsidP="006C7D54">
            <w:pPr>
              <w:spacing w:after="0" w:line="240" w:lineRule="auto"/>
              <w:jc w:val="center"/>
              <w:rPr>
                <w:rFonts w:cs="Arial"/>
                <w:color w:val="000000"/>
                <w:sz w:val="16"/>
                <w:szCs w:val="16"/>
              </w:rPr>
            </w:pPr>
            <w:r>
              <w:rPr>
                <w:rFonts w:cs="Arial"/>
                <w:sz w:val="16"/>
                <w:szCs w:val="16"/>
              </w:rPr>
              <w:t>3,3</w:t>
            </w:r>
          </w:p>
        </w:tc>
        <w:tc>
          <w:tcPr>
            <w:tcW w:w="595" w:type="dxa"/>
            <w:tcBorders>
              <w:top w:val="nil"/>
              <w:left w:val="nil"/>
              <w:bottom w:val="nil"/>
              <w:right w:val="nil"/>
            </w:tcBorders>
            <w:shd w:val="clear" w:color="auto" w:fill="auto"/>
            <w:noWrap/>
            <w:vAlign w:val="center"/>
            <w:hideMark/>
          </w:tcPr>
          <w:p w14:paraId="43CC5481" w14:textId="27339AA0" w:rsidR="006C7D54" w:rsidRPr="00D92E20" w:rsidRDefault="006C7D54" w:rsidP="006C7D54">
            <w:pPr>
              <w:spacing w:after="0" w:line="240" w:lineRule="auto"/>
              <w:jc w:val="center"/>
              <w:rPr>
                <w:rFonts w:cs="Arial"/>
                <w:color w:val="000000"/>
                <w:sz w:val="16"/>
                <w:szCs w:val="16"/>
              </w:rPr>
            </w:pPr>
            <w:r>
              <w:rPr>
                <w:rFonts w:cs="Arial"/>
                <w:sz w:val="16"/>
                <w:szCs w:val="16"/>
              </w:rPr>
              <w:t>3,7</w:t>
            </w:r>
          </w:p>
        </w:tc>
        <w:tc>
          <w:tcPr>
            <w:tcW w:w="595" w:type="dxa"/>
            <w:tcBorders>
              <w:top w:val="nil"/>
              <w:left w:val="nil"/>
              <w:bottom w:val="nil"/>
              <w:right w:val="nil"/>
            </w:tcBorders>
            <w:shd w:val="clear" w:color="auto" w:fill="auto"/>
            <w:noWrap/>
            <w:vAlign w:val="center"/>
            <w:hideMark/>
          </w:tcPr>
          <w:p w14:paraId="10D2B747" w14:textId="3231E7E6" w:rsidR="006C7D54" w:rsidRPr="00D92E20" w:rsidRDefault="006C7D54" w:rsidP="006C7D54">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7ECDCD2C" w14:textId="19F503EA" w:rsidR="006C7D54" w:rsidRPr="00D92E20" w:rsidRDefault="006C7D54" w:rsidP="006C7D54">
            <w:pPr>
              <w:spacing w:after="0" w:line="240" w:lineRule="auto"/>
              <w:jc w:val="center"/>
              <w:rPr>
                <w:rFonts w:cs="Arial"/>
                <w:color w:val="000000"/>
                <w:sz w:val="16"/>
                <w:szCs w:val="16"/>
              </w:rPr>
            </w:pPr>
            <w:r>
              <w:rPr>
                <w:rFonts w:cs="Arial"/>
                <w:color w:val="000000"/>
                <w:sz w:val="16"/>
                <w:szCs w:val="16"/>
              </w:rPr>
              <w:t>3,9</w:t>
            </w:r>
          </w:p>
        </w:tc>
        <w:tc>
          <w:tcPr>
            <w:tcW w:w="595" w:type="dxa"/>
            <w:tcBorders>
              <w:top w:val="nil"/>
              <w:left w:val="nil"/>
              <w:bottom w:val="nil"/>
              <w:right w:val="nil"/>
            </w:tcBorders>
            <w:shd w:val="clear" w:color="auto" w:fill="auto"/>
            <w:noWrap/>
            <w:vAlign w:val="center"/>
            <w:hideMark/>
          </w:tcPr>
          <w:p w14:paraId="3844FB89" w14:textId="1524EA57" w:rsidR="006C7D54" w:rsidRPr="00D92E20" w:rsidRDefault="006C7D54" w:rsidP="006C7D54">
            <w:pPr>
              <w:spacing w:after="0" w:line="240" w:lineRule="auto"/>
              <w:jc w:val="center"/>
              <w:rPr>
                <w:rFonts w:cs="Arial"/>
                <w:color w:val="000000"/>
                <w:sz w:val="16"/>
                <w:szCs w:val="16"/>
              </w:rPr>
            </w:pPr>
            <w:r>
              <w:rPr>
                <w:rFonts w:cs="Arial"/>
                <w:color w:val="000000"/>
                <w:sz w:val="16"/>
                <w:szCs w:val="16"/>
              </w:rPr>
              <w:t>4,0</w:t>
            </w:r>
          </w:p>
        </w:tc>
        <w:tc>
          <w:tcPr>
            <w:tcW w:w="595" w:type="dxa"/>
            <w:tcBorders>
              <w:top w:val="nil"/>
              <w:left w:val="nil"/>
              <w:bottom w:val="nil"/>
              <w:right w:val="nil"/>
            </w:tcBorders>
            <w:shd w:val="clear" w:color="auto" w:fill="auto"/>
            <w:noWrap/>
            <w:vAlign w:val="center"/>
            <w:hideMark/>
          </w:tcPr>
          <w:p w14:paraId="497275A2" w14:textId="3948F6DE" w:rsidR="006C7D54" w:rsidRPr="00D92E20" w:rsidRDefault="006C7D54" w:rsidP="006C7D54">
            <w:pPr>
              <w:spacing w:after="0" w:line="240" w:lineRule="auto"/>
              <w:jc w:val="center"/>
              <w:rPr>
                <w:rFonts w:cs="Arial"/>
                <w:color w:val="000000"/>
                <w:sz w:val="16"/>
                <w:szCs w:val="16"/>
              </w:rPr>
            </w:pPr>
            <w:r>
              <w:rPr>
                <w:rFonts w:cs="Arial"/>
                <w:color w:val="000000"/>
                <w:sz w:val="16"/>
                <w:szCs w:val="16"/>
              </w:rPr>
              <w:t>4,1</w:t>
            </w:r>
          </w:p>
        </w:tc>
        <w:tc>
          <w:tcPr>
            <w:tcW w:w="595" w:type="dxa"/>
            <w:tcBorders>
              <w:top w:val="nil"/>
              <w:left w:val="nil"/>
              <w:bottom w:val="nil"/>
              <w:right w:val="nil"/>
            </w:tcBorders>
            <w:shd w:val="clear" w:color="auto" w:fill="auto"/>
            <w:noWrap/>
            <w:vAlign w:val="center"/>
            <w:hideMark/>
          </w:tcPr>
          <w:p w14:paraId="4717B0E7" w14:textId="32AC3692" w:rsidR="006C7D54" w:rsidRPr="00D92E20" w:rsidRDefault="006C7D54" w:rsidP="006C7D54">
            <w:pPr>
              <w:spacing w:after="0" w:line="240" w:lineRule="auto"/>
              <w:jc w:val="center"/>
              <w:rPr>
                <w:rFonts w:cs="Arial"/>
                <w:color w:val="000000"/>
                <w:sz w:val="16"/>
                <w:szCs w:val="16"/>
              </w:rPr>
            </w:pPr>
            <w:r>
              <w:rPr>
                <w:rFonts w:cs="Arial"/>
                <w:color w:val="000000"/>
                <w:sz w:val="16"/>
                <w:szCs w:val="16"/>
              </w:rPr>
              <w:t>4,9</w:t>
            </w:r>
          </w:p>
        </w:tc>
        <w:tc>
          <w:tcPr>
            <w:tcW w:w="595" w:type="dxa"/>
            <w:tcBorders>
              <w:top w:val="nil"/>
              <w:left w:val="nil"/>
              <w:bottom w:val="nil"/>
              <w:right w:val="nil"/>
            </w:tcBorders>
            <w:shd w:val="clear" w:color="auto" w:fill="auto"/>
            <w:noWrap/>
            <w:vAlign w:val="center"/>
            <w:hideMark/>
          </w:tcPr>
          <w:p w14:paraId="72EA5AB7" w14:textId="527FE3CF" w:rsidR="006C7D54" w:rsidRPr="00D92E20" w:rsidRDefault="006C7D54" w:rsidP="006C7D54">
            <w:pPr>
              <w:spacing w:after="0" w:line="240" w:lineRule="auto"/>
              <w:jc w:val="center"/>
              <w:rPr>
                <w:rFonts w:cs="Arial"/>
                <w:color w:val="000000"/>
                <w:sz w:val="16"/>
                <w:szCs w:val="16"/>
              </w:rPr>
            </w:pPr>
            <w:r>
              <w:rPr>
                <w:rFonts w:cs="Arial"/>
                <w:color w:val="000000"/>
                <w:sz w:val="16"/>
                <w:szCs w:val="16"/>
              </w:rPr>
              <w:t>4,9</w:t>
            </w:r>
          </w:p>
        </w:tc>
      </w:tr>
    </w:tbl>
    <w:p w14:paraId="5E5C4538" w14:textId="77777777" w:rsidR="00FF5F37" w:rsidRPr="00D92E20" w:rsidRDefault="00FF5F37" w:rsidP="00000A90">
      <w:pPr>
        <w:spacing w:before="120" w:after="120"/>
        <w:rPr>
          <w:sz w:val="16"/>
        </w:rPr>
      </w:pPr>
      <w:r w:rsidRPr="00D92E20">
        <w:rPr>
          <w:sz w:val="16"/>
        </w:rPr>
        <w:t>Zdroj: ČSÚ</w:t>
      </w:r>
    </w:p>
    <w:p w14:paraId="14D84F1C" w14:textId="659CCEB9" w:rsidR="00FF5F37" w:rsidRPr="00422B21" w:rsidRDefault="00FF5F37" w:rsidP="00000A90">
      <w:pPr>
        <w:spacing w:before="120" w:after="120"/>
        <w:jc w:val="both"/>
      </w:pPr>
      <w:r w:rsidRPr="00422B21">
        <w:t>Z </w:t>
      </w:r>
      <w:r w:rsidRPr="00422B21">
        <w:rPr>
          <w:b/>
        </w:rPr>
        <w:t>regionálního pohledu</w:t>
      </w:r>
      <w:r w:rsidRPr="00422B21">
        <w:t xml:space="preserve"> zaznamenal nejvyšší hodnotu průměrného</w:t>
      </w:r>
      <w:r w:rsidR="006C7D54" w:rsidRPr="00422B21">
        <w:t xml:space="preserve"> procenta pracovní neschopnosti Moravskoslezský (7,</w:t>
      </w:r>
      <w:r w:rsidR="00600B22">
        <w:t>4</w:t>
      </w:r>
      <w:r w:rsidR="006C7D54" w:rsidRPr="00422B21">
        <w:t xml:space="preserve"> %), Karlovarský (7,2 %) a Liberecký </w:t>
      </w:r>
      <w:r w:rsidRPr="00422B21">
        <w:t>kraj (7</w:t>
      </w:r>
      <w:r w:rsidR="00422B21" w:rsidRPr="00422B21">
        <w:t>,0</w:t>
      </w:r>
      <w:r w:rsidRPr="00422B21">
        <w:t xml:space="preserve"> %). Praha</w:t>
      </w:r>
      <w:r w:rsidR="00BE43F5">
        <w:t>,</w:t>
      </w:r>
      <w:r w:rsidRPr="00422B21">
        <w:t xml:space="preserve"> díky nejnižšímu počtu případů na 100 pojištěnců a díky průměrné době trvání pracovních neschopností</w:t>
      </w:r>
      <w:r w:rsidR="00BE43F5">
        <w:t>,</w:t>
      </w:r>
      <w:r w:rsidRPr="00422B21">
        <w:t xml:space="preserve"> </w:t>
      </w:r>
      <w:r w:rsidR="00B414A5" w:rsidRPr="00422B21">
        <w:t>vykazuje</w:t>
      </w:r>
      <w:r w:rsidRPr="00422B21">
        <w:t xml:space="preserve"> nejnižší procento dočasně práce neschopných </w:t>
      </w:r>
      <w:r w:rsidR="00447329" w:rsidRPr="00422B21">
        <w:t xml:space="preserve">denně. </w:t>
      </w:r>
      <w:r w:rsidRPr="00422B21">
        <w:t xml:space="preserve">Zatímco hodnoty všech ostatních 13 </w:t>
      </w:r>
      <w:r w:rsidR="00447329" w:rsidRPr="00422B21">
        <w:t>krajů se nachází v rozmezí 5,</w:t>
      </w:r>
      <w:r w:rsidR="00422B21" w:rsidRPr="00422B21">
        <w:t>8</w:t>
      </w:r>
      <w:r w:rsidR="00447329" w:rsidRPr="00422B21">
        <w:t xml:space="preserve"> až </w:t>
      </w:r>
      <w:r w:rsidRPr="00422B21">
        <w:t>7</w:t>
      </w:r>
      <w:r w:rsidR="00447329" w:rsidRPr="00422B21">
        <w:t>,</w:t>
      </w:r>
      <w:r w:rsidR="00422B21" w:rsidRPr="00422B21">
        <w:t>4</w:t>
      </w:r>
      <w:r w:rsidRPr="00422B21">
        <w:t xml:space="preserve"> %, ukazatel v Praze v</w:t>
      </w:r>
      <w:r w:rsidR="00422B21" w:rsidRPr="00422B21">
        <w:t> 1. pol. 2021</w:t>
      </w:r>
      <w:r w:rsidRPr="00422B21">
        <w:t xml:space="preserve"> dosáhl hodnoty pouze </w:t>
      </w:r>
      <w:r w:rsidR="00422B21" w:rsidRPr="00422B21">
        <w:t>4,3</w:t>
      </w:r>
      <w:r w:rsidRPr="00422B21">
        <w:t xml:space="preserve"> %. Toto výsadní postavení si kraj hl. m. Praha drží už řadu let, jak je zřejmé z tabulky 2.9.</w:t>
      </w:r>
    </w:p>
    <w:p w14:paraId="495FAFE0" w14:textId="342F8621" w:rsidR="00000A90" w:rsidRPr="00D92E20" w:rsidRDefault="00FF5F37" w:rsidP="00000A90">
      <w:pPr>
        <w:spacing w:before="120" w:after="120"/>
        <w:jc w:val="both"/>
      </w:pPr>
      <w:r w:rsidRPr="00422B21">
        <w:t xml:space="preserve">Podle </w:t>
      </w:r>
      <w:r w:rsidRPr="00422B21">
        <w:rPr>
          <w:b/>
        </w:rPr>
        <w:t>detailnějšího územního členění</w:t>
      </w:r>
      <w:r w:rsidRPr="00422B21">
        <w:t xml:space="preserve"> se okresem s nejvyšším průměrným procentem dočasné pracovní neschopnosti v</w:t>
      </w:r>
      <w:r w:rsidR="00422B21" w:rsidRPr="00422B21">
        <w:t> 1. pol. 2021</w:t>
      </w:r>
      <w:r w:rsidRPr="00422B21">
        <w:t xml:space="preserve"> stal</w:t>
      </w:r>
      <w:r w:rsidR="00422B21" w:rsidRPr="00422B21">
        <w:t xml:space="preserve"> Tachov</w:t>
      </w:r>
      <w:r w:rsidRPr="00422B21">
        <w:t xml:space="preserve"> (</w:t>
      </w:r>
      <w:r w:rsidR="00422B21" w:rsidRPr="00422B21">
        <w:t>9,1 %)</w:t>
      </w:r>
      <w:r w:rsidR="007B36AD">
        <w:t xml:space="preserve"> v Plzeňském kraji</w:t>
      </w:r>
      <w:r w:rsidR="00422B21" w:rsidRPr="00422B21">
        <w:t xml:space="preserve">. </w:t>
      </w:r>
      <w:r w:rsidRPr="00422B21">
        <w:t xml:space="preserve">Následovaly okresy </w:t>
      </w:r>
      <w:r w:rsidR="00422B21" w:rsidRPr="00422B21">
        <w:t>Česká Lípa</w:t>
      </w:r>
      <w:r w:rsidR="007B36AD">
        <w:t xml:space="preserve"> (Liberecký kraj)</w:t>
      </w:r>
      <w:r w:rsidR="00422B21" w:rsidRPr="00422B21">
        <w:t xml:space="preserve">, Rokycany </w:t>
      </w:r>
      <w:r w:rsidR="007B36AD">
        <w:t xml:space="preserve">(Plzeňský kraj) </w:t>
      </w:r>
      <w:r w:rsidR="00422B21" w:rsidRPr="00422B21">
        <w:t xml:space="preserve">a Karviná </w:t>
      </w:r>
      <w:r w:rsidR="007B36AD">
        <w:t xml:space="preserve">(Moravskoslezský kraj) </w:t>
      </w:r>
      <w:r w:rsidR="00422B21" w:rsidRPr="00422B21">
        <w:t xml:space="preserve">s hodnotou vyšší než 8,4 %. </w:t>
      </w:r>
      <w:r w:rsidRPr="00422B21">
        <w:t xml:space="preserve">Nejnižší </w:t>
      </w:r>
      <w:r w:rsidR="00422B21" w:rsidRPr="00422B21">
        <w:t>průměrné procent</w:t>
      </w:r>
      <w:r w:rsidR="00600B22">
        <w:t>o</w:t>
      </w:r>
      <w:r w:rsidRPr="00422B21">
        <w:t xml:space="preserve"> pracovní neschopnosti vykazovaly stejně jako v předchozích letech okresy Jeseník</w:t>
      </w:r>
      <w:r w:rsidRPr="00422B21">
        <w:rPr>
          <w:rStyle w:val="Znakapoznpodarou"/>
        </w:rPr>
        <w:footnoteReference w:id="3"/>
      </w:r>
      <w:r w:rsidRPr="00422B21">
        <w:t xml:space="preserve"> </w:t>
      </w:r>
      <w:r w:rsidR="007B36AD">
        <w:t>v</w:t>
      </w:r>
      <w:r w:rsidR="00CD63E8">
        <w:t> </w:t>
      </w:r>
      <w:r w:rsidR="007B36AD">
        <w:t xml:space="preserve">Olomouckém kraji s hodnotou </w:t>
      </w:r>
      <w:r w:rsidRPr="00422B21">
        <w:t>2,9 % a již zmíněná Praha (</w:t>
      </w:r>
      <w:r w:rsidR="00422B21" w:rsidRPr="00422B21">
        <w:t>4,3</w:t>
      </w:r>
      <w:r w:rsidRPr="00422B21">
        <w:t xml:space="preserve"> %). Hodnotu ukazatele pod hranicí 5</w:t>
      </w:r>
      <w:r w:rsidR="00422B21" w:rsidRPr="00422B21">
        <w:t>,5</w:t>
      </w:r>
      <w:r w:rsidRPr="00422B21">
        <w:t> % zaznamenaly ještě okresy Brno-město (4,</w:t>
      </w:r>
      <w:r w:rsidR="00422B21" w:rsidRPr="00422B21">
        <w:t xml:space="preserve">5 %) </w:t>
      </w:r>
      <w:r w:rsidR="007B36AD">
        <w:t xml:space="preserve">ležící v Jihomoravském kraji </w:t>
      </w:r>
      <w:r w:rsidR="00422B21" w:rsidRPr="00422B21">
        <w:t xml:space="preserve">a </w:t>
      </w:r>
      <w:r w:rsidRPr="00422B21">
        <w:t>Pardubice (</w:t>
      </w:r>
      <w:r w:rsidR="00422B21" w:rsidRPr="00422B21">
        <w:t xml:space="preserve">5,4 %). </w:t>
      </w:r>
      <w:r w:rsidRPr="00422B21">
        <w:t>Podrobné informace za celou Českou republiku nabízí kartogram 2.2</w:t>
      </w:r>
      <w:r w:rsidR="00A771D5">
        <w:t>, resp. tabulka 3.5 v tabulkové části</w:t>
      </w:r>
      <w:r w:rsidR="001E73B2">
        <w:t xml:space="preserve"> publikace</w:t>
      </w:r>
      <w:r w:rsidR="00A771D5">
        <w:t>.</w:t>
      </w:r>
    </w:p>
    <w:p w14:paraId="76EB01E2" w14:textId="77777777" w:rsidR="00000A90" w:rsidRPr="00D92E20" w:rsidRDefault="00000A90">
      <w:pPr>
        <w:spacing w:after="0" w:line="240" w:lineRule="auto"/>
      </w:pPr>
      <w:r w:rsidRPr="00D92E20">
        <w:br w:type="page"/>
      </w:r>
    </w:p>
    <w:p w14:paraId="30B42F51" w14:textId="4184F547" w:rsidR="00370BD6" w:rsidRPr="00D92E20" w:rsidRDefault="00FF5F37" w:rsidP="00000A90">
      <w:pPr>
        <w:autoSpaceDE w:val="0"/>
        <w:autoSpaceDN w:val="0"/>
        <w:adjustRightInd w:val="0"/>
        <w:spacing w:after="0"/>
        <w:jc w:val="both"/>
        <w:rPr>
          <w:rFonts w:cs="Arial"/>
          <w:b/>
        </w:rPr>
      </w:pPr>
      <w:r w:rsidRPr="00D92E20">
        <w:rPr>
          <w:rFonts w:cs="Arial"/>
          <w:b/>
        </w:rPr>
        <w:lastRenderedPageBreak/>
        <w:t xml:space="preserve">Graf 2.14: Průměrné procento dočasné pracovní neschopnosti podle krajů ČR, </w:t>
      </w:r>
      <w:r w:rsidR="006C7D54" w:rsidRPr="006C7D54">
        <w:rPr>
          <w:rFonts w:cs="Arial"/>
          <w:b/>
        </w:rPr>
        <w:t>1. pol. 2020, 2021</w:t>
      </w:r>
    </w:p>
    <w:p w14:paraId="0B8805C7" w14:textId="05306D23" w:rsidR="00370BD6" w:rsidRPr="00D92E20" w:rsidRDefault="006C7D54" w:rsidP="00370BD6">
      <w:r>
        <w:rPr>
          <w:noProof/>
        </w:rPr>
        <w:drawing>
          <wp:inline distT="0" distB="0" distL="0" distR="0" wp14:anchorId="2DD79263" wp14:editId="06DA9E8A">
            <wp:extent cx="6116400" cy="3351600"/>
            <wp:effectExtent l="0" t="0" r="17780" b="127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52647A" w14:textId="77777777" w:rsidR="00447329" w:rsidRPr="00D92E20" w:rsidRDefault="00447329" w:rsidP="00000A90">
      <w:pPr>
        <w:spacing w:before="120" w:after="120"/>
        <w:rPr>
          <w:sz w:val="16"/>
        </w:rPr>
      </w:pPr>
      <w:r w:rsidRPr="00D92E20">
        <w:rPr>
          <w:sz w:val="16"/>
        </w:rPr>
        <w:t>Zdroj: ČSÚ</w:t>
      </w:r>
    </w:p>
    <w:p w14:paraId="7FE59D91" w14:textId="556D6CAF" w:rsidR="00517A58" w:rsidRPr="001359B8" w:rsidRDefault="002F0504" w:rsidP="00517A58">
      <w:pPr>
        <w:rPr>
          <w:b/>
          <w:spacing w:val="-3"/>
        </w:rPr>
      </w:pPr>
      <w:r w:rsidRPr="001359B8">
        <w:rPr>
          <w:b/>
          <w:spacing w:val="-3"/>
        </w:rPr>
        <w:t xml:space="preserve">Kartogram 2.2: Průměrné procento dočasné pracovní neschopnosti v okresech a krajích ČR, </w:t>
      </w:r>
      <w:r w:rsidR="001359B8" w:rsidRPr="001359B8">
        <w:rPr>
          <w:b/>
          <w:spacing w:val="-3"/>
        </w:rPr>
        <w:t>1. pol. 2021</w:t>
      </w:r>
    </w:p>
    <w:p w14:paraId="26DAD09E" w14:textId="0CEDF2AA" w:rsidR="000E0772" w:rsidRPr="00D92E20" w:rsidRDefault="00517A58" w:rsidP="000E0772">
      <w:pPr>
        <w:jc w:val="both"/>
      </w:pPr>
      <w:r w:rsidRPr="00D92E20">
        <w:t xml:space="preserve"> </w:t>
      </w:r>
      <w:r w:rsidR="001359B8" w:rsidRPr="001359B8">
        <w:rPr>
          <w:noProof/>
        </w:rPr>
        <w:drawing>
          <wp:inline distT="0" distB="0" distL="0" distR="0" wp14:anchorId="07D960C1" wp14:editId="19FAED62">
            <wp:extent cx="6116400" cy="4325388"/>
            <wp:effectExtent l="0" t="0" r="0" b="0"/>
            <wp:docPr id="27" name="Obrázek 27" descr="D:\hykysova23070\Documents\PN\2021\1. pol\publ\podklady\Alča_neschopnost_202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ykysova23070\Documents\PN\2021\1. pol\publ\podklady\Alča_neschopnost_2021_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400" cy="4325388"/>
                    </a:xfrm>
                    <a:prstGeom prst="rect">
                      <a:avLst/>
                    </a:prstGeom>
                    <a:noFill/>
                    <a:ln>
                      <a:noFill/>
                    </a:ln>
                  </pic:spPr>
                </pic:pic>
              </a:graphicData>
            </a:graphic>
          </wp:inline>
        </w:drawing>
      </w:r>
    </w:p>
    <w:p w14:paraId="33820A80" w14:textId="77777777" w:rsidR="002F0504" w:rsidRPr="00D92E20" w:rsidRDefault="002F0504" w:rsidP="002F0504">
      <w:pPr>
        <w:spacing w:before="120"/>
        <w:rPr>
          <w:sz w:val="16"/>
        </w:rPr>
      </w:pPr>
      <w:r w:rsidRPr="00D92E20">
        <w:rPr>
          <w:sz w:val="16"/>
        </w:rPr>
        <w:t>Zdroj: ČSÚ</w:t>
      </w:r>
    </w:p>
    <w:p w14:paraId="1ED9A6D2" w14:textId="76748236" w:rsidR="000E0772" w:rsidRPr="00422B21" w:rsidRDefault="004D1BAD" w:rsidP="00000A90">
      <w:pPr>
        <w:spacing w:after="0"/>
        <w:rPr>
          <w:b/>
          <w:spacing w:val="-2"/>
        </w:rPr>
      </w:pPr>
      <w:r w:rsidRPr="00422B21">
        <w:rPr>
          <w:b/>
          <w:spacing w:val="-2"/>
        </w:rPr>
        <w:lastRenderedPageBreak/>
        <w:t>Tab. 2.9: Průměrné procento dočasné pracovní neschopnosti podle krajů ČR</w:t>
      </w:r>
      <w:r w:rsidR="00422B21" w:rsidRPr="00422B21">
        <w:rPr>
          <w:b/>
          <w:spacing w:val="-2"/>
        </w:rPr>
        <w:t>, 1. pol. 2011–1. pol. 2021</w:t>
      </w:r>
    </w:p>
    <w:tbl>
      <w:tblPr>
        <w:tblW w:w="9521" w:type="dxa"/>
        <w:tblCellMar>
          <w:left w:w="70" w:type="dxa"/>
          <w:right w:w="7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tblGrid>
      <w:tr w:rsidR="00422B21" w:rsidRPr="00D92E20" w14:paraId="56942E9F" w14:textId="77777777" w:rsidTr="00422B21">
        <w:trPr>
          <w:trHeight w:val="300"/>
        </w:trPr>
        <w:tc>
          <w:tcPr>
            <w:tcW w:w="2041" w:type="dxa"/>
            <w:tcBorders>
              <w:top w:val="single" w:sz="4" w:space="0" w:color="auto"/>
              <w:left w:val="nil"/>
              <w:bottom w:val="single" w:sz="4" w:space="0" w:color="auto"/>
              <w:right w:val="single" w:sz="4" w:space="0" w:color="auto"/>
            </w:tcBorders>
            <w:shd w:val="clear" w:color="000000" w:fill="F5DADD"/>
            <w:vAlign w:val="center"/>
            <w:hideMark/>
          </w:tcPr>
          <w:p w14:paraId="1EE1835C"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Kraj ČR</w:t>
            </w:r>
          </w:p>
        </w:tc>
        <w:tc>
          <w:tcPr>
            <w:tcW w:w="680" w:type="dxa"/>
            <w:tcBorders>
              <w:top w:val="single" w:sz="4" w:space="0" w:color="auto"/>
              <w:left w:val="nil"/>
              <w:bottom w:val="single" w:sz="4" w:space="0" w:color="auto"/>
              <w:right w:val="nil"/>
            </w:tcBorders>
            <w:shd w:val="clear" w:color="000000" w:fill="F5DADD"/>
            <w:noWrap/>
            <w:vAlign w:val="bottom"/>
            <w:hideMark/>
          </w:tcPr>
          <w:p w14:paraId="4C791552" w14:textId="679E7220"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2011</w:t>
            </w:r>
          </w:p>
        </w:tc>
        <w:tc>
          <w:tcPr>
            <w:tcW w:w="680" w:type="dxa"/>
            <w:tcBorders>
              <w:top w:val="single" w:sz="4" w:space="0" w:color="auto"/>
              <w:left w:val="nil"/>
              <w:bottom w:val="single" w:sz="4" w:space="0" w:color="auto"/>
              <w:right w:val="nil"/>
            </w:tcBorders>
            <w:shd w:val="clear" w:color="000000" w:fill="F5DADD"/>
            <w:noWrap/>
            <w:vAlign w:val="bottom"/>
            <w:hideMark/>
          </w:tcPr>
          <w:p w14:paraId="5C33CDC5" w14:textId="756B794F"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2012</w:t>
            </w:r>
          </w:p>
        </w:tc>
        <w:tc>
          <w:tcPr>
            <w:tcW w:w="680" w:type="dxa"/>
            <w:tcBorders>
              <w:top w:val="single" w:sz="4" w:space="0" w:color="auto"/>
              <w:left w:val="nil"/>
              <w:bottom w:val="single" w:sz="4" w:space="0" w:color="auto"/>
              <w:right w:val="nil"/>
            </w:tcBorders>
            <w:shd w:val="clear" w:color="000000" w:fill="F5DADD"/>
            <w:noWrap/>
            <w:vAlign w:val="bottom"/>
            <w:hideMark/>
          </w:tcPr>
          <w:p w14:paraId="4A69D662" w14:textId="73377418"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2013</w:t>
            </w:r>
          </w:p>
        </w:tc>
        <w:tc>
          <w:tcPr>
            <w:tcW w:w="680" w:type="dxa"/>
            <w:tcBorders>
              <w:top w:val="single" w:sz="4" w:space="0" w:color="auto"/>
              <w:left w:val="nil"/>
              <w:bottom w:val="single" w:sz="4" w:space="0" w:color="auto"/>
              <w:right w:val="nil"/>
            </w:tcBorders>
            <w:shd w:val="clear" w:color="000000" w:fill="F5DADD"/>
            <w:noWrap/>
            <w:vAlign w:val="bottom"/>
            <w:hideMark/>
          </w:tcPr>
          <w:p w14:paraId="595242F2" w14:textId="5820F07C"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2014</w:t>
            </w:r>
          </w:p>
        </w:tc>
        <w:tc>
          <w:tcPr>
            <w:tcW w:w="680" w:type="dxa"/>
            <w:tcBorders>
              <w:top w:val="single" w:sz="4" w:space="0" w:color="auto"/>
              <w:left w:val="nil"/>
              <w:bottom w:val="single" w:sz="4" w:space="0" w:color="auto"/>
              <w:right w:val="nil"/>
            </w:tcBorders>
            <w:shd w:val="clear" w:color="000000" w:fill="F5DADD"/>
            <w:noWrap/>
            <w:vAlign w:val="bottom"/>
            <w:hideMark/>
          </w:tcPr>
          <w:p w14:paraId="43DF137B" w14:textId="35D73B29"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2015</w:t>
            </w:r>
          </w:p>
        </w:tc>
        <w:tc>
          <w:tcPr>
            <w:tcW w:w="680" w:type="dxa"/>
            <w:tcBorders>
              <w:top w:val="single" w:sz="4" w:space="0" w:color="auto"/>
              <w:left w:val="nil"/>
              <w:bottom w:val="single" w:sz="4" w:space="0" w:color="auto"/>
              <w:right w:val="nil"/>
            </w:tcBorders>
            <w:shd w:val="clear" w:color="000000" w:fill="F5DADD"/>
            <w:noWrap/>
            <w:vAlign w:val="bottom"/>
            <w:hideMark/>
          </w:tcPr>
          <w:p w14:paraId="5FFB4028" w14:textId="71FCA8BD"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2016</w:t>
            </w:r>
          </w:p>
        </w:tc>
        <w:tc>
          <w:tcPr>
            <w:tcW w:w="680" w:type="dxa"/>
            <w:tcBorders>
              <w:top w:val="single" w:sz="4" w:space="0" w:color="auto"/>
              <w:left w:val="nil"/>
              <w:bottom w:val="single" w:sz="4" w:space="0" w:color="auto"/>
              <w:right w:val="nil"/>
            </w:tcBorders>
            <w:shd w:val="clear" w:color="000000" w:fill="F5DADD"/>
            <w:noWrap/>
            <w:vAlign w:val="bottom"/>
            <w:hideMark/>
          </w:tcPr>
          <w:p w14:paraId="44D91CA4" w14:textId="7AB362CE"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2017</w:t>
            </w:r>
          </w:p>
        </w:tc>
        <w:tc>
          <w:tcPr>
            <w:tcW w:w="680" w:type="dxa"/>
            <w:tcBorders>
              <w:top w:val="single" w:sz="4" w:space="0" w:color="auto"/>
              <w:left w:val="nil"/>
              <w:bottom w:val="single" w:sz="4" w:space="0" w:color="auto"/>
              <w:right w:val="nil"/>
            </w:tcBorders>
            <w:shd w:val="clear" w:color="000000" w:fill="F5DADD"/>
            <w:noWrap/>
            <w:vAlign w:val="bottom"/>
            <w:hideMark/>
          </w:tcPr>
          <w:p w14:paraId="582C9ED0" w14:textId="60393297" w:rsidR="00422B21" w:rsidRPr="00D92E20" w:rsidRDefault="00422B21" w:rsidP="00422B21">
            <w:pPr>
              <w:spacing w:after="0" w:line="240" w:lineRule="auto"/>
              <w:jc w:val="center"/>
              <w:rPr>
                <w:rFonts w:cs="Arial"/>
                <w:color w:val="000000"/>
                <w:sz w:val="16"/>
                <w:szCs w:val="16"/>
              </w:rPr>
            </w:pPr>
            <w:r>
              <w:rPr>
                <w:rFonts w:cs="Arial"/>
                <w:sz w:val="16"/>
                <w:szCs w:val="16"/>
              </w:rPr>
              <w:t xml:space="preserve">1. pol. </w:t>
            </w:r>
            <w:r>
              <w:rPr>
                <w:rFonts w:cs="Arial"/>
                <w:sz w:val="16"/>
                <w:szCs w:val="16"/>
              </w:rPr>
              <w:br/>
              <w:t>2018</w:t>
            </w:r>
          </w:p>
        </w:tc>
        <w:tc>
          <w:tcPr>
            <w:tcW w:w="680" w:type="dxa"/>
            <w:tcBorders>
              <w:top w:val="single" w:sz="4" w:space="0" w:color="auto"/>
              <w:left w:val="nil"/>
              <w:bottom w:val="single" w:sz="4" w:space="0" w:color="auto"/>
              <w:right w:val="nil"/>
            </w:tcBorders>
            <w:shd w:val="clear" w:color="000000" w:fill="F5DADD"/>
            <w:noWrap/>
            <w:vAlign w:val="bottom"/>
            <w:hideMark/>
          </w:tcPr>
          <w:p w14:paraId="42D5663B" w14:textId="5115A588" w:rsidR="00422B21" w:rsidRPr="00D92E20" w:rsidRDefault="00422B21" w:rsidP="00422B21">
            <w:pPr>
              <w:spacing w:after="0" w:line="240" w:lineRule="auto"/>
              <w:jc w:val="center"/>
              <w:rPr>
                <w:rFonts w:cs="Arial"/>
                <w:color w:val="000000"/>
                <w:sz w:val="16"/>
                <w:szCs w:val="16"/>
              </w:rPr>
            </w:pPr>
            <w:r>
              <w:rPr>
                <w:rFonts w:cs="Arial"/>
                <w:sz w:val="16"/>
                <w:szCs w:val="16"/>
              </w:rPr>
              <w:t>1. pol. 2019</w:t>
            </w:r>
          </w:p>
        </w:tc>
        <w:tc>
          <w:tcPr>
            <w:tcW w:w="680" w:type="dxa"/>
            <w:tcBorders>
              <w:top w:val="single" w:sz="4" w:space="0" w:color="auto"/>
              <w:left w:val="nil"/>
              <w:bottom w:val="single" w:sz="4" w:space="0" w:color="auto"/>
              <w:right w:val="nil"/>
            </w:tcBorders>
            <w:shd w:val="clear" w:color="000000" w:fill="F5DADD"/>
            <w:noWrap/>
            <w:vAlign w:val="bottom"/>
            <w:hideMark/>
          </w:tcPr>
          <w:p w14:paraId="0FBFC904" w14:textId="26C28727" w:rsidR="00422B21" w:rsidRPr="00D92E20" w:rsidRDefault="00422B21" w:rsidP="00422B21">
            <w:pPr>
              <w:spacing w:after="0" w:line="240" w:lineRule="auto"/>
              <w:jc w:val="center"/>
              <w:rPr>
                <w:rFonts w:cs="Arial"/>
                <w:color w:val="000000"/>
                <w:sz w:val="16"/>
                <w:szCs w:val="16"/>
              </w:rPr>
            </w:pPr>
            <w:r>
              <w:rPr>
                <w:rFonts w:cs="Arial"/>
                <w:sz w:val="16"/>
                <w:szCs w:val="16"/>
              </w:rPr>
              <w:t>1. pol. 2020</w:t>
            </w:r>
          </w:p>
        </w:tc>
        <w:tc>
          <w:tcPr>
            <w:tcW w:w="680" w:type="dxa"/>
            <w:tcBorders>
              <w:top w:val="single" w:sz="4" w:space="0" w:color="auto"/>
              <w:left w:val="nil"/>
              <w:bottom w:val="single" w:sz="4" w:space="0" w:color="auto"/>
              <w:right w:val="nil"/>
            </w:tcBorders>
            <w:shd w:val="clear" w:color="000000" w:fill="F5DADD"/>
            <w:noWrap/>
            <w:vAlign w:val="bottom"/>
            <w:hideMark/>
          </w:tcPr>
          <w:p w14:paraId="4B8F614A" w14:textId="7A0D0587" w:rsidR="00422B21" w:rsidRPr="00D92E20" w:rsidRDefault="00422B21" w:rsidP="00422B21">
            <w:pPr>
              <w:spacing w:after="0" w:line="240" w:lineRule="auto"/>
              <w:jc w:val="center"/>
              <w:rPr>
                <w:rFonts w:cs="Arial"/>
                <w:color w:val="000000"/>
                <w:sz w:val="16"/>
                <w:szCs w:val="16"/>
              </w:rPr>
            </w:pPr>
            <w:r>
              <w:rPr>
                <w:rFonts w:cs="Arial"/>
                <w:sz w:val="16"/>
                <w:szCs w:val="16"/>
              </w:rPr>
              <w:t>1. pol. 2021</w:t>
            </w:r>
          </w:p>
        </w:tc>
      </w:tr>
      <w:tr w:rsidR="00422B21" w:rsidRPr="00D92E20" w14:paraId="4E21F8A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DCD6255" w14:textId="77777777" w:rsidR="00422B21" w:rsidRPr="00D92E20" w:rsidRDefault="00422B21" w:rsidP="00422B21">
            <w:pPr>
              <w:spacing w:after="0" w:line="240" w:lineRule="auto"/>
              <w:rPr>
                <w:rFonts w:cs="Arial"/>
                <w:b/>
                <w:bCs/>
                <w:color w:val="000000"/>
                <w:sz w:val="16"/>
                <w:szCs w:val="16"/>
              </w:rPr>
            </w:pPr>
            <w:r w:rsidRPr="00D92E20">
              <w:rPr>
                <w:rFonts w:cs="Arial"/>
                <w:b/>
                <w:bCs/>
                <w:color w:val="000000"/>
                <w:sz w:val="16"/>
                <w:szCs w:val="16"/>
              </w:rPr>
              <w:t>ČR celkem</w:t>
            </w:r>
          </w:p>
        </w:tc>
        <w:tc>
          <w:tcPr>
            <w:tcW w:w="680" w:type="dxa"/>
            <w:tcBorders>
              <w:top w:val="nil"/>
              <w:left w:val="nil"/>
              <w:bottom w:val="nil"/>
              <w:right w:val="nil"/>
            </w:tcBorders>
            <w:shd w:val="clear" w:color="auto" w:fill="auto"/>
            <w:noWrap/>
            <w:vAlign w:val="center"/>
            <w:hideMark/>
          </w:tcPr>
          <w:p w14:paraId="1B41FED1" w14:textId="10EE7D66" w:rsidR="00422B21" w:rsidRPr="00D92E20" w:rsidRDefault="00422B21" w:rsidP="00422B21">
            <w:pPr>
              <w:spacing w:after="0" w:line="240" w:lineRule="auto"/>
              <w:jc w:val="center"/>
              <w:rPr>
                <w:rFonts w:cs="Arial"/>
                <w:b/>
                <w:bCs/>
                <w:color w:val="000000"/>
                <w:sz w:val="16"/>
                <w:szCs w:val="16"/>
              </w:rPr>
            </w:pPr>
            <w:r>
              <w:rPr>
                <w:rFonts w:cs="Arial"/>
                <w:b/>
                <w:bCs/>
                <w:sz w:val="16"/>
                <w:szCs w:val="16"/>
              </w:rPr>
              <w:t>4,0</w:t>
            </w:r>
          </w:p>
        </w:tc>
        <w:tc>
          <w:tcPr>
            <w:tcW w:w="680" w:type="dxa"/>
            <w:tcBorders>
              <w:top w:val="nil"/>
              <w:left w:val="nil"/>
              <w:bottom w:val="nil"/>
              <w:right w:val="nil"/>
            </w:tcBorders>
            <w:shd w:val="clear" w:color="auto" w:fill="auto"/>
            <w:noWrap/>
            <w:vAlign w:val="center"/>
            <w:hideMark/>
          </w:tcPr>
          <w:p w14:paraId="4DD96AA5" w14:textId="3C5C82A8" w:rsidR="00422B21" w:rsidRPr="00D92E20" w:rsidRDefault="00422B21" w:rsidP="00422B21">
            <w:pPr>
              <w:spacing w:after="0" w:line="240" w:lineRule="auto"/>
              <w:jc w:val="center"/>
              <w:rPr>
                <w:rFonts w:cs="Arial"/>
                <w:b/>
                <w:bCs/>
                <w:color w:val="000000"/>
                <w:sz w:val="16"/>
                <w:szCs w:val="16"/>
              </w:rPr>
            </w:pPr>
            <w:r>
              <w:rPr>
                <w:rFonts w:cs="Arial"/>
                <w:b/>
                <w:bCs/>
                <w:sz w:val="16"/>
                <w:szCs w:val="16"/>
              </w:rPr>
              <w:t>3,6</w:t>
            </w:r>
          </w:p>
        </w:tc>
        <w:tc>
          <w:tcPr>
            <w:tcW w:w="680" w:type="dxa"/>
            <w:tcBorders>
              <w:top w:val="nil"/>
              <w:left w:val="nil"/>
              <w:bottom w:val="nil"/>
              <w:right w:val="nil"/>
            </w:tcBorders>
            <w:shd w:val="clear" w:color="auto" w:fill="auto"/>
            <w:noWrap/>
            <w:vAlign w:val="center"/>
            <w:hideMark/>
          </w:tcPr>
          <w:p w14:paraId="28DD2A2A" w14:textId="4A61E97D" w:rsidR="00422B21" w:rsidRPr="00D92E20" w:rsidRDefault="00422B21" w:rsidP="00422B21">
            <w:pPr>
              <w:spacing w:after="0" w:line="240" w:lineRule="auto"/>
              <w:jc w:val="center"/>
              <w:rPr>
                <w:rFonts w:cs="Arial"/>
                <w:b/>
                <w:bCs/>
                <w:color w:val="000000"/>
                <w:sz w:val="16"/>
                <w:szCs w:val="16"/>
              </w:rPr>
            </w:pPr>
            <w:r>
              <w:rPr>
                <w:rFonts w:cs="Arial"/>
                <w:b/>
                <w:bCs/>
                <w:sz w:val="16"/>
                <w:szCs w:val="16"/>
              </w:rPr>
              <w:t>4,0</w:t>
            </w:r>
          </w:p>
        </w:tc>
        <w:tc>
          <w:tcPr>
            <w:tcW w:w="680" w:type="dxa"/>
            <w:tcBorders>
              <w:top w:val="nil"/>
              <w:left w:val="nil"/>
              <w:bottom w:val="nil"/>
              <w:right w:val="nil"/>
            </w:tcBorders>
            <w:shd w:val="clear" w:color="auto" w:fill="auto"/>
            <w:noWrap/>
            <w:vAlign w:val="center"/>
            <w:hideMark/>
          </w:tcPr>
          <w:p w14:paraId="47A74827" w14:textId="2A67B3E2" w:rsidR="00422B21" w:rsidRPr="00D92E20" w:rsidRDefault="00422B21" w:rsidP="00422B21">
            <w:pPr>
              <w:spacing w:after="0" w:line="240" w:lineRule="auto"/>
              <w:jc w:val="center"/>
              <w:rPr>
                <w:rFonts w:cs="Arial"/>
                <w:b/>
                <w:bCs/>
                <w:color w:val="000000"/>
                <w:sz w:val="16"/>
                <w:szCs w:val="16"/>
              </w:rPr>
            </w:pPr>
            <w:r>
              <w:rPr>
                <w:rFonts w:cs="Arial"/>
                <w:b/>
                <w:bCs/>
                <w:sz w:val="16"/>
                <w:szCs w:val="16"/>
              </w:rPr>
              <w:t>3,8</w:t>
            </w:r>
          </w:p>
        </w:tc>
        <w:tc>
          <w:tcPr>
            <w:tcW w:w="680" w:type="dxa"/>
            <w:tcBorders>
              <w:top w:val="nil"/>
              <w:left w:val="nil"/>
              <w:bottom w:val="nil"/>
              <w:right w:val="nil"/>
            </w:tcBorders>
            <w:shd w:val="clear" w:color="auto" w:fill="auto"/>
            <w:noWrap/>
            <w:vAlign w:val="center"/>
            <w:hideMark/>
          </w:tcPr>
          <w:p w14:paraId="7787D12A" w14:textId="504AE7B7" w:rsidR="00422B21" w:rsidRPr="00D92E20" w:rsidRDefault="00422B21" w:rsidP="00422B21">
            <w:pPr>
              <w:spacing w:after="0" w:line="240" w:lineRule="auto"/>
              <w:jc w:val="center"/>
              <w:rPr>
                <w:rFonts w:cs="Arial"/>
                <w:b/>
                <w:bCs/>
                <w:color w:val="000000"/>
                <w:sz w:val="16"/>
                <w:szCs w:val="16"/>
              </w:rPr>
            </w:pPr>
            <w:r>
              <w:rPr>
                <w:rFonts w:cs="Arial"/>
                <w:b/>
                <w:bCs/>
                <w:sz w:val="16"/>
                <w:szCs w:val="16"/>
              </w:rPr>
              <w:t>4,3</w:t>
            </w:r>
          </w:p>
        </w:tc>
        <w:tc>
          <w:tcPr>
            <w:tcW w:w="680" w:type="dxa"/>
            <w:tcBorders>
              <w:top w:val="nil"/>
              <w:left w:val="nil"/>
              <w:bottom w:val="nil"/>
              <w:right w:val="nil"/>
            </w:tcBorders>
            <w:shd w:val="clear" w:color="auto" w:fill="auto"/>
            <w:noWrap/>
            <w:vAlign w:val="center"/>
            <w:hideMark/>
          </w:tcPr>
          <w:p w14:paraId="30701FA9" w14:textId="257B7150" w:rsidR="00422B21" w:rsidRPr="00D92E20" w:rsidRDefault="00422B21" w:rsidP="00422B21">
            <w:pPr>
              <w:spacing w:after="0" w:line="240" w:lineRule="auto"/>
              <w:jc w:val="center"/>
              <w:rPr>
                <w:rFonts w:cs="Arial"/>
                <w:b/>
                <w:bCs/>
                <w:color w:val="000000"/>
                <w:sz w:val="16"/>
                <w:szCs w:val="16"/>
              </w:rPr>
            </w:pPr>
            <w:r>
              <w:rPr>
                <w:rFonts w:cs="Arial"/>
                <w:b/>
                <w:bCs/>
                <w:sz w:val="16"/>
                <w:szCs w:val="16"/>
              </w:rPr>
              <w:t>4,5</w:t>
            </w:r>
          </w:p>
        </w:tc>
        <w:tc>
          <w:tcPr>
            <w:tcW w:w="680" w:type="dxa"/>
            <w:tcBorders>
              <w:top w:val="nil"/>
              <w:left w:val="nil"/>
              <w:bottom w:val="nil"/>
              <w:right w:val="nil"/>
            </w:tcBorders>
            <w:shd w:val="clear" w:color="auto" w:fill="auto"/>
            <w:noWrap/>
            <w:vAlign w:val="center"/>
            <w:hideMark/>
          </w:tcPr>
          <w:p w14:paraId="587B6358" w14:textId="00F05680" w:rsidR="00422B21" w:rsidRPr="00D92E20" w:rsidRDefault="00422B21" w:rsidP="00422B21">
            <w:pPr>
              <w:spacing w:after="0" w:line="240" w:lineRule="auto"/>
              <w:jc w:val="center"/>
              <w:rPr>
                <w:rFonts w:cs="Arial"/>
                <w:b/>
                <w:bCs/>
                <w:color w:val="000000"/>
                <w:sz w:val="16"/>
                <w:szCs w:val="16"/>
              </w:rPr>
            </w:pPr>
            <w:r>
              <w:rPr>
                <w:rFonts w:cs="Arial"/>
                <w:b/>
                <w:bCs/>
                <w:sz w:val="16"/>
                <w:szCs w:val="16"/>
              </w:rPr>
              <w:t>4,6</w:t>
            </w:r>
          </w:p>
        </w:tc>
        <w:tc>
          <w:tcPr>
            <w:tcW w:w="680" w:type="dxa"/>
            <w:tcBorders>
              <w:top w:val="nil"/>
              <w:left w:val="nil"/>
              <w:bottom w:val="nil"/>
              <w:right w:val="nil"/>
            </w:tcBorders>
            <w:shd w:val="clear" w:color="auto" w:fill="auto"/>
            <w:noWrap/>
            <w:vAlign w:val="center"/>
            <w:hideMark/>
          </w:tcPr>
          <w:p w14:paraId="109F15B7" w14:textId="08869E2D" w:rsidR="00422B21" w:rsidRPr="00D92E20" w:rsidRDefault="00422B21" w:rsidP="00422B21">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4210D2CA" w14:textId="4BA3AC84" w:rsidR="00422B21" w:rsidRPr="00D92E20" w:rsidRDefault="00422B21" w:rsidP="00422B21">
            <w:pPr>
              <w:spacing w:after="0" w:line="240" w:lineRule="auto"/>
              <w:jc w:val="center"/>
              <w:rPr>
                <w:rFonts w:cs="Arial"/>
                <w:b/>
                <w:bCs/>
                <w:color w:val="000000"/>
                <w:sz w:val="16"/>
                <w:szCs w:val="16"/>
              </w:rPr>
            </w:pPr>
            <w:r>
              <w:rPr>
                <w:rFonts w:cs="Arial"/>
                <w:b/>
                <w:bCs/>
                <w:color w:val="000000"/>
                <w:sz w:val="16"/>
                <w:szCs w:val="16"/>
              </w:rPr>
              <w:t>4,8</w:t>
            </w:r>
          </w:p>
        </w:tc>
        <w:tc>
          <w:tcPr>
            <w:tcW w:w="680" w:type="dxa"/>
            <w:tcBorders>
              <w:top w:val="nil"/>
              <w:left w:val="nil"/>
              <w:bottom w:val="nil"/>
              <w:right w:val="nil"/>
            </w:tcBorders>
            <w:shd w:val="clear" w:color="auto" w:fill="auto"/>
            <w:noWrap/>
            <w:vAlign w:val="center"/>
            <w:hideMark/>
          </w:tcPr>
          <w:p w14:paraId="1A7369E6" w14:textId="5C7F29E6" w:rsidR="00422B21" w:rsidRPr="00D92E20" w:rsidRDefault="00422B21" w:rsidP="00422B21">
            <w:pPr>
              <w:spacing w:after="0" w:line="240" w:lineRule="auto"/>
              <w:jc w:val="center"/>
              <w:rPr>
                <w:rFonts w:cs="Arial"/>
                <w:b/>
                <w:bCs/>
                <w:color w:val="000000"/>
                <w:sz w:val="16"/>
                <w:szCs w:val="16"/>
              </w:rPr>
            </w:pPr>
            <w:r>
              <w:rPr>
                <w:rFonts w:cs="Arial"/>
                <w:b/>
                <w:bCs/>
                <w:color w:val="000000"/>
                <w:sz w:val="16"/>
                <w:szCs w:val="16"/>
              </w:rPr>
              <w:t>5,6</w:t>
            </w:r>
          </w:p>
        </w:tc>
        <w:tc>
          <w:tcPr>
            <w:tcW w:w="680" w:type="dxa"/>
            <w:tcBorders>
              <w:top w:val="nil"/>
              <w:left w:val="nil"/>
              <w:bottom w:val="nil"/>
              <w:right w:val="nil"/>
            </w:tcBorders>
            <w:shd w:val="clear" w:color="auto" w:fill="auto"/>
            <w:noWrap/>
            <w:vAlign w:val="center"/>
            <w:hideMark/>
          </w:tcPr>
          <w:p w14:paraId="58B26037" w14:textId="1C7C6F30" w:rsidR="00422B21" w:rsidRPr="00D92E20" w:rsidRDefault="00422B21" w:rsidP="00422B21">
            <w:pPr>
              <w:spacing w:after="0" w:line="240" w:lineRule="auto"/>
              <w:jc w:val="center"/>
              <w:rPr>
                <w:rFonts w:cs="Arial"/>
                <w:b/>
                <w:bCs/>
                <w:color w:val="000000"/>
                <w:sz w:val="16"/>
                <w:szCs w:val="16"/>
              </w:rPr>
            </w:pPr>
            <w:r>
              <w:rPr>
                <w:rFonts w:cs="Arial"/>
                <w:b/>
                <w:bCs/>
                <w:color w:val="000000"/>
                <w:sz w:val="16"/>
                <w:szCs w:val="16"/>
              </w:rPr>
              <w:t>6,0</w:t>
            </w:r>
          </w:p>
        </w:tc>
      </w:tr>
      <w:tr w:rsidR="00422B21" w:rsidRPr="00D92E20" w14:paraId="30534C4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84CA38B"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0" w:type="dxa"/>
            <w:tcBorders>
              <w:top w:val="nil"/>
              <w:left w:val="nil"/>
              <w:bottom w:val="nil"/>
              <w:right w:val="nil"/>
            </w:tcBorders>
            <w:shd w:val="clear" w:color="auto" w:fill="auto"/>
            <w:noWrap/>
            <w:vAlign w:val="center"/>
            <w:hideMark/>
          </w:tcPr>
          <w:p w14:paraId="7F2AB78D" w14:textId="76546AB9" w:rsidR="00422B21" w:rsidRPr="00D92E20" w:rsidRDefault="00422B21" w:rsidP="00422B21">
            <w:pPr>
              <w:spacing w:after="0" w:line="240" w:lineRule="auto"/>
              <w:jc w:val="center"/>
              <w:rPr>
                <w:rFonts w:cs="Arial"/>
                <w:color w:val="000000"/>
                <w:sz w:val="16"/>
                <w:szCs w:val="16"/>
              </w:rPr>
            </w:pPr>
            <w:r>
              <w:rPr>
                <w:rFonts w:cs="Arial"/>
                <w:sz w:val="16"/>
                <w:szCs w:val="16"/>
              </w:rPr>
              <w:t>3,2</w:t>
            </w:r>
          </w:p>
        </w:tc>
        <w:tc>
          <w:tcPr>
            <w:tcW w:w="680" w:type="dxa"/>
            <w:tcBorders>
              <w:top w:val="nil"/>
              <w:left w:val="nil"/>
              <w:bottom w:val="nil"/>
              <w:right w:val="nil"/>
            </w:tcBorders>
            <w:shd w:val="clear" w:color="auto" w:fill="auto"/>
            <w:noWrap/>
            <w:vAlign w:val="center"/>
            <w:hideMark/>
          </w:tcPr>
          <w:p w14:paraId="24D094EF" w14:textId="52F89322" w:rsidR="00422B21" w:rsidRPr="00D92E20" w:rsidRDefault="00422B21" w:rsidP="00422B21">
            <w:pPr>
              <w:spacing w:after="0" w:line="240" w:lineRule="auto"/>
              <w:jc w:val="center"/>
              <w:rPr>
                <w:rFonts w:cs="Arial"/>
                <w:color w:val="000000"/>
                <w:sz w:val="16"/>
                <w:szCs w:val="16"/>
              </w:rPr>
            </w:pPr>
            <w:r>
              <w:rPr>
                <w:rFonts w:cs="Arial"/>
                <w:sz w:val="16"/>
                <w:szCs w:val="16"/>
              </w:rPr>
              <w:t>2,6</w:t>
            </w:r>
          </w:p>
        </w:tc>
        <w:tc>
          <w:tcPr>
            <w:tcW w:w="680" w:type="dxa"/>
            <w:tcBorders>
              <w:top w:val="nil"/>
              <w:left w:val="nil"/>
              <w:bottom w:val="nil"/>
              <w:right w:val="nil"/>
            </w:tcBorders>
            <w:shd w:val="clear" w:color="auto" w:fill="auto"/>
            <w:noWrap/>
            <w:vAlign w:val="center"/>
            <w:hideMark/>
          </w:tcPr>
          <w:p w14:paraId="70EE6046" w14:textId="74EEF3AA" w:rsidR="00422B21" w:rsidRPr="00D92E20" w:rsidRDefault="00422B21" w:rsidP="00422B21">
            <w:pPr>
              <w:spacing w:after="0" w:line="240" w:lineRule="auto"/>
              <w:jc w:val="center"/>
              <w:rPr>
                <w:rFonts w:cs="Arial"/>
                <w:color w:val="000000"/>
                <w:sz w:val="16"/>
                <w:szCs w:val="16"/>
              </w:rPr>
            </w:pPr>
            <w:r>
              <w:rPr>
                <w:rFonts w:cs="Arial"/>
                <w:sz w:val="16"/>
                <w:szCs w:val="16"/>
              </w:rPr>
              <w:t>3,0</w:t>
            </w:r>
          </w:p>
        </w:tc>
        <w:tc>
          <w:tcPr>
            <w:tcW w:w="680" w:type="dxa"/>
            <w:tcBorders>
              <w:top w:val="nil"/>
              <w:left w:val="nil"/>
              <w:bottom w:val="nil"/>
              <w:right w:val="nil"/>
            </w:tcBorders>
            <w:shd w:val="clear" w:color="auto" w:fill="auto"/>
            <w:noWrap/>
            <w:vAlign w:val="center"/>
            <w:hideMark/>
          </w:tcPr>
          <w:p w14:paraId="03F05A44" w14:textId="30E0F4AD" w:rsidR="00422B21" w:rsidRPr="00D92E20" w:rsidRDefault="00422B21" w:rsidP="00422B21">
            <w:pPr>
              <w:spacing w:after="0" w:line="240" w:lineRule="auto"/>
              <w:jc w:val="center"/>
              <w:rPr>
                <w:rFonts w:cs="Arial"/>
                <w:color w:val="000000"/>
                <w:sz w:val="16"/>
                <w:szCs w:val="16"/>
              </w:rPr>
            </w:pPr>
            <w:r>
              <w:rPr>
                <w:rFonts w:cs="Arial"/>
                <w:sz w:val="16"/>
                <w:szCs w:val="16"/>
              </w:rPr>
              <w:t>2,9</w:t>
            </w:r>
          </w:p>
        </w:tc>
        <w:tc>
          <w:tcPr>
            <w:tcW w:w="680" w:type="dxa"/>
            <w:tcBorders>
              <w:top w:val="nil"/>
              <w:left w:val="nil"/>
              <w:bottom w:val="nil"/>
              <w:right w:val="nil"/>
            </w:tcBorders>
            <w:shd w:val="clear" w:color="auto" w:fill="auto"/>
            <w:noWrap/>
            <w:vAlign w:val="center"/>
            <w:hideMark/>
          </w:tcPr>
          <w:p w14:paraId="36C3877E" w14:textId="36120567" w:rsidR="00422B21" w:rsidRPr="00D92E20" w:rsidRDefault="00422B21" w:rsidP="00422B21">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0631CDBC" w14:textId="204732FA" w:rsidR="00422B21" w:rsidRPr="00D92E20" w:rsidRDefault="00422B21" w:rsidP="00422B21">
            <w:pPr>
              <w:spacing w:after="0" w:line="240" w:lineRule="auto"/>
              <w:jc w:val="center"/>
              <w:rPr>
                <w:rFonts w:cs="Arial"/>
                <w:color w:val="000000"/>
                <w:sz w:val="16"/>
                <w:szCs w:val="16"/>
              </w:rPr>
            </w:pPr>
            <w:r>
              <w:rPr>
                <w:rFonts w:cs="Arial"/>
                <w:sz w:val="16"/>
                <w:szCs w:val="16"/>
              </w:rPr>
              <w:t>3,3</w:t>
            </w:r>
          </w:p>
        </w:tc>
        <w:tc>
          <w:tcPr>
            <w:tcW w:w="680" w:type="dxa"/>
            <w:tcBorders>
              <w:top w:val="nil"/>
              <w:left w:val="nil"/>
              <w:bottom w:val="nil"/>
              <w:right w:val="nil"/>
            </w:tcBorders>
            <w:shd w:val="clear" w:color="auto" w:fill="auto"/>
            <w:noWrap/>
            <w:vAlign w:val="center"/>
            <w:hideMark/>
          </w:tcPr>
          <w:p w14:paraId="3FAE5A6C" w14:textId="243B3AD6" w:rsidR="00422B21" w:rsidRPr="00D92E20" w:rsidRDefault="00422B21" w:rsidP="00422B21">
            <w:pPr>
              <w:spacing w:after="0" w:line="240" w:lineRule="auto"/>
              <w:jc w:val="center"/>
              <w:rPr>
                <w:rFonts w:cs="Arial"/>
                <w:color w:val="000000"/>
                <w:sz w:val="16"/>
                <w:szCs w:val="16"/>
              </w:rPr>
            </w:pPr>
            <w:r>
              <w:rPr>
                <w:rFonts w:cs="Arial"/>
                <w:sz w:val="16"/>
                <w:szCs w:val="16"/>
              </w:rPr>
              <w:t>3,4</w:t>
            </w:r>
          </w:p>
        </w:tc>
        <w:tc>
          <w:tcPr>
            <w:tcW w:w="680" w:type="dxa"/>
            <w:tcBorders>
              <w:top w:val="nil"/>
              <w:left w:val="nil"/>
              <w:bottom w:val="nil"/>
              <w:right w:val="nil"/>
            </w:tcBorders>
            <w:shd w:val="clear" w:color="auto" w:fill="auto"/>
            <w:noWrap/>
            <w:vAlign w:val="center"/>
            <w:hideMark/>
          </w:tcPr>
          <w:p w14:paraId="1ECFB2C2" w14:textId="13817EA8" w:rsidR="00422B21" w:rsidRPr="00D92E20" w:rsidRDefault="00422B21" w:rsidP="00422B21">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210987EE" w14:textId="024DAC7E" w:rsidR="00422B21" w:rsidRPr="00D92E20" w:rsidRDefault="00422B21" w:rsidP="00422B21">
            <w:pPr>
              <w:spacing w:after="0" w:line="240" w:lineRule="auto"/>
              <w:jc w:val="center"/>
              <w:rPr>
                <w:rFonts w:cs="Arial"/>
                <w:color w:val="000000"/>
                <w:sz w:val="16"/>
                <w:szCs w:val="16"/>
              </w:rPr>
            </w:pPr>
            <w:r>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05B08BEF" w14:textId="1E557091" w:rsidR="00422B21" w:rsidRPr="00D92E20" w:rsidRDefault="00422B21" w:rsidP="00422B21">
            <w:pPr>
              <w:spacing w:after="0" w:line="240" w:lineRule="auto"/>
              <w:jc w:val="center"/>
              <w:rPr>
                <w:rFonts w:cs="Arial"/>
                <w:color w:val="000000"/>
                <w:sz w:val="16"/>
                <w:szCs w:val="16"/>
              </w:rPr>
            </w:pPr>
            <w:r>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60F4F476" w14:textId="0BCF6040" w:rsidR="00422B21" w:rsidRPr="00D92E20" w:rsidRDefault="00422B21" w:rsidP="00422B21">
            <w:pPr>
              <w:spacing w:after="0" w:line="240" w:lineRule="auto"/>
              <w:jc w:val="center"/>
              <w:rPr>
                <w:rFonts w:cs="Arial"/>
                <w:color w:val="000000"/>
                <w:sz w:val="16"/>
                <w:szCs w:val="16"/>
              </w:rPr>
            </w:pPr>
            <w:r>
              <w:rPr>
                <w:rFonts w:cs="Arial"/>
                <w:color w:val="000000"/>
                <w:sz w:val="16"/>
                <w:szCs w:val="16"/>
              </w:rPr>
              <w:t>4,3</w:t>
            </w:r>
          </w:p>
        </w:tc>
      </w:tr>
      <w:tr w:rsidR="00422B21" w:rsidRPr="00D92E20" w14:paraId="3380034F"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6A116FC"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0" w:type="dxa"/>
            <w:tcBorders>
              <w:top w:val="nil"/>
              <w:left w:val="nil"/>
              <w:bottom w:val="nil"/>
              <w:right w:val="nil"/>
            </w:tcBorders>
            <w:shd w:val="clear" w:color="auto" w:fill="auto"/>
            <w:noWrap/>
            <w:vAlign w:val="center"/>
            <w:hideMark/>
          </w:tcPr>
          <w:p w14:paraId="6CFB6BF4" w14:textId="439094FB"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04696881" w14:textId="2EFAB0AF" w:rsidR="00422B21" w:rsidRPr="00D92E20" w:rsidRDefault="00422B21" w:rsidP="00422B21">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5ADACFE3" w14:textId="07054350"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17662C0E" w14:textId="7D9324AB" w:rsidR="00422B21" w:rsidRPr="00D92E20" w:rsidRDefault="00422B21" w:rsidP="00422B21">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45B4E0D7" w14:textId="46FA488F"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47226415" w14:textId="46970CC5"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0D665A84" w14:textId="2976A64A" w:rsidR="00422B21" w:rsidRPr="00D92E20" w:rsidRDefault="00422B21" w:rsidP="00422B21">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2AAB281C" w14:textId="7EAA4DF9" w:rsidR="00422B21" w:rsidRPr="00D92E20" w:rsidRDefault="00422B21" w:rsidP="00422B21">
            <w:pPr>
              <w:spacing w:after="0" w:line="240" w:lineRule="auto"/>
              <w:jc w:val="center"/>
              <w:rPr>
                <w:rFonts w:cs="Arial"/>
                <w:color w:val="000000"/>
                <w:sz w:val="16"/>
                <w:szCs w:val="16"/>
              </w:rPr>
            </w:pPr>
            <w:r>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032E8FD2" w14:textId="16C57F98" w:rsidR="00422B21" w:rsidRPr="00D92E20" w:rsidRDefault="00422B21" w:rsidP="00422B21">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2C501001" w14:textId="2DA11454" w:rsidR="00422B21" w:rsidRPr="00D92E20" w:rsidRDefault="00422B21" w:rsidP="00422B21">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1682D05B" w14:textId="60976DE2" w:rsidR="00422B21" w:rsidRPr="00D92E20" w:rsidRDefault="00422B21" w:rsidP="00422B21">
            <w:pPr>
              <w:spacing w:after="0" w:line="240" w:lineRule="auto"/>
              <w:jc w:val="center"/>
              <w:rPr>
                <w:rFonts w:cs="Arial"/>
                <w:color w:val="000000"/>
                <w:sz w:val="16"/>
                <w:szCs w:val="16"/>
              </w:rPr>
            </w:pPr>
            <w:r>
              <w:rPr>
                <w:rFonts w:cs="Arial"/>
                <w:color w:val="000000"/>
                <w:sz w:val="16"/>
                <w:szCs w:val="16"/>
              </w:rPr>
              <w:t>6,3</w:t>
            </w:r>
          </w:p>
        </w:tc>
      </w:tr>
      <w:tr w:rsidR="00422B21" w:rsidRPr="00D92E20" w14:paraId="26157382"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10BB5C8"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0" w:type="dxa"/>
            <w:tcBorders>
              <w:top w:val="nil"/>
              <w:left w:val="nil"/>
              <w:bottom w:val="nil"/>
              <w:right w:val="nil"/>
            </w:tcBorders>
            <w:shd w:val="clear" w:color="auto" w:fill="auto"/>
            <w:noWrap/>
            <w:vAlign w:val="center"/>
            <w:hideMark/>
          </w:tcPr>
          <w:p w14:paraId="49498974" w14:textId="607D160A"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52B1224" w14:textId="181356B5"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0063B13E" w14:textId="3A356E7A" w:rsidR="00422B21" w:rsidRPr="00D92E20" w:rsidRDefault="00422B21" w:rsidP="00422B21">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0B9359EA" w14:textId="4A9525B7" w:rsidR="00422B21" w:rsidRPr="00D92E20" w:rsidRDefault="00422B21" w:rsidP="00422B21">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2EED16F0" w14:textId="3AC8A81B" w:rsidR="00422B21" w:rsidRPr="00D92E20" w:rsidRDefault="00422B21" w:rsidP="00422B21">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5895CE7E" w14:textId="1639A6B6" w:rsidR="00422B21" w:rsidRPr="00D92E20" w:rsidRDefault="00422B21" w:rsidP="00422B21">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061F9626" w14:textId="46FCE689" w:rsidR="00422B21" w:rsidRPr="00D92E20" w:rsidRDefault="00422B21" w:rsidP="00422B21">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04CFEDD9" w14:textId="74C17F98" w:rsidR="00422B21" w:rsidRPr="00D92E20" w:rsidRDefault="00422B21" w:rsidP="00422B21">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37E46098" w14:textId="0D2B106F" w:rsidR="00422B21" w:rsidRPr="00D92E20" w:rsidRDefault="00422B21" w:rsidP="00422B21">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4F5A7AFD" w14:textId="63080483" w:rsidR="00422B21" w:rsidRPr="00D92E20" w:rsidRDefault="00422B21" w:rsidP="00422B21">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5D2D1898" w14:textId="7181F416" w:rsidR="00422B21" w:rsidRPr="00D92E20" w:rsidRDefault="00422B21" w:rsidP="00422B21">
            <w:pPr>
              <w:spacing w:after="0" w:line="240" w:lineRule="auto"/>
              <w:jc w:val="center"/>
              <w:rPr>
                <w:rFonts w:cs="Arial"/>
                <w:color w:val="000000"/>
                <w:sz w:val="16"/>
                <w:szCs w:val="16"/>
              </w:rPr>
            </w:pPr>
            <w:r>
              <w:rPr>
                <w:rFonts w:cs="Arial"/>
                <w:color w:val="000000"/>
                <w:sz w:val="16"/>
                <w:szCs w:val="16"/>
              </w:rPr>
              <w:t>6,7</w:t>
            </w:r>
          </w:p>
        </w:tc>
      </w:tr>
      <w:tr w:rsidR="00422B21" w:rsidRPr="00D92E20" w14:paraId="163E7E6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FFD1879"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0" w:type="dxa"/>
            <w:tcBorders>
              <w:top w:val="nil"/>
              <w:left w:val="nil"/>
              <w:bottom w:val="nil"/>
              <w:right w:val="nil"/>
            </w:tcBorders>
            <w:shd w:val="clear" w:color="auto" w:fill="auto"/>
            <w:noWrap/>
            <w:vAlign w:val="center"/>
            <w:hideMark/>
          </w:tcPr>
          <w:p w14:paraId="4BA0900E" w14:textId="74F93C90"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69C34878" w14:textId="362B93B3"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03C00634" w14:textId="38DACB7E" w:rsidR="00422B21" w:rsidRPr="00D92E20" w:rsidRDefault="00422B21" w:rsidP="00422B21">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78BAADDD" w14:textId="4847368C"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2CACE13C" w14:textId="1B0413EE" w:rsidR="00422B21" w:rsidRPr="00D92E20" w:rsidRDefault="00422B21" w:rsidP="00422B21">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7F498EA3" w14:textId="13200AF1"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43F20D3C" w14:textId="5F5C028E" w:rsidR="00422B21" w:rsidRPr="00D92E20" w:rsidRDefault="00422B21" w:rsidP="00422B21">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37F280C0" w14:textId="5345E914" w:rsidR="00422B21" w:rsidRPr="00D92E20" w:rsidRDefault="00422B21" w:rsidP="00422B21">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6D422A4D" w14:textId="201FA16A" w:rsidR="00422B21" w:rsidRPr="00D92E20" w:rsidRDefault="00422B21" w:rsidP="00422B21">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E5DC309" w14:textId="65F1CD5F" w:rsidR="00422B21" w:rsidRPr="00D92E20" w:rsidRDefault="00422B21" w:rsidP="00422B21">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0E0FFBE0" w14:textId="7C59B680" w:rsidR="00422B21" w:rsidRPr="00D92E20" w:rsidRDefault="00422B21" w:rsidP="00422B21">
            <w:pPr>
              <w:spacing w:after="0" w:line="240" w:lineRule="auto"/>
              <w:jc w:val="center"/>
              <w:rPr>
                <w:rFonts w:cs="Arial"/>
                <w:color w:val="000000"/>
                <w:sz w:val="16"/>
                <w:szCs w:val="16"/>
              </w:rPr>
            </w:pPr>
            <w:r>
              <w:rPr>
                <w:rFonts w:cs="Arial"/>
                <w:color w:val="000000"/>
                <w:sz w:val="16"/>
                <w:szCs w:val="16"/>
              </w:rPr>
              <w:t>7,0</w:t>
            </w:r>
          </w:p>
        </w:tc>
      </w:tr>
      <w:tr w:rsidR="00422B21" w:rsidRPr="00D92E20" w14:paraId="7EDE583E"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68491A1"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0" w:type="dxa"/>
            <w:tcBorders>
              <w:top w:val="nil"/>
              <w:left w:val="nil"/>
              <w:bottom w:val="nil"/>
              <w:right w:val="nil"/>
            </w:tcBorders>
            <w:shd w:val="clear" w:color="auto" w:fill="auto"/>
            <w:noWrap/>
            <w:vAlign w:val="center"/>
            <w:hideMark/>
          </w:tcPr>
          <w:p w14:paraId="56D3C79F" w14:textId="6446A977" w:rsidR="00422B21" w:rsidRPr="00D92E20" w:rsidRDefault="00422B21" w:rsidP="00422B21">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159DFB9A" w14:textId="0107215C" w:rsidR="00422B21" w:rsidRPr="00D92E20" w:rsidRDefault="00422B21" w:rsidP="00422B21">
            <w:pPr>
              <w:spacing w:after="0" w:line="240" w:lineRule="auto"/>
              <w:jc w:val="center"/>
              <w:rPr>
                <w:rFonts w:cs="Arial"/>
                <w:color w:val="000000"/>
                <w:sz w:val="16"/>
                <w:szCs w:val="16"/>
              </w:rPr>
            </w:pPr>
            <w:r>
              <w:rPr>
                <w:rFonts w:cs="Arial"/>
                <w:sz w:val="16"/>
                <w:szCs w:val="16"/>
              </w:rPr>
              <w:t>3,5</w:t>
            </w:r>
          </w:p>
        </w:tc>
        <w:tc>
          <w:tcPr>
            <w:tcW w:w="680" w:type="dxa"/>
            <w:tcBorders>
              <w:top w:val="nil"/>
              <w:left w:val="nil"/>
              <w:bottom w:val="nil"/>
              <w:right w:val="nil"/>
            </w:tcBorders>
            <w:shd w:val="clear" w:color="auto" w:fill="auto"/>
            <w:noWrap/>
            <w:vAlign w:val="center"/>
            <w:hideMark/>
          </w:tcPr>
          <w:p w14:paraId="68C9F871" w14:textId="14DE4AB4"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274CFB6B" w14:textId="11ACD7DD"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4F55EEB8" w14:textId="2B0444EF"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2EB3E130" w14:textId="5A8B44CD"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45D2A7D5" w14:textId="1564A567" w:rsidR="00422B21" w:rsidRPr="00D92E20" w:rsidRDefault="00422B21" w:rsidP="00422B21">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3D7D7577" w14:textId="575B1D94" w:rsidR="00422B21" w:rsidRPr="00D92E20" w:rsidRDefault="00422B21" w:rsidP="00422B21">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11101CF7" w14:textId="269B4A56" w:rsidR="00422B21" w:rsidRPr="00D92E20" w:rsidRDefault="00422B21" w:rsidP="00422B21">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3233F531" w14:textId="7085601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0E521AE4" w14:textId="78D8A5E2" w:rsidR="00422B21" w:rsidRPr="00D92E20" w:rsidRDefault="00422B21" w:rsidP="00422B21">
            <w:pPr>
              <w:spacing w:after="0" w:line="240" w:lineRule="auto"/>
              <w:jc w:val="center"/>
              <w:rPr>
                <w:rFonts w:cs="Arial"/>
                <w:color w:val="000000"/>
                <w:sz w:val="16"/>
                <w:szCs w:val="16"/>
              </w:rPr>
            </w:pPr>
            <w:r>
              <w:rPr>
                <w:rFonts w:cs="Arial"/>
                <w:color w:val="000000"/>
                <w:sz w:val="16"/>
                <w:szCs w:val="16"/>
              </w:rPr>
              <w:t>7,2</w:t>
            </w:r>
          </w:p>
        </w:tc>
      </w:tr>
      <w:tr w:rsidR="00422B21" w:rsidRPr="00D92E20" w14:paraId="79A3A7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32EC444D"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0" w:type="dxa"/>
            <w:tcBorders>
              <w:top w:val="nil"/>
              <w:left w:val="nil"/>
              <w:bottom w:val="nil"/>
              <w:right w:val="nil"/>
            </w:tcBorders>
            <w:shd w:val="clear" w:color="auto" w:fill="auto"/>
            <w:noWrap/>
            <w:vAlign w:val="center"/>
            <w:hideMark/>
          </w:tcPr>
          <w:p w14:paraId="2D050887" w14:textId="5DA1E4CE"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3524F29E" w14:textId="1ECB235F"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657C6D7D" w14:textId="3B293746"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7181494C" w14:textId="549DE54A"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07E5D03D" w14:textId="5C765409" w:rsidR="00422B21" w:rsidRPr="00D92E20" w:rsidRDefault="00422B21" w:rsidP="00422B21">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16726FBB" w14:textId="2C35F928"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3F351BEB" w14:textId="0EFA7812"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737CEF0B" w14:textId="717389CF" w:rsidR="00422B21" w:rsidRPr="00D92E20" w:rsidRDefault="00422B21" w:rsidP="00422B21">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AEB6FAF" w14:textId="15DC8F66" w:rsidR="00422B21" w:rsidRPr="00D92E20" w:rsidRDefault="00422B21" w:rsidP="00422B21">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55285B9F" w14:textId="4BEECC07" w:rsidR="00422B21" w:rsidRPr="00D92E20" w:rsidRDefault="00422B21" w:rsidP="00422B21">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084FD4CE" w14:textId="1DFEBFEE" w:rsidR="00422B21" w:rsidRPr="00D92E20" w:rsidRDefault="00422B21" w:rsidP="00422B21">
            <w:pPr>
              <w:spacing w:after="0" w:line="240" w:lineRule="auto"/>
              <w:jc w:val="center"/>
              <w:rPr>
                <w:rFonts w:cs="Arial"/>
                <w:color w:val="000000"/>
                <w:sz w:val="16"/>
                <w:szCs w:val="16"/>
              </w:rPr>
            </w:pPr>
            <w:r>
              <w:rPr>
                <w:rFonts w:cs="Arial"/>
                <w:color w:val="000000"/>
                <w:sz w:val="16"/>
                <w:szCs w:val="16"/>
              </w:rPr>
              <w:t>6,8</w:t>
            </w:r>
          </w:p>
        </w:tc>
      </w:tr>
      <w:tr w:rsidR="00422B21" w:rsidRPr="00D92E20" w14:paraId="2C0EEF9D"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66AEE7A"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0" w:type="dxa"/>
            <w:tcBorders>
              <w:top w:val="nil"/>
              <w:left w:val="nil"/>
              <w:bottom w:val="nil"/>
              <w:right w:val="nil"/>
            </w:tcBorders>
            <w:shd w:val="clear" w:color="auto" w:fill="auto"/>
            <w:noWrap/>
            <w:vAlign w:val="center"/>
            <w:hideMark/>
          </w:tcPr>
          <w:p w14:paraId="1F4B6C1B" w14:textId="4F829037"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2B7EFA9D" w14:textId="54B6B919"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4161125B" w14:textId="5A464C36"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440A052D" w14:textId="0C14F8E1"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4F755A33" w14:textId="60C12B5D" w:rsidR="00422B21" w:rsidRPr="00D92E20" w:rsidRDefault="00422B21" w:rsidP="00422B21">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641241F9" w14:textId="18F9DE76"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2B79D96E" w14:textId="304BD80E" w:rsidR="00422B21" w:rsidRPr="00D92E20" w:rsidRDefault="00422B21" w:rsidP="00422B21">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7C9720FB" w14:textId="35FCC0E5" w:rsidR="00422B21" w:rsidRPr="00D92E20" w:rsidRDefault="00422B21" w:rsidP="00422B21">
            <w:pPr>
              <w:spacing w:after="0" w:line="240" w:lineRule="auto"/>
              <w:jc w:val="center"/>
              <w:rPr>
                <w:rFonts w:cs="Arial"/>
                <w:color w:val="000000"/>
                <w:sz w:val="16"/>
                <w:szCs w:val="16"/>
              </w:rPr>
            </w:pPr>
            <w:r>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4CD93D16" w14:textId="399FD9C0" w:rsidR="00422B21" w:rsidRPr="00D92E20" w:rsidRDefault="00422B21" w:rsidP="00422B21">
            <w:pPr>
              <w:spacing w:after="0" w:line="240" w:lineRule="auto"/>
              <w:jc w:val="center"/>
              <w:rPr>
                <w:rFonts w:cs="Arial"/>
                <w:color w:val="000000"/>
                <w:sz w:val="16"/>
                <w:szCs w:val="16"/>
              </w:rPr>
            </w:pPr>
            <w:r>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4509513B" w14:textId="4E8FE22B" w:rsidR="00422B21" w:rsidRPr="00D92E20" w:rsidRDefault="00422B21" w:rsidP="00422B21">
            <w:pPr>
              <w:spacing w:after="0" w:line="240" w:lineRule="auto"/>
              <w:jc w:val="center"/>
              <w:rPr>
                <w:rFonts w:cs="Arial"/>
                <w:color w:val="000000"/>
                <w:sz w:val="16"/>
                <w:szCs w:val="16"/>
              </w:rPr>
            </w:pPr>
            <w:r>
              <w:rPr>
                <w:rFonts w:cs="Arial"/>
                <w:color w:val="000000"/>
                <w:sz w:val="16"/>
                <w:szCs w:val="16"/>
              </w:rPr>
              <w:t>6,6</w:t>
            </w:r>
          </w:p>
        </w:tc>
        <w:tc>
          <w:tcPr>
            <w:tcW w:w="680" w:type="dxa"/>
            <w:tcBorders>
              <w:top w:val="nil"/>
              <w:left w:val="nil"/>
              <w:bottom w:val="nil"/>
              <w:right w:val="nil"/>
            </w:tcBorders>
            <w:shd w:val="clear" w:color="auto" w:fill="auto"/>
            <w:noWrap/>
            <w:vAlign w:val="center"/>
            <w:hideMark/>
          </w:tcPr>
          <w:p w14:paraId="117E0EEA" w14:textId="531B484D" w:rsidR="00422B21" w:rsidRPr="00D92E20" w:rsidRDefault="00422B21" w:rsidP="00422B21">
            <w:pPr>
              <w:spacing w:after="0" w:line="240" w:lineRule="auto"/>
              <w:jc w:val="center"/>
              <w:rPr>
                <w:rFonts w:cs="Arial"/>
                <w:color w:val="000000"/>
                <w:sz w:val="16"/>
                <w:szCs w:val="16"/>
              </w:rPr>
            </w:pPr>
            <w:r>
              <w:rPr>
                <w:rFonts w:cs="Arial"/>
                <w:color w:val="000000"/>
                <w:sz w:val="16"/>
                <w:szCs w:val="16"/>
              </w:rPr>
              <w:t>7,0</w:t>
            </w:r>
          </w:p>
        </w:tc>
      </w:tr>
      <w:tr w:rsidR="00422B21" w:rsidRPr="00D92E20" w14:paraId="114ABD2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40B343F"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0" w:type="dxa"/>
            <w:tcBorders>
              <w:top w:val="nil"/>
              <w:left w:val="nil"/>
              <w:bottom w:val="nil"/>
              <w:right w:val="nil"/>
            </w:tcBorders>
            <w:shd w:val="clear" w:color="auto" w:fill="auto"/>
            <w:noWrap/>
            <w:vAlign w:val="center"/>
            <w:hideMark/>
          </w:tcPr>
          <w:p w14:paraId="4CE04966" w14:textId="2DB24EAF"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536CB934" w14:textId="794BD4FB" w:rsidR="00422B21" w:rsidRPr="00D92E20" w:rsidRDefault="00422B21" w:rsidP="00422B21">
            <w:pPr>
              <w:spacing w:after="0" w:line="240" w:lineRule="auto"/>
              <w:jc w:val="center"/>
              <w:rPr>
                <w:rFonts w:cs="Arial"/>
                <w:color w:val="000000"/>
                <w:sz w:val="16"/>
                <w:szCs w:val="16"/>
              </w:rPr>
            </w:pPr>
            <w:r>
              <w:rPr>
                <w:rFonts w:cs="Arial"/>
                <w:sz w:val="16"/>
                <w:szCs w:val="16"/>
              </w:rPr>
              <w:t>3,6</w:t>
            </w:r>
          </w:p>
        </w:tc>
        <w:tc>
          <w:tcPr>
            <w:tcW w:w="680" w:type="dxa"/>
            <w:tcBorders>
              <w:top w:val="nil"/>
              <w:left w:val="nil"/>
              <w:bottom w:val="nil"/>
              <w:right w:val="nil"/>
            </w:tcBorders>
            <w:shd w:val="clear" w:color="auto" w:fill="auto"/>
            <w:noWrap/>
            <w:vAlign w:val="center"/>
            <w:hideMark/>
          </w:tcPr>
          <w:p w14:paraId="0D09CFFE" w14:textId="6455BF39"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4C7CFD6B" w14:textId="394DE6E8"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7212C9E9" w14:textId="25794D94"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55D8D9E4" w14:textId="11EAC670"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7B2BEF8B" w14:textId="77D3BAF9"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5F91A107" w14:textId="209436D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70DB7B5B" w14:textId="198327C5" w:rsidR="00422B21" w:rsidRPr="00D92E20" w:rsidRDefault="00422B21" w:rsidP="00422B21">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2F184EE4" w14:textId="370C58B7" w:rsidR="00422B21" w:rsidRPr="00D92E20" w:rsidRDefault="00422B21" w:rsidP="00422B21">
            <w:pPr>
              <w:spacing w:after="0" w:line="240" w:lineRule="auto"/>
              <w:jc w:val="center"/>
              <w:rPr>
                <w:rFonts w:cs="Arial"/>
                <w:color w:val="000000"/>
                <w:sz w:val="16"/>
                <w:szCs w:val="16"/>
              </w:rPr>
            </w:pPr>
            <w:r>
              <w:rPr>
                <w:rFonts w:cs="Arial"/>
                <w:color w:val="000000"/>
                <w:sz w:val="16"/>
                <w:szCs w:val="16"/>
              </w:rPr>
              <w:t>5,9</w:t>
            </w:r>
          </w:p>
        </w:tc>
        <w:tc>
          <w:tcPr>
            <w:tcW w:w="680" w:type="dxa"/>
            <w:tcBorders>
              <w:top w:val="nil"/>
              <w:left w:val="nil"/>
              <w:bottom w:val="nil"/>
              <w:right w:val="nil"/>
            </w:tcBorders>
            <w:shd w:val="clear" w:color="auto" w:fill="auto"/>
            <w:noWrap/>
            <w:vAlign w:val="center"/>
            <w:hideMark/>
          </w:tcPr>
          <w:p w14:paraId="52974BFB" w14:textId="6ED937B4" w:rsidR="00422B21" w:rsidRPr="00D92E20" w:rsidRDefault="00422B21" w:rsidP="00422B21">
            <w:pPr>
              <w:spacing w:after="0" w:line="240" w:lineRule="auto"/>
              <w:jc w:val="center"/>
              <w:rPr>
                <w:rFonts w:cs="Arial"/>
                <w:color w:val="000000"/>
                <w:sz w:val="16"/>
                <w:szCs w:val="16"/>
              </w:rPr>
            </w:pPr>
            <w:r>
              <w:rPr>
                <w:rFonts w:cs="Arial"/>
                <w:color w:val="000000"/>
                <w:sz w:val="16"/>
                <w:szCs w:val="16"/>
              </w:rPr>
              <w:t>6,7</w:t>
            </w:r>
          </w:p>
        </w:tc>
      </w:tr>
      <w:tr w:rsidR="00422B21" w:rsidRPr="00D92E20" w14:paraId="26ACAD3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B46E990"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0" w:type="dxa"/>
            <w:tcBorders>
              <w:top w:val="nil"/>
              <w:left w:val="nil"/>
              <w:bottom w:val="nil"/>
              <w:right w:val="nil"/>
            </w:tcBorders>
            <w:shd w:val="clear" w:color="auto" w:fill="auto"/>
            <w:noWrap/>
            <w:vAlign w:val="center"/>
            <w:hideMark/>
          </w:tcPr>
          <w:p w14:paraId="6A7B3132" w14:textId="53B86024"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131B3CFC" w14:textId="22E3F54F" w:rsidR="00422B21" w:rsidRPr="00D92E20" w:rsidRDefault="00422B21" w:rsidP="00422B21">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16FF3FA7" w14:textId="16D9C68B"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5939B4AC" w14:textId="64AE2AF1" w:rsidR="00422B21" w:rsidRPr="00D92E20" w:rsidRDefault="00422B21" w:rsidP="00422B21">
            <w:pPr>
              <w:spacing w:after="0" w:line="240" w:lineRule="auto"/>
              <w:jc w:val="center"/>
              <w:rPr>
                <w:rFonts w:cs="Arial"/>
                <w:color w:val="000000"/>
                <w:sz w:val="16"/>
                <w:szCs w:val="16"/>
              </w:rPr>
            </w:pPr>
            <w:r>
              <w:rPr>
                <w:rFonts w:cs="Arial"/>
                <w:sz w:val="16"/>
                <w:szCs w:val="16"/>
              </w:rPr>
              <w:t>4,0</w:t>
            </w:r>
          </w:p>
        </w:tc>
        <w:tc>
          <w:tcPr>
            <w:tcW w:w="680" w:type="dxa"/>
            <w:tcBorders>
              <w:top w:val="nil"/>
              <w:left w:val="nil"/>
              <w:bottom w:val="nil"/>
              <w:right w:val="nil"/>
            </w:tcBorders>
            <w:shd w:val="clear" w:color="auto" w:fill="auto"/>
            <w:noWrap/>
            <w:vAlign w:val="center"/>
            <w:hideMark/>
          </w:tcPr>
          <w:p w14:paraId="15D4FD82" w14:textId="3D7DA762"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270E2198" w14:textId="2C56E808"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642B94FD" w14:textId="129F0274"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76FFA6C4" w14:textId="717F2428" w:rsidR="00422B21" w:rsidRPr="00D92E20" w:rsidRDefault="00422B21" w:rsidP="00422B21">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48ADACE1" w14:textId="1855D19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49CE215C" w14:textId="4402B428" w:rsidR="00422B21" w:rsidRPr="00D92E20" w:rsidRDefault="00422B21" w:rsidP="00422B21">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03E2964D" w14:textId="7087DD57" w:rsidR="00422B21" w:rsidRPr="00D92E20" w:rsidRDefault="00422B21" w:rsidP="00422B21">
            <w:pPr>
              <w:spacing w:after="0" w:line="240" w:lineRule="auto"/>
              <w:jc w:val="center"/>
              <w:rPr>
                <w:rFonts w:cs="Arial"/>
                <w:color w:val="000000"/>
                <w:sz w:val="16"/>
                <w:szCs w:val="16"/>
              </w:rPr>
            </w:pPr>
            <w:r>
              <w:rPr>
                <w:rFonts w:cs="Arial"/>
                <w:color w:val="000000"/>
                <w:sz w:val="16"/>
                <w:szCs w:val="16"/>
              </w:rPr>
              <w:t>6,4</w:t>
            </w:r>
          </w:p>
        </w:tc>
      </w:tr>
      <w:tr w:rsidR="00422B21" w:rsidRPr="00D92E20" w14:paraId="1408511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97DD505"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0" w:type="dxa"/>
            <w:tcBorders>
              <w:top w:val="nil"/>
              <w:left w:val="nil"/>
              <w:bottom w:val="nil"/>
              <w:right w:val="nil"/>
            </w:tcBorders>
            <w:shd w:val="clear" w:color="auto" w:fill="auto"/>
            <w:noWrap/>
            <w:vAlign w:val="center"/>
            <w:hideMark/>
          </w:tcPr>
          <w:p w14:paraId="7B6209F0" w14:textId="5CFD7EAC"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7B243651" w14:textId="5FDDE517"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3744C4A0" w14:textId="4DFC140D"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64380A0F" w14:textId="638E5514"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54E6DCC8" w14:textId="75E63FD4"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37B0BDBF" w14:textId="2ED2DED0" w:rsidR="00422B21" w:rsidRPr="00D92E20" w:rsidRDefault="00422B21" w:rsidP="00422B21">
            <w:pPr>
              <w:spacing w:after="0" w:line="240" w:lineRule="auto"/>
              <w:jc w:val="center"/>
              <w:rPr>
                <w:rFonts w:cs="Arial"/>
                <w:color w:val="000000"/>
                <w:sz w:val="16"/>
                <w:szCs w:val="16"/>
              </w:rPr>
            </w:pPr>
            <w:r>
              <w:rPr>
                <w:rFonts w:cs="Arial"/>
                <w:sz w:val="16"/>
                <w:szCs w:val="16"/>
              </w:rPr>
              <w:t>5,0</w:t>
            </w:r>
          </w:p>
        </w:tc>
        <w:tc>
          <w:tcPr>
            <w:tcW w:w="680" w:type="dxa"/>
            <w:tcBorders>
              <w:top w:val="nil"/>
              <w:left w:val="nil"/>
              <w:bottom w:val="nil"/>
              <w:right w:val="nil"/>
            </w:tcBorders>
            <w:shd w:val="clear" w:color="auto" w:fill="auto"/>
            <w:noWrap/>
            <w:vAlign w:val="center"/>
            <w:hideMark/>
          </w:tcPr>
          <w:p w14:paraId="126C211B" w14:textId="15AA8777" w:rsidR="00422B21" w:rsidRPr="00D92E20" w:rsidRDefault="00422B21" w:rsidP="00422B21">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593EBEAE" w14:textId="1FA2310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57260A0D" w14:textId="4A4961B1" w:rsidR="00422B21" w:rsidRPr="00D92E20" w:rsidRDefault="00422B21" w:rsidP="00422B21">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695C83B0" w14:textId="3227853D" w:rsidR="00422B21" w:rsidRPr="00D92E20" w:rsidRDefault="00422B21" w:rsidP="00422B21">
            <w:pPr>
              <w:spacing w:after="0" w:line="240" w:lineRule="auto"/>
              <w:jc w:val="center"/>
              <w:rPr>
                <w:rFonts w:cs="Arial"/>
                <w:color w:val="000000"/>
                <w:sz w:val="16"/>
                <w:szCs w:val="16"/>
              </w:rPr>
            </w:pPr>
            <w:r>
              <w:rPr>
                <w:rFonts w:cs="Arial"/>
                <w:color w:val="000000"/>
                <w:sz w:val="16"/>
                <w:szCs w:val="16"/>
              </w:rPr>
              <w:t>6,2</w:t>
            </w:r>
          </w:p>
        </w:tc>
        <w:tc>
          <w:tcPr>
            <w:tcW w:w="680" w:type="dxa"/>
            <w:tcBorders>
              <w:top w:val="nil"/>
              <w:left w:val="nil"/>
              <w:bottom w:val="nil"/>
              <w:right w:val="nil"/>
            </w:tcBorders>
            <w:shd w:val="clear" w:color="auto" w:fill="auto"/>
            <w:noWrap/>
            <w:vAlign w:val="center"/>
            <w:hideMark/>
          </w:tcPr>
          <w:p w14:paraId="1D34F784" w14:textId="7EC886BD" w:rsidR="00422B21" w:rsidRPr="00D92E20" w:rsidRDefault="00422B21" w:rsidP="00422B21">
            <w:pPr>
              <w:spacing w:after="0" w:line="240" w:lineRule="auto"/>
              <w:jc w:val="center"/>
              <w:rPr>
                <w:rFonts w:cs="Arial"/>
                <w:color w:val="000000"/>
                <w:sz w:val="16"/>
                <w:szCs w:val="16"/>
              </w:rPr>
            </w:pPr>
            <w:r>
              <w:rPr>
                <w:rFonts w:cs="Arial"/>
                <w:color w:val="000000"/>
                <w:sz w:val="16"/>
                <w:szCs w:val="16"/>
              </w:rPr>
              <w:t>6,4</w:t>
            </w:r>
          </w:p>
        </w:tc>
      </w:tr>
      <w:tr w:rsidR="00422B21" w:rsidRPr="00D92E20" w14:paraId="677F6946"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E1C3D98"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0" w:type="dxa"/>
            <w:tcBorders>
              <w:top w:val="nil"/>
              <w:left w:val="nil"/>
              <w:bottom w:val="nil"/>
              <w:right w:val="nil"/>
            </w:tcBorders>
            <w:shd w:val="clear" w:color="auto" w:fill="auto"/>
            <w:noWrap/>
            <w:vAlign w:val="center"/>
            <w:hideMark/>
          </w:tcPr>
          <w:p w14:paraId="3C73C051" w14:textId="2A0CC36F"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3FA5C3EF" w14:textId="3E113343" w:rsidR="00422B21" w:rsidRPr="00D92E20" w:rsidRDefault="00422B21" w:rsidP="00422B21">
            <w:pPr>
              <w:spacing w:after="0" w:line="240" w:lineRule="auto"/>
              <w:jc w:val="center"/>
              <w:rPr>
                <w:rFonts w:cs="Arial"/>
                <w:color w:val="000000"/>
                <w:sz w:val="16"/>
                <w:szCs w:val="16"/>
              </w:rPr>
            </w:pPr>
            <w:r>
              <w:rPr>
                <w:rFonts w:cs="Arial"/>
                <w:sz w:val="16"/>
                <w:szCs w:val="16"/>
              </w:rPr>
              <w:t>3,7</w:t>
            </w:r>
          </w:p>
        </w:tc>
        <w:tc>
          <w:tcPr>
            <w:tcW w:w="680" w:type="dxa"/>
            <w:tcBorders>
              <w:top w:val="nil"/>
              <w:left w:val="nil"/>
              <w:bottom w:val="nil"/>
              <w:right w:val="nil"/>
            </w:tcBorders>
            <w:shd w:val="clear" w:color="auto" w:fill="auto"/>
            <w:noWrap/>
            <w:vAlign w:val="center"/>
            <w:hideMark/>
          </w:tcPr>
          <w:p w14:paraId="555A7FDD" w14:textId="55250135"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0BE82B89" w14:textId="73DE2321" w:rsidR="00422B21" w:rsidRPr="00D92E20" w:rsidRDefault="00422B21" w:rsidP="00422B21">
            <w:pPr>
              <w:spacing w:after="0" w:line="240" w:lineRule="auto"/>
              <w:jc w:val="center"/>
              <w:rPr>
                <w:rFonts w:cs="Arial"/>
                <w:color w:val="000000"/>
                <w:sz w:val="16"/>
                <w:szCs w:val="16"/>
              </w:rPr>
            </w:pPr>
            <w:r>
              <w:rPr>
                <w:rFonts w:cs="Arial"/>
                <w:sz w:val="16"/>
                <w:szCs w:val="16"/>
              </w:rPr>
              <w:t>3,8</w:t>
            </w:r>
          </w:p>
        </w:tc>
        <w:tc>
          <w:tcPr>
            <w:tcW w:w="680" w:type="dxa"/>
            <w:tcBorders>
              <w:top w:val="nil"/>
              <w:left w:val="nil"/>
              <w:bottom w:val="nil"/>
              <w:right w:val="nil"/>
            </w:tcBorders>
            <w:shd w:val="clear" w:color="auto" w:fill="auto"/>
            <w:noWrap/>
            <w:vAlign w:val="center"/>
            <w:hideMark/>
          </w:tcPr>
          <w:p w14:paraId="64DAEFF9" w14:textId="2CD1BC12" w:rsidR="00422B21" w:rsidRPr="00D92E20" w:rsidRDefault="00422B21" w:rsidP="00422B21">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3E350F0E" w14:textId="0AE7F414"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148F5FA2" w14:textId="1F496BAC"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5B5491A2" w14:textId="4A6C0885" w:rsidR="00422B21" w:rsidRPr="00D92E20" w:rsidRDefault="00422B21" w:rsidP="00422B21">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663CE24" w14:textId="7A4F1841" w:rsidR="00422B21" w:rsidRPr="00D92E20" w:rsidRDefault="00422B21" w:rsidP="00422B21">
            <w:pPr>
              <w:spacing w:after="0" w:line="240" w:lineRule="auto"/>
              <w:jc w:val="center"/>
              <w:rPr>
                <w:rFonts w:cs="Arial"/>
                <w:color w:val="000000"/>
                <w:sz w:val="16"/>
                <w:szCs w:val="16"/>
              </w:rPr>
            </w:pPr>
            <w:r>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4DE81032" w14:textId="2720A6B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5,5</w:t>
            </w:r>
          </w:p>
        </w:tc>
        <w:tc>
          <w:tcPr>
            <w:tcW w:w="680" w:type="dxa"/>
            <w:tcBorders>
              <w:top w:val="nil"/>
              <w:left w:val="nil"/>
              <w:bottom w:val="nil"/>
              <w:right w:val="nil"/>
            </w:tcBorders>
            <w:shd w:val="clear" w:color="auto" w:fill="auto"/>
            <w:noWrap/>
            <w:vAlign w:val="center"/>
            <w:hideMark/>
          </w:tcPr>
          <w:p w14:paraId="5AC23530" w14:textId="47E93754" w:rsidR="00422B21" w:rsidRPr="00D92E20" w:rsidRDefault="00422B21" w:rsidP="00422B21">
            <w:pPr>
              <w:spacing w:after="0" w:line="240" w:lineRule="auto"/>
              <w:jc w:val="center"/>
              <w:rPr>
                <w:rFonts w:cs="Arial"/>
                <w:color w:val="000000"/>
                <w:sz w:val="16"/>
                <w:szCs w:val="16"/>
              </w:rPr>
            </w:pPr>
            <w:r>
              <w:rPr>
                <w:rFonts w:cs="Arial"/>
                <w:color w:val="000000"/>
                <w:sz w:val="16"/>
                <w:szCs w:val="16"/>
              </w:rPr>
              <w:t>5,8</w:t>
            </w:r>
          </w:p>
        </w:tc>
      </w:tr>
      <w:tr w:rsidR="00422B21" w:rsidRPr="00D92E20" w14:paraId="7B2C54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DF67F6B"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0" w:type="dxa"/>
            <w:tcBorders>
              <w:top w:val="nil"/>
              <w:left w:val="nil"/>
              <w:bottom w:val="nil"/>
              <w:right w:val="nil"/>
            </w:tcBorders>
            <w:shd w:val="clear" w:color="auto" w:fill="auto"/>
            <w:noWrap/>
            <w:vAlign w:val="center"/>
            <w:hideMark/>
          </w:tcPr>
          <w:p w14:paraId="1482EF4F" w14:textId="67532C5B"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7E236F74" w14:textId="42F947EF" w:rsidR="00422B21" w:rsidRPr="00D92E20" w:rsidRDefault="00422B21" w:rsidP="00422B21">
            <w:pPr>
              <w:spacing w:after="0" w:line="240" w:lineRule="auto"/>
              <w:jc w:val="center"/>
              <w:rPr>
                <w:rFonts w:cs="Arial"/>
                <w:color w:val="000000"/>
                <w:sz w:val="16"/>
                <w:szCs w:val="16"/>
              </w:rPr>
            </w:pPr>
            <w:r>
              <w:rPr>
                <w:rFonts w:cs="Arial"/>
                <w:sz w:val="16"/>
                <w:szCs w:val="16"/>
              </w:rPr>
              <w:t>3,9</w:t>
            </w:r>
          </w:p>
        </w:tc>
        <w:tc>
          <w:tcPr>
            <w:tcW w:w="680" w:type="dxa"/>
            <w:tcBorders>
              <w:top w:val="nil"/>
              <w:left w:val="nil"/>
              <w:bottom w:val="nil"/>
              <w:right w:val="nil"/>
            </w:tcBorders>
            <w:shd w:val="clear" w:color="auto" w:fill="auto"/>
            <w:noWrap/>
            <w:vAlign w:val="center"/>
            <w:hideMark/>
          </w:tcPr>
          <w:p w14:paraId="3077B977" w14:textId="4F83F1CA" w:rsidR="00422B21" w:rsidRPr="00D92E20" w:rsidRDefault="00422B21" w:rsidP="00422B21">
            <w:pPr>
              <w:spacing w:after="0" w:line="240" w:lineRule="auto"/>
              <w:jc w:val="center"/>
              <w:rPr>
                <w:rFonts w:cs="Arial"/>
                <w:color w:val="000000"/>
                <w:sz w:val="16"/>
                <w:szCs w:val="16"/>
              </w:rPr>
            </w:pPr>
            <w:r>
              <w:rPr>
                <w:rFonts w:cs="Arial"/>
                <w:sz w:val="16"/>
                <w:szCs w:val="16"/>
              </w:rPr>
              <w:t>4,2</w:t>
            </w:r>
          </w:p>
        </w:tc>
        <w:tc>
          <w:tcPr>
            <w:tcW w:w="680" w:type="dxa"/>
            <w:tcBorders>
              <w:top w:val="nil"/>
              <w:left w:val="nil"/>
              <w:bottom w:val="nil"/>
              <w:right w:val="nil"/>
            </w:tcBorders>
            <w:shd w:val="clear" w:color="auto" w:fill="auto"/>
            <w:noWrap/>
            <w:vAlign w:val="center"/>
            <w:hideMark/>
          </w:tcPr>
          <w:p w14:paraId="7C12DBAD" w14:textId="060FE1B2" w:rsidR="00422B21" w:rsidRPr="00D92E20" w:rsidRDefault="00422B21" w:rsidP="00422B21">
            <w:pPr>
              <w:spacing w:after="0" w:line="240" w:lineRule="auto"/>
              <w:jc w:val="center"/>
              <w:rPr>
                <w:rFonts w:cs="Arial"/>
                <w:color w:val="000000"/>
                <w:sz w:val="16"/>
                <w:szCs w:val="16"/>
              </w:rPr>
            </w:pPr>
            <w:r>
              <w:rPr>
                <w:rFonts w:cs="Arial"/>
                <w:sz w:val="16"/>
                <w:szCs w:val="16"/>
              </w:rPr>
              <w:t>4,1</w:t>
            </w:r>
          </w:p>
        </w:tc>
        <w:tc>
          <w:tcPr>
            <w:tcW w:w="680" w:type="dxa"/>
            <w:tcBorders>
              <w:top w:val="nil"/>
              <w:left w:val="nil"/>
              <w:bottom w:val="nil"/>
              <w:right w:val="nil"/>
            </w:tcBorders>
            <w:shd w:val="clear" w:color="auto" w:fill="auto"/>
            <w:noWrap/>
            <w:vAlign w:val="center"/>
            <w:hideMark/>
          </w:tcPr>
          <w:p w14:paraId="7A8266B1" w14:textId="299C921E"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77AA9566" w14:textId="30E37083" w:rsidR="00422B21" w:rsidRPr="00D92E20" w:rsidRDefault="00422B21" w:rsidP="00422B21">
            <w:pPr>
              <w:spacing w:after="0" w:line="240" w:lineRule="auto"/>
              <w:jc w:val="center"/>
              <w:rPr>
                <w:rFonts w:cs="Arial"/>
                <w:color w:val="000000"/>
                <w:sz w:val="16"/>
                <w:szCs w:val="16"/>
              </w:rPr>
            </w:pPr>
            <w:r>
              <w:rPr>
                <w:rFonts w:cs="Arial"/>
                <w:sz w:val="16"/>
                <w:szCs w:val="16"/>
              </w:rPr>
              <w:t>4,8</w:t>
            </w:r>
          </w:p>
        </w:tc>
        <w:tc>
          <w:tcPr>
            <w:tcW w:w="680" w:type="dxa"/>
            <w:tcBorders>
              <w:top w:val="nil"/>
              <w:left w:val="nil"/>
              <w:bottom w:val="nil"/>
              <w:right w:val="nil"/>
            </w:tcBorders>
            <w:shd w:val="clear" w:color="auto" w:fill="auto"/>
            <w:noWrap/>
            <w:vAlign w:val="center"/>
            <w:hideMark/>
          </w:tcPr>
          <w:p w14:paraId="6632690E" w14:textId="228C025D"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36F539CB" w14:textId="639162AF" w:rsidR="00422B21" w:rsidRPr="00D92E20" w:rsidRDefault="00422B21" w:rsidP="00422B21">
            <w:pPr>
              <w:spacing w:after="0" w:line="240" w:lineRule="auto"/>
              <w:jc w:val="center"/>
              <w:rPr>
                <w:rFonts w:cs="Arial"/>
                <w:color w:val="000000"/>
                <w:sz w:val="16"/>
                <w:szCs w:val="16"/>
              </w:rPr>
            </w:pPr>
            <w:r>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78B6F650" w14:textId="65F1098E" w:rsidR="00422B21" w:rsidRPr="00D92E20" w:rsidRDefault="00422B21" w:rsidP="00422B21">
            <w:pPr>
              <w:spacing w:after="0" w:line="240" w:lineRule="auto"/>
              <w:jc w:val="center"/>
              <w:rPr>
                <w:rFonts w:cs="Arial"/>
                <w:color w:val="000000"/>
                <w:sz w:val="16"/>
                <w:szCs w:val="16"/>
              </w:rPr>
            </w:pPr>
            <w:r>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E14458A" w14:textId="41F13459" w:rsidR="00422B21" w:rsidRPr="00D92E20" w:rsidRDefault="00422B21" w:rsidP="00422B21">
            <w:pPr>
              <w:spacing w:after="0" w:line="240" w:lineRule="auto"/>
              <w:jc w:val="center"/>
              <w:rPr>
                <w:rFonts w:cs="Arial"/>
                <w:color w:val="000000"/>
                <w:sz w:val="16"/>
                <w:szCs w:val="16"/>
              </w:rPr>
            </w:pPr>
            <w:r>
              <w:rPr>
                <w:rFonts w:cs="Arial"/>
                <w:color w:val="000000"/>
                <w:sz w:val="16"/>
                <w:szCs w:val="16"/>
              </w:rPr>
              <w:t>6,3</w:t>
            </w:r>
          </w:p>
        </w:tc>
        <w:tc>
          <w:tcPr>
            <w:tcW w:w="680" w:type="dxa"/>
            <w:tcBorders>
              <w:top w:val="nil"/>
              <w:left w:val="nil"/>
              <w:bottom w:val="nil"/>
              <w:right w:val="nil"/>
            </w:tcBorders>
            <w:shd w:val="clear" w:color="auto" w:fill="auto"/>
            <w:noWrap/>
            <w:vAlign w:val="center"/>
            <w:hideMark/>
          </w:tcPr>
          <w:p w14:paraId="0ABC76F5" w14:textId="7CD8A984" w:rsidR="00422B21" w:rsidRPr="00D92E20" w:rsidRDefault="00422B21" w:rsidP="00422B21">
            <w:pPr>
              <w:spacing w:after="0" w:line="240" w:lineRule="auto"/>
              <w:jc w:val="center"/>
              <w:rPr>
                <w:rFonts w:cs="Arial"/>
                <w:color w:val="000000"/>
                <w:sz w:val="16"/>
                <w:szCs w:val="16"/>
              </w:rPr>
            </w:pPr>
            <w:r>
              <w:rPr>
                <w:rFonts w:cs="Arial"/>
                <w:color w:val="000000"/>
                <w:sz w:val="16"/>
                <w:szCs w:val="16"/>
              </w:rPr>
              <w:t>6,4</w:t>
            </w:r>
          </w:p>
        </w:tc>
      </w:tr>
      <w:tr w:rsidR="00422B21" w:rsidRPr="00D92E20" w14:paraId="4272B8F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6EBFB304"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0" w:type="dxa"/>
            <w:tcBorders>
              <w:top w:val="nil"/>
              <w:left w:val="nil"/>
              <w:bottom w:val="nil"/>
              <w:right w:val="nil"/>
            </w:tcBorders>
            <w:shd w:val="clear" w:color="auto" w:fill="auto"/>
            <w:noWrap/>
            <w:vAlign w:val="center"/>
            <w:hideMark/>
          </w:tcPr>
          <w:p w14:paraId="4B43847B" w14:textId="62F80705" w:rsidR="00422B21" w:rsidRPr="00D92E20" w:rsidRDefault="00422B21" w:rsidP="00422B21">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783E4F67" w14:textId="03BFB8A4" w:rsidR="00422B21" w:rsidRPr="00D92E20" w:rsidRDefault="00422B21" w:rsidP="00422B21">
            <w:pPr>
              <w:spacing w:after="0" w:line="240" w:lineRule="auto"/>
              <w:jc w:val="center"/>
              <w:rPr>
                <w:rFonts w:cs="Arial"/>
                <w:color w:val="000000"/>
                <w:sz w:val="16"/>
                <w:szCs w:val="16"/>
              </w:rPr>
            </w:pPr>
            <w:r>
              <w:rPr>
                <w:rFonts w:cs="Arial"/>
                <w:sz w:val="16"/>
                <w:szCs w:val="16"/>
              </w:rPr>
              <w:t>4,4</w:t>
            </w:r>
          </w:p>
        </w:tc>
        <w:tc>
          <w:tcPr>
            <w:tcW w:w="680" w:type="dxa"/>
            <w:tcBorders>
              <w:top w:val="nil"/>
              <w:left w:val="nil"/>
              <w:bottom w:val="nil"/>
              <w:right w:val="nil"/>
            </w:tcBorders>
            <w:shd w:val="clear" w:color="auto" w:fill="auto"/>
            <w:noWrap/>
            <w:vAlign w:val="center"/>
            <w:hideMark/>
          </w:tcPr>
          <w:p w14:paraId="097911C4" w14:textId="431BDDEC" w:rsidR="00422B21" w:rsidRPr="00D92E20" w:rsidRDefault="00422B21" w:rsidP="00422B21">
            <w:pPr>
              <w:spacing w:after="0" w:line="240" w:lineRule="auto"/>
              <w:jc w:val="center"/>
              <w:rPr>
                <w:rFonts w:cs="Arial"/>
                <w:color w:val="000000"/>
                <w:sz w:val="16"/>
                <w:szCs w:val="16"/>
              </w:rPr>
            </w:pPr>
            <w:r>
              <w:rPr>
                <w:rFonts w:cs="Arial"/>
                <w:sz w:val="16"/>
                <w:szCs w:val="16"/>
              </w:rPr>
              <w:t>4,9</w:t>
            </w:r>
          </w:p>
        </w:tc>
        <w:tc>
          <w:tcPr>
            <w:tcW w:w="680" w:type="dxa"/>
            <w:tcBorders>
              <w:top w:val="nil"/>
              <w:left w:val="nil"/>
              <w:bottom w:val="nil"/>
              <w:right w:val="nil"/>
            </w:tcBorders>
            <w:shd w:val="clear" w:color="auto" w:fill="auto"/>
            <w:noWrap/>
            <w:vAlign w:val="center"/>
            <w:hideMark/>
          </w:tcPr>
          <w:p w14:paraId="04AB3CB0" w14:textId="4C417D66" w:rsidR="00422B21" w:rsidRPr="00D92E20" w:rsidRDefault="00422B21" w:rsidP="00422B21">
            <w:pPr>
              <w:spacing w:after="0" w:line="240" w:lineRule="auto"/>
              <w:jc w:val="center"/>
              <w:rPr>
                <w:rFonts w:cs="Arial"/>
                <w:color w:val="000000"/>
                <w:sz w:val="16"/>
                <w:szCs w:val="16"/>
              </w:rPr>
            </w:pPr>
            <w:r>
              <w:rPr>
                <w:rFonts w:cs="Arial"/>
                <w:sz w:val="16"/>
                <w:szCs w:val="16"/>
              </w:rPr>
              <w:t>4,6</w:t>
            </w:r>
          </w:p>
        </w:tc>
        <w:tc>
          <w:tcPr>
            <w:tcW w:w="680" w:type="dxa"/>
            <w:tcBorders>
              <w:top w:val="nil"/>
              <w:left w:val="nil"/>
              <w:bottom w:val="nil"/>
              <w:right w:val="nil"/>
            </w:tcBorders>
            <w:shd w:val="clear" w:color="auto" w:fill="auto"/>
            <w:noWrap/>
            <w:vAlign w:val="center"/>
            <w:hideMark/>
          </w:tcPr>
          <w:p w14:paraId="3843CD0E" w14:textId="1D27A1DE" w:rsidR="00422B21" w:rsidRPr="00D92E20" w:rsidRDefault="00422B21" w:rsidP="00422B21">
            <w:pPr>
              <w:spacing w:after="0" w:line="240" w:lineRule="auto"/>
              <w:jc w:val="center"/>
              <w:rPr>
                <w:rFonts w:cs="Arial"/>
                <w:color w:val="000000"/>
                <w:sz w:val="16"/>
                <w:szCs w:val="16"/>
              </w:rPr>
            </w:pPr>
            <w:r>
              <w:rPr>
                <w:rFonts w:cs="Arial"/>
                <w:sz w:val="16"/>
                <w:szCs w:val="16"/>
              </w:rPr>
              <w:t>5,3</w:t>
            </w:r>
          </w:p>
        </w:tc>
        <w:tc>
          <w:tcPr>
            <w:tcW w:w="680" w:type="dxa"/>
            <w:tcBorders>
              <w:top w:val="nil"/>
              <w:left w:val="nil"/>
              <w:bottom w:val="nil"/>
              <w:right w:val="nil"/>
            </w:tcBorders>
            <w:shd w:val="clear" w:color="auto" w:fill="auto"/>
            <w:noWrap/>
            <w:vAlign w:val="center"/>
            <w:hideMark/>
          </w:tcPr>
          <w:p w14:paraId="1C1E76DE" w14:textId="127DDF13" w:rsidR="00422B21" w:rsidRPr="00D92E20" w:rsidRDefault="00422B21" w:rsidP="00422B21">
            <w:pPr>
              <w:spacing w:after="0" w:line="240" w:lineRule="auto"/>
              <w:jc w:val="center"/>
              <w:rPr>
                <w:rFonts w:cs="Arial"/>
                <w:color w:val="000000"/>
                <w:sz w:val="16"/>
                <w:szCs w:val="16"/>
              </w:rPr>
            </w:pPr>
            <w:r>
              <w:rPr>
                <w:rFonts w:cs="Arial"/>
                <w:sz w:val="16"/>
                <w:szCs w:val="16"/>
              </w:rPr>
              <w:t>5,5</w:t>
            </w:r>
          </w:p>
        </w:tc>
        <w:tc>
          <w:tcPr>
            <w:tcW w:w="680" w:type="dxa"/>
            <w:tcBorders>
              <w:top w:val="nil"/>
              <w:left w:val="nil"/>
              <w:bottom w:val="nil"/>
              <w:right w:val="nil"/>
            </w:tcBorders>
            <w:shd w:val="clear" w:color="auto" w:fill="auto"/>
            <w:noWrap/>
            <w:vAlign w:val="center"/>
            <w:hideMark/>
          </w:tcPr>
          <w:p w14:paraId="57C2E1E3" w14:textId="15A3A403" w:rsidR="00422B21" w:rsidRPr="00D92E20" w:rsidRDefault="00422B21" w:rsidP="00422B21">
            <w:pPr>
              <w:spacing w:after="0" w:line="240" w:lineRule="auto"/>
              <w:jc w:val="center"/>
              <w:rPr>
                <w:rFonts w:cs="Arial"/>
                <w:color w:val="000000"/>
                <w:sz w:val="16"/>
                <w:szCs w:val="16"/>
              </w:rPr>
            </w:pPr>
            <w:r>
              <w:rPr>
                <w:rFonts w:cs="Arial"/>
                <w:sz w:val="16"/>
                <w:szCs w:val="16"/>
              </w:rPr>
              <w:t>5,7</w:t>
            </w:r>
          </w:p>
        </w:tc>
        <w:tc>
          <w:tcPr>
            <w:tcW w:w="680" w:type="dxa"/>
            <w:tcBorders>
              <w:top w:val="nil"/>
              <w:left w:val="nil"/>
              <w:bottom w:val="nil"/>
              <w:right w:val="nil"/>
            </w:tcBorders>
            <w:shd w:val="clear" w:color="auto" w:fill="auto"/>
            <w:noWrap/>
            <w:vAlign w:val="center"/>
            <w:hideMark/>
          </w:tcPr>
          <w:p w14:paraId="6A60A6FE" w14:textId="0D2B6933" w:rsidR="00422B21" w:rsidRPr="00D92E20" w:rsidRDefault="00422B21" w:rsidP="00422B21">
            <w:pPr>
              <w:spacing w:after="0" w:line="240" w:lineRule="auto"/>
              <w:jc w:val="center"/>
              <w:rPr>
                <w:rFonts w:cs="Arial"/>
                <w:color w:val="000000"/>
                <w:sz w:val="16"/>
                <w:szCs w:val="16"/>
              </w:rPr>
            </w:pPr>
            <w:r>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18F33CD6" w14:textId="2F1E97ED" w:rsidR="00422B21" w:rsidRPr="00D92E20" w:rsidRDefault="00422B21" w:rsidP="00422B21">
            <w:pPr>
              <w:spacing w:after="0" w:line="240" w:lineRule="auto"/>
              <w:jc w:val="center"/>
              <w:rPr>
                <w:rFonts w:cs="Arial"/>
                <w:color w:val="000000"/>
                <w:sz w:val="16"/>
                <w:szCs w:val="16"/>
              </w:rPr>
            </w:pPr>
            <w:r>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46719A0F" w14:textId="671300BA" w:rsidR="00422B21" w:rsidRPr="00D92E20" w:rsidRDefault="00422B21" w:rsidP="00422B21">
            <w:pPr>
              <w:spacing w:after="0" w:line="240" w:lineRule="auto"/>
              <w:jc w:val="center"/>
              <w:rPr>
                <w:rFonts w:cs="Arial"/>
                <w:color w:val="000000"/>
                <w:sz w:val="16"/>
                <w:szCs w:val="16"/>
              </w:rPr>
            </w:pPr>
            <w:r>
              <w:rPr>
                <w:rFonts w:cs="Arial"/>
                <w:color w:val="000000"/>
                <w:sz w:val="16"/>
                <w:szCs w:val="16"/>
              </w:rPr>
              <w:t>7,1</w:t>
            </w:r>
          </w:p>
        </w:tc>
        <w:tc>
          <w:tcPr>
            <w:tcW w:w="680" w:type="dxa"/>
            <w:tcBorders>
              <w:top w:val="nil"/>
              <w:left w:val="nil"/>
              <w:bottom w:val="nil"/>
              <w:right w:val="nil"/>
            </w:tcBorders>
            <w:shd w:val="clear" w:color="auto" w:fill="auto"/>
            <w:noWrap/>
            <w:vAlign w:val="center"/>
            <w:hideMark/>
          </w:tcPr>
          <w:p w14:paraId="0F3013C2" w14:textId="7E59287D" w:rsidR="00422B21" w:rsidRPr="00D92E20" w:rsidRDefault="00422B21" w:rsidP="00422B21">
            <w:pPr>
              <w:spacing w:after="0" w:line="240" w:lineRule="auto"/>
              <w:jc w:val="center"/>
              <w:rPr>
                <w:rFonts w:cs="Arial"/>
                <w:color w:val="000000"/>
                <w:sz w:val="16"/>
                <w:szCs w:val="16"/>
              </w:rPr>
            </w:pPr>
            <w:r>
              <w:rPr>
                <w:rFonts w:cs="Arial"/>
                <w:color w:val="000000"/>
                <w:sz w:val="16"/>
                <w:szCs w:val="16"/>
              </w:rPr>
              <w:t>7,0</w:t>
            </w:r>
          </w:p>
        </w:tc>
      </w:tr>
      <w:tr w:rsidR="00422B21" w:rsidRPr="00D92E20" w14:paraId="10048B53"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62DC99F" w14:textId="77777777" w:rsidR="00422B21" w:rsidRPr="00D92E20" w:rsidRDefault="00422B21" w:rsidP="00422B21">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0" w:type="dxa"/>
            <w:tcBorders>
              <w:top w:val="nil"/>
              <w:left w:val="nil"/>
              <w:bottom w:val="nil"/>
              <w:right w:val="nil"/>
            </w:tcBorders>
            <w:shd w:val="clear" w:color="auto" w:fill="auto"/>
            <w:noWrap/>
            <w:vAlign w:val="center"/>
            <w:hideMark/>
          </w:tcPr>
          <w:p w14:paraId="659CAAF5" w14:textId="07522E1A"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46575CCF" w14:textId="25999605" w:rsidR="00422B21" w:rsidRPr="00D92E20" w:rsidRDefault="00422B21" w:rsidP="00422B21">
            <w:pPr>
              <w:spacing w:after="0" w:line="240" w:lineRule="auto"/>
              <w:jc w:val="center"/>
              <w:rPr>
                <w:rFonts w:cs="Arial"/>
                <w:color w:val="000000"/>
                <w:sz w:val="16"/>
                <w:szCs w:val="16"/>
              </w:rPr>
            </w:pPr>
            <w:r>
              <w:rPr>
                <w:rFonts w:cs="Arial"/>
                <w:sz w:val="16"/>
                <w:szCs w:val="16"/>
              </w:rPr>
              <w:t>4,3</w:t>
            </w:r>
          </w:p>
        </w:tc>
        <w:tc>
          <w:tcPr>
            <w:tcW w:w="680" w:type="dxa"/>
            <w:tcBorders>
              <w:top w:val="nil"/>
              <w:left w:val="nil"/>
              <w:bottom w:val="nil"/>
              <w:right w:val="nil"/>
            </w:tcBorders>
            <w:shd w:val="clear" w:color="auto" w:fill="auto"/>
            <w:noWrap/>
            <w:vAlign w:val="center"/>
            <w:hideMark/>
          </w:tcPr>
          <w:p w14:paraId="209048F1" w14:textId="42924E36" w:rsidR="00422B21" w:rsidRPr="00D92E20" w:rsidRDefault="00422B21" w:rsidP="00422B21">
            <w:pPr>
              <w:spacing w:after="0" w:line="240" w:lineRule="auto"/>
              <w:jc w:val="center"/>
              <w:rPr>
                <w:rFonts w:cs="Arial"/>
                <w:color w:val="000000"/>
                <w:sz w:val="16"/>
                <w:szCs w:val="16"/>
              </w:rPr>
            </w:pPr>
            <w:r>
              <w:rPr>
                <w:rFonts w:cs="Arial"/>
                <w:sz w:val="16"/>
                <w:szCs w:val="16"/>
              </w:rPr>
              <w:t>4,7</w:t>
            </w:r>
          </w:p>
        </w:tc>
        <w:tc>
          <w:tcPr>
            <w:tcW w:w="680" w:type="dxa"/>
            <w:tcBorders>
              <w:top w:val="nil"/>
              <w:left w:val="nil"/>
              <w:bottom w:val="nil"/>
              <w:right w:val="nil"/>
            </w:tcBorders>
            <w:shd w:val="clear" w:color="auto" w:fill="auto"/>
            <w:noWrap/>
            <w:vAlign w:val="center"/>
            <w:hideMark/>
          </w:tcPr>
          <w:p w14:paraId="5A4B13ED" w14:textId="05AABF90" w:rsidR="00422B21" w:rsidRPr="00D92E20" w:rsidRDefault="00422B21" w:rsidP="00422B21">
            <w:pPr>
              <w:spacing w:after="0" w:line="240" w:lineRule="auto"/>
              <w:jc w:val="center"/>
              <w:rPr>
                <w:rFonts w:cs="Arial"/>
                <w:color w:val="000000"/>
                <w:sz w:val="16"/>
                <w:szCs w:val="16"/>
              </w:rPr>
            </w:pPr>
            <w:r>
              <w:rPr>
                <w:rFonts w:cs="Arial"/>
                <w:sz w:val="16"/>
                <w:szCs w:val="16"/>
              </w:rPr>
              <w:t>4,5</w:t>
            </w:r>
          </w:p>
        </w:tc>
        <w:tc>
          <w:tcPr>
            <w:tcW w:w="680" w:type="dxa"/>
            <w:tcBorders>
              <w:top w:val="nil"/>
              <w:left w:val="nil"/>
              <w:bottom w:val="nil"/>
              <w:right w:val="nil"/>
            </w:tcBorders>
            <w:shd w:val="clear" w:color="auto" w:fill="auto"/>
            <w:noWrap/>
            <w:vAlign w:val="center"/>
            <w:hideMark/>
          </w:tcPr>
          <w:p w14:paraId="0D4844CA" w14:textId="0FAC3685" w:rsidR="00422B21" w:rsidRPr="00D92E20" w:rsidRDefault="00422B21" w:rsidP="00422B21">
            <w:pPr>
              <w:spacing w:after="0" w:line="240" w:lineRule="auto"/>
              <w:jc w:val="center"/>
              <w:rPr>
                <w:rFonts w:cs="Arial"/>
                <w:color w:val="000000"/>
                <w:sz w:val="16"/>
                <w:szCs w:val="16"/>
              </w:rPr>
            </w:pPr>
            <w:r>
              <w:rPr>
                <w:rFonts w:cs="Arial"/>
                <w:sz w:val="16"/>
                <w:szCs w:val="16"/>
              </w:rPr>
              <w:t>5,1</w:t>
            </w:r>
          </w:p>
        </w:tc>
        <w:tc>
          <w:tcPr>
            <w:tcW w:w="680" w:type="dxa"/>
            <w:tcBorders>
              <w:top w:val="nil"/>
              <w:left w:val="nil"/>
              <w:bottom w:val="nil"/>
              <w:right w:val="nil"/>
            </w:tcBorders>
            <w:shd w:val="clear" w:color="auto" w:fill="auto"/>
            <w:noWrap/>
            <w:vAlign w:val="center"/>
            <w:hideMark/>
          </w:tcPr>
          <w:p w14:paraId="2883BD1F" w14:textId="086BFD9A" w:rsidR="00422B21" w:rsidRPr="00D92E20" w:rsidRDefault="00422B21" w:rsidP="00422B21">
            <w:pPr>
              <w:spacing w:after="0" w:line="240" w:lineRule="auto"/>
              <w:jc w:val="center"/>
              <w:rPr>
                <w:rFonts w:cs="Arial"/>
                <w:color w:val="000000"/>
                <w:sz w:val="16"/>
                <w:szCs w:val="16"/>
              </w:rPr>
            </w:pPr>
            <w:r>
              <w:rPr>
                <w:rFonts w:cs="Arial"/>
                <w:sz w:val="16"/>
                <w:szCs w:val="16"/>
              </w:rPr>
              <w:t>5,4</w:t>
            </w:r>
          </w:p>
        </w:tc>
        <w:tc>
          <w:tcPr>
            <w:tcW w:w="680" w:type="dxa"/>
            <w:tcBorders>
              <w:top w:val="nil"/>
              <w:left w:val="nil"/>
              <w:bottom w:val="nil"/>
              <w:right w:val="nil"/>
            </w:tcBorders>
            <w:shd w:val="clear" w:color="auto" w:fill="auto"/>
            <w:noWrap/>
            <w:vAlign w:val="center"/>
            <w:hideMark/>
          </w:tcPr>
          <w:p w14:paraId="60FB0987" w14:textId="60B76B37" w:rsidR="00422B21" w:rsidRPr="00D92E20" w:rsidRDefault="00422B21" w:rsidP="00422B21">
            <w:pPr>
              <w:spacing w:after="0" w:line="240" w:lineRule="auto"/>
              <w:jc w:val="center"/>
              <w:rPr>
                <w:rFonts w:cs="Arial"/>
                <w:color w:val="000000"/>
                <w:sz w:val="16"/>
                <w:szCs w:val="16"/>
              </w:rPr>
            </w:pPr>
            <w:r>
              <w:rPr>
                <w:rFonts w:cs="Arial"/>
                <w:sz w:val="16"/>
                <w:szCs w:val="16"/>
              </w:rPr>
              <w:t>5,6</w:t>
            </w:r>
          </w:p>
        </w:tc>
        <w:tc>
          <w:tcPr>
            <w:tcW w:w="680" w:type="dxa"/>
            <w:tcBorders>
              <w:top w:val="nil"/>
              <w:left w:val="nil"/>
              <w:bottom w:val="nil"/>
              <w:right w:val="nil"/>
            </w:tcBorders>
            <w:shd w:val="clear" w:color="auto" w:fill="auto"/>
            <w:noWrap/>
            <w:vAlign w:val="center"/>
            <w:hideMark/>
          </w:tcPr>
          <w:p w14:paraId="19A973E3" w14:textId="43C2D6A2" w:rsidR="00422B21" w:rsidRPr="00D92E20" w:rsidRDefault="00422B21" w:rsidP="00422B21">
            <w:pPr>
              <w:spacing w:after="0" w:line="240" w:lineRule="auto"/>
              <w:jc w:val="center"/>
              <w:rPr>
                <w:rFonts w:cs="Arial"/>
                <w:color w:val="000000"/>
                <w:sz w:val="16"/>
                <w:szCs w:val="16"/>
              </w:rPr>
            </w:pPr>
            <w:r>
              <w:rPr>
                <w:rFonts w:cs="Arial"/>
                <w:color w:val="000000"/>
                <w:sz w:val="16"/>
                <w:szCs w:val="16"/>
              </w:rPr>
              <w:t>5,7</w:t>
            </w:r>
          </w:p>
        </w:tc>
        <w:tc>
          <w:tcPr>
            <w:tcW w:w="680" w:type="dxa"/>
            <w:tcBorders>
              <w:top w:val="nil"/>
              <w:left w:val="nil"/>
              <w:bottom w:val="nil"/>
              <w:right w:val="nil"/>
            </w:tcBorders>
            <w:shd w:val="clear" w:color="auto" w:fill="auto"/>
            <w:noWrap/>
            <w:vAlign w:val="center"/>
            <w:hideMark/>
          </w:tcPr>
          <w:p w14:paraId="14CF77E6" w14:textId="2E0618E0" w:rsidR="00422B21" w:rsidRPr="00D92E20" w:rsidRDefault="00422B21" w:rsidP="00422B21">
            <w:pPr>
              <w:spacing w:after="0" w:line="240" w:lineRule="auto"/>
              <w:jc w:val="center"/>
              <w:rPr>
                <w:rFonts w:cs="Arial"/>
                <w:color w:val="000000"/>
                <w:sz w:val="16"/>
                <w:szCs w:val="16"/>
              </w:rPr>
            </w:pPr>
            <w:r>
              <w:rPr>
                <w:rFonts w:cs="Arial"/>
                <w:color w:val="000000"/>
                <w:sz w:val="16"/>
                <w:szCs w:val="16"/>
              </w:rPr>
              <w:t>6,0</w:t>
            </w:r>
          </w:p>
        </w:tc>
        <w:tc>
          <w:tcPr>
            <w:tcW w:w="680" w:type="dxa"/>
            <w:tcBorders>
              <w:top w:val="nil"/>
              <w:left w:val="nil"/>
              <w:bottom w:val="nil"/>
              <w:right w:val="nil"/>
            </w:tcBorders>
            <w:shd w:val="clear" w:color="auto" w:fill="auto"/>
            <w:noWrap/>
            <w:vAlign w:val="center"/>
            <w:hideMark/>
          </w:tcPr>
          <w:p w14:paraId="76378160" w14:textId="657DB2E1" w:rsidR="00422B21" w:rsidRPr="00D92E20" w:rsidRDefault="00422B21" w:rsidP="00422B21">
            <w:pPr>
              <w:spacing w:after="0" w:line="240" w:lineRule="auto"/>
              <w:jc w:val="center"/>
              <w:rPr>
                <w:rFonts w:cs="Arial"/>
                <w:color w:val="000000"/>
                <w:sz w:val="16"/>
                <w:szCs w:val="16"/>
              </w:rPr>
            </w:pPr>
            <w:r>
              <w:rPr>
                <w:rFonts w:cs="Arial"/>
                <w:color w:val="000000"/>
                <w:sz w:val="16"/>
                <w:szCs w:val="16"/>
              </w:rPr>
              <w:t>7,2</w:t>
            </w:r>
          </w:p>
        </w:tc>
        <w:tc>
          <w:tcPr>
            <w:tcW w:w="680" w:type="dxa"/>
            <w:tcBorders>
              <w:top w:val="nil"/>
              <w:left w:val="nil"/>
              <w:bottom w:val="nil"/>
              <w:right w:val="nil"/>
            </w:tcBorders>
            <w:shd w:val="clear" w:color="auto" w:fill="auto"/>
            <w:noWrap/>
            <w:vAlign w:val="center"/>
            <w:hideMark/>
          </w:tcPr>
          <w:p w14:paraId="4A6B4360" w14:textId="32DBBE54" w:rsidR="00422B21" w:rsidRPr="00D92E20" w:rsidRDefault="00422B21" w:rsidP="00422B21">
            <w:pPr>
              <w:spacing w:after="0" w:line="240" w:lineRule="auto"/>
              <w:jc w:val="center"/>
              <w:rPr>
                <w:rFonts w:cs="Arial"/>
                <w:color w:val="000000"/>
                <w:sz w:val="16"/>
                <w:szCs w:val="16"/>
              </w:rPr>
            </w:pPr>
            <w:r>
              <w:rPr>
                <w:rFonts w:cs="Arial"/>
                <w:color w:val="000000"/>
                <w:sz w:val="16"/>
                <w:szCs w:val="16"/>
              </w:rPr>
              <w:t>7,4</w:t>
            </w:r>
          </w:p>
        </w:tc>
      </w:tr>
    </w:tbl>
    <w:p w14:paraId="1961B3A4" w14:textId="77777777" w:rsidR="004D1BAD" w:rsidRPr="00D92E20" w:rsidRDefault="004D1BAD" w:rsidP="00000A90">
      <w:pPr>
        <w:spacing w:before="60" w:after="120"/>
        <w:rPr>
          <w:sz w:val="16"/>
        </w:rPr>
      </w:pPr>
      <w:r w:rsidRPr="00D92E20">
        <w:rPr>
          <w:sz w:val="16"/>
        </w:rPr>
        <w:t>Zdroj: ČSÚ</w:t>
      </w:r>
    </w:p>
    <w:p w14:paraId="54354ECD" w14:textId="7707F1CF" w:rsidR="004D1BAD" w:rsidRPr="0075396C" w:rsidRDefault="004D1BAD" w:rsidP="00000A90">
      <w:pPr>
        <w:spacing w:before="120" w:after="120"/>
        <w:jc w:val="both"/>
      </w:pPr>
      <w:r w:rsidRPr="0075396C">
        <w:t xml:space="preserve">Obdobný ukazatel jako průměrné procento dočasné pracovní neschopnosti, avšak v absolutním vyjádření představuje </w:t>
      </w:r>
      <w:r w:rsidRPr="0075396C">
        <w:rPr>
          <w:b/>
        </w:rPr>
        <w:t>průměrný denní stav dočasně práce neschopných</w:t>
      </w:r>
      <w:r w:rsidRPr="0075396C">
        <w:t xml:space="preserve">. Říká, kolik nemocensky pojištěných bylo ve sledovaném období </w:t>
      </w:r>
      <w:r w:rsidR="0075396C" w:rsidRPr="0075396C">
        <w:t xml:space="preserve">(zde 1. pololetí) </w:t>
      </w:r>
      <w:r w:rsidRPr="0075396C">
        <w:t>v průměru denně nepřítomno v práci z důvodu prac</w:t>
      </w:r>
      <w:r w:rsidR="00350B58">
        <w:t>ovní neschopnosti</w:t>
      </w:r>
      <w:r w:rsidRPr="0075396C">
        <w:t>.</w:t>
      </w:r>
    </w:p>
    <w:p w14:paraId="1C1CFF78" w14:textId="6B186110" w:rsidR="004D1BAD" w:rsidRPr="0075396C" w:rsidRDefault="004D1BAD" w:rsidP="00000A90">
      <w:pPr>
        <w:spacing w:before="120" w:after="120"/>
        <w:jc w:val="both"/>
      </w:pPr>
      <w:r w:rsidRPr="0075396C">
        <w:rPr>
          <w:rFonts w:cs="Arial"/>
          <w:color w:val="000000"/>
          <w:szCs w:val="16"/>
        </w:rPr>
        <w:t>V</w:t>
      </w:r>
      <w:r w:rsidR="00422B21" w:rsidRPr="0075396C">
        <w:rPr>
          <w:rFonts w:cs="Arial"/>
          <w:color w:val="000000"/>
          <w:szCs w:val="16"/>
        </w:rPr>
        <w:t> 1. pol. 2021</w:t>
      </w:r>
      <w:r w:rsidRPr="0075396C">
        <w:rPr>
          <w:rFonts w:cs="Arial"/>
          <w:color w:val="000000"/>
          <w:szCs w:val="16"/>
        </w:rPr>
        <w:t xml:space="preserve"> kvůli dočasné pracovní neschopnosti způsobené nemocí či úrazem </w:t>
      </w:r>
      <w:r w:rsidR="00422B21" w:rsidRPr="0075396C">
        <w:rPr>
          <w:rFonts w:cs="Arial"/>
          <w:color w:val="000000"/>
          <w:szCs w:val="16"/>
        </w:rPr>
        <w:t>denně chybělo na</w:t>
      </w:r>
      <w:r w:rsidR="00CD63E8">
        <w:rPr>
          <w:rFonts w:cs="Arial"/>
          <w:color w:val="000000"/>
          <w:szCs w:val="16"/>
        </w:rPr>
        <w:t> </w:t>
      </w:r>
      <w:r w:rsidR="00422B21" w:rsidRPr="0075396C">
        <w:rPr>
          <w:rFonts w:cs="Arial"/>
          <w:color w:val="000000"/>
          <w:szCs w:val="16"/>
        </w:rPr>
        <w:t>pracovištích 2</w:t>
      </w:r>
      <w:r w:rsidR="00CD287A" w:rsidRPr="0075396C">
        <w:rPr>
          <w:rFonts w:cs="Arial"/>
          <w:color w:val="000000"/>
          <w:szCs w:val="16"/>
        </w:rPr>
        <w:t>8</w:t>
      </w:r>
      <w:r w:rsidR="0075396C">
        <w:rPr>
          <w:rFonts w:cs="Arial"/>
          <w:color w:val="000000"/>
          <w:szCs w:val="16"/>
        </w:rPr>
        <w:t>0</w:t>
      </w:r>
      <w:r w:rsidRPr="0075396C">
        <w:rPr>
          <w:rFonts w:cs="Arial"/>
          <w:color w:val="000000"/>
          <w:szCs w:val="16"/>
        </w:rPr>
        <w:t xml:space="preserve"> </w:t>
      </w:r>
      <w:r w:rsidR="0075396C" w:rsidRPr="0075396C">
        <w:rPr>
          <w:rFonts w:cs="Arial"/>
          <w:color w:val="000000"/>
          <w:szCs w:val="16"/>
        </w:rPr>
        <w:t>973</w:t>
      </w:r>
      <w:r w:rsidRPr="0075396C">
        <w:rPr>
          <w:rFonts w:cs="Arial"/>
          <w:color w:val="000000"/>
          <w:szCs w:val="16"/>
        </w:rPr>
        <w:t xml:space="preserve"> nemocensky pojištěných osob. Oproti </w:t>
      </w:r>
      <w:r w:rsidR="00422B21" w:rsidRPr="0075396C">
        <w:rPr>
          <w:rFonts w:cs="Arial"/>
          <w:color w:val="000000"/>
          <w:szCs w:val="16"/>
        </w:rPr>
        <w:t>1. pol. 2020</w:t>
      </w:r>
      <w:r w:rsidRPr="0075396C">
        <w:rPr>
          <w:rFonts w:cs="Arial"/>
          <w:color w:val="000000"/>
          <w:szCs w:val="16"/>
        </w:rPr>
        <w:t xml:space="preserve">, kdy hodnota činila </w:t>
      </w:r>
      <w:r w:rsidR="0075396C" w:rsidRPr="0075396C">
        <w:rPr>
          <w:rFonts w:cs="Arial"/>
          <w:color w:val="000000"/>
          <w:szCs w:val="16"/>
        </w:rPr>
        <w:t>260</w:t>
      </w:r>
      <w:r w:rsidR="00CD63E8">
        <w:rPr>
          <w:rFonts w:cs="Arial"/>
          <w:color w:val="000000"/>
          <w:szCs w:val="16"/>
        </w:rPr>
        <w:t> </w:t>
      </w:r>
      <w:r w:rsidR="0075396C" w:rsidRPr="0075396C">
        <w:rPr>
          <w:rFonts w:cs="Arial"/>
          <w:color w:val="000000"/>
          <w:szCs w:val="16"/>
        </w:rPr>
        <w:t>451</w:t>
      </w:r>
      <w:r w:rsidRPr="0075396C">
        <w:rPr>
          <w:rFonts w:cs="Arial"/>
          <w:color w:val="000000"/>
          <w:szCs w:val="16"/>
        </w:rPr>
        <w:t xml:space="preserve"> pojištěnců, se jedná o </w:t>
      </w:r>
      <w:r w:rsidR="0075396C" w:rsidRPr="0075396C">
        <w:rPr>
          <w:rFonts w:cs="Arial"/>
          <w:color w:val="000000"/>
          <w:szCs w:val="16"/>
        </w:rPr>
        <w:t>8</w:t>
      </w:r>
      <w:r w:rsidRPr="0075396C">
        <w:rPr>
          <w:rFonts w:cs="Arial"/>
          <w:color w:val="000000"/>
          <w:szCs w:val="16"/>
        </w:rPr>
        <w:t xml:space="preserve">% nárůst (o </w:t>
      </w:r>
      <w:r w:rsidR="0075396C" w:rsidRPr="0075396C">
        <w:rPr>
          <w:rFonts w:cs="Arial"/>
          <w:color w:val="000000"/>
          <w:szCs w:val="16"/>
        </w:rPr>
        <w:t>21</w:t>
      </w:r>
      <w:r w:rsidRPr="0075396C">
        <w:rPr>
          <w:rFonts w:cs="Arial"/>
          <w:color w:val="000000"/>
          <w:szCs w:val="16"/>
        </w:rPr>
        <w:t xml:space="preserve"> tis. více). Ve srovnání s</w:t>
      </w:r>
      <w:r w:rsidR="0075396C" w:rsidRPr="0075396C">
        <w:rPr>
          <w:rFonts w:cs="Arial"/>
          <w:color w:val="000000"/>
          <w:szCs w:val="16"/>
        </w:rPr>
        <w:t> 1. pol. 2011</w:t>
      </w:r>
      <w:r w:rsidRPr="0075396C">
        <w:rPr>
          <w:rFonts w:cs="Arial"/>
          <w:color w:val="000000"/>
          <w:szCs w:val="16"/>
        </w:rPr>
        <w:t xml:space="preserve"> přibylo </w:t>
      </w:r>
      <w:r w:rsidR="0075396C" w:rsidRPr="0075396C">
        <w:rPr>
          <w:rFonts w:cs="Arial"/>
          <w:color w:val="000000"/>
          <w:szCs w:val="16"/>
        </w:rPr>
        <w:t>113</w:t>
      </w:r>
      <w:r w:rsidRPr="0075396C">
        <w:rPr>
          <w:rFonts w:cs="Arial"/>
          <w:color w:val="000000"/>
          <w:szCs w:val="16"/>
        </w:rPr>
        <w:t xml:space="preserve"> tis. (tj. </w:t>
      </w:r>
      <w:r w:rsidR="0075396C" w:rsidRPr="0075396C">
        <w:rPr>
          <w:rFonts w:cs="Arial"/>
          <w:color w:val="000000"/>
          <w:szCs w:val="16"/>
        </w:rPr>
        <w:t>67</w:t>
      </w:r>
      <w:r w:rsidRPr="0075396C">
        <w:rPr>
          <w:rFonts w:cs="Arial"/>
          <w:color w:val="000000"/>
          <w:szCs w:val="16"/>
        </w:rPr>
        <w:t xml:space="preserve"> %) dočasně práce neschopných denně. Na </w:t>
      </w:r>
      <w:r w:rsidR="00216AD5" w:rsidRPr="0075396C">
        <w:rPr>
          <w:rFonts w:cs="Arial"/>
          <w:color w:val="000000"/>
          <w:szCs w:val="16"/>
        </w:rPr>
        <w:t xml:space="preserve">tomto </w:t>
      </w:r>
      <w:r w:rsidRPr="0075396C">
        <w:rPr>
          <w:rFonts w:cs="Arial"/>
          <w:color w:val="000000"/>
          <w:szCs w:val="16"/>
        </w:rPr>
        <w:t>nárůstu se podílely především ne</w:t>
      </w:r>
      <w:r w:rsidR="00537BCC" w:rsidRPr="0075396C">
        <w:rPr>
          <w:rFonts w:cs="Arial"/>
          <w:color w:val="000000"/>
          <w:szCs w:val="16"/>
        </w:rPr>
        <w:t>schopenky zapříčiněné nemocí (+</w:t>
      </w:r>
      <w:r w:rsidR="0075396C" w:rsidRPr="0075396C">
        <w:rPr>
          <w:rFonts w:cs="Arial"/>
          <w:color w:val="000000"/>
          <w:szCs w:val="16"/>
        </w:rPr>
        <w:t>102</w:t>
      </w:r>
      <w:r w:rsidRPr="0075396C">
        <w:rPr>
          <w:rFonts w:cs="Arial"/>
          <w:color w:val="000000"/>
          <w:szCs w:val="16"/>
        </w:rPr>
        <w:t xml:space="preserve"> tis.), </w:t>
      </w:r>
      <w:r w:rsidR="0075396C" w:rsidRPr="0075396C">
        <w:rPr>
          <w:rFonts w:cs="Arial"/>
          <w:color w:val="000000"/>
          <w:szCs w:val="16"/>
        </w:rPr>
        <w:t xml:space="preserve">téměř </w:t>
      </w:r>
      <w:r w:rsidR="00216AD5" w:rsidRPr="0075396C">
        <w:rPr>
          <w:rFonts w:cs="Arial"/>
          <w:color w:val="000000"/>
          <w:szCs w:val="16"/>
        </w:rPr>
        <w:t>jednou tolik</w:t>
      </w:r>
      <w:r w:rsidRPr="0075396C">
        <w:rPr>
          <w:rFonts w:cs="Arial"/>
          <w:color w:val="000000"/>
          <w:szCs w:val="16"/>
        </w:rPr>
        <w:t xml:space="preserve"> však vzrostl i </w:t>
      </w:r>
      <w:r w:rsidR="00600B22">
        <w:rPr>
          <w:rFonts w:cs="Arial"/>
          <w:color w:val="000000"/>
          <w:szCs w:val="16"/>
        </w:rPr>
        <w:t xml:space="preserve">denní </w:t>
      </w:r>
      <w:r w:rsidRPr="0075396C">
        <w:rPr>
          <w:rFonts w:cs="Arial"/>
          <w:color w:val="000000"/>
          <w:szCs w:val="16"/>
        </w:rPr>
        <w:t>počet osob s mimopracovními úrazy (+</w:t>
      </w:r>
      <w:r w:rsidR="0075396C" w:rsidRPr="0075396C">
        <w:rPr>
          <w:rFonts w:cs="Arial"/>
          <w:color w:val="000000"/>
          <w:szCs w:val="16"/>
        </w:rPr>
        <w:t>11</w:t>
      </w:r>
      <w:r w:rsidRPr="0075396C">
        <w:rPr>
          <w:rFonts w:cs="Arial"/>
          <w:color w:val="000000"/>
          <w:szCs w:val="16"/>
        </w:rPr>
        <w:t xml:space="preserve"> tis.). </w:t>
      </w:r>
      <w:r w:rsidRPr="0075396C">
        <w:t xml:space="preserve">Vývoj hodnot ukazatele průměrný denní stav dočasně práce neschopných v posledních deseti letech je zřejmý z tabulky 2.10. </w:t>
      </w:r>
    </w:p>
    <w:p w14:paraId="3EB7D3E7" w14:textId="0E7A206C" w:rsidR="004D1BAD" w:rsidRPr="00D92E20" w:rsidRDefault="00537BCC" w:rsidP="00000A90">
      <w:pPr>
        <w:spacing w:after="0"/>
        <w:jc w:val="both"/>
        <w:rPr>
          <w:b/>
        </w:rPr>
      </w:pPr>
      <w:r w:rsidRPr="00D92E20">
        <w:rPr>
          <w:b/>
        </w:rPr>
        <w:t>Tab. 2.10: Průměrný denní stav dočasně práce neschopných</w:t>
      </w:r>
      <w:r w:rsidR="00330CDD" w:rsidRPr="00D92E20">
        <w:rPr>
          <w:b/>
        </w:rPr>
        <w:t xml:space="preserve"> podle příčiny a pohlaví</w:t>
      </w:r>
      <w:r w:rsidRPr="00D92E20">
        <w:rPr>
          <w:b/>
        </w:rPr>
        <w:t xml:space="preserve">, </w:t>
      </w:r>
      <w:r w:rsidR="00422B21">
        <w:rPr>
          <w:b/>
        </w:rPr>
        <w:br/>
      </w:r>
      <w:r w:rsidR="00422B21" w:rsidRPr="00422B21">
        <w:rPr>
          <w:b/>
        </w:rPr>
        <w:t xml:space="preserve">1. pol. 2011–1. pol. 2021 </w:t>
      </w:r>
      <w:r w:rsidRPr="00D92E20">
        <w:rPr>
          <w:b/>
        </w:rPr>
        <w:t>(v tis.)</w:t>
      </w:r>
    </w:p>
    <w:tbl>
      <w:tblPr>
        <w:tblW w:w="9542" w:type="dxa"/>
        <w:tblCellMar>
          <w:left w:w="70" w:type="dxa"/>
          <w:right w:w="70" w:type="dxa"/>
        </w:tblCellMar>
        <w:tblLook w:val="04A0" w:firstRow="1" w:lastRow="0" w:firstColumn="1" w:lastColumn="0" w:noHBand="0" w:noVBand="1"/>
      </w:tblPr>
      <w:tblGrid>
        <w:gridCol w:w="1009"/>
        <w:gridCol w:w="710"/>
        <w:gridCol w:w="703"/>
        <w:gridCol w:w="705"/>
        <w:gridCol w:w="707"/>
        <w:gridCol w:w="704"/>
        <w:gridCol w:w="705"/>
        <w:gridCol w:w="754"/>
        <w:gridCol w:w="709"/>
        <w:gridCol w:w="709"/>
        <w:gridCol w:w="709"/>
        <w:gridCol w:w="709"/>
        <w:gridCol w:w="709"/>
      </w:tblGrid>
      <w:tr w:rsidR="00422B21" w:rsidRPr="00D92E20" w14:paraId="5790EBFE" w14:textId="77777777" w:rsidTr="00350B58">
        <w:trPr>
          <w:trHeight w:val="296"/>
        </w:trPr>
        <w:tc>
          <w:tcPr>
            <w:tcW w:w="1009" w:type="dxa"/>
            <w:vMerge w:val="restart"/>
            <w:tcBorders>
              <w:top w:val="single" w:sz="4" w:space="0" w:color="auto"/>
              <w:left w:val="nil"/>
              <w:bottom w:val="single" w:sz="4" w:space="0" w:color="000000"/>
              <w:right w:val="nil"/>
            </w:tcBorders>
            <w:shd w:val="clear" w:color="000000" w:fill="F5DADD"/>
            <w:vAlign w:val="center"/>
            <w:hideMark/>
          </w:tcPr>
          <w:p w14:paraId="2D4913D2" w14:textId="62A10010" w:rsidR="00422B21" w:rsidRPr="00D92E20" w:rsidRDefault="00422B21" w:rsidP="00422B21">
            <w:pPr>
              <w:spacing w:after="0" w:line="240" w:lineRule="auto"/>
              <w:jc w:val="center"/>
              <w:rPr>
                <w:rFonts w:cs="Arial"/>
                <w:color w:val="000000"/>
                <w:sz w:val="16"/>
                <w:szCs w:val="16"/>
              </w:rPr>
            </w:pPr>
            <w:r>
              <w:rPr>
                <w:rFonts w:cs="Arial"/>
                <w:sz w:val="16"/>
                <w:szCs w:val="16"/>
              </w:rPr>
              <w:t>Období</w:t>
            </w:r>
          </w:p>
        </w:tc>
        <w:tc>
          <w:tcPr>
            <w:tcW w:w="710"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678A1D07" w14:textId="77777777" w:rsidR="00422B21" w:rsidRPr="00D92E20" w:rsidRDefault="00422B21" w:rsidP="00422B21">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888892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7" w:type="dxa"/>
            <w:vMerge w:val="restart"/>
            <w:tcBorders>
              <w:top w:val="single" w:sz="4" w:space="0" w:color="auto"/>
              <w:left w:val="nil"/>
              <w:right w:val="nil"/>
            </w:tcBorders>
            <w:shd w:val="clear" w:color="000000" w:fill="F2DBDB"/>
            <w:vAlign w:val="center"/>
            <w:hideMark/>
          </w:tcPr>
          <w:p w14:paraId="6902A7C8"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nemoc</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5EBA53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5C2DBE44"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pracovní úrazy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1E912A3"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c>
          <w:tcPr>
            <w:tcW w:w="709" w:type="dxa"/>
            <w:vMerge w:val="restart"/>
            <w:tcBorders>
              <w:top w:val="single" w:sz="4" w:space="0" w:color="auto"/>
              <w:left w:val="nil"/>
              <w:right w:val="nil"/>
            </w:tcBorders>
            <w:shd w:val="clear" w:color="000000" w:fill="F2DBDB"/>
            <w:vAlign w:val="center"/>
            <w:hideMark/>
          </w:tcPr>
          <w:p w14:paraId="457CF28C"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Pro ostatní úrazy</w:t>
            </w:r>
          </w:p>
        </w:tc>
        <w:tc>
          <w:tcPr>
            <w:tcW w:w="1418" w:type="dxa"/>
            <w:gridSpan w:val="2"/>
            <w:tcBorders>
              <w:top w:val="single" w:sz="4" w:space="0" w:color="auto"/>
              <w:left w:val="single" w:sz="4" w:space="0" w:color="auto"/>
              <w:bottom w:val="single" w:sz="4" w:space="0" w:color="auto"/>
            </w:tcBorders>
            <w:shd w:val="clear" w:color="000000" w:fill="F2DBDB"/>
            <w:vAlign w:val="center"/>
            <w:hideMark/>
          </w:tcPr>
          <w:p w14:paraId="6571BDF2"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podle pohlaví</w:t>
            </w:r>
          </w:p>
        </w:tc>
      </w:tr>
      <w:tr w:rsidR="00422B21" w:rsidRPr="00D92E20" w14:paraId="617A51DF" w14:textId="77777777" w:rsidTr="00350B58">
        <w:trPr>
          <w:trHeight w:val="385"/>
        </w:trPr>
        <w:tc>
          <w:tcPr>
            <w:tcW w:w="1009" w:type="dxa"/>
            <w:vMerge/>
            <w:tcBorders>
              <w:top w:val="single" w:sz="4" w:space="0" w:color="auto"/>
              <w:left w:val="nil"/>
              <w:bottom w:val="single" w:sz="4" w:space="0" w:color="000000"/>
              <w:right w:val="nil"/>
            </w:tcBorders>
            <w:vAlign w:val="center"/>
            <w:hideMark/>
          </w:tcPr>
          <w:p w14:paraId="6DBA4B82" w14:textId="77777777" w:rsidR="00422B21" w:rsidRPr="00D92E20" w:rsidRDefault="00422B21" w:rsidP="00422B21">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000000"/>
              <w:right w:val="nil"/>
            </w:tcBorders>
            <w:vAlign w:val="center"/>
            <w:hideMark/>
          </w:tcPr>
          <w:p w14:paraId="1EEFAB12" w14:textId="77777777" w:rsidR="00422B21" w:rsidRPr="00D92E20" w:rsidRDefault="00422B21" w:rsidP="00422B21">
            <w:pPr>
              <w:spacing w:after="0" w:line="240" w:lineRule="auto"/>
              <w:rPr>
                <w:rFonts w:cs="Arial"/>
                <w:b/>
                <w:bCs/>
                <w:color w:val="000000"/>
                <w:sz w:val="16"/>
                <w:szCs w:val="16"/>
              </w:rPr>
            </w:pPr>
          </w:p>
        </w:tc>
        <w:tc>
          <w:tcPr>
            <w:tcW w:w="703" w:type="dxa"/>
            <w:tcBorders>
              <w:top w:val="nil"/>
              <w:left w:val="single" w:sz="4" w:space="0" w:color="auto"/>
              <w:bottom w:val="single" w:sz="4" w:space="0" w:color="auto"/>
              <w:right w:val="single" w:sz="4" w:space="0" w:color="auto"/>
            </w:tcBorders>
            <w:shd w:val="clear" w:color="000000" w:fill="F2DBDB"/>
            <w:vAlign w:val="center"/>
            <w:hideMark/>
          </w:tcPr>
          <w:p w14:paraId="6B829A4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0C661766"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7" w:type="dxa"/>
            <w:vMerge/>
            <w:tcBorders>
              <w:left w:val="nil"/>
              <w:bottom w:val="single" w:sz="4" w:space="0" w:color="000000"/>
              <w:right w:val="nil"/>
            </w:tcBorders>
            <w:vAlign w:val="center"/>
            <w:hideMark/>
          </w:tcPr>
          <w:p w14:paraId="439C6A1D" w14:textId="77777777" w:rsidR="00422B21" w:rsidRPr="00D92E20" w:rsidRDefault="00422B21" w:rsidP="00422B21">
            <w:pPr>
              <w:spacing w:after="0" w:line="240" w:lineRule="auto"/>
              <w:rPr>
                <w:rFonts w:cs="Arial"/>
                <w:color w:val="000000"/>
                <w:sz w:val="16"/>
                <w:szCs w:val="16"/>
              </w:rPr>
            </w:pPr>
          </w:p>
        </w:tc>
        <w:tc>
          <w:tcPr>
            <w:tcW w:w="704" w:type="dxa"/>
            <w:tcBorders>
              <w:top w:val="nil"/>
              <w:left w:val="single" w:sz="4" w:space="0" w:color="auto"/>
              <w:bottom w:val="single" w:sz="4" w:space="0" w:color="auto"/>
              <w:right w:val="single" w:sz="4" w:space="0" w:color="auto"/>
            </w:tcBorders>
            <w:shd w:val="clear" w:color="000000" w:fill="F2DBDB"/>
            <w:vAlign w:val="center"/>
            <w:hideMark/>
          </w:tcPr>
          <w:p w14:paraId="629FAE0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5" w:type="dxa"/>
            <w:tcBorders>
              <w:top w:val="nil"/>
              <w:left w:val="nil"/>
              <w:bottom w:val="single" w:sz="4" w:space="0" w:color="auto"/>
              <w:right w:val="single" w:sz="4" w:space="0" w:color="auto"/>
            </w:tcBorders>
            <w:shd w:val="clear" w:color="000000" w:fill="F2DBDB"/>
            <w:vAlign w:val="center"/>
            <w:hideMark/>
          </w:tcPr>
          <w:p w14:paraId="22E3438B"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03A2E38C"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1B00203E"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EE1AEB5"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c>
          <w:tcPr>
            <w:tcW w:w="709" w:type="dxa"/>
            <w:vMerge/>
            <w:tcBorders>
              <w:left w:val="nil"/>
              <w:bottom w:val="single" w:sz="4" w:space="0" w:color="000000"/>
              <w:right w:val="nil"/>
            </w:tcBorders>
            <w:vAlign w:val="center"/>
            <w:hideMark/>
          </w:tcPr>
          <w:p w14:paraId="62F83AD5" w14:textId="77777777" w:rsidR="00422B21" w:rsidRPr="00D92E20" w:rsidRDefault="00422B21" w:rsidP="00422B21">
            <w:pPr>
              <w:spacing w:after="0" w:line="240" w:lineRule="auto"/>
              <w:rPr>
                <w:rFonts w:cs="Arial"/>
                <w:color w:val="000000"/>
                <w:sz w:val="16"/>
                <w:szCs w:val="16"/>
              </w:rPr>
            </w:pPr>
          </w:p>
        </w:tc>
        <w:tc>
          <w:tcPr>
            <w:tcW w:w="709" w:type="dxa"/>
            <w:tcBorders>
              <w:top w:val="nil"/>
              <w:left w:val="single" w:sz="4" w:space="0" w:color="auto"/>
              <w:bottom w:val="single" w:sz="4" w:space="0" w:color="auto"/>
              <w:right w:val="single" w:sz="4" w:space="0" w:color="auto"/>
            </w:tcBorders>
            <w:shd w:val="clear" w:color="000000" w:fill="F2DBDB"/>
            <w:vAlign w:val="center"/>
            <w:hideMark/>
          </w:tcPr>
          <w:p w14:paraId="67F5D891"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nil"/>
            </w:tcBorders>
            <w:shd w:val="clear" w:color="000000" w:fill="F2DBDB"/>
            <w:vAlign w:val="center"/>
            <w:hideMark/>
          </w:tcPr>
          <w:p w14:paraId="5D820EB0" w14:textId="77777777" w:rsidR="00422B21" w:rsidRPr="00D92E20" w:rsidRDefault="00422B21" w:rsidP="00422B21">
            <w:pPr>
              <w:spacing w:after="0" w:line="240" w:lineRule="auto"/>
              <w:jc w:val="center"/>
              <w:rPr>
                <w:rFonts w:cs="Arial"/>
                <w:color w:val="000000"/>
                <w:sz w:val="16"/>
                <w:szCs w:val="16"/>
              </w:rPr>
            </w:pPr>
            <w:r w:rsidRPr="00D92E20">
              <w:rPr>
                <w:rFonts w:cs="Arial"/>
                <w:color w:val="000000"/>
                <w:sz w:val="16"/>
                <w:szCs w:val="16"/>
              </w:rPr>
              <w:t>ženy</w:t>
            </w:r>
          </w:p>
        </w:tc>
      </w:tr>
      <w:tr w:rsidR="00F50CFB" w:rsidRPr="00D92E20" w14:paraId="2DDF13E6" w14:textId="77777777" w:rsidTr="00350B58">
        <w:trPr>
          <w:trHeight w:val="296"/>
        </w:trPr>
        <w:tc>
          <w:tcPr>
            <w:tcW w:w="1009" w:type="dxa"/>
            <w:tcBorders>
              <w:top w:val="nil"/>
              <w:left w:val="nil"/>
              <w:bottom w:val="nil"/>
              <w:right w:val="nil"/>
            </w:tcBorders>
            <w:shd w:val="clear" w:color="auto" w:fill="auto"/>
            <w:vAlign w:val="center"/>
            <w:hideMark/>
          </w:tcPr>
          <w:p w14:paraId="2CA3D358" w14:textId="0404D238" w:rsidR="00F50CFB" w:rsidRPr="00D92E20" w:rsidRDefault="00F50CFB" w:rsidP="00F50CFB">
            <w:pPr>
              <w:spacing w:after="0" w:line="240" w:lineRule="auto"/>
              <w:jc w:val="center"/>
              <w:rPr>
                <w:rFonts w:cs="Arial"/>
                <w:color w:val="000000"/>
                <w:sz w:val="16"/>
                <w:szCs w:val="16"/>
              </w:rPr>
            </w:pPr>
            <w:r>
              <w:rPr>
                <w:rFonts w:cs="Arial"/>
                <w:sz w:val="16"/>
                <w:szCs w:val="16"/>
              </w:rPr>
              <w:t>1. pol. 2011</w:t>
            </w:r>
          </w:p>
        </w:tc>
        <w:tc>
          <w:tcPr>
            <w:tcW w:w="710" w:type="dxa"/>
            <w:tcBorders>
              <w:top w:val="nil"/>
              <w:left w:val="single" w:sz="4" w:space="0" w:color="auto"/>
              <w:bottom w:val="nil"/>
              <w:right w:val="nil"/>
            </w:tcBorders>
            <w:shd w:val="clear" w:color="auto" w:fill="auto"/>
            <w:vAlign w:val="center"/>
            <w:hideMark/>
          </w:tcPr>
          <w:p w14:paraId="23EFB00F" w14:textId="05CB998D" w:rsidR="00F50CFB" w:rsidRPr="00D92E20" w:rsidRDefault="00F50CFB" w:rsidP="00F50CFB">
            <w:pPr>
              <w:spacing w:after="0" w:line="240" w:lineRule="auto"/>
              <w:jc w:val="center"/>
              <w:rPr>
                <w:rFonts w:cs="Arial"/>
                <w:color w:val="000000"/>
                <w:sz w:val="16"/>
                <w:szCs w:val="16"/>
              </w:rPr>
            </w:pPr>
            <w:r>
              <w:rPr>
                <w:rFonts w:cs="Arial"/>
                <w:sz w:val="16"/>
                <w:szCs w:val="16"/>
              </w:rPr>
              <w:t>167,9</w:t>
            </w:r>
          </w:p>
        </w:tc>
        <w:tc>
          <w:tcPr>
            <w:tcW w:w="703" w:type="dxa"/>
            <w:tcBorders>
              <w:top w:val="nil"/>
              <w:left w:val="nil"/>
              <w:bottom w:val="nil"/>
              <w:right w:val="nil"/>
            </w:tcBorders>
            <w:shd w:val="clear" w:color="auto" w:fill="auto"/>
            <w:vAlign w:val="center"/>
            <w:hideMark/>
          </w:tcPr>
          <w:p w14:paraId="3D42082A" w14:textId="7DF67E00" w:rsidR="00F50CFB" w:rsidRPr="00D92E20" w:rsidRDefault="00F50CFB" w:rsidP="00F50CFB">
            <w:pPr>
              <w:spacing w:after="0" w:line="240" w:lineRule="auto"/>
              <w:jc w:val="center"/>
              <w:rPr>
                <w:rFonts w:cs="Arial"/>
                <w:color w:val="000000"/>
                <w:sz w:val="16"/>
                <w:szCs w:val="16"/>
              </w:rPr>
            </w:pPr>
            <w:r>
              <w:rPr>
                <w:rFonts w:cs="Arial"/>
                <w:sz w:val="16"/>
                <w:szCs w:val="16"/>
              </w:rPr>
              <w:t>78,8</w:t>
            </w:r>
          </w:p>
        </w:tc>
        <w:tc>
          <w:tcPr>
            <w:tcW w:w="705" w:type="dxa"/>
            <w:tcBorders>
              <w:top w:val="nil"/>
              <w:left w:val="nil"/>
              <w:bottom w:val="nil"/>
              <w:right w:val="single" w:sz="4" w:space="0" w:color="auto"/>
            </w:tcBorders>
            <w:shd w:val="clear" w:color="auto" w:fill="auto"/>
            <w:vAlign w:val="center"/>
            <w:hideMark/>
          </w:tcPr>
          <w:p w14:paraId="29400F7F" w14:textId="3F87D435" w:rsidR="00F50CFB" w:rsidRPr="00D92E20" w:rsidRDefault="00F50CFB" w:rsidP="00F50CFB">
            <w:pPr>
              <w:spacing w:after="0" w:line="240" w:lineRule="auto"/>
              <w:jc w:val="center"/>
              <w:rPr>
                <w:rFonts w:cs="Arial"/>
                <w:color w:val="000000"/>
                <w:sz w:val="16"/>
                <w:szCs w:val="16"/>
              </w:rPr>
            </w:pPr>
            <w:r>
              <w:rPr>
                <w:rFonts w:cs="Arial"/>
                <w:sz w:val="16"/>
                <w:szCs w:val="16"/>
              </w:rPr>
              <w:t>89,0</w:t>
            </w:r>
          </w:p>
        </w:tc>
        <w:tc>
          <w:tcPr>
            <w:tcW w:w="707" w:type="dxa"/>
            <w:tcBorders>
              <w:top w:val="nil"/>
              <w:left w:val="nil"/>
              <w:bottom w:val="nil"/>
              <w:right w:val="nil"/>
            </w:tcBorders>
            <w:shd w:val="clear" w:color="auto" w:fill="auto"/>
            <w:vAlign w:val="center"/>
            <w:hideMark/>
          </w:tcPr>
          <w:p w14:paraId="199F459E" w14:textId="5D9BD55F" w:rsidR="00F50CFB" w:rsidRPr="00D92E20" w:rsidRDefault="00F50CFB" w:rsidP="00F50CFB">
            <w:pPr>
              <w:spacing w:after="0" w:line="240" w:lineRule="auto"/>
              <w:jc w:val="center"/>
              <w:rPr>
                <w:rFonts w:cs="Arial"/>
                <w:color w:val="000000"/>
                <w:sz w:val="16"/>
                <w:szCs w:val="16"/>
              </w:rPr>
            </w:pPr>
            <w:r>
              <w:rPr>
                <w:rFonts w:cs="Arial"/>
                <w:sz w:val="16"/>
                <w:szCs w:val="16"/>
              </w:rPr>
              <w:t>147,8</w:t>
            </w:r>
          </w:p>
        </w:tc>
        <w:tc>
          <w:tcPr>
            <w:tcW w:w="704" w:type="dxa"/>
            <w:tcBorders>
              <w:top w:val="nil"/>
              <w:left w:val="nil"/>
              <w:bottom w:val="nil"/>
              <w:right w:val="nil"/>
            </w:tcBorders>
            <w:shd w:val="clear" w:color="auto" w:fill="auto"/>
            <w:vAlign w:val="center"/>
            <w:hideMark/>
          </w:tcPr>
          <w:p w14:paraId="0E3E8702" w14:textId="71B373A3" w:rsidR="00F50CFB" w:rsidRPr="00D92E20" w:rsidRDefault="00F50CFB" w:rsidP="00F50CFB">
            <w:pPr>
              <w:spacing w:after="0" w:line="240" w:lineRule="auto"/>
              <w:jc w:val="center"/>
              <w:rPr>
                <w:rFonts w:cs="Arial"/>
                <w:color w:val="000000"/>
                <w:sz w:val="16"/>
                <w:szCs w:val="16"/>
              </w:rPr>
            </w:pPr>
            <w:r>
              <w:rPr>
                <w:rFonts w:cs="Arial"/>
                <w:sz w:val="16"/>
                <w:szCs w:val="16"/>
              </w:rPr>
              <w:t>65,4</w:t>
            </w:r>
          </w:p>
        </w:tc>
        <w:tc>
          <w:tcPr>
            <w:tcW w:w="705" w:type="dxa"/>
            <w:tcBorders>
              <w:top w:val="nil"/>
              <w:left w:val="nil"/>
              <w:bottom w:val="nil"/>
              <w:right w:val="nil"/>
            </w:tcBorders>
            <w:shd w:val="clear" w:color="auto" w:fill="auto"/>
            <w:vAlign w:val="center"/>
            <w:hideMark/>
          </w:tcPr>
          <w:p w14:paraId="0FCE0B95" w14:textId="14598280" w:rsidR="00F50CFB" w:rsidRPr="00D92E20" w:rsidRDefault="00F50CFB" w:rsidP="00F50CFB">
            <w:pPr>
              <w:spacing w:after="0" w:line="240" w:lineRule="auto"/>
              <w:jc w:val="center"/>
              <w:rPr>
                <w:rFonts w:cs="Arial"/>
                <w:color w:val="000000"/>
                <w:sz w:val="16"/>
                <w:szCs w:val="16"/>
              </w:rPr>
            </w:pPr>
            <w:r>
              <w:rPr>
                <w:rFonts w:cs="Arial"/>
                <w:sz w:val="16"/>
                <w:szCs w:val="16"/>
              </w:rPr>
              <w:t>82,4</w:t>
            </w:r>
          </w:p>
        </w:tc>
        <w:tc>
          <w:tcPr>
            <w:tcW w:w="754" w:type="dxa"/>
            <w:tcBorders>
              <w:top w:val="nil"/>
              <w:left w:val="single" w:sz="4" w:space="0" w:color="auto"/>
              <w:bottom w:val="nil"/>
              <w:right w:val="nil"/>
            </w:tcBorders>
            <w:shd w:val="clear" w:color="auto" w:fill="auto"/>
            <w:vAlign w:val="center"/>
            <w:hideMark/>
          </w:tcPr>
          <w:p w14:paraId="6E9EFAEA" w14:textId="40AFDD7F" w:rsidR="00F50CFB" w:rsidRPr="00D92E20" w:rsidRDefault="00F50CFB" w:rsidP="00F50CFB">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640CCE27" w14:textId="36B2103D" w:rsidR="00F50CFB" w:rsidRPr="00D92E20" w:rsidRDefault="00F50CFB" w:rsidP="00F50CFB">
            <w:pPr>
              <w:spacing w:after="0" w:line="240" w:lineRule="auto"/>
              <w:jc w:val="center"/>
              <w:rPr>
                <w:rFonts w:cs="Arial"/>
                <w:color w:val="000000"/>
                <w:sz w:val="16"/>
                <w:szCs w:val="16"/>
              </w:rPr>
            </w:pPr>
            <w:r>
              <w:rPr>
                <w:rFonts w:cs="Arial"/>
                <w:sz w:val="16"/>
                <w:szCs w:val="16"/>
              </w:rPr>
              <w:t>5,2</w:t>
            </w:r>
          </w:p>
        </w:tc>
        <w:tc>
          <w:tcPr>
            <w:tcW w:w="709" w:type="dxa"/>
            <w:tcBorders>
              <w:top w:val="nil"/>
              <w:left w:val="nil"/>
              <w:bottom w:val="nil"/>
              <w:right w:val="single" w:sz="4" w:space="0" w:color="auto"/>
            </w:tcBorders>
            <w:shd w:val="clear" w:color="auto" w:fill="auto"/>
            <w:vAlign w:val="center"/>
            <w:hideMark/>
          </w:tcPr>
          <w:p w14:paraId="5A4DA4C7" w14:textId="0E67FBA6" w:rsidR="00F50CFB" w:rsidRPr="00D92E20" w:rsidRDefault="00F50CFB" w:rsidP="00F50CFB">
            <w:pPr>
              <w:spacing w:after="0" w:line="240" w:lineRule="auto"/>
              <w:jc w:val="center"/>
              <w:rPr>
                <w:rFonts w:cs="Arial"/>
                <w:color w:val="000000"/>
                <w:sz w:val="16"/>
                <w:szCs w:val="16"/>
              </w:rPr>
            </w:pPr>
            <w:r>
              <w:rPr>
                <w:rFonts w:cs="Arial"/>
                <w:sz w:val="16"/>
                <w:szCs w:val="16"/>
              </w:rPr>
              <w:t>2,1</w:t>
            </w:r>
          </w:p>
        </w:tc>
        <w:tc>
          <w:tcPr>
            <w:tcW w:w="709" w:type="dxa"/>
            <w:tcBorders>
              <w:top w:val="nil"/>
              <w:left w:val="nil"/>
              <w:bottom w:val="nil"/>
              <w:right w:val="nil"/>
            </w:tcBorders>
            <w:shd w:val="clear" w:color="auto" w:fill="auto"/>
            <w:vAlign w:val="center"/>
            <w:hideMark/>
          </w:tcPr>
          <w:p w14:paraId="6FB754BC" w14:textId="64936475" w:rsidR="00F50CFB" w:rsidRPr="00D92E20" w:rsidRDefault="00F50CFB" w:rsidP="00F50CFB">
            <w:pPr>
              <w:spacing w:after="0" w:line="240" w:lineRule="auto"/>
              <w:jc w:val="center"/>
              <w:rPr>
                <w:rFonts w:cs="Arial"/>
                <w:color w:val="000000"/>
                <w:sz w:val="16"/>
                <w:szCs w:val="16"/>
              </w:rPr>
            </w:pPr>
            <w:r>
              <w:rPr>
                <w:rFonts w:cs="Arial"/>
                <w:sz w:val="16"/>
                <w:szCs w:val="16"/>
              </w:rPr>
              <w:t>12,8</w:t>
            </w:r>
          </w:p>
        </w:tc>
        <w:tc>
          <w:tcPr>
            <w:tcW w:w="709" w:type="dxa"/>
            <w:tcBorders>
              <w:top w:val="nil"/>
              <w:left w:val="nil"/>
              <w:bottom w:val="nil"/>
              <w:right w:val="nil"/>
            </w:tcBorders>
            <w:shd w:val="clear" w:color="auto" w:fill="auto"/>
            <w:vAlign w:val="center"/>
            <w:hideMark/>
          </w:tcPr>
          <w:p w14:paraId="673AA675" w14:textId="5CC9F94D" w:rsidR="00F50CFB" w:rsidRPr="00D92E20" w:rsidRDefault="00F50CFB" w:rsidP="00F50CFB">
            <w:pPr>
              <w:spacing w:after="0" w:line="240" w:lineRule="auto"/>
              <w:jc w:val="center"/>
              <w:rPr>
                <w:rFonts w:cs="Arial"/>
                <w:color w:val="000000"/>
                <w:sz w:val="16"/>
                <w:szCs w:val="16"/>
              </w:rPr>
            </w:pPr>
            <w:r>
              <w:rPr>
                <w:rFonts w:cs="Arial"/>
                <w:sz w:val="16"/>
                <w:szCs w:val="16"/>
              </w:rPr>
              <w:t>8,2</w:t>
            </w:r>
          </w:p>
        </w:tc>
        <w:tc>
          <w:tcPr>
            <w:tcW w:w="709" w:type="dxa"/>
            <w:tcBorders>
              <w:top w:val="nil"/>
              <w:left w:val="nil"/>
              <w:bottom w:val="nil"/>
              <w:right w:val="nil"/>
            </w:tcBorders>
            <w:shd w:val="clear" w:color="auto" w:fill="auto"/>
            <w:vAlign w:val="center"/>
            <w:hideMark/>
          </w:tcPr>
          <w:p w14:paraId="5010C193" w14:textId="544DE541" w:rsidR="00F50CFB" w:rsidRPr="00D92E20" w:rsidRDefault="00F50CFB" w:rsidP="00F50CFB">
            <w:pPr>
              <w:spacing w:after="0" w:line="240" w:lineRule="auto"/>
              <w:jc w:val="center"/>
              <w:rPr>
                <w:rFonts w:cs="Arial"/>
                <w:color w:val="000000"/>
                <w:sz w:val="16"/>
                <w:szCs w:val="16"/>
              </w:rPr>
            </w:pPr>
            <w:r>
              <w:rPr>
                <w:rFonts w:cs="Arial"/>
                <w:sz w:val="16"/>
                <w:szCs w:val="16"/>
              </w:rPr>
              <w:t>4,5</w:t>
            </w:r>
          </w:p>
        </w:tc>
      </w:tr>
      <w:tr w:rsidR="00F50CFB" w:rsidRPr="00D92E20" w14:paraId="3A13D752" w14:textId="77777777" w:rsidTr="00350B58">
        <w:trPr>
          <w:trHeight w:val="296"/>
        </w:trPr>
        <w:tc>
          <w:tcPr>
            <w:tcW w:w="1009" w:type="dxa"/>
            <w:tcBorders>
              <w:top w:val="nil"/>
              <w:left w:val="nil"/>
              <w:bottom w:val="nil"/>
              <w:right w:val="nil"/>
            </w:tcBorders>
            <w:shd w:val="clear" w:color="auto" w:fill="auto"/>
            <w:vAlign w:val="center"/>
            <w:hideMark/>
          </w:tcPr>
          <w:p w14:paraId="620B1CD1" w14:textId="77159257" w:rsidR="00F50CFB" w:rsidRPr="00D92E20" w:rsidRDefault="00F50CFB" w:rsidP="00F50CFB">
            <w:pPr>
              <w:spacing w:after="0" w:line="240" w:lineRule="auto"/>
              <w:jc w:val="center"/>
              <w:rPr>
                <w:rFonts w:cs="Arial"/>
                <w:color w:val="000000"/>
                <w:sz w:val="16"/>
                <w:szCs w:val="16"/>
              </w:rPr>
            </w:pPr>
            <w:r>
              <w:rPr>
                <w:rFonts w:cs="Arial"/>
                <w:sz w:val="16"/>
                <w:szCs w:val="16"/>
              </w:rPr>
              <w:t>1. pol. 2012</w:t>
            </w:r>
          </w:p>
        </w:tc>
        <w:tc>
          <w:tcPr>
            <w:tcW w:w="710" w:type="dxa"/>
            <w:tcBorders>
              <w:top w:val="nil"/>
              <w:left w:val="single" w:sz="4" w:space="0" w:color="auto"/>
              <w:bottom w:val="nil"/>
              <w:right w:val="nil"/>
            </w:tcBorders>
            <w:shd w:val="clear" w:color="auto" w:fill="auto"/>
            <w:vAlign w:val="center"/>
            <w:hideMark/>
          </w:tcPr>
          <w:p w14:paraId="5F5D7BF4" w14:textId="5BBD32E3" w:rsidR="00F50CFB" w:rsidRPr="00D92E20" w:rsidRDefault="00F50CFB" w:rsidP="00F50CFB">
            <w:pPr>
              <w:spacing w:after="0" w:line="240" w:lineRule="auto"/>
              <w:jc w:val="center"/>
              <w:rPr>
                <w:rFonts w:cs="Arial"/>
                <w:color w:val="000000"/>
                <w:sz w:val="16"/>
                <w:szCs w:val="16"/>
              </w:rPr>
            </w:pPr>
            <w:r>
              <w:rPr>
                <w:rFonts w:cs="Arial"/>
                <w:sz w:val="16"/>
                <w:szCs w:val="16"/>
              </w:rPr>
              <w:t>159,2</w:t>
            </w:r>
          </w:p>
        </w:tc>
        <w:tc>
          <w:tcPr>
            <w:tcW w:w="703" w:type="dxa"/>
            <w:tcBorders>
              <w:top w:val="nil"/>
              <w:left w:val="nil"/>
              <w:bottom w:val="nil"/>
              <w:right w:val="nil"/>
            </w:tcBorders>
            <w:shd w:val="clear" w:color="auto" w:fill="auto"/>
            <w:vAlign w:val="center"/>
            <w:hideMark/>
          </w:tcPr>
          <w:p w14:paraId="20692D6A" w14:textId="76D963DB" w:rsidR="00F50CFB" w:rsidRPr="00D92E20" w:rsidRDefault="00F50CFB" w:rsidP="00F50CFB">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single" w:sz="4" w:space="0" w:color="auto"/>
            </w:tcBorders>
            <w:shd w:val="clear" w:color="auto" w:fill="auto"/>
            <w:vAlign w:val="center"/>
            <w:hideMark/>
          </w:tcPr>
          <w:p w14:paraId="7DFFF2F4" w14:textId="6F92C0F0" w:rsidR="00F50CFB" w:rsidRPr="00D92E20" w:rsidRDefault="00F50CFB" w:rsidP="00F50CFB">
            <w:pPr>
              <w:spacing w:after="0" w:line="240" w:lineRule="auto"/>
              <w:jc w:val="center"/>
              <w:rPr>
                <w:rFonts w:cs="Arial"/>
                <w:color w:val="000000"/>
                <w:sz w:val="16"/>
                <w:szCs w:val="16"/>
              </w:rPr>
            </w:pPr>
            <w:r>
              <w:rPr>
                <w:rFonts w:cs="Arial"/>
                <w:sz w:val="16"/>
                <w:szCs w:val="16"/>
              </w:rPr>
              <w:t>85,5</w:t>
            </w:r>
          </w:p>
        </w:tc>
        <w:tc>
          <w:tcPr>
            <w:tcW w:w="707" w:type="dxa"/>
            <w:tcBorders>
              <w:top w:val="nil"/>
              <w:left w:val="nil"/>
              <w:bottom w:val="nil"/>
              <w:right w:val="nil"/>
            </w:tcBorders>
            <w:shd w:val="clear" w:color="auto" w:fill="auto"/>
            <w:vAlign w:val="center"/>
            <w:hideMark/>
          </w:tcPr>
          <w:p w14:paraId="5F18645D" w14:textId="6FF606C3" w:rsidR="00F50CFB" w:rsidRPr="00D92E20" w:rsidRDefault="00F50CFB" w:rsidP="00F50CFB">
            <w:pPr>
              <w:spacing w:after="0" w:line="240" w:lineRule="auto"/>
              <w:jc w:val="center"/>
              <w:rPr>
                <w:rFonts w:cs="Arial"/>
                <w:color w:val="000000"/>
                <w:sz w:val="16"/>
                <w:szCs w:val="16"/>
              </w:rPr>
            </w:pPr>
            <w:r>
              <w:rPr>
                <w:rFonts w:cs="Arial"/>
                <w:sz w:val="16"/>
                <w:szCs w:val="16"/>
              </w:rPr>
              <w:t>135,6</w:t>
            </w:r>
          </w:p>
        </w:tc>
        <w:tc>
          <w:tcPr>
            <w:tcW w:w="704" w:type="dxa"/>
            <w:tcBorders>
              <w:top w:val="nil"/>
              <w:left w:val="nil"/>
              <w:bottom w:val="nil"/>
              <w:right w:val="nil"/>
            </w:tcBorders>
            <w:shd w:val="clear" w:color="auto" w:fill="auto"/>
            <w:vAlign w:val="center"/>
            <w:hideMark/>
          </w:tcPr>
          <w:p w14:paraId="45CF2903" w14:textId="422EE5D9" w:rsidR="00F50CFB" w:rsidRPr="00D92E20" w:rsidRDefault="00F50CFB" w:rsidP="00F50CFB">
            <w:pPr>
              <w:spacing w:after="0" w:line="240" w:lineRule="auto"/>
              <w:jc w:val="center"/>
              <w:rPr>
                <w:rFonts w:cs="Arial"/>
                <w:color w:val="000000"/>
                <w:sz w:val="16"/>
                <w:szCs w:val="16"/>
              </w:rPr>
            </w:pPr>
            <w:r>
              <w:rPr>
                <w:rFonts w:cs="Arial"/>
                <w:sz w:val="16"/>
                <w:szCs w:val="16"/>
              </w:rPr>
              <w:t>58,2</w:t>
            </w:r>
          </w:p>
        </w:tc>
        <w:tc>
          <w:tcPr>
            <w:tcW w:w="705" w:type="dxa"/>
            <w:tcBorders>
              <w:top w:val="nil"/>
              <w:left w:val="nil"/>
              <w:bottom w:val="nil"/>
              <w:right w:val="nil"/>
            </w:tcBorders>
            <w:shd w:val="clear" w:color="auto" w:fill="auto"/>
            <w:vAlign w:val="center"/>
            <w:hideMark/>
          </w:tcPr>
          <w:p w14:paraId="37654124" w14:textId="2605BBD7" w:rsidR="00F50CFB" w:rsidRPr="00D92E20" w:rsidRDefault="00F50CFB" w:rsidP="00F50CFB">
            <w:pPr>
              <w:spacing w:after="0" w:line="240" w:lineRule="auto"/>
              <w:jc w:val="center"/>
              <w:rPr>
                <w:rFonts w:cs="Arial"/>
                <w:color w:val="000000"/>
                <w:sz w:val="16"/>
                <w:szCs w:val="16"/>
              </w:rPr>
            </w:pPr>
            <w:r>
              <w:rPr>
                <w:rFonts w:cs="Arial"/>
                <w:sz w:val="16"/>
                <w:szCs w:val="16"/>
              </w:rPr>
              <w:t>77,3</w:t>
            </w:r>
          </w:p>
        </w:tc>
        <w:tc>
          <w:tcPr>
            <w:tcW w:w="754" w:type="dxa"/>
            <w:tcBorders>
              <w:top w:val="nil"/>
              <w:left w:val="single" w:sz="4" w:space="0" w:color="auto"/>
              <w:bottom w:val="nil"/>
              <w:right w:val="nil"/>
            </w:tcBorders>
            <w:shd w:val="clear" w:color="auto" w:fill="auto"/>
            <w:vAlign w:val="center"/>
            <w:hideMark/>
          </w:tcPr>
          <w:p w14:paraId="4280CEE1" w14:textId="44C1FFCD" w:rsidR="00F50CFB" w:rsidRPr="00D92E20" w:rsidRDefault="00F50CFB" w:rsidP="00F50CFB">
            <w:pPr>
              <w:spacing w:after="0" w:line="240" w:lineRule="auto"/>
              <w:jc w:val="center"/>
              <w:rPr>
                <w:rFonts w:cs="Arial"/>
                <w:color w:val="000000"/>
                <w:sz w:val="16"/>
                <w:szCs w:val="16"/>
              </w:rPr>
            </w:pPr>
            <w:r>
              <w:rPr>
                <w:rFonts w:cs="Arial"/>
                <w:sz w:val="16"/>
                <w:szCs w:val="16"/>
              </w:rPr>
              <w:t>6,9</w:t>
            </w:r>
          </w:p>
        </w:tc>
        <w:tc>
          <w:tcPr>
            <w:tcW w:w="709" w:type="dxa"/>
            <w:tcBorders>
              <w:top w:val="nil"/>
              <w:left w:val="nil"/>
              <w:bottom w:val="nil"/>
              <w:right w:val="nil"/>
            </w:tcBorders>
            <w:shd w:val="clear" w:color="auto" w:fill="auto"/>
            <w:vAlign w:val="center"/>
            <w:hideMark/>
          </w:tcPr>
          <w:p w14:paraId="628D6E8B" w14:textId="6AE7904E" w:rsidR="00F50CFB" w:rsidRPr="00D92E20" w:rsidRDefault="00F50CFB" w:rsidP="00F50CFB">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66D6BE68" w14:textId="71AFE76F" w:rsidR="00F50CFB" w:rsidRPr="00D92E20" w:rsidRDefault="00F50CFB" w:rsidP="00F50CFB">
            <w:pPr>
              <w:spacing w:after="0" w:line="240" w:lineRule="auto"/>
              <w:jc w:val="center"/>
              <w:rPr>
                <w:rFonts w:cs="Arial"/>
                <w:color w:val="000000"/>
                <w:sz w:val="16"/>
                <w:szCs w:val="16"/>
              </w:rPr>
            </w:pPr>
            <w:r>
              <w:rPr>
                <w:rFonts w:cs="Arial"/>
                <w:sz w:val="16"/>
                <w:szCs w:val="16"/>
              </w:rPr>
              <w:t>2,0</w:t>
            </w:r>
          </w:p>
        </w:tc>
        <w:tc>
          <w:tcPr>
            <w:tcW w:w="709" w:type="dxa"/>
            <w:tcBorders>
              <w:top w:val="nil"/>
              <w:left w:val="nil"/>
              <w:bottom w:val="nil"/>
              <w:right w:val="nil"/>
            </w:tcBorders>
            <w:shd w:val="clear" w:color="auto" w:fill="auto"/>
            <w:vAlign w:val="center"/>
            <w:hideMark/>
          </w:tcPr>
          <w:p w14:paraId="57539BE8" w14:textId="50B8927B" w:rsidR="00F50CFB" w:rsidRPr="00D92E20" w:rsidRDefault="00F50CFB" w:rsidP="00F50CFB">
            <w:pPr>
              <w:spacing w:after="0" w:line="240" w:lineRule="auto"/>
              <w:jc w:val="center"/>
              <w:rPr>
                <w:rFonts w:cs="Arial"/>
                <w:color w:val="000000"/>
                <w:sz w:val="16"/>
                <w:szCs w:val="16"/>
              </w:rPr>
            </w:pPr>
            <w:r>
              <w:rPr>
                <w:rFonts w:cs="Arial"/>
                <w:sz w:val="16"/>
                <w:szCs w:val="16"/>
              </w:rPr>
              <w:t>16,7</w:t>
            </w:r>
          </w:p>
        </w:tc>
        <w:tc>
          <w:tcPr>
            <w:tcW w:w="709" w:type="dxa"/>
            <w:tcBorders>
              <w:top w:val="nil"/>
              <w:left w:val="nil"/>
              <w:bottom w:val="nil"/>
              <w:right w:val="nil"/>
            </w:tcBorders>
            <w:shd w:val="clear" w:color="auto" w:fill="auto"/>
            <w:vAlign w:val="center"/>
            <w:hideMark/>
          </w:tcPr>
          <w:p w14:paraId="3D910459" w14:textId="2F413511" w:rsidR="00F50CFB" w:rsidRPr="00D92E20" w:rsidRDefault="00F50CFB" w:rsidP="00F50CFB">
            <w:pPr>
              <w:spacing w:after="0" w:line="240" w:lineRule="auto"/>
              <w:jc w:val="center"/>
              <w:rPr>
                <w:rFonts w:cs="Arial"/>
                <w:color w:val="000000"/>
                <w:sz w:val="16"/>
                <w:szCs w:val="16"/>
              </w:rPr>
            </w:pPr>
            <w:r>
              <w:rPr>
                <w:rFonts w:cs="Arial"/>
                <w:sz w:val="16"/>
                <w:szCs w:val="16"/>
              </w:rPr>
              <w:t>10,5</w:t>
            </w:r>
          </w:p>
        </w:tc>
        <w:tc>
          <w:tcPr>
            <w:tcW w:w="709" w:type="dxa"/>
            <w:tcBorders>
              <w:top w:val="nil"/>
              <w:left w:val="nil"/>
              <w:bottom w:val="nil"/>
              <w:right w:val="nil"/>
            </w:tcBorders>
            <w:shd w:val="clear" w:color="auto" w:fill="auto"/>
            <w:vAlign w:val="center"/>
            <w:hideMark/>
          </w:tcPr>
          <w:p w14:paraId="7F60A7D7" w14:textId="7E37A2FF" w:rsidR="00F50CFB" w:rsidRPr="00D92E20" w:rsidRDefault="00F50CFB" w:rsidP="00F50CFB">
            <w:pPr>
              <w:spacing w:after="0" w:line="240" w:lineRule="auto"/>
              <w:jc w:val="center"/>
              <w:rPr>
                <w:rFonts w:cs="Arial"/>
                <w:color w:val="000000"/>
                <w:sz w:val="16"/>
                <w:szCs w:val="16"/>
              </w:rPr>
            </w:pPr>
            <w:r>
              <w:rPr>
                <w:rFonts w:cs="Arial"/>
                <w:sz w:val="16"/>
                <w:szCs w:val="16"/>
              </w:rPr>
              <w:t>6,2</w:t>
            </w:r>
          </w:p>
        </w:tc>
      </w:tr>
      <w:tr w:rsidR="00F50CFB" w:rsidRPr="00D92E20" w14:paraId="7A7056E1" w14:textId="77777777" w:rsidTr="00350B58">
        <w:trPr>
          <w:trHeight w:val="296"/>
        </w:trPr>
        <w:tc>
          <w:tcPr>
            <w:tcW w:w="1009" w:type="dxa"/>
            <w:tcBorders>
              <w:top w:val="nil"/>
              <w:left w:val="nil"/>
              <w:bottom w:val="nil"/>
              <w:right w:val="nil"/>
            </w:tcBorders>
            <w:shd w:val="clear" w:color="auto" w:fill="auto"/>
            <w:vAlign w:val="center"/>
            <w:hideMark/>
          </w:tcPr>
          <w:p w14:paraId="26383424" w14:textId="287AA2EF" w:rsidR="00F50CFB" w:rsidRPr="00D92E20" w:rsidRDefault="00F50CFB" w:rsidP="00F50CFB">
            <w:pPr>
              <w:spacing w:after="0" w:line="240" w:lineRule="auto"/>
              <w:jc w:val="center"/>
              <w:rPr>
                <w:rFonts w:cs="Arial"/>
                <w:color w:val="000000"/>
                <w:sz w:val="16"/>
                <w:szCs w:val="16"/>
              </w:rPr>
            </w:pPr>
            <w:r>
              <w:rPr>
                <w:rFonts w:cs="Arial"/>
                <w:sz w:val="16"/>
                <w:szCs w:val="16"/>
              </w:rPr>
              <w:t>1. pol. 2013</w:t>
            </w:r>
          </w:p>
        </w:tc>
        <w:tc>
          <w:tcPr>
            <w:tcW w:w="710" w:type="dxa"/>
            <w:tcBorders>
              <w:top w:val="nil"/>
              <w:left w:val="single" w:sz="4" w:space="0" w:color="auto"/>
              <w:bottom w:val="nil"/>
              <w:right w:val="nil"/>
            </w:tcBorders>
            <w:shd w:val="clear" w:color="auto" w:fill="auto"/>
            <w:vAlign w:val="center"/>
            <w:hideMark/>
          </w:tcPr>
          <w:p w14:paraId="55350A44" w14:textId="229AC844" w:rsidR="00F50CFB" w:rsidRPr="00D92E20" w:rsidRDefault="00F50CFB" w:rsidP="00F50CFB">
            <w:pPr>
              <w:spacing w:after="0" w:line="240" w:lineRule="auto"/>
              <w:jc w:val="center"/>
              <w:rPr>
                <w:rFonts w:cs="Arial"/>
                <w:color w:val="000000"/>
                <w:sz w:val="16"/>
                <w:szCs w:val="16"/>
              </w:rPr>
            </w:pPr>
            <w:r>
              <w:rPr>
                <w:rFonts w:cs="Arial"/>
                <w:sz w:val="16"/>
                <w:szCs w:val="16"/>
              </w:rPr>
              <w:t>176,1</w:t>
            </w:r>
          </w:p>
        </w:tc>
        <w:tc>
          <w:tcPr>
            <w:tcW w:w="703" w:type="dxa"/>
            <w:tcBorders>
              <w:top w:val="nil"/>
              <w:left w:val="nil"/>
              <w:bottom w:val="nil"/>
              <w:right w:val="nil"/>
            </w:tcBorders>
            <w:shd w:val="clear" w:color="auto" w:fill="auto"/>
            <w:vAlign w:val="center"/>
            <w:hideMark/>
          </w:tcPr>
          <w:p w14:paraId="6ED7AD97" w14:textId="04A48D45" w:rsidR="00F50CFB" w:rsidRPr="00D92E20" w:rsidRDefault="00F50CFB" w:rsidP="00F50CFB">
            <w:pPr>
              <w:spacing w:after="0" w:line="240" w:lineRule="auto"/>
              <w:jc w:val="center"/>
              <w:rPr>
                <w:rFonts w:cs="Arial"/>
                <w:color w:val="000000"/>
                <w:sz w:val="16"/>
                <w:szCs w:val="16"/>
              </w:rPr>
            </w:pPr>
            <w:r>
              <w:rPr>
                <w:rFonts w:cs="Arial"/>
                <w:sz w:val="16"/>
                <w:szCs w:val="16"/>
              </w:rPr>
              <w:t>81,6</w:t>
            </w:r>
          </w:p>
        </w:tc>
        <w:tc>
          <w:tcPr>
            <w:tcW w:w="705" w:type="dxa"/>
            <w:tcBorders>
              <w:top w:val="nil"/>
              <w:left w:val="nil"/>
              <w:bottom w:val="nil"/>
              <w:right w:val="single" w:sz="4" w:space="0" w:color="auto"/>
            </w:tcBorders>
            <w:shd w:val="clear" w:color="auto" w:fill="auto"/>
            <w:vAlign w:val="center"/>
            <w:hideMark/>
          </w:tcPr>
          <w:p w14:paraId="632B605B" w14:textId="3330D2B2" w:rsidR="00F50CFB" w:rsidRPr="00D92E20" w:rsidRDefault="00F50CFB" w:rsidP="00F50CFB">
            <w:pPr>
              <w:spacing w:after="0" w:line="240" w:lineRule="auto"/>
              <w:jc w:val="center"/>
              <w:rPr>
                <w:rFonts w:cs="Arial"/>
                <w:color w:val="000000"/>
                <w:sz w:val="16"/>
                <w:szCs w:val="16"/>
              </w:rPr>
            </w:pPr>
            <w:r>
              <w:rPr>
                <w:rFonts w:cs="Arial"/>
                <w:sz w:val="16"/>
                <w:szCs w:val="16"/>
              </w:rPr>
              <w:t>94,5</w:t>
            </w:r>
          </w:p>
        </w:tc>
        <w:tc>
          <w:tcPr>
            <w:tcW w:w="707" w:type="dxa"/>
            <w:tcBorders>
              <w:top w:val="nil"/>
              <w:left w:val="nil"/>
              <w:bottom w:val="nil"/>
              <w:right w:val="nil"/>
            </w:tcBorders>
            <w:shd w:val="clear" w:color="auto" w:fill="auto"/>
            <w:vAlign w:val="center"/>
            <w:hideMark/>
          </w:tcPr>
          <w:p w14:paraId="121C6F7C" w14:textId="3CA585BD" w:rsidR="00F50CFB" w:rsidRPr="00D92E20" w:rsidRDefault="00F50CFB" w:rsidP="00F50CFB">
            <w:pPr>
              <w:spacing w:after="0" w:line="240" w:lineRule="auto"/>
              <w:jc w:val="center"/>
              <w:rPr>
                <w:rFonts w:cs="Arial"/>
                <w:color w:val="000000"/>
                <w:sz w:val="16"/>
                <w:szCs w:val="16"/>
              </w:rPr>
            </w:pPr>
            <w:r>
              <w:rPr>
                <w:rFonts w:cs="Arial"/>
                <w:sz w:val="16"/>
                <w:szCs w:val="16"/>
              </w:rPr>
              <w:t>150,6</w:t>
            </w:r>
          </w:p>
        </w:tc>
        <w:tc>
          <w:tcPr>
            <w:tcW w:w="704" w:type="dxa"/>
            <w:tcBorders>
              <w:top w:val="nil"/>
              <w:left w:val="nil"/>
              <w:bottom w:val="nil"/>
              <w:right w:val="nil"/>
            </w:tcBorders>
            <w:shd w:val="clear" w:color="auto" w:fill="auto"/>
            <w:vAlign w:val="center"/>
            <w:hideMark/>
          </w:tcPr>
          <w:p w14:paraId="67ED9527" w14:textId="22E89BFC" w:rsidR="00F50CFB" w:rsidRPr="00D92E20" w:rsidRDefault="00F50CFB" w:rsidP="00F50CFB">
            <w:pPr>
              <w:spacing w:after="0" w:line="240" w:lineRule="auto"/>
              <w:jc w:val="center"/>
              <w:rPr>
                <w:rFonts w:cs="Arial"/>
                <w:color w:val="000000"/>
                <w:sz w:val="16"/>
                <w:szCs w:val="16"/>
              </w:rPr>
            </w:pPr>
            <w:r>
              <w:rPr>
                <w:rFonts w:cs="Arial"/>
                <w:sz w:val="16"/>
                <w:szCs w:val="16"/>
              </w:rPr>
              <w:t>65,2</w:t>
            </w:r>
          </w:p>
        </w:tc>
        <w:tc>
          <w:tcPr>
            <w:tcW w:w="705" w:type="dxa"/>
            <w:tcBorders>
              <w:top w:val="nil"/>
              <w:left w:val="nil"/>
              <w:bottom w:val="nil"/>
              <w:right w:val="nil"/>
            </w:tcBorders>
            <w:shd w:val="clear" w:color="auto" w:fill="auto"/>
            <w:vAlign w:val="center"/>
            <w:hideMark/>
          </w:tcPr>
          <w:p w14:paraId="207FE059" w14:textId="424BA3C8" w:rsidR="00F50CFB" w:rsidRPr="00D92E20" w:rsidRDefault="00F50CFB" w:rsidP="00F50CFB">
            <w:pPr>
              <w:spacing w:after="0" w:line="240" w:lineRule="auto"/>
              <w:jc w:val="center"/>
              <w:rPr>
                <w:rFonts w:cs="Arial"/>
                <w:color w:val="000000"/>
                <w:sz w:val="16"/>
                <w:szCs w:val="16"/>
              </w:rPr>
            </w:pPr>
            <w:r>
              <w:rPr>
                <w:rFonts w:cs="Arial"/>
                <w:sz w:val="16"/>
                <w:szCs w:val="16"/>
              </w:rPr>
              <w:t>85,3</w:t>
            </w:r>
          </w:p>
        </w:tc>
        <w:tc>
          <w:tcPr>
            <w:tcW w:w="754" w:type="dxa"/>
            <w:tcBorders>
              <w:top w:val="nil"/>
              <w:left w:val="single" w:sz="4" w:space="0" w:color="auto"/>
              <w:bottom w:val="nil"/>
              <w:right w:val="nil"/>
            </w:tcBorders>
            <w:shd w:val="clear" w:color="auto" w:fill="auto"/>
            <w:vAlign w:val="center"/>
            <w:hideMark/>
          </w:tcPr>
          <w:p w14:paraId="64CE6E60" w14:textId="5820CCF6" w:rsidR="00F50CFB" w:rsidRPr="00D92E20" w:rsidRDefault="00F50CFB" w:rsidP="00F50CFB">
            <w:pPr>
              <w:spacing w:after="0" w:line="240" w:lineRule="auto"/>
              <w:jc w:val="center"/>
              <w:rPr>
                <w:rFonts w:cs="Arial"/>
                <w:color w:val="000000"/>
                <w:sz w:val="16"/>
                <w:szCs w:val="16"/>
              </w:rPr>
            </w:pPr>
            <w:r>
              <w:rPr>
                <w:rFonts w:cs="Arial"/>
                <w:sz w:val="16"/>
                <w:szCs w:val="16"/>
              </w:rPr>
              <w:t>6,8</w:t>
            </w:r>
          </w:p>
        </w:tc>
        <w:tc>
          <w:tcPr>
            <w:tcW w:w="709" w:type="dxa"/>
            <w:tcBorders>
              <w:top w:val="nil"/>
              <w:left w:val="nil"/>
              <w:bottom w:val="nil"/>
              <w:right w:val="nil"/>
            </w:tcBorders>
            <w:shd w:val="clear" w:color="auto" w:fill="auto"/>
            <w:vAlign w:val="center"/>
            <w:hideMark/>
          </w:tcPr>
          <w:p w14:paraId="5E6D53FB" w14:textId="7A9BDF0F" w:rsidR="00F50CFB" w:rsidRPr="00D92E20" w:rsidRDefault="00F50CFB" w:rsidP="00F50CFB">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233BAEBC" w14:textId="6BE0D47B" w:rsidR="00F50CFB" w:rsidRPr="00D92E20" w:rsidRDefault="00F50CFB" w:rsidP="00F50CFB">
            <w:pPr>
              <w:spacing w:after="0" w:line="240" w:lineRule="auto"/>
              <w:jc w:val="center"/>
              <w:rPr>
                <w:rFonts w:cs="Arial"/>
                <w:color w:val="000000"/>
                <w:sz w:val="16"/>
                <w:szCs w:val="16"/>
              </w:rPr>
            </w:pPr>
            <w:r>
              <w:rPr>
                <w:rFonts w:cs="Arial"/>
                <w:sz w:val="16"/>
                <w:szCs w:val="16"/>
              </w:rPr>
              <w:t>2,1</w:t>
            </w:r>
          </w:p>
        </w:tc>
        <w:tc>
          <w:tcPr>
            <w:tcW w:w="709" w:type="dxa"/>
            <w:tcBorders>
              <w:top w:val="nil"/>
              <w:left w:val="nil"/>
              <w:bottom w:val="nil"/>
              <w:right w:val="nil"/>
            </w:tcBorders>
            <w:shd w:val="clear" w:color="auto" w:fill="auto"/>
            <w:vAlign w:val="center"/>
            <w:hideMark/>
          </w:tcPr>
          <w:p w14:paraId="43AB2103" w14:textId="7B5467A8" w:rsidR="00F50CFB" w:rsidRPr="00D92E20" w:rsidRDefault="00F50CFB" w:rsidP="00F50CFB">
            <w:pPr>
              <w:spacing w:after="0" w:line="240" w:lineRule="auto"/>
              <w:jc w:val="center"/>
              <w:rPr>
                <w:rFonts w:cs="Arial"/>
                <w:color w:val="000000"/>
                <w:sz w:val="16"/>
                <w:szCs w:val="16"/>
              </w:rPr>
            </w:pPr>
            <w:r>
              <w:rPr>
                <w:rFonts w:cs="Arial"/>
                <w:sz w:val="16"/>
                <w:szCs w:val="16"/>
              </w:rPr>
              <w:t>18,7</w:t>
            </w:r>
          </w:p>
        </w:tc>
        <w:tc>
          <w:tcPr>
            <w:tcW w:w="709" w:type="dxa"/>
            <w:tcBorders>
              <w:top w:val="nil"/>
              <w:left w:val="nil"/>
              <w:bottom w:val="nil"/>
              <w:right w:val="nil"/>
            </w:tcBorders>
            <w:shd w:val="clear" w:color="auto" w:fill="auto"/>
            <w:vAlign w:val="center"/>
            <w:hideMark/>
          </w:tcPr>
          <w:p w14:paraId="171E4B35" w14:textId="1DECCA69" w:rsidR="00F50CFB" w:rsidRPr="00D92E20" w:rsidRDefault="00F50CFB" w:rsidP="00F50CFB">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0037DEF0" w14:textId="346F81E2" w:rsidR="00F50CFB" w:rsidRPr="00D92E20" w:rsidRDefault="00F50CFB" w:rsidP="00F50CFB">
            <w:pPr>
              <w:spacing w:after="0" w:line="240" w:lineRule="auto"/>
              <w:jc w:val="center"/>
              <w:rPr>
                <w:rFonts w:cs="Arial"/>
                <w:color w:val="000000"/>
                <w:sz w:val="16"/>
                <w:szCs w:val="16"/>
              </w:rPr>
            </w:pPr>
            <w:r>
              <w:rPr>
                <w:rFonts w:cs="Arial"/>
                <w:sz w:val="16"/>
                <w:szCs w:val="16"/>
              </w:rPr>
              <w:t>7,1</w:t>
            </w:r>
          </w:p>
        </w:tc>
      </w:tr>
      <w:tr w:rsidR="00F50CFB" w:rsidRPr="00D92E20" w14:paraId="3B69318A" w14:textId="77777777" w:rsidTr="00350B58">
        <w:trPr>
          <w:trHeight w:val="296"/>
        </w:trPr>
        <w:tc>
          <w:tcPr>
            <w:tcW w:w="1009" w:type="dxa"/>
            <w:tcBorders>
              <w:top w:val="nil"/>
              <w:left w:val="nil"/>
              <w:bottom w:val="nil"/>
              <w:right w:val="nil"/>
            </w:tcBorders>
            <w:shd w:val="clear" w:color="auto" w:fill="auto"/>
            <w:vAlign w:val="center"/>
            <w:hideMark/>
          </w:tcPr>
          <w:p w14:paraId="42C1F0B2" w14:textId="6455268A" w:rsidR="00F50CFB" w:rsidRPr="00D92E20" w:rsidRDefault="00F50CFB" w:rsidP="00F50CFB">
            <w:pPr>
              <w:spacing w:after="0" w:line="240" w:lineRule="auto"/>
              <w:jc w:val="center"/>
              <w:rPr>
                <w:rFonts w:cs="Arial"/>
                <w:color w:val="000000"/>
                <w:sz w:val="16"/>
                <w:szCs w:val="16"/>
              </w:rPr>
            </w:pPr>
            <w:r>
              <w:rPr>
                <w:rFonts w:cs="Arial"/>
                <w:sz w:val="16"/>
                <w:szCs w:val="16"/>
              </w:rPr>
              <w:t>1. pol. 2014</w:t>
            </w:r>
          </w:p>
        </w:tc>
        <w:tc>
          <w:tcPr>
            <w:tcW w:w="710" w:type="dxa"/>
            <w:tcBorders>
              <w:top w:val="nil"/>
              <w:left w:val="single" w:sz="4" w:space="0" w:color="auto"/>
              <w:bottom w:val="nil"/>
              <w:right w:val="nil"/>
            </w:tcBorders>
            <w:shd w:val="clear" w:color="auto" w:fill="auto"/>
            <w:vAlign w:val="center"/>
            <w:hideMark/>
          </w:tcPr>
          <w:p w14:paraId="253BC7BD" w14:textId="22BBA5A9" w:rsidR="00F50CFB" w:rsidRPr="00D92E20" w:rsidRDefault="00F50CFB" w:rsidP="00F50CFB">
            <w:pPr>
              <w:spacing w:after="0" w:line="240" w:lineRule="auto"/>
              <w:jc w:val="center"/>
              <w:rPr>
                <w:rFonts w:cs="Arial"/>
                <w:color w:val="000000"/>
                <w:sz w:val="16"/>
                <w:szCs w:val="16"/>
              </w:rPr>
            </w:pPr>
            <w:r>
              <w:rPr>
                <w:rFonts w:cs="Arial"/>
                <w:sz w:val="16"/>
                <w:szCs w:val="16"/>
              </w:rPr>
              <w:t>168,6</w:t>
            </w:r>
          </w:p>
        </w:tc>
        <w:tc>
          <w:tcPr>
            <w:tcW w:w="703" w:type="dxa"/>
            <w:tcBorders>
              <w:top w:val="nil"/>
              <w:left w:val="nil"/>
              <w:bottom w:val="nil"/>
              <w:right w:val="nil"/>
            </w:tcBorders>
            <w:shd w:val="clear" w:color="auto" w:fill="auto"/>
            <w:vAlign w:val="center"/>
            <w:hideMark/>
          </w:tcPr>
          <w:p w14:paraId="016A66CB" w14:textId="0B1B3D3B" w:rsidR="00F50CFB" w:rsidRPr="00D92E20" w:rsidRDefault="00F50CFB" w:rsidP="00F50CFB">
            <w:pPr>
              <w:spacing w:after="0" w:line="240" w:lineRule="auto"/>
              <w:jc w:val="center"/>
              <w:rPr>
                <w:rFonts w:cs="Arial"/>
                <w:color w:val="000000"/>
                <w:sz w:val="16"/>
                <w:szCs w:val="16"/>
              </w:rPr>
            </w:pPr>
            <w:r>
              <w:rPr>
                <w:rFonts w:cs="Arial"/>
                <w:sz w:val="16"/>
                <w:szCs w:val="16"/>
              </w:rPr>
              <w:t>76,8</w:t>
            </w:r>
          </w:p>
        </w:tc>
        <w:tc>
          <w:tcPr>
            <w:tcW w:w="705" w:type="dxa"/>
            <w:tcBorders>
              <w:top w:val="nil"/>
              <w:left w:val="nil"/>
              <w:bottom w:val="nil"/>
              <w:right w:val="single" w:sz="4" w:space="0" w:color="auto"/>
            </w:tcBorders>
            <w:shd w:val="clear" w:color="auto" w:fill="auto"/>
            <w:vAlign w:val="center"/>
            <w:hideMark/>
          </w:tcPr>
          <w:p w14:paraId="69F63802" w14:textId="7E68E69A" w:rsidR="00F50CFB" w:rsidRPr="00D92E20" w:rsidRDefault="00F50CFB" w:rsidP="00F50CFB">
            <w:pPr>
              <w:spacing w:after="0" w:line="240" w:lineRule="auto"/>
              <w:jc w:val="center"/>
              <w:rPr>
                <w:rFonts w:cs="Arial"/>
                <w:color w:val="000000"/>
                <w:sz w:val="16"/>
                <w:szCs w:val="16"/>
              </w:rPr>
            </w:pPr>
            <w:r>
              <w:rPr>
                <w:rFonts w:ascii="Arial CE" w:hAnsi="Arial CE" w:cs="Arial CE"/>
                <w:sz w:val="16"/>
                <w:szCs w:val="16"/>
              </w:rPr>
              <w:t>91,7</w:t>
            </w:r>
          </w:p>
        </w:tc>
        <w:tc>
          <w:tcPr>
            <w:tcW w:w="707" w:type="dxa"/>
            <w:tcBorders>
              <w:top w:val="nil"/>
              <w:left w:val="nil"/>
              <w:bottom w:val="nil"/>
              <w:right w:val="nil"/>
            </w:tcBorders>
            <w:shd w:val="clear" w:color="auto" w:fill="auto"/>
            <w:vAlign w:val="center"/>
            <w:hideMark/>
          </w:tcPr>
          <w:p w14:paraId="25CFA2C2" w14:textId="1F1F543E" w:rsidR="00F50CFB" w:rsidRPr="00D92E20" w:rsidRDefault="00F50CFB" w:rsidP="00F50CFB">
            <w:pPr>
              <w:spacing w:after="0" w:line="240" w:lineRule="auto"/>
              <w:jc w:val="center"/>
              <w:rPr>
                <w:rFonts w:cs="Arial"/>
                <w:color w:val="000000"/>
                <w:sz w:val="16"/>
                <w:szCs w:val="16"/>
              </w:rPr>
            </w:pPr>
            <w:r>
              <w:rPr>
                <w:rFonts w:cs="Arial"/>
                <w:sz w:val="16"/>
                <w:szCs w:val="16"/>
              </w:rPr>
              <w:t>143,7</w:t>
            </w:r>
          </w:p>
        </w:tc>
        <w:tc>
          <w:tcPr>
            <w:tcW w:w="704" w:type="dxa"/>
            <w:tcBorders>
              <w:top w:val="nil"/>
              <w:left w:val="nil"/>
              <w:bottom w:val="nil"/>
              <w:right w:val="nil"/>
            </w:tcBorders>
            <w:shd w:val="clear" w:color="auto" w:fill="auto"/>
            <w:vAlign w:val="center"/>
            <w:hideMark/>
          </w:tcPr>
          <w:p w14:paraId="29A3BF59" w14:textId="74DC0ED4" w:rsidR="00F50CFB" w:rsidRPr="00D92E20" w:rsidRDefault="00F50CFB" w:rsidP="00F50CFB">
            <w:pPr>
              <w:spacing w:after="0" w:line="240" w:lineRule="auto"/>
              <w:jc w:val="center"/>
              <w:rPr>
                <w:rFonts w:cs="Arial"/>
                <w:color w:val="000000"/>
                <w:sz w:val="16"/>
                <w:szCs w:val="16"/>
              </w:rPr>
            </w:pPr>
            <w:r>
              <w:rPr>
                <w:rFonts w:cs="Arial"/>
                <w:sz w:val="16"/>
                <w:szCs w:val="16"/>
              </w:rPr>
              <w:t>60,6</w:t>
            </w:r>
          </w:p>
        </w:tc>
        <w:tc>
          <w:tcPr>
            <w:tcW w:w="705" w:type="dxa"/>
            <w:tcBorders>
              <w:top w:val="nil"/>
              <w:left w:val="nil"/>
              <w:bottom w:val="nil"/>
              <w:right w:val="nil"/>
            </w:tcBorders>
            <w:shd w:val="clear" w:color="auto" w:fill="auto"/>
            <w:vAlign w:val="center"/>
            <w:hideMark/>
          </w:tcPr>
          <w:p w14:paraId="09F08F21" w14:textId="48E4A2D1" w:rsidR="00F50CFB" w:rsidRPr="00D92E20" w:rsidRDefault="00F50CFB" w:rsidP="00F50CFB">
            <w:pPr>
              <w:spacing w:after="0" w:line="240" w:lineRule="auto"/>
              <w:jc w:val="center"/>
              <w:rPr>
                <w:rFonts w:cs="Arial"/>
                <w:color w:val="000000"/>
                <w:sz w:val="16"/>
                <w:szCs w:val="16"/>
              </w:rPr>
            </w:pPr>
            <w:r>
              <w:rPr>
                <w:rFonts w:ascii="Arial CE" w:hAnsi="Arial CE" w:cs="Arial CE"/>
                <w:sz w:val="16"/>
                <w:szCs w:val="16"/>
              </w:rPr>
              <w:t>83,1</w:t>
            </w:r>
          </w:p>
        </w:tc>
        <w:tc>
          <w:tcPr>
            <w:tcW w:w="754" w:type="dxa"/>
            <w:tcBorders>
              <w:top w:val="nil"/>
              <w:left w:val="single" w:sz="4" w:space="0" w:color="auto"/>
              <w:bottom w:val="nil"/>
              <w:right w:val="nil"/>
            </w:tcBorders>
            <w:shd w:val="clear" w:color="auto" w:fill="auto"/>
            <w:vAlign w:val="center"/>
            <w:hideMark/>
          </w:tcPr>
          <w:p w14:paraId="6CAF97A3" w14:textId="6EA39723" w:rsidR="00F50CFB" w:rsidRPr="00D92E20" w:rsidRDefault="00F50CFB" w:rsidP="00F50CFB">
            <w:pPr>
              <w:spacing w:after="0" w:line="240" w:lineRule="auto"/>
              <w:jc w:val="center"/>
              <w:rPr>
                <w:rFonts w:cs="Arial"/>
                <w:color w:val="000000"/>
                <w:sz w:val="16"/>
                <w:szCs w:val="16"/>
              </w:rPr>
            </w:pPr>
            <w:r>
              <w:rPr>
                <w:rFonts w:cs="Arial"/>
                <w:sz w:val="16"/>
                <w:szCs w:val="16"/>
              </w:rPr>
              <w:t>6,6</w:t>
            </w:r>
          </w:p>
        </w:tc>
        <w:tc>
          <w:tcPr>
            <w:tcW w:w="709" w:type="dxa"/>
            <w:tcBorders>
              <w:top w:val="nil"/>
              <w:left w:val="nil"/>
              <w:bottom w:val="nil"/>
              <w:right w:val="nil"/>
            </w:tcBorders>
            <w:shd w:val="clear" w:color="auto" w:fill="auto"/>
            <w:vAlign w:val="center"/>
            <w:hideMark/>
          </w:tcPr>
          <w:p w14:paraId="27594054" w14:textId="745B7941" w:rsidR="00F50CFB" w:rsidRPr="00D92E20" w:rsidRDefault="00F50CFB" w:rsidP="00F50CFB">
            <w:pPr>
              <w:spacing w:after="0" w:line="240" w:lineRule="auto"/>
              <w:jc w:val="center"/>
              <w:rPr>
                <w:rFonts w:cs="Arial"/>
                <w:color w:val="000000"/>
                <w:sz w:val="16"/>
                <w:szCs w:val="16"/>
              </w:rPr>
            </w:pPr>
            <w:r>
              <w:rPr>
                <w:rFonts w:cs="Arial"/>
                <w:sz w:val="16"/>
                <w:szCs w:val="16"/>
              </w:rPr>
              <w:t>4,6</w:t>
            </w:r>
          </w:p>
        </w:tc>
        <w:tc>
          <w:tcPr>
            <w:tcW w:w="709" w:type="dxa"/>
            <w:tcBorders>
              <w:top w:val="nil"/>
              <w:left w:val="nil"/>
              <w:bottom w:val="nil"/>
              <w:right w:val="single" w:sz="4" w:space="0" w:color="auto"/>
            </w:tcBorders>
            <w:shd w:val="clear" w:color="auto" w:fill="auto"/>
            <w:vAlign w:val="center"/>
            <w:hideMark/>
          </w:tcPr>
          <w:p w14:paraId="26059096" w14:textId="7DB7ECD7" w:rsidR="00F50CFB" w:rsidRPr="00D92E20" w:rsidRDefault="00F50CFB" w:rsidP="00F50CFB">
            <w:pPr>
              <w:spacing w:after="0" w:line="240" w:lineRule="auto"/>
              <w:jc w:val="center"/>
              <w:rPr>
                <w:rFonts w:cs="Arial"/>
                <w:color w:val="000000"/>
                <w:sz w:val="16"/>
                <w:szCs w:val="16"/>
              </w:rPr>
            </w:pPr>
            <w:r>
              <w:rPr>
                <w:rFonts w:ascii="Arial CE" w:hAnsi="Arial CE" w:cs="Arial CE"/>
                <w:sz w:val="16"/>
                <w:szCs w:val="16"/>
              </w:rPr>
              <w:t>1,9</w:t>
            </w:r>
          </w:p>
        </w:tc>
        <w:tc>
          <w:tcPr>
            <w:tcW w:w="709" w:type="dxa"/>
            <w:tcBorders>
              <w:top w:val="nil"/>
              <w:left w:val="nil"/>
              <w:bottom w:val="nil"/>
              <w:right w:val="nil"/>
            </w:tcBorders>
            <w:shd w:val="clear" w:color="auto" w:fill="auto"/>
            <w:vAlign w:val="center"/>
            <w:hideMark/>
          </w:tcPr>
          <w:p w14:paraId="3E889B91" w14:textId="412FE6D4" w:rsidR="00F50CFB" w:rsidRPr="00D92E20" w:rsidRDefault="00F50CFB" w:rsidP="00F50CFB">
            <w:pPr>
              <w:spacing w:after="0" w:line="240" w:lineRule="auto"/>
              <w:jc w:val="center"/>
              <w:rPr>
                <w:rFonts w:cs="Arial"/>
                <w:color w:val="000000"/>
                <w:sz w:val="16"/>
                <w:szCs w:val="16"/>
              </w:rPr>
            </w:pPr>
            <w:r>
              <w:rPr>
                <w:rFonts w:cs="Arial"/>
                <w:sz w:val="16"/>
                <w:szCs w:val="16"/>
              </w:rPr>
              <w:t>18,3</w:t>
            </w:r>
          </w:p>
        </w:tc>
        <w:tc>
          <w:tcPr>
            <w:tcW w:w="709" w:type="dxa"/>
            <w:tcBorders>
              <w:top w:val="nil"/>
              <w:left w:val="nil"/>
              <w:bottom w:val="nil"/>
              <w:right w:val="nil"/>
            </w:tcBorders>
            <w:shd w:val="clear" w:color="auto" w:fill="auto"/>
            <w:vAlign w:val="center"/>
            <w:hideMark/>
          </w:tcPr>
          <w:p w14:paraId="19C4D1AF" w14:textId="3FBC39AB" w:rsidR="00F50CFB" w:rsidRPr="00D92E20" w:rsidRDefault="00F50CFB" w:rsidP="00F50CFB">
            <w:pPr>
              <w:spacing w:after="0" w:line="240" w:lineRule="auto"/>
              <w:jc w:val="center"/>
              <w:rPr>
                <w:rFonts w:cs="Arial"/>
                <w:color w:val="000000"/>
                <w:sz w:val="16"/>
                <w:szCs w:val="16"/>
              </w:rPr>
            </w:pPr>
            <w:r>
              <w:rPr>
                <w:rFonts w:cs="Arial"/>
                <w:sz w:val="16"/>
                <w:szCs w:val="16"/>
              </w:rPr>
              <w:t>11,6</w:t>
            </w:r>
          </w:p>
        </w:tc>
        <w:tc>
          <w:tcPr>
            <w:tcW w:w="709" w:type="dxa"/>
            <w:tcBorders>
              <w:top w:val="nil"/>
              <w:left w:val="nil"/>
              <w:bottom w:val="nil"/>
              <w:right w:val="nil"/>
            </w:tcBorders>
            <w:shd w:val="clear" w:color="auto" w:fill="auto"/>
            <w:vAlign w:val="center"/>
            <w:hideMark/>
          </w:tcPr>
          <w:p w14:paraId="2EACEF68" w14:textId="381EAC99" w:rsidR="00F50CFB" w:rsidRPr="00D92E20" w:rsidRDefault="00F50CFB" w:rsidP="00F50CFB">
            <w:pPr>
              <w:spacing w:after="0" w:line="240" w:lineRule="auto"/>
              <w:jc w:val="center"/>
              <w:rPr>
                <w:rFonts w:cs="Arial"/>
                <w:color w:val="000000"/>
                <w:sz w:val="16"/>
                <w:szCs w:val="16"/>
              </w:rPr>
            </w:pPr>
            <w:r>
              <w:rPr>
                <w:rFonts w:ascii="Arial CE" w:hAnsi="Arial CE" w:cs="Arial CE"/>
                <w:sz w:val="16"/>
                <w:szCs w:val="16"/>
              </w:rPr>
              <w:t>6,7</w:t>
            </w:r>
          </w:p>
        </w:tc>
      </w:tr>
      <w:tr w:rsidR="00F50CFB" w:rsidRPr="00D92E20" w14:paraId="3744EB5F" w14:textId="77777777" w:rsidTr="00350B58">
        <w:trPr>
          <w:trHeight w:val="296"/>
        </w:trPr>
        <w:tc>
          <w:tcPr>
            <w:tcW w:w="1009" w:type="dxa"/>
            <w:tcBorders>
              <w:top w:val="nil"/>
              <w:left w:val="nil"/>
              <w:bottom w:val="nil"/>
              <w:right w:val="nil"/>
            </w:tcBorders>
            <w:shd w:val="clear" w:color="auto" w:fill="auto"/>
            <w:vAlign w:val="center"/>
            <w:hideMark/>
          </w:tcPr>
          <w:p w14:paraId="4D9E3CEB" w14:textId="737A67C4" w:rsidR="00F50CFB" w:rsidRPr="00D92E20" w:rsidRDefault="00F50CFB" w:rsidP="00F50CFB">
            <w:pPr>
              <w:spacing w:after="0" w:line="240" w:lineRule="auto"/>
              <w:jc w:val="center"/>
              <w:rPr>
                <w:rFonts w:cs="Arial"/>
                <w:color w:val="000000"/>
                <w:sz w:val="16"/>
                <w:szCs w:val="16"/>
              </w:rPr>
            </w:pPr>
            <w:r>
              <w:rPr>
                <w:rFonts w:cs="Arial"/>
                <w:sz w:val="16"/>
                <w:szCs w:val="16"/>
              </w:rPr>
              <w:t>1. pol. 2015</w:t>
            </w:r>
          </w:p>
        </w:tc>
        <w:tc>
          <w:tcPr>
            <w:tcW w:w="710" w:type="dxa"/>
            <w:tcBorders>
              <w:top w:val="nil"/>
              <w:left w:val="single" w:sz="4" w:space="0" w:color="auto"/>
              <w:bottom w:val="nil"/>
              <w:right w:val="nil"/>
            </w:tcBorders>
            <w:shd w:val="clear" w:color="auto" w:fill="auto"/>
            <w:vAlign w:val="center"/>
            <w:hideMark/>
          </w:tcPr>
          <w:p w14:paraId="4A93EFA4" w14:textId="4DE88CBA" w:rsidR="00F50CFB" w:rsidRPr="00D92E20" w:rsidRDefault="00F50CFB" w:rsidP="00F50CFB">
            <w:pPr>
              <w:spacing w:after="0" w:line="240" w:lineRule="auto"/>
              <w:jc w:val="center"/>
              <w:rPr>
                <w:rFonts w:cs="Arial"/>
                <w:color w:val="000000"/>
                <w:sz w:val="16"/>
                <w:szCs w:val="16"/>
              </w:rPr>
            </w:pPr>
            <w:r>
              <w:rPr>
                <w:rFonts w:cs="Arial"/>
                <w:sz w:val="16"/>
                <w:szCs w:val="16"/>
              </w:rPr>
              <w:t>193,7</w:t>
            </w:r>
          </w:p>
        </w:tc>
        <w:tc>
          <w:tcPr>
            <w:tcW w:w="703" w:type="dxa"/>
            <w:tcBorders>
              <w:top w:val="nil"/>
              <w:left w:val="nil"/>
              <w:bottom w:val="nil"/>
              <w:right w:val="nil"/>
            </w:tcBorders>
            <w:shd w:val="clear" w:color="auto" w:fill="auto"/>
            <w:vAlign w:val="center"/>
            <w:hideMark/>
          </w:tcPr>
          <w:p w14:paraId="285D527A" w14:textId="54F07C10" w:rsidR="00F50CFB" w:rsidRPr="00D92E20" w:rsidRDefault="00F50CFB" w:rsidP="00F50CFB">
            <w:pPr>
              <w:spacing w:after="0" w:line="240" w:lineRule="auto"/>
              <w:jc w:val="center"/>
              <w:rPr>
                <w:rFonts w:cs="Arial"/>
                <w:color w:val="000000"/>
                <w:sz w:val="16"/>
                <w:szCs w:val="16"/>
              </w:rPr>
            </w:pPr>
            <w:r>
              <w:rPr>
                <w:rFonts w:cs="Arial"/>
                <w:sz w:val="16"/>
                <w:szCs w:val="16"/>
              </w:rPr>
              <w:t>87,8</w:t>
            </w:r>
          </w:p>
        </w:tc>
        <w:tc>
          <w:tcPr>
            <w:tcW w:w="705" w:type="dxa"/>
            <w:tcBorders>
              <w:top w:val="nil"/>
              <w:left w:val="nil"/>
              <w:bottom w:val="nil"/>
              <w:right w:val="single" w:sz="4" w:space="0" w:color="auto"/>
            </w:tcBorders>
            <w:shd w:val="clear" w:color="auto" w:fill="auto"/>
            <w:vAlign w:val="center"/>
            <w:hideMark/>
          </w:tcPr>
          <w:p w14:paraId="1F31DB61" w14:textId="75C87BEB" w:rsidR="00F50CFB" w:rsidRPr="00D92E20" w:rsidRDefault="00F50CFB" w:rsidP="00F50CFB">
            <w:pPr>
              <w:spacing w:after="0" w:line="240" w:lineRule="auto"/>
              <w:jc w:val="center"/>
              <w:rPr>
                <w:rFonts w:cs="Arial"/>
                <w:color w:val="000000"/>
                <w:sz w:val="16"/>
                <w:szCs w:val="16"/>
              </w:rPr>
            </w:pPr>
            <w:r>
              <w:rPr>
                <w:rFonts w:cs="Arial"/>
                <w:sz w:val="16"/>
                <w:szCs w:val="16"/>
              </w:rPr>
              <w:t>105,9</w:t>
            </w:r>
          </w:p>
        </w:tc>
        <w:tc>
          <w:tcPr>
            <w:tcW w:w="707" w:type="dxa"/>
            <w:tcBorders>
              <w:top w:val="nil"/>
              <w:left w:val="nil"/>
              <w:bottom w:val="nil"/>
              <w:right w:val="nil"/>
            </w:tcBorders>
            <w:shd w:val="clear" w:color="auto" w:fill="auto"/>
            <w:vAlign w:val="center"/>
            <w:hideMark/>
          </w:tcPr>
          <w:p w14:paraId="56B9CF89" w14:textId="674498EC" w:rsidR="00F50CFB" w:rsidRPr="00D92E20" w:rsidRDefault="00F50CFB" w:rsidP="00F50CFB">
            <w:pPr>
              <w:spacing w:after="0" w:line="240" w:lineRule="auto"/>
              <w:jc w:val="center"/>
              <w:rPr>
                <w:rFonts w:cs="Arial"/>
                <w:color w:val="000000"/>
                <w:sz w:val="16"/>
                <w:szCs w:val="16"/>
              </w:rPr>
            </w:pPr>
            <w:r>
              <w:rPr>
                <w:rFonts w:cs="Arial"/>
                <w:sz w:val="16"/>
                <w:szCs w:val="16"/>
              </w:rPr>
              <w:t>166,8</w:t>
            </w:r>
          </w:p>
        </w:tc>
        <w:tc>
          <w:tcPr>
            <w:tcW w:w="704" w:type="dxa"/>
            <w:tcBorders>
              <w:top w:val="nil"/>
              <w:left w:val="nil"/>
              <w:bottom w:val="nil"/>
              <w:right w:val="nil"/>
            </w:tcBorders>
            <w:shd w:val="clear" w:color="auto" w:fill="auto"/>
            <w:vAlign w:val="center"/>
            <w:hideMark/>
          </w:tcPr>
          <w:p w14:paraId="315B968F" w14:textId="46EC74AB" w:rsidR="00F50CFB" w:rsidRPr="00D92E20" w:rsidRDefault="00F50CFB" w:rsidP="00F50CFB">
            <w:pPr>
              <w:spacing w:after="0" w:line="240" w:lineRule="auto"/>
              <w:jc w:val="center"/>
              <w:rPr>
                <w:rFonts w:cs="Arial"/>
                <w:color w:val="000000"/>
                <w:sz w:val="16"/>
                <w:szCs w:val="16"/>
              </w:rPr>
            </w:pPr>
            <w:r>
              <w:rPr>
                <w:rFonts w:cs="Arial"/>
                <w:sz w:val="16"/>
                <w:szCs w:val="16"/>
              </w:rPr>
              <w:t>70,7</w:t>
            </w:r>
          </w:p>
        </w:tc>
        <w:tc>
          <w:tcPr>
            <w:tcW w:w="705" w:type="dxa"/>
            <w:tcBorders>
              <w:top w:val="nil"/>
              <w:left w:val="nil"/>
              <w:bottom w:val="nil"/>
              <w:right w:val="nil"/>
            </w:tcBorders>
            <w:shd w:val="clear" w:color="auto" w:fill="auto"/>
            <w:vAlign w:val="center"/>
            <w:hideMark/>
          </w:tcPr>
          <w:p w14:paraId="21ABB2FC" w14:textId="78CEF62B" w:rsidR="00F50CFB" w:rsidRPr="00D92E20" w:rsidRDefault="00F50CFB" w:rsidP="00F50CFB">
            <w:pPr>
              <w:spacing w:after="0" w:line="240" w:lineRule="auto"/>
              <w:jc w:val="center"/>
              <w:rPr>
                <w:rFonts w:cs="Arial"/>
                <w:color w:val="000000"/>
                <w:sz w:val="16"/>
                <w:szCs w:val="16"/>
              </w:rPr>
            </w:pPr>
            <w:r>
              <w:rPr>
                <w:rFonts w:cs="Arial"/>
                <w:sz w:val="16"/>
                <w:szCs w:val="16"/>
              </w:rPr>
              <w:t>96,1</w:t>
            </w:r>
          </w:p>
        </w:tc>
        <w:tc>
          <w:tcPr>
            <w:tcW w:w="754" w:type="dxa"/>
            <w:tcBorders>
              <w:top w:val="nil"/>
              <w:left w:val="single" w:sz="4" w:space="0" w:color="auto"/>
              <w:bottom w:val="nil"/>
              <w:right w:val="nil"/>
            </w:tcBorders>
            <w:shd w:val="clear" w:color="auto" w:fill="auto"/>
            <w:vAlign w:val="center"/>
            <w:hideMark/>
          </w:tcPr>
          <w:p w14:paraId="52FE2884" w14:textId="043C621C" w:rsidR="00F50CFB" w:rsidRPr="00D92E20" w:rsidRDefault="00F50CFB" w:rsidP="00F50CFB">
            <w:pPr>
              <w:spacing w:after="0" w:line="240" w:lineRule="auto"/>
              <w:jc w:val="center"/>
              <w:rPr>
                <w:rFonts w:cs="Arial"/>
                <w:color w:val="000000"/>
                <w:sz w:val="16"/>
                <w:szCs w:val="16"/>
              </w:rPr>
            </w:pPr>
            <w:r>
              <w:rPr>
                <w:rFonts w:cs="Arial"/>
                <w:sz w:val="16"/>
                <w:szCs w:val="16"/>
              </w:rPr>
              <w:t>7,2</w:t>
            </w:r>
          </w:p>
        </w:tc>
        <w:tc>
          <w:tcPr>
            <w:tcW w:w="709" w:type="dxa"/>
            <w:tcBorders>
              <w:top w:val="nil"/>
              <w:left w:val="nil"/>
              <w:bottom w:val="nil"/>
              <w:right w:val="nil"/>
            </w:tcBorders>
            <w:shd w:val="clear" w:color="auto" w:fill="auto"/>
            <w:vAlign w:val="center"/>
            <w:hideMark/>
          </w:tcPr>
          <w:p w14:paraId="7B6527EA" w14:textId="7896AEA3" w:rsidR="00F50CFB" w:rsidRPr="00D92E20" w:rsidRDefault="00F50CFB" w:rsidP="00F50CFB">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72B945A6" w14:textId="4312C3EE" w:rsidR="00F50CFB" w:rsidRPr="00D92E20" w:rsidRDefault="00F50CFB" w:rsidP="00F50CFB">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48B1E512" w14:textId="2D1FABE2" w:rsidR="00F50CFB" w:rsidRPr="00D92E20" w:rsidRDefault="00F50CFB" w:rsidP="00F50CFB">
            <w:pPr>
              <w:spacing w:after="0" w:line="240" w:lineRule="auto"/>
              <w:jc w:val="center"/>
              <w:rPr>
                <w:rFonts w:cs="Arial"/>
                <w:color w:val="000000"/>
                <w:sz w:val="16"/>
                <w:szCs w:val="16"/>
              </w:rPr>
            </w:pPr>
            <w:r>
              <w:rPr>
                <w:rFonts w:cs="Arial"/>
                <w:sz w:val="16"/>
                <w:szCs w:val="16"/>
              </w:rPr>
              <w:t>19,7</w:t>
            </w:r>
          </w:p>
        </w:tc>
        <w:tc>
          <w:tcPr>
            <w:tcW w:w="709" w:type="dxa"/>
            <w:tcBorders>
              <w:top w:val="nil"/>
              <w:left w:val="nil"/>
              <w:bottom w:val="nil"/>
              <w:right w:val="nil"/>
            </w:tcBorders>
            <w:shd w:val="clear" w:color="auto" w:fill="auto"/>
            <w:vAlign w:val="center"/>
            <w:hideMark/>
          </w:tcPr>
          <w:p w14:paraId="6BADAF70" w14:textId="4C1CA7FE" w:rsidR="00F50CFB" w:rsidRPr="00D92E20" w:rsidRDefault="00F50CFB" w:rsidP="00F50CFB">
            <w:pPr>
              <w:spacing w:after="0" w:line="240" w:lineRule="auto"/>
              <w:jc w:val="center"/>
              <w:rPr>
                <w:rFonts w:cs="Arial"/>
                <w:color w:val="000000"/>
                <w:sz w:val="16"/>
                <w:szCs w:val="16"/>
              </w:rPr>
            </w:pPr>
            <w:r>
              <w:rPr>
                <w:rFonts w:cs="Arial"/>
                <w:sz w:val="16"/>
                <w:szCs w:val="16"/>
              </w:rPr>
              <w:t>12,2</w:t>
            </w:r>
          </w:p>
        </w:tc>
        <w:tc>
          <w:tcPr>
            <w:tcW w:w="709" w:type="dxa"/>
            <w:tcBorders>
              <w:top w:val="nil"/>
              <w:left w:val="nil"/>
              <w:bottom w:val="nil"/>
              <w:right w:val="nil"/>
            </w:tcBorders>
            <w:shd w:val="clear" w:color="auto" w:fill="auto"/>
            <w:vAlign w:val="center"/>
            <w:hideMark/>
          </w:tcPr>
          <w:p w14:paraId="01305BF8" w14:textId="0F60DC56" w:rsidR="00F50CFB" w:rsidRPr="00D92E20" w:rsidRDefault="00F50CFB" w:rsidP="00F50CFB">
            <w:pPr>
              <w:spacing w:after="0" w:line="240" w:lineRule="auto"/>
              <w:jc w:val="center"/>
              <w:rPr>
                <w:rFonts w:cs="Arial"/>
                <w:color w:val="000000"/>
                <w:sz w:val="16"/>
                <w:szCs w:val="16"/>
              </w:rPr>
            </w:pPr>
            <w:r>
              <w:rPr>
                <w:rFonts w:cs="Arial"/>
                <w:sz w:val="16"/>
                <w:szCs w:val="16"/>
              </w:rPr>
              <w:t>7,5</w:t>
            </w:r>
          </w:p>
        </w:tc>
      </w:tr>
      <w:tr w:rsidR="00F50CFB" w:rsidRPr="00D92E20" w14:paraId="3BDD3B51" w14:textId="77777777" w:rsidTr="00350B58">
        <w:trPr>
          <w:trHeight w:val="296"/>
        </w:trPr>
        <w:tc>
          <w:tcPr>
            <w:tcW w:w="1009" w:type="dxa"/>
            <w:tcBorders>
              <w:top w:val="nil"/>
              <w:left w:val="nil"/>
              <w:bottom w:val="nil"/>
              <w:right w:val="nil"/>
            </w:tcBorders>
            <w:shd w:val="clear" w:color="auto" w:fill="auto"/>
            <w:vAlign w:val="center"/>
            <w:hideMark/>
          </w:tcPr>
          <w:p w14:paraId="6A0670C7" w14:textId="23EC3E89" w:rsidR="00F50CFB" w:rsidRPr="00D92E20" w:rsidRDefault="00F50CFB" w:rsidP="00F50CFB">
            <w:pPr>
              <w:spacing w:after="0" w:line="240" w:lineRule="auto"/>
              <w:jc w:val="center"/>
              <w:rPr>
                <w:rFonts w:cs="Arial"/>
                <w:color w:val="000000"/>
                <w:sz w:val="16"/>
                <w:szCs w:val="16"/>
              </w:rPr>
            </w:pPr>
            <w:r>
              <w:rPr>
                <w:rFonts w:cs="Arial"/>
                <w:sz w:val="16"/>
                <w:szCs w:val="16"/>
              </w:rPr>
              <w:t>1. pol. 2016</w:t>
            </w:r>
          </w:p>
        </w:tc>
        <w:tc>
          <w:tcPr>
            <w:tcW w:w="710" w:type="dxa"/>
            <w:tcBorders>
              <w:top w:val="nil"/>
              <w:left w:val="single" w:sz="4" w:space="0" w:color="auto"/>
              <w:bottom w:val="nil"/>
              <w:right w:val="nil"/>
            </w:tcBorders>
            <w:shd w:val="clear" w:color="auto" w:fill="auto"/>
            <w:vAlign w:val="center"/>
            <w:hideMark/>
          </w:tcPr>
          <w:p w14:paraId="142182B9" w14:textId="7CD6EB7C" w:rsidR="00F50CFB" w:rsidRPr="00D92E20" w:rsidRDefault="00F50CFB" w:rsidP="00F50CFB">
            <w:pPr>
              <w:spacing w:after="0" w:line="240" w:lineRule="auto"/>
              <w:jc w:val="center"/>
              <w:rPr>
                <w:rFonts w:cs="Arial"/>
                <w:color w:val="000000"/>
                <w:sz w:val="16"/>
                <w:szCs w:val="16"/>
              </w:rPr>
            </w:pPr>
            <w:r>
              <w:rPr>
                <w:rFonts w:cs="Arial"/>
                <w:sz w:val="16"/>
                <w:szCs w:val="16"/>
              </w:rPr>
              <w:t>202,1</w:t>
            </w:r>
          </w:p>
        </w:tc>
        <w:tc>
          <w:tcPr>
            <w:tcW w:w="703" w:type="dxa"/>
            <w:tcBorders>
              <w:top w:val="nil"/>
              <w:left w:val="nil"/>
              <w:bottom w:val="nil"/>
              <w:right w:val="nil"/>
            </w:tcBorders>
            <w:shd w:val="clear" w:color="auto" w:fill="auto"/>
            <w:vAlign w:val="center"/>
            <w:hideMark/>
          </w:tcPr>
          <w:p w14:paraId="64A0B36B" w14:textId="29FF579A" w:rsidR="00F50CFB" w:rsidRPr="00D92E20" w:rsidRDefault="00F50CFB" w:rsidP="00F50CFB">
            <w:pPr>
              <w:spacing w:after="0" w:line="240" w:lineRule="auto"/>
              <w:jc w:val="center"/>
              <w:rPr>
                <w:rFonts w:cs="Arial"/>
                <w:color w:val="000000"/>
                <w:sz w:val="16"/>
                <w:szCs w:val="16"/>
              </w:rPr>
            </w:pPr>
            <w:r>
              <w:rPr>
                <w:rFonts w:cs="Arial"/>
                <w:sz w:val="16"/>
                <w:szCs w:val="16"/>
              </w:rPr>
              <w:t>91,5</w:t>
            </w:r>
          </w:p>
        </w:tc>
        <w:tc>
          <w:tcPr>
            <w:tcW w:w="705" w:type="dxa"/>
            <w:tcBorders>
              <w:top w:val="nil"/>
              <w:left w:val="nil"/>
              <w:bottom w:val="nil"/>
              <w:right w:val="single" w:sz="4" w:space="0" w:color="auto"/>
            </w:tcBorders>
            <w:shd w:val="clear" w:color="auto" w:fill="auto"/>
            <w:vAlign w:val="center"/>
            <w:hideMark/>
          </w:tcPr>
          <w:p w14:paraId="04100344" w14:textId="31FCBA1D" w:rsidR="00F50CFB" w:rsidRPr="00D92E20" w:rsidRDefault="00F50CFB" w:rsidP="00F50CFB">
            <w:pPr>
              <w:spacing w:after="0" w:line="240" w:lineRule="auto"/>
              <w:jc w:val="center"/>
              <w:rPr>
                <w:rFonts w:cs="Arial"/>
                <w:color w:val="000000"/>
                <w:sz w:val="16"/>
                <w:szCs w:val="16"/>
              </w:rPr>
            </w:pPr>
            <w:r>
              <w:rPr>
                <w:rFonts w:cs="Arial"/>
                <w:sz w:val="16"/>
                <w:szCs w:val="16"/>
              </w:rPr>
              <w:t>110,6</w:t>
            </w:r>
          </w:p>
        </w:tc>
        <w:tc>
          <w:tcPr>
            <w:tcW w:w="707" w:type="dxa"/>
            <w:tcBorders>
              <w:top w:val="nil"/>
              <w:left w:val="nil"/>
              <w:bottom w:val="nil"/>
              <w:right w:val="nil"/>
            </w:tcBorders>
            <w:shd w:val="clear" w:color="auto" w:fill="auto"/>
            <w:vAlign w:val="center"/>
            <w:hideMark/>
          </w:tcPr>
          <w:p w14:paraId="7559F0B0" w14:textId="19807D4C" w:rsidR="00F50CFB" w:rsidRPr="00D92E20" w:rsidRDefault="00F50CFB" w:rsidP="00F50CFB">
            <w:pPr>
              <w:spacing w:after="0" w:line="240" w:lineRule="auto"/>
              <w:jc w:val="center"/>
              <w:rPr>
                <w:rFonts w:cs="Arial"/>
                <w:color w:val="000000"/>
                <w:sz w:val="16"/>
                <w:szCs w:val="16"/>
              </w:rPr>
            </w:pPr>
            <w:r>
              <w:rPr>
                <w:rFonts w:cs="Arial"/>
                <w:sz w:val="16"/>
                <w:szCs w:val="16"/>
              </w:rPr>
              <w:t>174,0</w:t>
            </w:r>
          </w:p>
        </w:tc>
        <w:tc>
          <w:tcPr>
            <w:tcW w:w="704" w:type="dxa"/>
            <w:tcBorders>
              <w:top w:val="nil"/>
              <w:left w:val="nil"/>
              <w:bottom w:val="nil"/>
              <w:right w:val="nil"/>
            </w:tcBorders>
            <w:shd w:val="clear" w:color="auto" w:fill="auto"/>
            <w:vAlign w:val="center"/>
            <w:hideMark/>
          </w:tcPr>
          <w:p w14:paraId="1673777E" w14:textId="2F17531E" w:rsidR="00F50CFB" w:rsidRPr="00D92E20" w:rsidRDefault="00F50CFB" w:rsidP="00F50CFB">
            <w:pPr>
              <w:spacing w:after="0" w:line="240" w:lineRule="auto"/>
              <w:jc w:val="center"/>
              <w:rPr>
                <w:rFonts w:cs="Arial"/>
                <w:color w:val="000000"/>
                <w:sz w:val="16"/>
                <w:szCs w:val="16"/>
              </w:rPr>
            </w:pPr>
            <w:r>
              <w:rPr>
                <w:rFonts w:cs="Arial"/>
                <w:sz w:val="16"/>
                <w:szCs w:val="16"/>
              </w:rPr>
              <w:t>73,7</w:t>
            </w:r>
          </w:p>
        </w:tc>
        <w:tc>
          <w:tcPr>
            <w:tcW w:w="705" w:type="dxa"/>
            <w:tcBorders>
              <w:top w:val="nil"/>
              <w:left w:val="nil"/>
              <w:bottom w:val="nil"/>
              <w:right w:val="nil"/>
            </w:tcBorders>
            <w:shd w:val="clear" w:color="auto" w:fill="auto"/>
            <w:vAlign w:val="center"/>
            <w:hideMark/>
          </w:tcPr>
          <w:p w14:paraId="66BBD172" w14:textId="2017DE9D" w:rsidR="00F50CFB" w:rsidRPr="00D92E20" w:rsidRDefault="00F50CFB" w:rsidP="00F50CFB">
            <w:pPr>
              <w:spacing w:after="0" w:line="240" w:lineRule="auto"/>
              <w:jc w:val="center"/>
              <w:rPr>
                <w:rFonts w:cs="Arial"/>
                <w:color w:val="000000"/>
                <w:sz w:val="16"/>
                <w:szCs w:val="16"/>
              </w:rPr>
            </w:pPr>
            <w:r>
              <w:rPr>
                <w:rFonts w:cs="Arial"/>
                <w:sz w:val="16"/>
                <w:szCs w:val="16"/>
              </w:rPr>
              <w:t>100,3</w:t>
            </w:r>
          </w:p>
        </w:tc>
        <w:tc>
          <w:tcPr>
            <w:tcW w:w="754" w:type="dxa"/>
            <w:tcBorders>
              <w:top w:val="nil"/>
              <w:left w:val="single" w:sz="4" w:space="0" w:color="auto"/>
              <w:bottom w:val="nil"/>
              <w:right w:val="nil"/>
            </w:tcBorders>
            <w:shd w:val="clear" w:color="auto" w:fill="auto"/>
            <w:vAlign w:val="center"/>
            <w:hideMark/>
          </w:tcPr>
          <w:p w14:paraId="4E5EF6DA" w14:textId="4D65FDCB" w:rsidR="00F50CFB" w:rsidRPr="00D92E20" w:rsidRDefault="00F50CFB" w:rsidP="00F50CFB">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2C30ED60" w14:textId="3ADBF7D2" w:rsidR="00F50CFB" w:rsidRPr="00D92E20" w:rsidRDefault="00F50CFB" w:rsidP="00F50CFB">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6C0F5018" w14:textId="6FEC64C0" w:rsidR="00F50CFB" w:rsidRPr="00D92E20" w:rsidRDefault="00F50CFB" w:rsidP="00F50CFB">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228088DB" w14:textId="2AF42677" w:rsidR="00F50CFB" w:rsidRPr="00D92E20" w:rsidRDefault="00F50CFB" w:rsidP="00F50CFB">
            <w:pPr>
              <w:spacing w:after="0" w:line="240" w:lineRule="auto"/>
              <w:jc w:val="center"/>
              <w:rPr>
                <w:rFonts w:cs="Arial"/>
                <w:color w:val="000000"/>
                <w:sz w:val="16"/>
                <w:szCs w:val="16"/>
              </w:rPr>
            </w:pPr>
            <w:r>
              <w:rPr>
                <w:rFonts w:cs="Arial"/>
                <w:sz w:val="16"/>
                <w:szCs w:val="16"/>
              </w:rPr>
              <w:t>20,9</w:t>
            </w:r>
          </w:p>
        </w:tc>
        <w:tc>
          <w:tcPr>
            <w:tcW w:w="709" w:type="dxa"/>
            <w:tcBorders>
              <w:top w:val="nil"/>
              <w:left w:val="nil"/>
              <w:bottom w:val="nil"/>
              <w:right w:val="nil"/>
            </w:tcBorders>
            <w:shd w:val="clear" w:color="auto" w:fill="auto"/>
            <w:vAlign w:val="center"/>
            <w:hideMark/>
          </w:tcPr>
          <w:p w14:paraId="380EEED5" w14:textId="52BEBD73" w:rsidR="00F50CFB" w:rsidRPr="00D92E20" w:rsidRDefault="00F50CFB" w:rsidP="00F50CFB">
            <w:pPr>
              <w:spacing w:after="0" w:line="240" w:lineRule="auto"/>
              <w:jc w:val="center"/>
              <w:rPr>
                <w:rFonts w:cs="Arial"/>
                <w:color w:val="000000"/>
                <w:sz w:val="16"/>
                <w:szCs w:val="16"/>
              </w:rPr>
            </w:pPr>
            <w:r>
              <w:rPr>
                <w:rFonts w:cs="Arial"/>
                <w:sz w:val="16"/>
                <w:szCs w:val="16"/>
              </w:rPr>
              <w:t>12,9</w:t>
            </w:r>
          </w:p>
        </w:tc>
        <w:tc>
          <w:tcPr>
            <w:tcW w:w="709" w:type="dxa"/>
            <w:tcBorders>
              <w:top w:val="nil"/>
              <w:left w:val="nil"/>
              <w:bottom w:val="nil"/>
              <w:right w:val="nil"/>
            </w:tcBorders>
            <w:shd w:val="clear" w:color="auto" w:fill="auto"/>
            <w:vAlign w:val="center"/>
            <w:hideMark/>
          </w:tcPr>
          <w:p w14:paraId="2FED40D7" w14:textId="38D1C131" w:rsidR="00F50CFB" w:rsidRPr="00D92E20" w:rsidRDefault="00F50CFB" w:rsidP="00F50CFB">
            <w:pPr>
              <w:spacing w:after="0" w:line="240" w:lineRule="auto"/>
              <w:jc w:val="center"/>
              <w:rPr>
                <w:rFonts w:cs="Arial"/>
                <w:color w:val="000000"/>
                <w:sz w:val="16"/>
                <w:szCs w:val="16"/>
              </w:rPr>
            </w:pPr>
            <w:r>
              <w:rPr>
                <w:rFonts w:cs="Arial"/>
                <w:sz w:val="16"/>
                <w:szCs w:val="16"/>
              </w:rPr>
              <w:t>8,0</w:t>
            </w:r>
          </w:p>
        </w:tc>
      </w:tr>
      <w:tr w:rsidR="00F50CFB" w:rsidRPr="00D92E20" w14:paraId="3C93E67D" w14:textId="77777777" w:rsidTr="00350B58">
        <w:trPr>
          <w:trHeight w:val="296"/>
        </w:trPr>
        <w:tc>
          <w:tcPr>
            <w:tcW w:w="1009" w:type="dxa"/>
            <w:tcBorders>
              <w:top w:val="nil"/>
              <w:left w:val="nil"/>
              <w:bottom w:val="nil"/>
              <w:right w:val="nil"/>
            </w:tcBorders>
            <w:shd w:val="clear" w:color="auto" w:fill="auto"/>
            <w:vAlign w:val="center"/>
            <w:hideMark/>
          </w:tcPr>
          <w:p w14:paraId="313969A5" w14:textId="480A5E95" w:rsidR="00F50CFB" w:rsidRPr="00D92E20" w:rsidRDefault="00F50CFB" w:rsidP="00F50CFB">
            <w:pPr>
              <w:spacing w:after="0" w:line="240" w:lineRule="auto"/>
              <w:jc w:val="center"/>
              <w:rPr>
                <w:rFonts w:cs="Arial"/>
                <w:color w:val="000000"/>
                <w:sz w:val="16"/>
                <w:szCs w:val="16"/>
              </w:rPr>
            </w:pPr>
            <w:r>
              <w:rPr>
                <w:rFonts w:cs="Arial"/>
                <w:sz w:val="16"/>
                <w:szCs w:val="16"/>
              </w:rPr>
              <w:t>1. pol. 2017</w:t>
            </w:r>
          </w:p>
        </w:tc>
        <w:tc>
          <w:tcPr>
            <w:tcW w:w="710" w:type="dxa"/>
            <w:tcBorders>
              <w:top w:val="nil"/>
              <w:left w:val="single" w:sz="4" w:space="0" w:color="auto"/>
              <w:bottom w:val="nil"/>
              <w:right w:val="nil"/>
            </w:tcBorders>
            <w:shd w:val="clear" w:color="auto" w:fill="auto"/>
            <w:vAlign w:val="center"/>
            <w:hideMark/>
          </w:tcPr>
          <w:p w14:paraId="0296A2E8" w14:textId="6695CAC4" w:rsidR="00F50CFB" w:rsidRPr="00D92E20" w:rsidRDefault="00F50CFB" w:rsidP="00F50CFB">
            <w:pPr>
              <w:spacing w:after="0" w:line="240" w:lineRule="auto"/>
              <w:jc w:val="center"/>
              <w:rPr>
                <w:rFonts w:cs="Arial"/>
                <w:color w:val="000000"/>
                <w:sz w:val="16"/>
                <w:szCs w:val="16"/>
              </w:rPr>
            </w:pPr>
            <w:r>
              <w:rPr>
                <w:rFonts w:cs="Arial"/>
                <w:sz w:val="16"/>
                <w:szCs w:val="16"/>
              </w:rPr>
              <w:t>213,9</w:t>
            </w:r>
          </w:p>
        </w:tc>
        <w:tc>
          <w:tcPr>
            <w:tcW w:w="703" w:type="dxa"/>
            <w:tcBorders>
              <w:top w:val="nil"/>
              <w:left w:val="nil"/>
              <w:bottom w:val="nil"/>
              <w:right w:val="nil"/>
            </w:tcBorders>
            <w:shd w:val="clear" w:color="auto" w:fill="auto"/>
            <w:vAlign w:val="center"/>
            <w:hideMark/>
          </w:tcPr>
          <w:p w14:paraId="67F44817" w14:textId="1AA64C79" w:rsidR="00F50CFB" w:rsidRPr="00D92E20" w:rsidRDefault="00F50CFB" w:rsidP="00F50CFB">
            <w:pPr>
              <w:spacing w:after="0" w:line="240" w:lineRule="auto"/>
              <w:jc w:val="center"/>
              <w:rPr>
                <w:rFonts w:cs="Arial"/>
                <w:color w:val="000000"/>
                <w:sz w:val="16"/>
                <w:szCs w:val="16"/>
              </w:rPr>
            </w:pPr>
            <w:r>
              <w:rPr>
                <w:rFonts w:cs="Arial"/>
                <w:sz w:val="16"/>
                <w:szCs w:val="16"/>
              </w:rPr>
              <w:t>97,1</w:t>
            </w:r>
          </w:p>
        </w:tc>
        <w:tc>
          <w:tcPr>
            <w:tcW w:w="705" w:type="dxa"/>
            <w:tcBorders>
              <w:top w:val="nil"/>
              <w:left w:val="nil"/>
              <w:bottom w:val="nil"/>
              <w:right w:val="single" w:sz="4" w:space="0" w:color="auto"/>
            </w:tcBorders>
            <w:shd w:val="clear" w:color="auto" w:fill="auto"/>
            <w:vAlign w:val="center"/>
            <w:hideMark/>
          </w:tcPr>
          <w:p w14:paraId="217E81D6" w14:textId="7356D60F" w:rsidR="00F50CFB" w:rsidRPr="00D92E20" w:rsidRDefault="00F50CFB" w:rsidP="00F50CFB">
            <w:pPr>
              <w:spacing w:after="0" w:line="240" w:lineRule="auto"/>
              <w:jc w:val="center"/>
              <w:rPr>
                <w:rFonts w:cs="Arial"/>
                <w:color w:val="000000"/>
                <w:sz w:val="16"/>
                <w:szCs w:val="16"/>
              </w:rPr>
            </w:pPr>
            <w:r>
              <w:rPr>
                <w:rFonts w:cs="Arial"/>
                <w:sz w:val="16"/>
                <w:szCs w:val="16"/>
              </w:rPr>
              <w:t>116,8</w:t>
            </w:r>
          </w:p>
        </w:tc>
        <w:tc>
          <w:tcPr>
            <w:tcW w:w="707" w:type="dxa"/>
            <w:tcBorders>
              <w:top w:val="nil"/>
              <w:left w:val="nil"/>
              <w:bottom w:val="nil"/>
              <w:right w:val="nil"/>
            </w:tcBorders>
            <w:shd w:val="clear" w:color="auto" w:fill="auto"/>
            <w:vAlign w:val="center"/>
            <w:hideMark/>
          </w:tcPr>
          <w:p w14:paraId="0D47B34E" w14:textId="0458EDE8" w:rsidR="00F50CFB" w:rsidRPr="00D92E20" w:rsidRDefault="00F50CFB" w:rsidP="00F50CFB">
            <w:pPr>
              <w:spacing w:after="0" w:line="240" w:lineRule="auto"/>
              <w:jc w:val="center"/>
              <w:rPr>
                <w:rFonts w:cs="Arial"/>
                <w:color w:val="000000"/>
                <w:sz w:val="16"/>
                <w:szCs w:val="16"/>
              </w:rPr>
            </w:pPr>
            <w:r>
              <w:rPr>
                <w:rFonts w:cs="Arial"/>
                <w:sz w:val="16"/>
                <w:szCs w:val="16"/>
              </w:rPr>
              <w:t>183,8</w:t>
            </w:r>
          </w:p>
        </w:tc>
        <w:tc>
          <w:tcPr>
            <w:tcW w:w="704" w:type="dxa"/>
            <w:tcBorders>
              <w:top w:val="nil"/>
              <w:left w:val="nil"/>
              <w:bottom w:val="nil"/>
              <w:right w:val="nil"/>
            </w:tcBorders>
            <w:shd w:val="clear" w:color="auto" w:fill="auto"/>
            <w:vAlign w:val="center"/>
            <w:hideMark/>
          </w:tcPr>
          <w:p w14:paraId="12B67288" w14:textId="6B924C00" w:rsidR="00F50CFB" w:rsidRPr="00D92E20" w:rsidRDefault="00F50CFB" w:rsidP="00F50CFB">
            <w:pPr>
              <w:spacing w:after="0" w:line="240" w:lineRule="auto"/>
              <w:jc w:val="center"/>
              <w:rPr>
                <w:rFonts w:cs="Arial"/>
                <w:color w:val="000000"/>
                <w:sz w:val="16"/>
                <w:szCs w:val="16"/>
              </w:rPr>
            </w:pPr>
            <w:r>
              <w:rPr>
                <w:rFonts w:cs="Arial"/>
                <w:sz w:val="16"/>
                <w:szCs w:val="16"/>
              </w:rPr>
              <w:t>78,5</w:t>
            </w:r>
          </w:p>
        </w:tc>
        <w:tc>
          <w:tcPr>
            <w:tcW w:w="705" w:type="dxa"/>
            <w:tcBorders>
              <w:top w:val="nil"/>
              <w:left w:val="nil"/>
              <w:bottom w:val="nil"/>
              <w:right w:val="nil"/>
            </w:tcBorders>
            <w:shd w:val="clear" w:color="auto" w:fill="auto"/>
            <w:vAlign w:val="center"/>
            <w:hideMark/>
          </w:tcPr>
          <w:p w14:paraId="7C5491E9" w14:textId="044C5C2B" w:rsidR="00F50CFB" w:rsidRPr="00D92E20" w:rsidRDefault="00F50CFB" w:rsidP="00F50CFB">
            <w:pPr>
              <w:spacing w:after="0" w:line="240" w:lineRule="auto"/>
              <w:jc w:val="center"/>
              <w:rPr>
                <w:rFonts w:cs="Arial"/>
                <w:color w:val="000000"/>
                <w:sz w:val="16"/>
                <w:szCs w:val="16"/>
              </w:rPr>
            </w:pPr>
            <w:r>
              <w:rPr>
                <w:rFonts w:cs="Arial"/>
                <w:sz w:val="16"/>
                <w:szCs w:val="16"/>
              </w:rPr>
              <w:t>105,2</w:t>
            </w:r>
          </w:p>
        </w:tc>
        <w:tc>
          <w:tcPr>
            <w:tcW w:w="754" w:type="dxa"/>
            <w:tcBorders>
              <w:top w:val="nil"/>
              <w:left w:val="single" w:sz="4" w:space="0" w:color="auto"/>
              <w:bottom w:val="nil"/>
              <w:right w:val="nil"/>
            </w:tcBorders>
            <w:shd w:val="clear" w:color="auto" w:fill="auto"/>
            <w:vAlign w:val="center"/>
            <w:hideMark/>
          </w:tcPr>
          <w:p w14:paraId="536E94EC" w14:textId="2B85E7B7" w:rsidR="00F50CFB" w:rsidRPr="00D92E20" w:rsidRDefault="00F50CFB" w:rsidP="00F50CFB">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5454168C" w14:textId="4F8A84FA" w:rsidR="00F50CFB" w:rsidRPr="00D92E20" w:rsidRDefault="00F50CFB" w:rsidP="00F50CFB">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38F1D985" w14:textId="27FE7382" w:rsidR="00F50CFB" w:rsidRPr="00D92E20" w:rsidRDefault="00F50CFB" w:rsidP="00F50CFB">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313282EF" w14:textId="4D7B139F" w:rsidR="00F50CFB" w:rsidRPr="00D92E20" w:rsidRDefault="00F50CFB" w:rsidP="00F50CFB">
            <w:pPr>
              <w:spacing w:after="0" w:line="240" w:lineRule="auto"/>
              <w:jc w:val="center"/>
              <w:rPr>
                <w:rFonts w:cs="Arial"/>
                <w:color w:val="000000"/>
                <w:sz w:val="16"/>
                <w:szCs w:val="16"/>
              </w:rPr>
            </w:pPr>
            <w:r>
              <w:rPr>
                <w:rFonts w:cs="Arial"/>
                <w:sz w:val="16"/>
                <w:szCs w:val="16"/>
              </w:rPr>
              <w:t>22,7</w:t>
            </w:r>
          </w:p>
        </w:tc>
        <w:tc>
          <w:tcPr>
            <w:tcW w:w="709" w:type="dxa"/>
            <w:tcBorders>
              <w:top w:val="nil"/>
              <w:left w:val="nil"/>
              <w:bottom w:val="nil"/>
              <w:right w:val="nil"/>
            </w:tcBorders>
            <w:shd w:val="clear" w:color="auto" w:fill="auto"/>
            <w:vAlign w:val="center"/>
            <w:hideMark/>
          </w:tcPr>
          <w:p w14:paraId="79D5C677" w14:textId="46FEDE70" w:rsidR="00F50CFB" w:rsidRPr="00D92E20" w:rsidRDefault="00F50CFB" w:rsidP="00F50CFB">
            <w:pPr>
              <w:spacing w:after="0" w:line="240" w:lineRule="auto"/>
              <w:jc w:val="center"/>
              <w:rPr>
                <w:rFonts w:cs="Arial"/>
                <w:color w:val="000000"/>
                <w:sz w:val="16"/>
                <w:szCs w:val="16"/>
              </w:rPr>
            </w:pPr>
            <w:r>
              <w:rPr>
                <w:rFonts w:cs="Arial"/>
                <w:sz w:val="16"/>
                <w:szCs w:val="16"/>
              </w:rPr>
              <w:t>13,5</w:t>
            </w:r>
          </w:p>
        </w:tc>
        <w:tc>
          <w:tcPr>
            <w:tcW w:w="709" w:type="dxa"/>
            <w:tcBorders>
              <w:top w:val="nil"/>
              <w:left w:val="nil"/>
              <w:bottom w:val="nil"/>
              <w:right w:val="nil"/>
            </w:tcBorders>
            <w:shd w:val="clear" w:color="auto" w:fill="auto"/>
            <w:vAlign w:val="center"/>
            <w:hideMark/>
          </w:tcPr>
          <w:p w14:paraId="192BB38D" w14:textId="669401F6" w:rsidR="00F50CFB" w:rsidRPr="00D92E20" w:rsidRDefault="00F50CFB" w:rsidP="00F50CFB">
            <w:pPr>
              <w:spacing w:after="0" w:line="240" w:lineRule="auto"/>
              <w:jc w:val="center"/>
              <w:rPr>
                <w:rFonts w:cs="Arial"/>
                <w:color w:val="000000"/>
                <w:sz w:val="16"/>
                <w:szCs w:val="16"/>
              </w:rPr>
            </w:pPr>
            <w:r>
              <w:rPr>
                <w:rFonts w:cs="Arial"/>
                <w:sz w:val="16"/>
                <w:szCs w:val="16"/>
              </w:rPr>
              <w:t>9,2</w:t>
            </w:r>
          </w:p>
        </w:tc>
      </w:tr>
      <w:tr w:rsidR="00F50CFB" w:rsidRPr="00D92E20" w14:paraId="79727C70" w14:textId="77777777" w:rsidTr="00350B58">
        <w:trPr>
          <w:trHeight w:val="296"/>
        </w:trPr>
        <w:tc>
          <w:tcPr>
            <w:tcW w:w="1009" w:type="dxa"/>
            <w:tcBorders>
              <w:top w:val="nil"/>
              <w:left w:val="nil"/>
              <w:bottom w:val="nil"/>
              <w:right w:val="nil"/>
            </w:tcBorders>
            <w:shd w:val="clear" w:color="auto" w:fill="auto"/>
            <w:vAlign w:val="center"/>
            <w:hideMark/>
          </w:tcPr>
          <w:p w14:paraId="10FE2114" w14:textId="06DE1D8A" w:rsidR="00F50CFB" w:rsidRPr="00D92E20" w:rsidRDefault="00F50CFB" w:rsidP="00F50CFB">
            <w:pPr>
              <w:spacing w:after="0" w:line="240" w:lineRule="auto"/>
              <w:jc w:val="center"/>
              <w:rPr>
                <w:rFonts w:cs="Arial"/>
                <w:color w:val="000000"/>
                <w:sz w:val="16"/>
                <w:szCs w:val="16"/>
              </w:rPr>
            </w:pPr>
            <w:r>
              <w:rPr>
                <w:rFonts w:cs="Arial"/>
                <w:sz w:val="16"/>
                <w:szCs w:val="16"/>
              </w:rPr>
              <w:t>1. pol. 2018</w:t>
            </w:r>
          </w:p>
        </w:tc>
        <w:tc>
          <w:tcPr>
            <w:tcW w:w="710" w:type="dxa"/>
            <w:tcBorders>
              <w:top w:val="nil"/>
              <w:left w:val="single" w:sz="4" w:space="0" w:color="auto"/>
              <w:bottom w:val="nil"/>
              <w:right w:val="nil"/>
            </w:tcBorders>
            <w:shd w:val="clear" w:color="auto" w:fill="auto"/>
            <w:vAlign w:val="center"/>
            <w:hideMark/>
          </w:tcPr>
          <w:p w14:paraId="0047C3AD" w14:textId="6D9E8BA3" w:rsidR="00F50CFB" w:rsidRPr="00D92E20" w:rsidRDefault="00F50CFB" w:rsidP="00F50CFB">
            <w:pPr>
              <w:spacing w:after="0" w:line="240" w:lineRule="auto"/>
              <w:jc w:val="center"/>
              <w:rPr>
                <w:rFonts w:cs="Arial"/>
                <w:color w:val="000000"/>
                <w:sz w:val="16"/>
                <w:szCs w:val="16"/>
              </w:rPr>
            </w:pPr>
            <w:r>
              <w:rPr>
                <w:rFonts w:cs="Arial"/>
                <w:sz w:val="16"/>
                <w:szCs w:val="16"/>
              </w:rPr>
              <w:t>224,4</w:t>
            </w:r>
          </w:p>
        </w:tc>
        <w:tc>
          <w:tcPr>
            <w:tcW w:w="703" w:type="dxa"/>
            <w:tcBorders>
              <w:top w:val="nil"/>
              <w:left w:val="nil"/>
              <w:bottom w:val="nil"/>
              <w:right w:val="nil"/>
            </w:tcBorders>
            <w:shd w:val="clear" w:color="auto" w:fill="auto"/>
            <w:vAlign w:val="center"/>
            <w:hideMark/>
          </w:tcPr>
          <w:p w14:paraId="5C2A7B4B" w14:textId="5518236B" w:rsidR="00F50CFB" w:rsidRPr="00D92E20" w:rsidRDefault="00F50CFB" w:rsidP="00F50CFB">
            <w:pPr>
              <w:spacing w:after="0" w:line="240" w:lineRule="auto"/>
              <w:jc w:val="center"/>
              <w:rPr>
                <w:rFonts w:cs="Arial"/>
                <w:color w:val="000000"/>
                <w:sz w:val="16"/>
                <w:szCs w:val="16"/>
              </w:rPr>
            </w:pPr>
            <w:r>
              <w:rPr>
                <w:rFonts w:cs="Arial"/>
                <w:sz w:val="16"/>
                <w:szCs w:val="16"/>
              </w:rPr>
              <w:t>101,9</w:t>
            </w:r>
          </w:p>
        </w:tc>
        <w:tc>
          <w:tcPr>
            <w:tcW w:w="705" w:type="dxa"/>
            <w:tcBorders>
              <w:top w:val="nil"/>
              <w:left w:val="nil"/>
              <w:bottom w:val="nil"/>
              <w:right w:val="single" w:sz="4" w:space="0" w:color="auto"/>
            </w:tcBorders>
            <w:shd w:val="clear" w:color="auto" w:fill="auto"/>
            <w:vAlign w:val="center"/>
            <w:hideMark/>
          </w:tcPr>
          <w:p w14:paraId="64C8D5F8" w14:textId="7E839B32" w:rsidR="00F50CFB" w:rsidRPr="00D92E20" w:rsidRDefault="00F50CFB" w:rsidP="00F50CFB">
            <w:pPr>
              <w:spacing w:after="0" w:line="240" w:lineRule="auto"/>
              <w:jc w:val="center"/>
              <w:rPr>
                <w:rFonts w:cs="Arial"/>
                <w:color w:val="000000"/>
                <w:sz w:val="16"/>
                <w:szCs w:val="16"/>
              </w:rPr>
            </w:pPr>
            <w:r>
              <w:rPr>
                <w:rFonts w:cs="Arial"/>
                <w:sz w:val="16"/>
                <w:szCs w:val="16"/>
              </w:rPr>
              <w:t>122,6</w:t>
            </w:r>
          </w:p>
        </w:tc>
        <w:tc>
          <w:tcPr>
            <w:tcW w:w="707" w:type="dxa"/>
            <w:tcBorders>
              <w:top w:val="nil"/>
              <w:left w:val="nil"/>
              <w:bottom w:val="nil"/>
              <w:right w:val="nil"/>
            </w:tcBorders>
            <w:shd w:val="clear" w:color="auto" w:fill="auto"/>
            <w:vAlign w:val="center"/>
            <w:hideMark/>
          </w:tcPr>
          <w:p w14:paraId="07C57EA3" w14:textId="223207CF" w:rsidR="00F50CFB" w:rsidRPr="00D92E20" w:rsidRDefault="00F50CFB" w:rsidP="00F50CFB">
            <w:pPr>
              <w:spacing w:after="0" w:line="240" w:lineRule="auto"/>
              <w:jc w:val="center"/>
              <w:rPr>
                <w:rFonts w:cs="Arial"/>
                <w:color w:val="000000"/>
                <w:sz w:val="16"/>
                <w:szCs w:val="16"/>
              </w:rPr>
            </w:pPr>
            <w:r>
              <w:rPr>
                <w:rFonts w:cs="Arial"/>
                <w:sz w:val="16"/>
                <w:szCs w:val="16"/>
              </w:rPr>
              <w:t>194,3</w:t>
            </w:r>
          </w:p>
        </w:tc>
        <w:tc>
          <w:tcPr>
            <w:tcW w:w="704" w:type="dxa"/>
            <w:tcBorders>
              <w:top w:val="nil"/>
              <w:left w:val="nil"/>
              <w:bottom w:val="nil"/>
              <w:right w:val="nil"/>
            </w:tcBorders>
            <w:shd w:val="clear" w:color="auto" w:fill="auto"/>
            <w:vAlign w:val="center"/>
            <w:hideMark/>
          </w:tcPr>
          <w:p w14:paraId="3E97EA23" w14:textId="7AB0DFA9" w:rsidR="00F50CFB" w:rsidRPr="00D92E20" w:rsidRDefault="00F50CFB" w:rsidP="00F50CFB">
            <w:pPr>
              <w:spacing w:after="0" w:line="240" w:lineRule="auto"/>
              <w:jc w:val="center"/>
              <w:rPr>
                <w:rFonts w:cs="Arial"/>
                <w:color w:val="000000"/>
                <w:sz w:val="16"/>
                <w:szCs w:val="16"/>
              </w:rPr>
            </w:pPr>
            <w:r>
              <w:rPr>
                <w:rFonts w:cs="Arial"/>
                <w:sz w:val="16"/>
                <w:szCs w:val="16"/>
              </w:rPr>
              <w:t>83,3</w:t>
            </w:r>
          </w:p>
        </w:tc>
        <w:tc>
          <w:tcPr>
            <w:tcW w:w="705" w:type="dxa"/>
            <w:tcBorders>
              <w:top w:val="nil"/>
              <w:left w:val="nil"/>
              <w:bottom w:val="nil"/>
              <w:right w:val="nil"/>
            </w:tcBorders>
            <w:shd w:val="clear" w:color="auto" w:fill="auto"/>
            <w:vAlign w:val="center"/>
            <w:hideMark/>
          </w:tcPr>
          <w:p w14:paraId="64FE2006" w14:textId="71F28831" w:rsidR="00F50CFB" w:rsidRPr="00D92E20" w:rsidRDefault="00F50CFB" w:rsidP="00F50CFB">
            <w:pPr>
              <w:spacing w:after="0" w:line="240" w:lineRule="auto"/>
              <w:jc w:val="center"/>
              <w:rPr>
                <w:rFonts w:cs="Arial"/>
                <w:color w:val="000000"/>
                <w:sz w:val="16"/>
                <w:szCs w:val="16"/>
              </w:rPr>
            </w:pPr>
            <w:r>
              <w:rPr>
                <w:rFonts w:cs="Arial"/>
                <w:sz w:val="16"/>
                <w:szCs w:val="16"/>
              </w:rPr>
              <w:t>111,0</w:t>
            </w:r>
          </w:p>
        </w:tc>
        <w:tc>
          <w:tcPr>
            <w:tcW w:w="754" w:type="dxa"/>
            <w:tcBorders>
              <w:top w:val="nil"/>
              <w:left w:val="single" w:sz="4" w:space="0" w:color="auto"/>
              <w:bottom w:val="nil"/>
              <w:right w:val="nil"/>
            </w:tcBorders>
            <w:shd w:val="clear" w:color="auto" w:fill="auto"/>
            <w:vAlign w:val="center"/>
            <w:hideMark/>
          </w:tcPr>
          <w:p w14:paraId="041F61D2" w14:textId="6FB56D64" w:rsidR="00F50CFB" w:rsidRPr="00D92E20" w:rsidRDefault="00F50CFB" w:rsidP="00F50CFB">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42F86E62" w14:textId="1255285C" w:rsidR="00F50CFB" w:rsidRPr="00D92E20" w:rsidRDefault="00F50CFB" w:rsidP="00F50CFB">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4FAF8F2D" w14:textId="7F8C06D9" w:rsidR="00F50CFB" w:rsidRPr="00D92E20" w:rsidRDefault="00F50CFB" w:rsidP="00F50CFB">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1D148891" w14:textId="3E073752" w:rsidR="00F50CFB" w:rsidRPr="00D92E20" w:rsidRDefault="00F50CFB" w:rsidP="00F50CFB">
            <w:pPr>
              <w:spacing w:after="0" w:line="240" w:lineRule="auto"/>
              <w:jc w:val="center"/>
              <w:rPr>
                <w:rFonts w:cs="Arial"/>
                <w:color w:val="000000"/>
                <w:sz w:val="16"/>
                <w:szCs w:val="16"/>
              </w:rPr>
            </w:pPr>
            <w:r>
              <w:rPr>
                <w:rFonts w:cs="Arial"/>
                <w:sz w:val="16"/>
                <w:szCs w:val="16"/>
              </w:rPr>
              <w:t>22,9</w:t>
            </w:r>
          </w:p>
        </w:tc>
        <w:tc>
          <w:tcPr>
            <w:tcW w:w="709" w:type="dxa"/>
            <w:tcBorders>
              <w:top w:val="nil"/>
              <w:left w:val="nil"/>
              <w:bottom w:val="nil"/>
              <w:right w:val="nil"/>
            </w:tcBorders>
            <w:shd w:val="clear" w:color="auto" w:fill="auto"/>
            <w:vAlign w:val="center"/>
            <w:hideMark/>
          </w:tcPr>
          <w:p w14:paraId="37C7E6A3" w14:textId="3F677088" w:rsidR="00F50CFB" w:rsidRPr="00D92E20" w:rsidRDefault="00F50CFB" w:rsidP="00F50CFB">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0AE7CB64" w14:textId="18CF18B6" w:rsidR="00F50CFB" w:rsidRPr="00D92E20" w:rsidRDefault="00F50CFB" w:rsidP="00F50CFB">
            <w:pPr>
              <w:spacing w:after="0" w:line="240" w:lineRule="auto"/>
              <w:jc w:val="center"/>
              <w:rPr>
                <w:rFonts w:cs="Arial"/>
                <w:color w:val="000000"/>
                <w:sz w:val="16"/>
                <w:szCs w:val="16"/>
              </w:rPr>
            </w:pPr>
            <w:r>
              <w:rPr>
                <w:rFonts w:cs="Arial"/>
                <w:sz w:val="16"/>
                <w:szCs w:val="16"/>
              </w:rPr>
              <w:t>9,2</w:t>
            </w:r>
          </w:p>
        </w:tc>
      </w:tr>
      <w:tr w:rsidR="00F50CFB" w:rsidRPr="00D92E20" w14:paraId="6D8E63D0" w14:textId="77777777" w:rsidTr="00350B58">
        <w:trPr>
          <w:trHeight w:val="296"/>
        </w:trPr>
        <w:tc>
          <w:tcPr>
            <w:tcW w:w="1009" w:type="dxa"/>
            <w:tcBorders>
              <w:top w:val="nil"/>
              <w:left w:val="nil"/>
              <w:bottom w:val="nil"/>
              <w:right w:val="nil"/>
            </w:tcBorders>
            <w:shd w:val="clear" w:color="auto" w:fill="auto"/>
            <w:vAlign w:val="center"/>
            <w:hideMark/>
          </w:tcPr>
          <w:p w14:paraId="381CCEF9" w14:textId="6EC2C578" w:rsidR="00F50CFB" w:rsidRPr="00D92E20" w:rsidRDefault="00F50CFB" w:rsidP="00F50CFB">
            <w:pPr>
              <w:spacing w:after="0" w:line="240" w:lineRule="auto"/>
              <w:jc w:val="center"/>
              <w:rPr>
                <w:rFonts w:cs="Arial"/>
                <w:color w:val="000000"/>
                <w:sz w:val="16"/>
                <w:szCs w:val="16"/>
              </w:rPr>
            </w:pPr>
            <w:r>
              <w:rPr>
                <w:rFonts w:cs="Arial"/>
                <w:sz w:val="16"/>
                <w:szCs w:val="16"/>
              </w:rPr>
              <w:t>1. pol. 2019</w:t>
            </w:r>
          </w:p>
        </w:tc>
        <w:tc>
          <w:tcPr>
            <w:tcW w:w="710" w:type="dxa"/>
            <w:tcBorders>
              <w:top w:val="nil"/>
              <w:left w:val="single" w:sz="4" w:space="0" w:color="auto"/>
              <w:bottom w:val="nil"/>
              <w:right w:val="nil"/>
            </w:tcBorders>
            <w:shd w:val="clear" w:color="auto" w:fill="auto"/>
            <w:vAlign w:val="center"/>
            <w:hideMark/>
          </w:tcPr>
          <w:p w14:paraId="443CEAB7" w14:textId="3032D768" w:rsidR="00F50CFB" w:rsidRPr="00D92E20" w:rsidRDefault="00F50CFB" w:rsidP="00F50CFB">
            <w:pPr>
              <w:spacing w:after="0" w:line="240" w:lineRule="auto"/>
              <w:jc w:val="center"/>
              <w:rPr>
                <w:rFonts w:cs="Arial"/>
                <w:color w:val="000000"/>
                <w:sz w:val="16"/>
                <w:szCs w:val="16"/>
              </w:rPr>
            </w:pPr>
            <w:r>
              <w:rPr>
                <w:rFonts w:cs="Arial"/>
                <w:sz w:val="16"/>
                <w:szCs w:val="16"/>
              </w:rPr>
              <w:t>229,7</w:t>
            </w:r>
          </w:p>
        </w:tc>
        <w:tc>
          <w:tcPr>
            <w:tcW w:w="703" w:type="dxa"/>
            <w:tcBorders>
              <w:top w:val="nil"/>
              <w:left w:val="nil"/>
              <w:bottom w:val="nil"/>
              <w:right w:val="nil"/>
            </w:tcBorders>
            <w:shd w:val="clear" w:color="auto" w:fill="auto"/>
            <w:vAlign w:val="center"/>
            <w:hideMark/>
          </w:tcPr>
          <w:p w14:paraId="70055A86" w14:textId="76598A47" w:rsidR="00F50CFB" w:rsidRPr="00D92E20" w:rsidRDefault="00F50CFB" w:rsidP="00F50CFB">
            <w:pPr>
              <w:spacing w:after="0" w:line="240" w:lineRule="auto"/>
              <w:jc w:val="center"/>
              <w:rPr>
                <w:rFonts w:cs="Arial"/>
                <w:color w:val="000000"/>
                <w:sz w:val="16"/>
                <w:szCs w:val="16"/>
              </w:rPr>
            </w:pPr>
            <w:r>
              <w:rPr>
                <w:rFonts w:cs="Arial"/>
                <w:sz w:val="16"/>
                <w:szCs w:val="16"/>
              </w:rPr>
              <w:t>104,0</w:t>
            </w:r>
          </w:p>
        </w:tc>
        <w:tc>
          <w:tcPr>
            <w:tcW w:w="705" w:type="dxa"/>
            <w:tcBorders>
              <w:top w:val="nil"/>
              <w:left w:val="nil"/>
              <w:bottom w:val="nil"/>
              <w:right w:val="single" w:sz="4" w:space="0" w:color="auto"/>
            </w:tcBorders>
            <w:shd w:val="clear" w:color="auto" w:fill="auto"/>
            <w:vAlign w:val="center"/>
            <w:hideMark/>
          </w:tcPr>
          <w:p w14:paraId="186EC40A" w14:textId="6E704451" w:rsidR="00F50CFB" w:rsidRPr="00D92E20" w:rsidRDefault="00F50CFB" w:rsidP="00F50CFB">
            <w:pPr>
              <w:spacing w:after="0" w:line="240" w:lineRule="auto"/>
              <w:jc w:val="center"/>
              <w:rPr>
                <w:rFonts w:cs="Arial"/>
                <w:color w:val="000000"/>
                <w:sz w:val="16"/>
                <w:szCs w:val="16"/>
              </w:rPr>
            </w:pPr>
            <w:r>
              <w:rPr>
                <w:rFonts w:cs="Arial"/>
                <w:sz w:val="16"/>
                <w:szCs w:val="16"/>
              </w:rPr>
              <w:t>125,7</w:t>
            </w:r>
          </w:p>
        </w:tc>
        <w:tc>
          <w:tcPr>
            <w:tcW w:w="707" w:type="dxa"/>
            <w:tcBorders>
              <w:top w:val="nil"/>
              <w:left w:val="nil"/>
              <w:bottom w:val="nil"/>
              <w:right w:val="nil"/>
            </w:tcBorders>
            <w:shd w:val="clear" w:color="auto" w:fill="auto"/>
            <w:vAlign w:val="center"/>
            <w:hideMark/>
          </w:tcPr>
          <w:p w14:paraId="6C6362C3" w14:textId="01DDB84F" w:rsidR="00F50CFB" w:rsidRPr="00D92E20" w:rsidRDefault="00F50CFB" w:rsidP="00F50CFB">
            <w:pPr>
              <w:spacing w:after="0" w:line="240" w:lineRule="auto"/>
              <w:jc w:val="center"/>
              <w:rPr>
                <w:rFonts w:cs="Arial"/>
                <w:color w:val="000000"/>
                <w:sz w:val="16"/>
                <w:szCs w:val="16"/>
              </w:rPr>
            </w:pPr>
            <w:r>
              <w:rPr>
                <w:rFonts w:cs="Arial"/>
                <w:sz w:val="16"/>
                <w:szCs w:val="16"/>
              </w:rPr>
              <w:t>198,1</w:t>
            </w:r>
          </w:p>
        </w:tc>
        <w:tc>
          <w:tcPr>
            <w:tcW w:w="704" w:type="dxa"/>
            <w:tcBorders>
              <w:top w:val="nil"/>
              <w:left w:val="nil"/>
              <w:bottom w:val="nil"/>
              <w:right w:val="nil"/>
            </w:tcBorders>
            <w:shd w:val="clear" w:color="auto" w:fill="auto"/>
            <w:vAlign w:val="center"/>
            <w:hideMark/>
          </w:tcPr>
          <w:p w14:paraId="3BD0B658" w14:textId="046D6C4C" w:rsidR="00F50CFB" w:rsidRPr="00D92E20" w:rsidRDefault="00F50CFB" w:rsidP="00F50CFB">
            <w:pPr>
              <w:spacing w:after="0" w:line="240" w:lineRule="auto"/>
              <w:jc w:val="center"/>
              <w:rPr>
                <w:rFonts w:cs="Arial"/>
                <w:color w:val="000000"/>
                <w:sz w:val="16"/>
                <w:szCs w:val="16"/>
              </w:rPr>
            </w:pPr>
            <w:r>
              <w:rPr>
                <w:rFonts w:cs="Arial"/>
                <w:sz w:val="16"/>
                <w:szCs w:val="16"/>
              </w:rPr>
              <w:t>84,7</w:t>
            </w:r>
          </w:p>
        </w:tc>
        <w:tc>
          <w:tcPr>
            <w:tcW w:w="705" w:type="dxa"/>
            <w:tcBorders>
              <w:top w:val="nil"/>
              <w:left w:val="nil"/>
              <w:bottom w:val="nil"/>
              <w:right w:val="nil"/>
            </w:tcBorders>
            <w:shd w:val="clear" w:color="auto" w:fill="auto"/>
            <w:vAlign w:val="center"/>
            <w:hideMark/>
          </w:tcPr>
          <w:p w14:paraId="50F03033" w14:textId="5D30C10B" w:rsidR="00F50CFB" w:rsidRPr="00D92E20" w:rsidRDefault="00F50CFB" w:rsidP="00F50CFB">
            <w:pPr>
              <w:spacing w:after="0" w:line="240" w:lineRule="auto"/>
              <w:jc w:val="center"/>
              <w:rPr>
                <w:rFonts w:cs="Arial"/>
                <w:color w:val="000000"/>
                <w:sz w:val="16"/>
                <w:szCs w:val="16"/>
              </w:rPr>
            </w:pPr>
            <w:r>
              <w:rPr>
                <w:rFonts w:cs="Arial"/>
                <w:sz w:val="16"/>
                <w:szCs w:val="16"/>
              </w:rPr>
              <w:t>113,5</w:t>
            </w:r>
          </w:p>
        </w:tc>
        <w:tc>
          <w:tcPr>
            <w:tcW w:w="754" w:type="dxa"/>
            <w:tcBorders>
              <w:top w:val="nil"/>
              <w:left w:val="single" w:sz="4" w:space="0" w:color="auto"/>
              <w:bottom w:val="nil"/>
              <w:right w:val="nil"/>
            </w:tcBorders>
            <w:shd w:val="clear" w:color="auto" w:fill="auto"/>
            <w:vAlign w:val="center"/>
            <w:hideMark/>
          </w:tcPr>
          <w:p w14:paraId="2975F363" w14:textId="3EF89073" w:rsidR="00F50CFB" w:rsidRPr="00D92E20" w:rsidRDefault="00F50CFB" w:rsidP="00F50CFB">
            <w:pPr>
              <w:spacing w:after="0" w:line="240" w:lineRule="auto"/>
              <w:jc w:val="center"/>
              <w:rPr>
                <w:rFonts w:cs="Arial"/>
                <w:color w:val="000000"/>
                <w:sz w:val="16"/>
                <w:szCs w:val="16"/>
              </w:rPr>
            </w:pPr>
            <w:r>
              <w:rPr>
                <w:rFonts w:cs="Arial"/>
                <w:sz w:val="16"/>
                <w:szCs w:val="16"/>
              </w:rPr>
              <w:t>7,3</w:t>
            </w:r>
          </w:p>
        </w:tc>
        <w:tc>
          <w:tcPr>
            <w:tcW w:w="709" w:type="dxa"/>
            <w:tcBorders>
              <w:top w:val="nil"/>
              <w:left w:val="nil"/>
              <w:bottom w:val="nil"/>
              <w:right w:val="nil"/>
            </w:tcBorders>
            <w:shd w:val="clear" w:color="auto" w:fill="auto"/>
            <w:vAlign w:val="center"/>
            <w:hideMark/>
          </w:tcPr>
          <w:p w14:paraId="2D06F528" w14:textId="4EC8FA28" w:rsidR="00F50CFB" w:rsidRPr="00D92E20" w:rsidRDefault="00F50CFB" w:rsidP="00F50CFB">
            <w:pPr>
              <w:spacing w:after="0" w:line="240" w:lineRule="auto"/>
              <w:jc w:val="center"/>
              <w:rPr>
                <w:rFonts w:cs="Arial"/>
                <w:color w:val="000000"/>
                <w:sz w:val="16"/>
                <w:szCs w:val="16"/>
              </w:rPr>
            </w:pPr>
            <w:r>
              <w:rPr>
                <w:rFonts w:cs="Arial"/>
                <w:sz w:val="16"/>
                <w:szCs w:val="16"/>
              </w:rPr>
              <w:t>4,9</w:t>
            </w:r>
          </w:p>
        </w:tc>
        <w:tc>
          <w:tcPr>
            <w:tcW w:w="709" w:type="dxa"/>
            <w:tcBorders>
              <w:top w:val="nil"/>
              <w:left w:val="nil"/>
              <w:bottom w:val="nil"/>
              <w:right w:val="single" w:sz="4" w:space="0" w:color="auto"/>
            </w:tcBorders>
            <w:shd w:val="clear" w:color="auto" w:fill="auto"/>
            <w:vAlign w:val="center"/>
            <w:hideMark/>
          </w:tcPr>
          <w:p w14:paraId="7EF7D159" w14:textId="017E37E0" w:rsidR="00F50CFB" w:rsidRPr="00D92E20" w:rsidRDefault="00F50CFB" w:rsidP="00F50CFB">
            <w:pPr>
              <w:spacing w:after="0" w:line="240" w:lineRule="auto"/>
              <w:jc w:val="center"/>
              <w:rPr>
                <w:rFonts w:cs="Arial"/>
                <w:color w:val="000000"/>
                <w:sz w:val="16"/>
                <w:szCs w:val="16"/>
              </w:rPr>
            </w:pPr>
            <w:r>
              <w:rPr>
                <w:rFonts w:cs="Arial"/>
                <w:sz w:val="16"/>
                <w:szCs w:val="16"/>
              </w:rPr>
              <w:t>2,4</w:t>
            </w:r>
          </w:p>
        </w:tc>
        <w:tc>
          <w:tcPr>
            <w:tcW w:w="709" w:type="dxa"/>
            <w:tcBorders>
              <w:top w:val="nil"/>
              <w:left w:val="nil"/>
              <w:bottom w:val="nil"/>
              <w:right w:val="nil"/>
            </w:tcBorders>
            <w:shd w:val="clear" w:color="auto" w:fill="auto"/>
            <w:vAlign w:val="center"/>
            <w:hideMark/>
          </w:tcPr>
          <w:p w14:paraId="04275107" w14:textId="3B97AD94" w:rsidR="00F50CFB" w:rsidRPr="00D92E20" w:rsidRDefault="00F50CFB" w:rsidP="00F50CFB">
            <w:pPr>
              <w:spacing w:after="0" w:line="240" w:lineRule="auto"/>
              <w:jc w:val="center"/>
              <w:rPr>
                <w:rFonts w:cs="Arial"/>
                <w:color w:val="000000"/>
                <w:sz w:val="16"/>
                <w:szCs w:val="16"/>
              </w:rPr>
            </w:pPr>
            <w:r>
              <w:rPr>
                <w:rFonts w:cs="Arial"/>
                <w:sz w:val="16"/>
                <w:szCs w:val="16"/>
              </w:rPr>
              <w:t>24,3</w:t>
            </w:r>
          </w:p>
        </w:tc>
        <w:tc>
          <w:tcPr>
            <w:tcW w:w="709" w:type="dxa"/>
            <w:tcBorders>
              <w:top w:val="nil"/>
              <w:left w:val="nil"/>
              <w:bottom w:val="nil"/>
              <w:right w:val="nil"/>
            </w:tcBorders>
            <w:shd w:val="clear" w:color="auto" w:fill="auto"/>
            <w:vAlign w:val="center"/>
            <w:hideMark/>
          </w:tcPr>
          <w:p w14:paraId="735C193C" w14:textId="7FD76193" w:rsidR="00F50CFB" w:rsidRPr="00D92E20" w:rsidRDefault="00F50CFB" w:rsidP="00F50CFB">
            <w:pPr>
              <w:spacing w:after="0" w:line="240" w:lineRule="auto"/>
              <w:jc w:val="center"/>
              <w:rPr>
                <w:rFonts w:cs="Arial"/>
                <w:color w:val="000000"/>
                <w:sz w:val="16"/>
                <w:szCs w:val="16"/>
              </w:rPr>
            </w:pPr>
            <w:r>
              <w:rPr>
                <w:rFonts w:cs="Arial"/>
                <w:sz w:val="16"/>
                <w:szCs w:val="16"/>
              </w:rPr>
              <w:t>14,4</w:t>
            </w:r>
          </w:p>
        </w:tc>
        <w:tc>
          <w:tcPr>
            <w:tcW w:w="709" w:type="dxa"/>
            <w:tcBorders>
              <w:top w:val="nil"/>
              <w:left w:val="nil"/>
              <w:bottom w:val="nil"/>
              <w:right w:val="nil"/>
            </w:tcBorders>
            <w:shd w:val="clear" w:color="auto" w:fill="auto"/>
            <w:vAlign w:val="center"/>
            <w:hideMark/>
          </w:tcPr>
          <w:p w14:paraId="2F410CA2" w14:textId="6B3564EA" w:rsidR="00F50CFB" w:rsidRPr="00D92E20" w:rsidRDefault="00F50CFB" w:rsidP="00F50CFB">
            <w:pPr>
              <w:spacing w:after="0" w:line="240" w:lineRule="auto"/>
              <w:jc w:val="center"/>
              <w:rPr>
                <w:rFonts w:cs="Arial"/>
                <w:color w:val="000000"/>
                <w:sz w:val="16"/>
                <w:szCs w:val="16"/>
              </w:rPr>
            </w:pPr>
            <w:r>
              <w:rPr>
                <w:rFonts w:cs="Arial"/>
                <w:sz w:val="16"/>
                <w:szCs w:val="16"/>
              </w:rPr>
              <w:t>9,8</w:t>
            </w:r>
          </w:p>
        </w:tc>
      </w:tr>
      <w:tr w:rsidR="00F50CFB" w:rsidRPr="00D92E20" w14:paraId="794D943E" w14:textId="77777777" w:rsidTr="00350B58">
        <w:trPr>
          <w:trHeight w:val="296"/>
        </w:trPr>
        <w:tc>
          <w:tcPr>
            <w:tcW w:w="1009" w:type="dxa"/>
            <w:tcBorders>
              <w:top w:val="nil"/>
              <w:left w:val="nil"/>
              <w:bottom w:val="nil"/>
              <w:right w:val="nil"/>
            </w:tcBorders>
            <w:shd w:val="clear" w:color="auto" w:fill="auto"/>
            <w:vAlign w:val="center"/>
            <w:hideMark/>
          </w:tcPr>
          <w:p w14:paraId="0A980EEA" w14:textId="49F2B7F7" w:rsidR="00F50CFB" w:rsidRPr="00D92E20" w:rsidRDefault="00F50CFB" w:rsidP="00F50CFB">
            <w:pPr>
              <w:spacing w:after="0" w:line="240" w:lineRule="auto"/>
              <w:jc w:val="center"/>
              <w:rPr>
                <w:rFonts w:cs="Arial"/>
                <w:color w:val="000000"/>
                <w:sz w:val="16"/>
                <w:szCs w:val="16"/>
              </w:rPr>
            </w:pPr>
            <w:r>
              <w:rPr>
                <w:rFonts w:cs="Arial"/>
                <w:sz w:val="16"/>
                <w:szCs w:val="16"/>
              </w:rPr>
              <w:t>1. pol. 2020</w:t>
            </w:r>
          </w:p>
        </w:tc>
        <w:tc>
          <w:tcPr>
            <w:tcW w:w="710" w:type="dxa"/>
            <w:tcBorders>
              <w:top w:val="nil"/>
              <w:left w:val="single" w:sz="4" w:space="0" w:color="auto"/>
              <w:bottom w:val="nil"/>
              <w:right w:val="nil"/>
            </w:tcBorders>
            <w:shd w:val="clear" w:color="auto" w:fill="auto"/>
            <w:vAlign w:val="center"/>
            <w:hideMark/>
          </w:tcPr>
          <w:p w14:paraId="0680CD4D" w14:textId="4DF0E70E" w:rsidR="00F50CFB" w:rsidRPr="00D92E20" w:rsidRDefault="00F50CFB" w:rsidP="00F50CFB">
            <w:pPr>
              <w:spacing w:after="0" w:line="240" w:lineRule="auto"/>
              <w:jc w:val="center"/>
              <w:rPr>
                <w:rFonts w:cs="Arial"/>
                <w:color w:val="000000"/>
                <w:sz w:val="16"/>
                <w:szCs w:val="16"/>
              </w:rPr>
            </w:pPr>
            <w:r>
              <w:rPr>
                <w:rFonts w:cs="Arial"/>
                <w:sz w:val="16"/>
                <w:szCs w:val="16"/>
              </w:rPr>
              <w:t>260,5</w:t>
            </w:r>
          </w:p>
        </w:tc>
        <w:tc>
          <w:tcPr>
            <w:tcW w:w="703" w:type="dxa"/>
            <w:tcBorders>
              <w:top w:val="nil"/>
              <w:left w:val="nil"/>
              <w:bottom w:val="nil"/>
              <w:right w:val="nil"/>
            </w:tcBorders>
            <w:shd w:val="clear" w:color="auto" w:fill="auto"/>
            <w:vAlign w:val="center"/>
            <w:hideMark/>
          </w:tcPr>
          <w:p w14:paraId="1650AF7C" w14:textId="0F9C035B" w:rsidR="00F50CFB" w:rsidRPr="00D92E20" w:rsidRDefault="00F50CFB" w:rsidP="00F50CFB">
            <w:pPr>
              <w:spacing w:after="0" w:line="240" w:lineRule="auto"/>
              <w:jc w:val="center"/>
              <w:rPr>
                <w:rFonts w:cs="Arial"/>
                <w:color w:val="000000"/>
                <w:sz w:val="16"/>
                <w:szCs w:val="16"/>
              </w:rPr>
            </w:pPr>
            <w:r>
              <w:rPr>
                <w:rFonts w:cs="Arial"/>
                <w:sz w:val="16"/>
                <w:szCs w:val="16"/>
              </w:rPr>
              <w:t>119,2</w:t>
            </w:r>
          </w:p>
        </w:tc>
        <w:tc>
          <w:tcPr>
            <w:tcW w:w="705" w:type="dxa"/>
            <w:tcBorders>
              <w:top w:val="nil"/>
              <w:left w:val="nil"/>
              <w:bottom w:val="nil"/>
              <w:right w:val="single" w:sz="4" w:space="0" w:color="auto"/>
            </w:tcBorders>
            <w:shd w:val="clear" w:color="auto" w:fill="auto"/>
            <w:vAlign w:val="center"/>
            <w:hideMark/>
          </w:tcPr>
          <w:p w14:paraId="3068D77A" w14:textId="0A682438" w:rsidR="00F50CFB" w:rsidRPr="00D92E20" w:rsidRDefault="00F50CFB" w:rsidP="00F50CFB">
            <w:pPr>
              <w:spacing w:after="0" w:line="240" w:lineRule="auto"/>
              <w:jc w:val="center"/>
              <w:rPr>
                <w:rFonts w:cs="Arial"/>
                <w:color w:val="000000"/>
                <w:sz w:val="16"/>
                <w:szCs w:val="16"/>
              </w:rPr>
            </w:pPr>
            <w:r>
              <w:rPr>
                <w:rFonts w:cs="Arial"/>
                <w:sz w:val="16"/>
                <w:szCs w:val="16"/>
              </w:rPr>
              <w:t>141,2</w:t>
            </w:r>
          </w:p>
        </w:tc>
        <w:tc>
          <w:tcPr>
            <w:tcW w:w="707" w:type="dxa"/>
            <w:tcBorders>
              <w:top w:val="nil"/>
              <w:left w:val="nil"/>
              <w:bottom w:val="nil"/>
              <w:right w:val="nil"/>
            </w:tcBorders>
            <w:shd w:val="clear" w:color="auto" w:fill="auto"/>
            <w:vAlign w:val="center"/>
            <w:hideMark/>
          </w:tcPr>
          <w:p w14:paraId="411F3C56" w14:textId="7E94DD94" w:rsidR="00F50CFB" w:rsidRPr="00D92E20" w:rsidRDefault="00F50CFB" w:rsidP="00F50CFB">
            <w:pPr>
              <w:spacing w:after="0" w:line="240" w:lineRule="auto"/>
              <w:jc w:val="center"/>
              <w:rPr>
                <w:rFonts w:cs="Arial"/>
                <w:color w:val="000000"/>
                <w:sz w:val="16"/>
                <w:szCs w:val="16"/>
              </w:rPr>
            </w:pPr>
            <w:r>
              <w:rPr>
                <w:rFonts w:cs="Arial"/>
                <w:sz w:val="16"/>
                <w:szCs w:val="16"/>
              </w:rPr>
              <w:t>228,3</w:t>
            </w:r>
          </w:p>
        </w:tc>
        <w:tc>
          <w:tcPr>
            <w:tcW w:w="704" w:type="dxa"/>
            <w:tcBorders>
              <w:top w:val="nil"/>
              <w:left w:val="nil"/>
              <w:bottom w:val="nil"/>
              <w:right w:val="nil"/>
            </w:tcBorders>
            <w:shd w:val="clear" w:color="auto" w:fill="auto"/>
            <w:vAlign w:val="center"/>
            <w:hideMark/>
          </w:tcPr>
          <w:p w14:paraId="665A80FD" w14:textId="5A05B89E" w:rsidR="00F50CFB" w:rsidRPr="00D92E20" w:rsidRDefault="00F50CFB" w:rsidP="00F50CFB">
            <w:pPr>
              <w:spacing w:after="0" w:line="240" w:lineRule="auto"/>
              <w:jc w:val="center"/>
              <w:rPr>
                <w:rFonts w:cs="Arial"/>
                <w:color w:val="000000"/>
                <w:sz w:val="16"/>
                <w:szCs w:val="16"/>
              </w:rPr>
            </w:pPr>
            <w:r>
              <w:rPr>
                <w:rFonts w:cs="Arial"/>
                <w:sz w:val="16"/>
                <w:szCs w:val="16"/>
              </w:rPr>
              <w:t>99,4</w:t>
            </w:r>
          </w:p>
        </w:tc>
        <w:tc>
          <w:tcPr>
            <w:tcW w:w="705" w:type="dxa"/>
            <w:tcBorders>
              <w:top w:val="nil"/>
              <w:left w:val="nil"/>
              <w:bottom w:val="nil"/>
              <w:right w:val="nil"/>
            </w:tcBorders>
            <w:shd w:val="clear" w:color="auto" w:fill="auto"/>
            <w:vAlign w:val="center"/>
            <w:hideMark/>
          </w:tcPr>
          <w:p w14:paraId="39134A45" w14:textId="16F62814" w:rsidR="00F50CFB" w:rsidRPr="00D92E20" w:rsidRDefault="00F50CFB" w:rsidP="00F50CFB">
            <w:pPr>
              <w:spacing w:after="0" w:line="240" w:lineRule="auto"/>
              <w:jc w:val="center"/>
              <w:rPr>
                <w:rFonts w:cs="Arial"/>
                <w:color w:val="000000"/>
                <w:sz w:val="16"/>
                <w:szCs w:val="16"/>
              </w:rPr>
            </w:pPr>
            <w:r>
              <w:rPr>
                <w:rFonts w:cs="Arial"/>
                <w:sz w:val="16"/>
                <w:szCs w:val="16"/>
              </w:rPr>
              <w:t>128,9</w:t>
            </w:r>
          </w:p>
        </w:tc>
        <w:tc>
          <w:tcPr>
            <w:tcW w:w="754" w:type="dxa"/>
            <w:tcBorders>
              <w:top w:val="nil"/>
              <w:left w:val="single" w:sz="4" w:space="0" w:color="auto"/>
              <w:bottom w:val="nil"/>
              <w:right w:val="nil"/>
            </w:tcBorders>
            <w:shd w:val="clear" w:color="auto" w:fill="auto"/>
            <w:vAlign w:val="center"/>
            <w:hideMark/>
          </w:tcPr>
          <w:p w14:paraId="3415032C" w14:textId="61E7DC3C" w:rsidR="00F50CFB" w:rsidRPr="00D92E20" w:rsidRDefault="00F50CFB" w:rsidP="00F50CFB">
            <w:pPr>
              <w:spacing w:after="0" w:line="240" w:lineRule="auto"/>
              <w:jc w:val="center"/>
              <w:rPr>
                <w:rFonts w:cs="Arial"/>
                <w:color w:val="000000"/>
                <w:sz w:val="16"/>
                <w:szCs w:val="16"/>
              </w:rPr>
            </w:pPr>
            <w:r>
              <w:rPr>
                <w:rFonts w:cs="Arial"/>
                <w:sz w:val="16"/>
                <w:szCs w:val="16"/>
              </w:rPr>
              <w:t>7,1</w:t>
            </w:r>
          </w:p>
        </w:tc>
        <w:tc>
          <w:tcPr>
            <w:tcW w:w="709" w:type="dxa"/>
            <w:tcBorders>
              <w:top w:val="nil"/>
              <w:left w:val="nil"/>
              <w:bottom w:val="nil"/>
              <w:right w:val="nil"/>
            </w:tcBorders>
            <w:shd w:val="clear" w:color="auto" w:fill="auto"/>
            <w:vAlign w:val="center"/>
            <w:hideMark/>
          </w:tcPr>
          <w:p w14:paraId="25277B1D" w14:textId="609E5413" w:rsidR="00F50CFB" w:rsidRPr="00D92E20" w:rsidRDefault="00F50CFB" w:rsidP="00F50CFB">
            <w:pPr>
              <w:spacing w:after="0" w:line="240" w:lineRule="auto"/>
              <w:jc w:val="center"/>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76AACFFD" w14:textId="3365C8A0" w:rsidR="00F50CFB" w:rsidRPr="00D92E20" w:rsidRDefault="00F50CFB" w:rsidP="00F50CFB">
            <w:pPr>
              <w:spacing w:after="0" w:line="240" w:lineRule="auto"/>
              <w:jc w:val="center"/>
              <w:rPr>
                <w:rFonts w:cs="Arial"/>
                <w:color w:val="000000"/>
                <w:sz w:val="16"/>
                <w:szCs w:val="16"/>
              </w:rPr>
            </w:pPr>
            <w:r>
              <w:rPr>
                <w:rFonts w:cs="Arial"/>
                <w:sz w:val="16"/>
                <w:szCs w:val="16"/>
              </w:rPr>
              <w:t>2,2</w:t>
            </w:r>
          </w:p>
        </w:tc>
        <w:tc>
          <w:tcPr>
            <w:tcW w:w="709" w:type="dxa"/>
            <w:tcBorders>
              <w:top w:val="nil"/>
              <w:left w:val="nil"/>
              <w:bottom w:val="nil"/>
              <w:right w:val="nil"/>
            </w:tcBorders>
            <w:shd w:val="clear" w:color="auto" w:fill="auto"/>
            <w:vAlign w:val="center"/>
            <w:hideMark/>
          </w:tcPr>
          <w:p w14:paraId="11FA0F8E" w14:textId="22B66F99" w:rsidR="00F50CFB" w:rsidRPr="00D92E20" w:rsidRDefault="00F50CFB" w:rsidP="00F50CFB">
            <w:pPr>
              <w:spacing w:after="0" w:line="240" w:lineRule="auto"/>
              <w:jc w:val="center"/>
              <w:rPr>
                <w:rFonts w:cs="Arial"/>
                <w:color w:val="000000"/>
                <w:sz w:val="16"/>
                <w:szCs w:val="16"/>
              </w:rPr>
            </w:pPr>
            <w:r>
              <w:rPr>
                <w:rFonts w:cs="Arial"/>
                <w:sz w:val="16"/>
                <w:szCs w:val="16"/>
              </w:rPr>
              <w:t>25,1</w:t>
            </w:r>
          </w:p>
        </w:tc>
        <w:tc>
          <w:tcPr>
            <w:tcW w:w="709" w:type="dxa"/>
            <w:tcBorders>
              <w:top w:val="nil"/>
              <w:left w:val="nil"/>
              <w:bottom w:val="nil"/>
              <w:right w:val="nil"/>
            </w:tcBorders>
            <w:shd w:val="clear" w:color="auto" w:fill="auto"/>
            <w:vAlign w:val="center"/>
            <w:hideMark/>
          </w:tcPr>
          <w:p w14:paraId="41336AC4" w14:textId="0812FBB4" w:rsidR="00F50CFB" w:rsidRPr="00D92E20" w:rsidRDefault="00F50CFB" w:rsidP="00F50CFB">
            <w:pPr>
              <w:spacing w:after="0" w:line="240" w:lineRule="auto"/>
              <w:jc w:val="center"/>
              <w:rPr>
                <w:rFonts w:cs="Arial"/>
                <w:color w:val="000000"/>
                <w:sz w:val="16"/>
                <w:szCs w:val="16"/>
              </w:rPr>
            </w:pPr>
            <w:r>
              <w:rPr>
                <w:rFonts w:cs="Arial"/>
                <w:sz w:val="16"/>
                <w:szCs w:val="16"/>
              </w:rPr>
              <w:t>15,0</w:t>
            </w:r>
          </w:p>
        </w:tc>
        <w:tc>
          <w:tcPr>
            <w:tcW w:w="709" w:type="dxa"/>
            <w:tcBorders>
              <w:top w:val="nil"/>
              <w:left w:val="nil"/>
              <w:bottom w:val="nil"/>
              <w:right w:val="nil"/>
            </w:tcBorders>
            <w:shd w:val="clear" w:color="auto" w:fill="auto"/>
            <w:vAlign w:val="center"/>
            <w:hideMark/>
          </w:tcPr>
          <w:p w14:paraId="6C93B32C" w14:textId="7D04D1EB" w:rsidR="00F50CFB" w:rsidRPr="00D92E20" w:rsidRDefault="00F50CFB" w:rsidP="00F50CFB">
            <w:pPr>
              <w:spacing w:after="0" w:line="240" w:lineRule="auto"/>
              <w:jc w:val="center"/>
              <w:rPr>
                <w:rFonts w:cs="Arial"/>
                <w:color w:val="000000"/>
                <w:sz w:val="16"/>
                <w:szCs w:val="16"/>
              </w:rPr>
            </w:pPr>
            <w:r>
              <w:rPr>
                <w:rFonts w:cs="Arial"/>
                <w:sz w:val="16"/>
                <w:szCs w:val="16"/>
              </w:rPr>
              <w:t>10,1</w:t>
            </w:r>
          </w:p>
        </w:tc>
      </w:tr>
      <w:tr w:rsidR="00F50CFB" w:rsidRPr="00D92E20" w14:paraId="09337FA5" w14:textId="77777777" w:rsidTr="00350B58">
        <w:trPr>
          <w:trHeight w:val="296"/>
        </w:trPr>
        <w:tc>
          <w:tcPr>
            <w:tcW w:w="1009" w:type="dxa"/>
            <w:tcBorders>
              <w:top w:val="nil"/>
              <w:left w:val="nil"/>
              <w:bottom w:val="nil"/>
              <w:right w:val="single" w:sz="4" w:space="0" w:color="auto"/>
            </w:tcBorders>
            <w:shd w:val="clear" w:color="auto" w:fill="auto"/>
            <w:vAlign w:val="center"/>
            <w:hideMark/>
          </w:tcPr>
          <w:p w14:paraId="303D1911" w14:textId="2D2AC5AB" w:rsidR="00F50CFB" w:rsidRPr="00D92E20" w:rsidRDefault="00F50CFB" w:rsidP="00F50CFB">
            <w:pPr>
              <w:spacing w:after="0" w:line="240" w:lineRule="auto"/>
              <w:jc w:val="center"/>
              <w:rPr>
                <w:rFonts w:cs="Arial"/>
                <w:color w:val="000000"/>
                <w:sz w:val="16"/>
                <w:szCs w:val="16"/>
              </w:rPr>
            </w:pPr>
            <w:r>
              <w:rPr>
                <w:rFonts w:cs="Arial"/>
                <w:sz w:val="16"/>
                <w:szCs w:val="16"/>
              </w:rPr>
              <w:t>1. pol. 2021</w:t>
            </w:r>
          </w:p>
        </w:tc>
        <w:tc>
          <w:tcPr>
            <w:tcW w:w="710" w:type="dxa"/>
            <w:tcBorders>
              <w:top w:val="nil"/>
              <w:left w:val="nil"/>
              <w:bottom w:val="nil"/>
              <w:right w:val="nil"/>
            </w:tcBorders>
            <w:shd w:val="clear" w:color="auto" w:fill="auto"/>
            <w:vAlign w:val="center"/>
            <w:hideMark/>
          </w:tcPr>
          <w:p w14:paraId="32F77579" w14:textId="492DF56D" w:rsidR="00F50CFB" w:rsidRPr="00D92E20" w:rsidRDefault="00F50CFB" w:rsidP="00F50CFB">
            <w:pPr>
              <w:spacing w:after="0" w:line="240" w:lineRule="auto"/>
              <w:jc w:val="center"/>
              <w:rPr>
                <w:rFonts w:cs="Arial"/>
                <w:color w:val="000000"/>
                <w:sz w:val="16"/>
                <w:szCs w:val="16"/>
              </w:rPr>
            </w:pPr>
            <w:r>
              <w:rPr>
                <w:rFonts w:cs="Arial"/>
                <w:sz w:val="16"/>
                <w:szCs w:val="16"/>
              </w:rPr>
              <w:t>281,0</w:t>
            </w:r>
          </w:p>
        </w:tc>
        <w:tc>
          <w:tcPr>
            <w:tcW w:w="703" w:type="dxa"/>
            <w:tcBorders>
              <w:top w:val="nil"/>
              <w:left w:val="nil"/>
              <w:bottom w:val="nil"/>
              <w:right w:val="nil"/>
            </w:tcBorders>
            <w:shd w:val="clear" w:color="auto" w:fill="auto"/>
            <w:vAlign w:val="center"/>
            <w:hideMark/>
          </w:tcPr>
          <w:p w14:paraId="5A6263B2" w14:textId="77EA2762" w:rsidR="00F50CFB" w:rsidRPr="00D92E20" w:rsidRDefault="00F50CFB" w:rsidP="00F50CFB">
            <w:pPr>
              <w:spacing w:after="0" w:line="240" w:lineRule="auto"/>
              <w:jc w:val="center"/>
              <w:rPr>
                <w:rFonts w:cs="Arial"/>
                <w:color w:val="000000"/>
                <w:sz w:val="16"/>
                <w:szCs w:val="16"/>
              </w:rPr>
            </w:pPr>
            <w:r>
              <w:rPr>
                <w:rFonts w:cs="Arial"/>
                <w:sz w:val="16"/>
                <w:szCs w:val="16"/>
              </w:rPr>
              <w:t>132,1</w:t>
            </w:r>
          </w:p>
        </w:tc>
        <w:tc>
          <w:tcPr>
            <w:tcW w:w="705" w:type="dxa"/>
            <w:tcBorders>
              <w:top w:val="nil"/>
              <w:left w:val="nil"/>
              <w:bottom w:val="nil"/>
              <w:right w:val="single" w:sz="4" w:space="0" w:color="auto"/>
            </w:tcBorders>
            <w:shd w:val="clear" w:color="auto" w:fill="auto"/>
            <w:vAlign w:val="center"/>
            <w:hideMark/>
          </w:tcPr>
          <w:p w14:paraId="0B977B1C" w14:textId="2C11F988" w:rsidR="00F50CFB" w:rsidRPr="00D92E20" w:rsidRDefault="00F50CFB" w:rsidP="00F50CFB">
            <w:pPr>
              <w:spacing w:after="0" w:line="240" w:lineRule="auto"/>
              <w:jc w:val="center"/>
              <w:rPr>
                <w:rFonts w:cs="Arial"/>
                <w:color w:val="000000"/>
                <w:sz w:val="16"/>
                <w:szCs w:val="16"/>
              </w:rPr>
            </w:pPr>
            <w:r>
              <w:rPr>
                <w:rFonts w:cs="Arial"/>
                <w:sz w:val="16"/>
                <w:szCs w:val="16"/>
              </w:rPr>
              <w:t>148,9</w:t>
            </w:r>
          </w:p>
        </w:tc>
        <w:tc>
          <w:tcPr>
            <w:tcW w:w="707" w:type="dxa"/>
            <w:tcBorders>
              <w:top w:val="nil"/>
              <w:left w:val="nil"/>
              <w:bottom w:val="nil"/>
              <w:right w:val="nil"/>
            </w:tcBorders>
            <w:shd w:val="clear" w:color="auto" w:fill="auto"/>
            <w:vAlign w:val="center"/>
            <w:hideMark/>
          </w:tcPr>
          <w:p w14:paraId="4D5A93AC" w14:textId="07CE55BD" w:rsidR="00F50CFB" w:rsidRPr="00D92E20" w:rsidRDefault="00F50CFB" w:rsidP="00F50CFB">
            <w:pPr>
              <w:spacing w:after="0" w:line="240" w:lineRule="auto"/>
              <w:jc w:val="center"/>
              <w:rPr>
                <w:rFonts w:cs="Arial"/>
                <w:color w:val="000000"/>
                <w:sz w:val="16"/>
                <w:szCs w:val="16"/>
              </w:rPr>
            </w:pPr>
            <w:r>
              <w:rPr>
                <w:rFonts w:cs="Arial"/>
                <w:sz w:val="16"/>
                <w:szCs w:val="16"/>
              </w:rPr>
              <w:t>249,8</w:t>
            </w:r>
          </w:p>
        </w:tc>
        <w:tc>
          <w:tcPr>
            <w:tcW w:w="704" w:type="dxa"/>
            <w:tcBorders>
              <w:top w:val="nil"/>
              <w:left w:val="nil"/>
              <w:bottom w:val="nil"/>
              <w:right w:val="nil"/>
            </w:tcBorders>
            <w:shd w:val="clear" w:color="auto" w:fill="auto"/>
            <w:vAlign w:val="center"/>
            <w:hideMark/>
          </w:tcPr>
          <w:p w14:paraId="26E017A9" w14:textId="71CFADAD" w:rsidR="00F50CFB" w:rsidRPr="00D92E20" w:rsidRDefault="00F50CFB" w:rsidP="00F50CFB">
            <w:pPr>
              <w:spacing w:after="0" w:line="240" w:lineRule="auto"/>
              <w:jc w:val="center"/>
              <w:rPr>
                <w:rFonts w:cs="Arial"/>
                <w:color w:val="000000"/>
                <w:sz w:val="16"/>
                <w:szCs w:val="16"/>
              </w:rPr>
            </w:pPr>
            <w:r>
              <w:rPr>
                <w:rFonts w:cs="Arial"/>
                <w:sz w:val="16"/>
                <w:szCs w:val="16"/>
              </w:rPr>
              <w:t>113,3</w:t>
            </w:r>
          </w:p>
        </w:tc>
        <w:tc>
          <w:tcPr>
            <w:tcW w:w="705" w:type="dxa"/>
            <w:tcBorders>
              <w:top w:val="nil"/>
              <w:left w:val="nil"/>
              <w:bottom w:val="nil"/>
              <w:right w:val="nil"/>
            </w:tcBorders>
            <w:shd w:val="clear" w:color="auto" w:fill="auto"/>
            <w:vAlign w:val="center"/>
            <w:hideMark/>
          </w:tcPr>
          <w:p w14:paraId="7DF870A1" w14:textId="7EDE4CD9" w:rsidR="00F50CFB" w:rsidRPr="00D92E20" w:rsidRDefault="00F50CFB" w:rsidP="00F50CFB">
            <w:pPr>
              <w:spacing w:after="0" w:line="240" w:lineRule="auto"/>
              <w:jc w:val="center"/>
              <w:rPr>
                <w:rFonts w:cs="Arial"/>
                <w:color w:val="000000"/>
                <w:sz w:val="16"/>
                <w:szCs w:val="16"/>
              </w:rPr>
            </w:pPr>
            <w:r>
              <w:rPr>
                <w:rFonts w:cs="Arial"/>
                <w:sz w:val="16"/>
                <w:szCs w:val="16"/>
              </w:rPr>
              <w:t>136,4</w:t>
            </w:r>
          </w:p>
        </w:tc>
        <w:tc>
          <w:tcPr>
            <w:tcW w:w="754" w:type="dxa"/>
            <w:tcBorders>
              <w:top w:val="nil"/>
              <w:left w:val="single" w:sz="4" w:space="0" w:color="auto"/>
              <w:bottom w:val="nil"/>
              <w:right w:val="nil"/>
            </w:tcBorders>
            <w:shd w:val="clear" w:color="auto" w:fill="auto"/>
            <w:vAlign w:val="center"/>
            <w:hideMark/>
          </w:tcPr>
          <w:p w14:paraId="3F05C035" w14:textId="2B76C288" w:rsidR="00F50CFB" w:rsidRPr="00D92E20" w:rsidRDefault="00F50CFB" w:rsidP="00F50CFB">
            <w:pPr>
              <w:spacing w:after="0" w:line="240" w:lineRule="auto"/>
              <w:jc w:val="center"/>
              <w:rPr>
                <w:rFonts w:cs="Arial"/>
                <w:color w:val="000000"/>
                <w:sz w:val="16"/>
                <w:szCs w:val="16"/>
              </w:rPr>
            </w:pPr>
            <w:r>
              <w:rPr>
                <w:rFonts w:cs="Arial"/>
                <w:sz w:val="16"/>
                <w:szCs w:val="16"/>
              </w:rPr>
              <w:t>7,4</w:t>
            </w:r>
          </w:p>
        </w:tc>
        <w:tc>
          <w:tcPr>
            <w:tcW w:w="709" w:type="dxa"/>
            <w:tcBorders>
              <w:top w:val="nil"/>
              <w:left w:val="nil"/>
              <w:bottom w:val="nil"/>
              <w:right w:val="nil"/>
            </w:tcBorders>
            <w:shd w:val="clear" w:color="auto" w:fill="auto"/>
            <w:vAlign w:val="center"/>
            <w:hideMark/>
          </w:tcPr>
          <w:p w14:paraId="5AAB847F" w14:textId="6ED93546" w:rsidR="00F50CFB" w:rsidRPr="00D92E20" w:rsidRDefault="00F50CFB" w:rsidP="00F50CFB">
            <w:pPr>
              <w:spacing w:after="0" w:line="240" w:lineRule="auto"/>
              <w:jc w:val="center"/>
              <w:rPr>
                <w:rFonts w:cs="Arial"/>
                <w:color w:val="000000"/>
                <w:sz w:val="16"/>
                <w:szCs w:val="16"/>
              </w:rPr>
            </w:pPr>
            <w:r>
              <w:rPr>
                <w:rFonts w:cs="Arial"/>
                <w:sz w:val="16"/>
                <w:szCs w:val="16"/>
              </w:rPr>
              <w:t>5,1</w:t>
            </w:r>
          </w:p>
        </w:tc>
        <w:tc>
          <w:tcPr>
            <w:tcW w:w="709" w:type="dxa"/>
            <w:tcBorders>
              <w:top w:val="nil"/>
              <w:left w:val="nil"/>
              <w:bottom w:val="nil"/>
              <w:right w:val="single" w:sz="4" w:space="0" w:color="auto"/>
            </w:tcBorders>
            <w:shd w:val="clear" w:color="auto" w:fill="auto"/>
            <w:vAlign w:val="center"/>
            <w:hideMark/>
          </w:tcPr>
          <w:p w14:paraId="0106F4C7" w14:textId="5D35120D" w:rsidR="00F50CFB" w:rsidRPr="00D92E20" w:rsidRDefault="00F50CFB" w:rsidP="00F50CFB">
            <w:pPr>
              <w:spacing w:after="0" w:line="240" w:lineRule="auto"/>
              <w:jc w:val="center"/>
              <w:rPr>
                <w:rFonts w:cs="Arial"/>
                <w:color w:val="000000"/>
                <w:sz w:val="16"/>
                <w:szCs w:val="16"/>
              </w:rPr>
            </w:pPr>
            <w:r>
              <w:rPr>
                <w:rFonts w:cs="Arial"/>
                <w:sz w:val="16"/>
                <w:szCs w:val="16"/>
              </w:rPr>
              <w:t>2,3</w:t>
            </w:r>
          </w:p>
        </w:tc>
        <w:tc>
          <w:tcPr>
            <w:tcW w:w="709" w:type="dxa"/>
            <w:tcBorders>
              <w:top w:val="nil"/>
              <w:left w:val="nil"/>
              <w:bottom w:val="nil"/>
              <w:right w:val="nil"/>
            </w:tcBorders>
            <w:shd w:val="clear" w:color="auto" w:fill="auto"/>
            <w:vAlign w:val="center"/>
            <w:hideMark/>
          </w:tcPr>
          <w:p w14:paraId="02E91458" w14:textId="6DF33625" w:rsidR="00F50CFB" w:rsidRPr="00D92E20" w:rsidRDefault="00F50CFB" w:rsidP="00F50CFB">
            <w:pPr>
              <w:spacing w:after="0" w:line="240" w:lineRule="auto"/>
              <w:jc w:val="center"/>
              <w:rPr>
                <w:rFonts w:cs="Arial"/>
                <w:color w:val="000000"/>
                <w:sz w:val="16"/>
                <w:szCs w:val="16"/>
              </w:rPr>
            </w:pPr>
            <w:r>
              <w:rPr>
                <w:rFonts w:cs="Arial"/>
                <w:sz w:val="16"/>
                <w:szCs w:val="16"/>
              </w:rPr>
              <w:t>23,8</w:t>
            </w:r>
          </w:p>
        </w:tc>
        <w:tc>
          <w:tcPr>
            <w:tcW w:w="709" w:type="dxa"/>
            <w:tcBorders>
              <w:top w:val="nil"/>
              <w:left w:val="nil"/>
              <w:bottom w:val="nil"/>
              <w:right w:val="nil"/>
            </w:tcBorders>
            <w:shd w:val="clear" w:color="auto" w:fill="auto"/>
            <w:vAlign w:val="center"/>
            <w:hideMark/>
          </w:tcPr>
          <w:p w14:paraId="42BE213A" w14:textId="5B6EF21B" w:rsidR="00F50CFB" w:rsidRPr="00D92E20" w:rsidRDefault="00F50CFB" w:rsidP="00F50CFB">
            <w:pPr>
              <w:spacing w:after="0" w:line="240" w:lineRule="auto"/>
              <w:jc w:val="center"/>
              <w:rPr>
                <w:rFonts w:cs="Arial"/>
                <w:color w:val="000000"/>
                <w:sz w:val="16"/>
                <w:szCs w:val="16"/>
              </w:rPr>
            </w:pPr>
            <w:r>
              <w:rPr>
                <w:rFonts w:cs="Arial"/>
                <w:sz w:val="16"/>
                <w:szCs w:val="16"/>
              </w:rPr>
              <w:t>13,7</w:t>
            </w:r>
          </w:p>
        </w:tc>
        <w:tc>
          <w:tcPr>
            <w:tcW w:w="709" w:type="dxa"/>
            <w:tcBorders>
              <w:top w:val="nil"/>
              <w:left w:val="nil"/>
              <w:bottom w:val="nil"/>
              <w:right w:val="nil"/>
            </w:tcBorders>
            <w:shd w:val="clear" w:color="auto" w:fill="auto"/>
            <w:vAlign w:val="center"/>
            <w:hideMark/>
          </w:tcPr>
          <w:p w14:paraId="130D8852" w14:textId="37B5CF4F" w:rsidR="00F50CFB" w:rsidRPr="00D92E20" w:rsidRDefault="00F50CFB" w:rsidP="00F50CFB">
            <w:pPr>
              <w:spacing w:after="0" w:line="240" w:lineRule="auto"/>
              <w:jc w:val="center"/>
              <w:rPr>
                <w:rFonts w:cs="Arial"/>
                <w:color w:val="000000"/>
                <w:sz w:val="16"/>
                <w:szCs w:val="16"/>
              </w:rPr>
            </w:pPr>
            <w:r>
              <w:rPr>
                <w:rFonts w:cs="Arial"/>
                <w:sz w:val="16"/>
                <w:szCs w:val="16"/>
              </w:rPr>
              <w:t>10,2</w:t>
            </w:r>
          </w:p>
        </w:tc>
      </w:tr>
    </w:tbl>
    <w:p w14:paraId="17B485DB" w14:textId="3D3E827A" w:rsidR="00537BCC" w:rsidRDefault="00537BCC" w:rsidP="00000A90">
      <w:pPr>
        <w:spacing w:before="60" w:after="120"/>
        <w:rPr>
          <w:sz w:val="16"/>
        </w:rPr>
      </w:pPr>
      <w:r w:rsidRPr="00D92E20">
        <w:rPr>
          <w:sz w:val="16"/>
        </w:rPr>
        <w:t>Zdroj: ČSÚ</w:t>
      </w:r>
    </w:p>
    <w:p w14:paraId="22206647" w14:textId="76A21F55" w:rsidR="00CD63E8" w:rsidRPr="00D92E20" w:rsidRDefault="00CD63E8" w:rsidP="00CD63E8">
      <w:pPr>
        <w:spacing w:before="120" w:after="120"/>
        <w:jc w:val="both"/>
        <w:rPr>
          <w:sz w:val="16"/>
        </w:rPr>
      </w:pPr>
      <w:r w:rsidRPr="0075396C">
        <w:rPr>
          <w:rFonts w:cs="Arial"/>
          <w:color w:val="000000"/>
          <w:szCs w:val="16"/>
        </w:rPr>
        <w:t>Pro nemoc bylo v 1. pol. 2021 průměrně denně v neschopnosti 249 751 pojištěnců, v důsledku pracovního úrazu 7 386 osob a následkem ostatních úrazů</w:t>
      </w:r>
      <w:r>
        <w:rPr>
          <w:rFonts w:cs="Arial"/>
          <w:color w:val="000000"/>
          <w:szCs w:val="16"/>
        </w:rPr>
        <w:t xml:space="preserve"> </w:t>
      </w:r>
      <w:r w:rsidRPr="0075396C">
        <w:rPr>
          <w:rFonts w:cs="Arial"/>
          <w:color w:val="000000"/>
          <w:szCs w:val="16"/>
        </w:rPr>
        <w:t xml:space="preserve">23 835 nemocensky pojištěných. Ve Zpracovatelském </w:t>
      </w:r>
      <w:r w:rsidRPr="0075396C">
        <w:rPr>
          <w:rFonts w:cs="Arial"/>
          <w:color w:val="000000"/>
          <w:szCs w:val="16"/>
        </w:rPr>
        <w:lastRenderedPageBreak/>
        <w:t xml:space="preserve">průmyslu chybělo denně </w:t>
      </w:r>
      <w:r>
        <w:rPr>
          <w:rFonts w:cs="Arial"/>
          <w:color w:val="000000"/>
          <w:szCs w:val="16"/>
        </w:rPr>
        <w:t xml:space="preserve">pro pracovní neschopnost </w:t>
      </w:r>
      <w:r w:rsidRPr="0075396C">
        <w:rPr>
          <w:rFonts w:cs="Arial"/>
          <w:color w:val="000000"/>
          <w:szCs w:val="16"/>
        </w:rPr>
        <w:t>95 tis. pojištěnců, v odvětví Velkoobchod a maloobchod, opravy a údržba motorových vozidel 39 tis. osob. Tyto hodnoty jsou značně ovlivněné velikostí odvětví.</w:t>
      </w:r>
    </w:p>
    <w:p w14:paraId="037FDCC8" w14:textId="77777777" w:rsidR="002F607D" w:rsidRPr="00D92E20" w:rsidRDefault="002F607D" w:rsidP="005A63A4">
      <w:pPr>
        <w:pStyle w:val="Nadpis3"/>
        <w:numPr>
          <w:ilvl w:val="1"/>
          <w:numId w:val="5"/>
        </w:numPr>
        <w:spacing w:after="120"/>
        <w:ind w:left="425" w:hanging="425"/>
      </w:pPr>
      <w:bookmarkStart w:id="22" w:name="_Toc54262803"/>
      <w:bookmarkStart w:id="23" w:name="_Toc86233481"/>
      <w:r w:rsidRPr="00D92E20">
        <w:t>Ukončené případy dočasné pracovní neschopnosti</w:t>
      </w:r>
      <w:bookmarkEnd w:id="22"/>
      <w:bookmarkEnd w:id="23"/>
    </w:p>
    <w:p w14:paraId="5B459D4D" w14:textId="77777777" w:rsidR="002F607D" w:rsidRPr="00D92E20" w:rsidRDefault="002F607D" w:rsidP="00000A90">
      <w:pPr>
        <w:spacing w:before="120" w:after="120"/>
        <w:jc w:val="both"/>
      </w:pPr>
      <w:r w:rsidRPr="00D92E20">
        <w:t xml:space="preserve">Zatímco doposud se analýza týkala nově hlášených případů dočasné pracovní neschopnosti (kapitola 4.2), </w:t>
      </w:r>
      <w:r w:rsidR="00C24683" w:rsidRPr="00D92E20">
        <w:t>které</w:t>
      </w:r>
      <w:r w:rsidRPr="00D92E20">
        <w:t xml:space="preserve"> ČSÚ </w:t>
      </w:r>
      <w:r w:rsidR="00C24683" w:rsidRPr="00D92E20">
        <w:t xml:space="preserve">zpracovává </w:t>
      </w:r>
      <w:r w:rsidRPr="00D92E20">
        <w:t xml:space="preserve">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18B0791A" w14:textId="6F7D69F6" w:rsidR="002F607D" w:rsidRPr="00D92E20" w:rsidRDefault="002F607D" w:rsidP="00000A90">
      <w:pPr>
        <w:spacing w:before="120" w:after="120"/>
        <w:jc w:val="both"/>
      </w:pPr>
      <w:r w:rsidRPr="00D92E20">
        <w:t xml:space="preserve">Na rozdíl od statistik nově hlášených případů, ČSSZ publikuje údaje z hlediska </w:t>
      </w:r>
      <w:r w:rsidRPr="00D92E20">
        <w:rPr>
          <w:b/>
        </w:rPr>
        <w:t>případů ukončených ve</w:t>
      </w:r>
      <w:r w:rsidR="00CD63E8">
        <w:rPr>
          <w:b/>
        </w:rPr>
        <w:t> </w:t>
      </w:r>
      <w:r w:rsidRPr="00D92E20">
        <w:rPr>
          <w:b/>
        </w:rPr>
        <w:t>sledovaném roce</w:t>
      </w:r>
      <w:r w:rsidRPr="00D92E20">
        <w:t xml:space="preserve">. Případy vzniklé na konci roku přesahující do roku dalšího jsou evidovány až ve zpracování dat roku následujícího. Pro </w:t>
      </w:r>
      <w:r w:rsidR="00C24683" w:rsidRPr="00D92E20">
        <w:t>dokreslení</w:t>
      </w:r>
      <w:r w:rsidRPr="00D92E20">
        <w:t xml:space="preserve"> pohledu na statistiku nemocnosti byla vybraná data z tohoto zdroje využita v této kapitole. Data o ukončených případech jsou k dispozici v třídění z pohledu pojištěnce, nikoliv zaměstnavatele, jak </w:t>
      </w:r>
      <w:r w:rsidR="00C7753B" w:rsidRPr="00D92E20">
        <w:t xml:space="preserve">tomu </w:t>
      </w:r>
      <w:r w:rsidRPr="00D92E20">
        <w:t xml:space="preserve">bylo </w:t>
      </w:r>
      <w:r w:rsidR="00795664">
        <w:t>u nově hlášených případů</w:t>
      </w:r>
      <w:r w:rsidR="00C7753B" w:rsidRPr="00D92E20">
        <w:t>.</w:t>
      </w:r>
      <w:r w:rsidRPr="00D92E20">
        <w:t xml:space="preserve"> ČSSZ třídí data např. podle věku dočasně práce neschopných, </w:t>
      </w:r>
      <w:r w:rsidR="00CA3130" w:rsidRPr="00D92E20">
        <w:t>krajů</w:t>
      </w:r>
      <w:r w:rsidRPr="00D92E20">
        <w:t xml:space="preserve"> či skupin diagnóz.</w:t>
      </w:r>
    </w:p>
    <w:p w14:paraId="4522A406" w14:textId="027D66E4" w:rsidR="002F607D" w:rsidRPr="00D92E20" w:rsidRDefault="002F607D" w:rsidP="00000A90">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sidR="00E863E8">
        <w:rPr>
          <w:i/>
        </w:rPr>
        <w:t>, resp. stav k určitému datu</w:t>
      </w:r>
      <w:r w:rsidRPr="00D92E20">
        <w:rPr>
          <w:i/>
        </w:rPr>
        <w:t>. Nezahrnuje tedy onemocnění a úrazy, u nichž pracovní neschopnost přesahovala do dalšího roku</w:t>
      </w:r>
      <w:r w:rsidR="00E863E8">
        <w:rPr>
          <w:i/>
        </w:rPr>
        <w:t>/období</w:t>
      </w:r>
      <w:r w:rsidRPr="00D92E20">
        <w:rPr>
          <w:i/>
        </w:rPr>
        <w:t>, ani ty případy, kdy nebylo vystaveno „Rozhodnutí o dočasné pracovní neschopnosti“.</w:t>
      </w:r>
      <w:r w:rsidR="00E863E8">
        <w:rPr>
          <w:i/>
        </w:rPr>
        <w:t xml:space="preserve"> Při zpracování pololetních dat se jedná o stav k 30. 6.</w:t>
      </w:r>
    </w:p>
    <w:p w14:paraId="5CFB6241" w14:textId="21044503" w:rsidR="00B9122C" w:rsidRPr="00D92E20" w:rsidRDefault="00B9122C" w:rsidP="00000A90">
      <w:pPr>
        <w:spacing w:before="120" w:after="120"/>
        <w:jc w:val="both"/>
      </w:pPr>
      <w:r w:rsidRPr="00D92E20">
        <w:t xml:space="preserve">ČSSZ za </w:t>
      </w:r>
      <w:r w:rsidR="00E863E8">
        <w:t>1. pol. 2021</w:t>
      </w:r>
      <w:r w:rsidRPr="00D92E20">
        <w:t xml:space="preserve"> evidovala </w:t>
      </w:r>
      <w:r w:rsidR="00646128" w:rsidRPr="00646128">
        <w:t>1</w:t>
      </w:r>
      <w:r w:rsidR="00646128">
        <w:t xml:space="preserve"> 423 tis. </w:t>
      </w:r>
      <w:r w:rsidRPr="00D92E20">
        <w:t>ukončených případů dočasné pracovní neschopnosti, což je o </w:t>
      </w:r>
      <w:r w:rsidR="00646128">
        <w:t>38 %</w:t>
      </w:r>
      <w:r w:rsidRPr="00D92E20">
        <w:t xml:space="preserve"> více než v</w:t>
      </w:r>
      <w:r w:rsidR="00646128">
        <w:t> 1. pol. 2020</w:t>
      </w:r>
      <w:r w:rsidRPr="00D92E20">
        <w:t>.</w:t>
      </w:r>
    </w:p>
    <w:p w14:paraId="32F53CEB" w14:textId="75221DF1" w:rsidR="00391FBE" w:rsidRPr="00D92E20" w:rsidRDefault="00646128" w:rsidP="00000A90">
      <w:pPr>
        <w:spacing w:before="120" w:after="0"/>
        <w:jc w:val="both"/>
        <w:rPr>
          <w:b/>
        </w:rPr>
      </w:pPr>
      <w:r w:rsidRPr="00646128">
        <w:rPr>
          <w:b/>
        </w:rPr>
        <w:t>Tab. 3.1: Ukončené přípa</w:t>
      </w:r>
      <w:r w:rsidR="007B36AD">
        <w:rPr>
          <w:b/>
        </w:rPr>
        <w:t>dy dočasné pracovní neschopnosti</w:t>
      </w:r>
      <w:r w:rsidRPr="00646128">
        <w:rPr>
          <w:b/>
        </w:rPr>
        <w:t xml:space="preserve"> podle krajů ČR, 1. pol. 2020, 2021</w:t>
      </w:r>
    </w:p>
    <w:tbl>
      <w:tblPr>
        <w:tblW w:w="9584" w:type="dxa"/>
        <w:tblCellMar>
          <w:left w:w="70" w:type="dxa"/>
          <w:right w:w="70" w:type="dxa"/>
        </w:tblCellMar>
        <w:tblLook w:val="04A0" w:firstRow="1" w:lastRow="0" w:firstColumn="1" w:lastColumn="0" w:noHBand="0" w:noVBand="1"/>
      </w:tblPr>
      <w:tblGrid>
        <w:gridCol w:w="2438"/>
        <w:gridCol w:w="1191"/>
        <w:gridCol w:w="1191"/>
        <w:gridCol w:w="1191"/>
        <w:gridCol w:w="1191"/>
        <w:gridCol w:w="1191"/>
        <w:gridCol w:w="1191"/>
      </w:tblGrid>
      <w:tr w:rsidR="00330CDD" w:rsidRPr="00D92E20" w14:paraId="70A4C9F3" w14:textId="77777777" w:rsidTr="00330CDD">
        <w:trPr>
          <w:trHeight w:val="1071"/>
        </w:trPr>
        <w:tc>
          <w:tcPr>
            <w:tcW w:w="2438" w:type="dxa"/>
            <w:vMerge w:val="restart"/>
            <w:tcBorders>
              <w:top w:val="single" w:sz="4" w:space="0" w:color="auto"/>
              <w:left w:val="nil"/>
              <w:right w:val="single" w:sz="4" w:space="0" w:color="auto"/>
            </w:tcBorders>
            <w:shd w:val="clear" w:color="000000" w:fill="F2DCDB"/>
            <w:vAlign w:val="center"/>
            <w:hideMark/>
          </w:tcPr>
          <w:p w14:paraId="052ECD08"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Kraj ČR</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6F7C4E39" w14:textId="5FBA17EE" w:rsidR="00330CDD" w:rsidRPr="00D92E20" w:rsidRDefault="00330CDD" w:rsidP="007B36AD">
            <w:pPr>
              <w:spacing w:after="0" w:line="240" w:lineRule="auto"/>
              <w:jc w:val="center"/>
              <w:rPr>
                <w:rFonts w:cs="Arial"/>
                <w:color w:val="000000"/>
                <w:sz w:val="16"/>
                <w:szCs w:val="16"/>
              </w:rPr>
            </w:pPr>
            <w:r w:rsidRPr="00D92E20">
              <w:rPr>
                <w:rFonts w:cs="Arial"/>
                <w:color w:val="000000"/>
                <w:sz w:val="16"/>
                <w:szCs w:val="16"/>
              </w:rPr>
              <w:t>Počet případů DPN (tis.)</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0ED1C1E4" w14:textId="06832E0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Počet prostonaných dnů (tis.)</w:t>
            </w:r>
          </w:p>
        </w:tc>
        <w:tc>
          <w:tcPr>
            <w:tcW w:w="2382" w:type="dxa"/>
            <w:gridSpan w:val="2"/>
            <w:tcBorders>
              <w:top w:val="single" w:sz="4" w:space="0" w:color="auto"/>
              <w:left w:val="nil"/>
              <w:bottom w:val="single" w:sz="4" w:space="0" w:color="auto"/>
              <w:right w:val="nil"/>
            </w:tcBorders>
            <w:shd w:val="clear" w:color="000000" w:fill="F2DCDB"/>
            <w:vAlign w:val="center"/>
            <w:hideMark/>
          </w:tcPr>
          <w:p w14:paraId="200811EF"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646128" w:rsidRPr="00D92E20" w14:paraId="31C9C814" w14:textId="77777777" w:rsidTr="00795664">
        <w:trPr>
          <w:trHeight w:val="389"/>
        </w:trPr>
        <w:tc>
          <w:tcPr>
            <w:tcW w:w="2438" w:type="dxa"/>
            <w:vMerge/>
            <w:tcBorders>
              <w:left w:val="nil"/>
              <w:bottom w:val="single" w:sz="4" w:space="0" w:color="auto"/>
              <w:right w:val="single" w:sz="4" w:space="0" w:color="auto"/>
            </w:tcBorders>
            <w:shd w:val="clear" w:color="000000" w:fill="F2DCDB"/>
            <w:vAlign w:val="center"/>
          </w:tcPr>
          <w:p w14:paraId="584FDB66" w14:textId="77777777" w:rsidR="00646128" w:rsidRPr="00D92E20" w:rsidRDefault="00646128" w:rsidP="00646128">
            <w:pPr>
              <w:spacing w:after="0" w:line="240" w:lineRule="auto"/>
              <w:jc w:val="center"/>
              <w:rPr>
                <w:rFonts w:cs="Arial"/>
                <w:color w:val="000000"/>
                <w:sz w:val="16"/>
                <w:szCs w:val="16"/>
              </w:rPr>
            </w:pPr>
          </w:p>
        </w:tc>
        <w:tc>
          <w:tcPr>
            <w:tcW w:w="1191" w:type="dxa"/>
            <w:tcBorders>
              <w:top w:val="single" w:sz="4" w:space="0" w:color="auto"/>
              <w:left w:val="nil"/>
              <w:bottom w:val="single" w:sz="4" w:space="0" w:color="auto"/>
              <w:right w:val="single" w:sz="4" w:space="0" w:color="auto"/>
            </w:tcBorders>
            <w:shd w:val="clear" w:color="000000" w:fill="F2DCDB"/>
            <w:vAlign w:val="center"/>
          </w:tcPr>
          <w:p w14:paraId="393A2A23" w14:textId="3F1B35B1" w:rsidR="00646128" w:rsidRPr="00D92E20" w:rsidRDefault="00646128" w:rsidP="00795664">
            <w:pPr>
              <w:spacing w:after="0" w:line="240" w:lineRule="auto"/>
              <w:jc w:val="center"/>
              <w:rPr>
                <w:rFonts w:cs="Arial"/>
                <w:color w:val="000000"/>
                <w:sz w:val="16"/>
                <w:szCs w:val="16"/>
              </w:rPr>
            </w:pPr>
            <w:r>
              <w:rPr>
                <w:rFonts w:cs="Arial"/>
                <w:sz w:val="16"/>
                <w:szCs w:val="16"/>
              </w:rPr>
              <w:t>1. pol. 2020</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0AA0C7B4" w14:textId="7E5CF0E7" w:rsidR="00646128" w:rsidRPr="00D92E20" w:rsidRDefault="00646128" w:rsidP="00795664">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2E00378" w14:textId="6ED265D6" w:rsidR="00646128" w:rsidRPr="00D92E20" w:rsidRDefault="00646128" w:rsidP="00795664">
            <w:pPr>
              <w:spacing w:after="0" w:line="240" w:lineRule="auto"/>
              <w:jc w:val="center"/>
              <w:rPr>
                <w:rFonts w:cs="Arial"/>
                <w:color w:val="000000"/>
                <w:sz w:val="16"/>
                <w:szCs w:val="16"/>
              </w:rPr>
            </w:pPr>
            <w:r>
              <w:rPr>
                <w:rFonts w:cs="Arial"/>
                <w:sz w:val="16"/>
                <w:szCs w:val="16"/>
              </w:rPr>
              <w:t>1. pol. 2020</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5519EA3A" w14:textId="5CAABD50" w:rsidR="00646128" w:rsidRPr="00D92E20" w:rsidRDefault="00646128" w:rsidP="00795664">
            <w:pPr>
              <w:spacing w:after="0" w:line="240" w:lineRule="auto"/>
              <w:jc w:val="center"/>
              <w:rPr>
                <w:rFonts w:cs="Arial"/>
                <w:color w:val="000000"/>
                <w:sz w:val="16"/>
                <w:szCs w:val="16"/>
              </w:rPr>
            </w:pPr>
            <w:r>
              <w:rPr>
                <w:rFonts w:cs="Arial"/>
                <w:sz w:val="16"/>
                <w:szCs w:val="16"/>
              </w:rPr>
              <w:t>1. pol. 2021</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6307EDB" w14:textId="793108D0" w:rsidR="00646128" w:rsidRPr="00D92E20" w:rsidRDefault="00646128" w:rsidP="00795664">
            <w:pPr>
              <w:spacing w:after="0" w:line="240" w:lineRule="auto"/>
              <w:jc w:val="center"/>
              <w:rPr>
                <w:rFonts w:cs="Arial"/>
                <w:color w:val="000000"/>
                <w:sz w:val="16"/>
                <w:szCs w:val="16"/>
              </w:rPr>
            </w:pPr>
            <w:r>
              <w:rPr>
                <w:rFonts w:cs="Arial"/>
                <w:sz w:val="16"/>
                <w:szCs w:val="16"/>
              </w:rPr>
              <w:t>1. pol. 2020</w:t>
            </w:r>
          </w:p>
        </w:tc>
        <w:tc>
          <w:tcPr>
            <w:tcW w:w="1191" w:type="dxa"/>
            <w:tcBorders>
              <w:top w:val="single" w:sz="4" w:space="0" w:color="auto"/>
              <w:left w:val="single" w:sz="4" w:space="0" w:color="auto"/>
              <w:bottom w:val="single" w:sz="4" w:space="0" w:color="auto"/>
              <w:right w:val="nil"/>
            </w:tcBorders>
            <w:shd w:val="clear" w:color="000000" w:fill="F2DCDB"/>
            <w:vAlign w:val="center"/>
          </w:tcPr>
          <w:p w14:paraId="5E3BA8DB" w14:textId="5CAB649B" w:rsidR="00646128" w:rsidRPr="00D92E20" w:rsidRDefault="00646128" w:rsidP="00795664">
            <w:pPr>
              <w:spacing w:after="0" w:line="240" w:lineRule="auto"/>
              <w:jc w:val="center"/>
              <w:rPr>
                <w:rFonts w:cs="Arial"/>
                <w:color w:val="000000"/>
                <w:sz w:val="16"/>
                <w:szCs w:val="16"/>
              </w:rPr>
            </w:pPr>
            <w:r>
              <w:rPr>
                <w:rFonts w:cs="Arial"/>
                <w:sz w:val="16"/>
                <w:szCs w:val="16"/>
              </w:rPr>
              <w:t>1. pol. 2021</w:t>
            </w:r>
          </w:p>
        </w:tc>
      </w:tr>
      <w:tr w:rsidR="00646128" w:rsidRPr="00D92E20" w14:paraId="245D5B9B" w14:textId="77777777" w:rsidTr="00646128">
        <w:trPr>
          <w:trHeight w:val="285"/>
        </w:trPr>
        <w:tc>
          <w:tcPr>
            <w:tcW w:w="2438" w:type="dxa"/>
            <w:tcBorders>
              <w:top w:val="single" w:sz="4" w:space="0" w:color="auto"/>
              <w:bottom w:val="nil"/>
              <w:right w:val="single" w:sz="4" w:space="0" w:color="auto"/>
            </w:tcBorders>
            <w:shd w:val="clear" w:color="auto" w:fill="auto"/>
            <w:noWrap/>
            <w:vAlign w:val="center"/>
            <w:hideMark/>
          </w:tcPr>
          <w:p w14:paraId="7CE45E18" w14:textId="77777777" w:rsidR="00646128" w:rsidRPr="00D92E20" w:rsidRDefault="00646128" w:rsidP="00646128">
            <w:pPr>
              <w:spacing w:after="0" w:line="240" w:lineRule="auto"/>
              <w:rPr>
                <w:rFonts w:cs="Arial"/>
                <w:b/>
                <w:bCs/>
                <w:color w:val="000000"/>
                <w:sz w:val="16"/>
                <w:szCs w:val="16"/>
              </w:rPr>
            </w:pPr>
            <w:r w:rsidRPr="00D92E20">
              <w:rPr>
                <w:rFonts w:cs="Arial"/>
                <w:b/>
                <w:bCs/>
                <w:color w:val="000000"/>
                <w:sz w:val="16"/>
                <w:szCs w:val="16"/>
              </w:rPr>
              <w:t>ČR celkem</w:t>
            </w:r>
          </w:p>
        </w:tc>
        <w:tc>
          <w:tcPr>
            <w:tcW w:w="1191" w:type="dxa"/>
            <w:tcBorders>
              <w:top w:val="nil"/>
              <w:left w:val="single" w:sz="4" w:space="0" w:color="auto"/>
              <w:bottom w:val="nil"/>
              <w:right w:val="nil"/>
            </w:tcBorders>
            <w:shd w:val="clear" w:color="auto" w:fill="auto"/>
            <w:noWrap/>
            <w:vAlign w:val="center"/>
          </w:tcPr>
          <w:p w14:paraId="3D2992EB" w14:textId="39716CA4"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1 032,8</w:t>
            </w:r>
          </w:p>
        </w:tc>
        <w:tc>
          <w:tcPr>
            <w:tcW w:w="1191" w:type="dxa"/>
            <w:tcBorders>
              <w:top w:val="nil"/>
              <w:left w:val="single" w:sz="4" w:space="0" w:color="auto"/>
              <w:bottom w:val="nil"/>
              <w:right w:val="nil"/>
            </w:tcBorders>
            <w:shd w:val="clear" w:color="auto" w:fill="auto"/>
            <w:vAlign w:val="center"/>
          </w:tcPr>
          <w:p w14:paraId="5FFAB16F" w14:textId="706B2284"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1 423,1</w:t>
            </w:r>
          </w:p>
        </w:tc>
        <w:tc>
          <w:tcPr>
            <w:tcW w:w="1191" w:type="dxa"/>
            <w:tcBorders>
              <w:top w:val="nil"/>
              <w:left w:val="single" w:sz="4" w:space="0" w:color="auto"/>
              <w:bottom w:val="nil"/>
              <w:right w:val="single" w:sz="4" w:space="0" w:color="auto"/>
            </w:tcBorders>
            <w:shd w:val="clear" w:color="auto" w:fill="auto"/>
            <w:noWrap/>
            <w:vAlign w:val="center"/>
          </w:tcPr>
          <w:p w14:paraId="0194022D" w14:textId="0AC6EE2E"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42 934,2</w:t>
            </w:r>
          </w:p>
        </w:tc>
        <w:tc>
          <w:tcPr>
            <w:tcW w:w="1191" w:type="dxa"/>
            <w:tcBorders>
              <w:top w:val="nil"/>
              <w:left w:val="single" w:sz="4" w:space="0" w:color="auto"/>
              <w:bottom w:val="nil"/>
              <w:right w:val="single" w:sz="4" w:space="0" w:color="auto"/>
            </w:tcBorders>
            <w:shd w:val="clear" w:color="auto" w:fill="auto"/>
            <w:vAlign w:val="center"/>
          </w:tcPr>
          <w:p w14:paraId="2F75CCC3" w14:textId="404731FF"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51 409,2</w:t>
            </w:r>
          </w:p>
        </w:tc>
        <w:tc>
          <w:tcPr>
            <w:tcW w:w="1191" w:type="dxa"/>
            <w:tcBorders>
              <w:top w:val="single" w:sz="4" w:space="0" w:color="auto"/>
              <w:left w:val="nil"/>
              <w:bottom w:val="nil"/>
              <w:right w:val="single" w:sz="4" w:space="0" w:color="auto"/>
            </w:tcBorders>
            <w:shd w:val="clear" w:color="auto" w:fill="auto"/>
            <w:noWrap/>
            <w:vAlign w:val="center"/>
          </w:tcPr>
          <w:p w14:paraId="034FAD61" w14:textId="27943DB1"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41,6</w:t>
            </w:r>
          </w:p>
        </w:tc>
        <w:tc>
          <w:tcPr>
            <w:tcW w:w="1191" w:type="dxa"/>
            <w:tcBorders>
              <w:top w:val="nil"/>
              <w:left w:val="single" w:sz="4" w:space="0" w:color="auto"/>
              <w:bottom w:val="nil"/>
              <w:right w:val="nil"/>
            </w:tcBorders>
            <w:shd w:val="clear" w:color="auto" w:fill="auto"/>
            <w:vAlign w:val="center"/>
          </w:tcPr>
          <w:p w14:paraId="553D1BB9" w14:textId="55A8B74C" w:rsidR="00646128" w:rsidRPr="00D92E20" w:rsidRDefault="00646128" w:rsidP="00646128">
            <w:pPr>
              <w:spacing w:after="0" w:line="240" w:lineRule="auto"/>
              <w:jc w:val="right"/>
              <w:rPr>
                <w:rFonts w:cs="Arial"/>
                <w:b/>
                <w:bCs/>
                <w:color w:val="000000"/>
                <w:sz w:val="16"/>
                <w:szCs w:val="16"/>
              </w:rPr>
            </w:pPr>
            <w:r>
              <w:rPr>
                <w:rFonts w:cs="Arial"/>
                <w:b/>
                <w:bCs/>
                <w:color w:val="000000"/>
                <w:sz w:val="16"/>
                <w:szCs w:val="16"/>
              </w:rPr>
              <w:t>36,1</w:t>
            </w:r>
          </w:p>
        </w:tc>
      </w:tr>
      <w:tr w:rsidR="00646128" w:rsidRPr="00D92E20" w14:paraId="799E1028"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2C900328"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1191" w:type="dxa"/>
            <w:tcBorders>
              <w:top w:val="nil"/>
              <w:left w:val="single" w:sz="4" w:space="0" w:color="auto"/>
              <w:bottom w:val="nil"/>
              <w:right w:val="nil"/>
            </w:tcBorders>
            <w:shd w:val="clear" w:color="auto" w:fill="auto"/>
            <w:noWrap/>
            <w:vAlign w:val="center"/>
          </w:tcPr>
          <w:p w14:paraId="532E92C5" w14:textId="64CF2DFC" w:rsidR="00646128" w:rsidRPr="00D92E20" w:rsidRDefault="00646128" w:rsidP="00646128">
            <w:pPr>
              <w:spacing w:after="0" w:line="240" w:lineRule="auto"/>
              <w:jc w:val="right"/>
              <w:rPr>
                <w:rFonts w:cs="Arial"/>
                <w:color w:val="000000"/>
                <w:sz w:val="16"/>
                <w:szCs w:val="16"/>
              </w:rPr>
            </w:pPr>
            <w:r>
              <w:rPr>
                <w:rFonts w:cs="Arial"/>
                <w:color w:val="000000"/>
                <w:sz w:val="16"/>
                <w:szCs w:val="16"/>
              </w:rPr>
              <w:t>124,5</w:t>
            </w:r>
          </w:p>
        </w:tc>
        <w:tc>
          <w:tcPr>
            <w:tcW w:w="1191" w:type="dxa"/>
            <w:tcBorders>
              <w:top w:val="nil"/>
              <w:left w:val="single" w:sz="4" w:space="0" w:color="auto"/>
              <w:bottom w:val="nil"/>
              <w:right w:val="nil"/>
            </w:tcBorders>
            <w:shd w:val="clear" w:color="auto" w:fill="auto"/>
            <w:vAlign w:val="center"/>
          </w:tcPr>
          <w:p w14:paraId="2BD5D1B3" w14:textId="2E230077" w:rsidR="00646128" w:rsidRPr="00D92E20" w:rsidRDefault="00646128" w:rsidP="00646128">
            <w:pPr>
              <w:spacing w:after="0" w:line="240" w:lineRule="auto"/>
              <w:jc w:val="right"/>
              <w:rPr>
                <w:rFonts w:cs="Arial"/>
                <w:color w:val="000000"/>
                <w:sz w:val="16"/>
                <w:szCs w:val="16"/>
              </w:rPr>
            </w:pPr>
            <w:r>
              <w:rPr>
                <w:rFonts w:cs="Arial"/>
                <w:color w:val="000000"/>
                <w:sz w:val="16"/>
                <w:szCs w:val="16"/>
              </w:rPr>
              <w:t>146,7</w:t>
            </w:r>
          </w:p>
        </w:tc>
        <w:tc>
          <w:tcPr>
            <w:tcW w:w="1191" w:type="dxa"/>
            <w:tcBorders>
              <w:top w:val="nil"/>
              <w:left w:val="single" w:sz="4" w:space="0" w:color="auto"/>
              <w:bottom w:val="nil"/>
              <w:right w:val="single" w:sz="4" w:space="0" w:color="auto"/>
            </w:tcBorders>
            <w:shd w:val="clear" w:color="auto" w:fill="auto"/>
            <w:noWrap/>
            <w:vAlign w:val="center"/>
          </w:tcPr>
          <w:p w14:paraId="422660F4" w14:textId="11E9AB64" w:rsidR="00646128" w:rsidRPr="00D92E20" w:rsidRDefault="00646128" w:rsidP="00646128">
            <w:pPr>
              <w:spacing w:after="0" w:line="240" w:lineRule="auto"/>
              <w:jc w:val="right"/>
              <w:rPr>
                <w:rFonts w:cs="Arial"/>
                <w:color w:val="000000"/>
                <w:sz w:val="16"/>
                <w:szCs w:val="16"/>
              </w:rPr>
            </w:pPr>
            <w:r>
              <w:rPr>
                <w:rFonts w:cs="Arial"/>
                <w:color w:val="000000"/>
                <w:sz w:val="16"/>
                <w:szCs w:val="16"/>
              </w:rPr>
              <w:t>3 864,4</w:t>
            </w:r>
          </w:p>
        </w:tc>
        <w:tc>
          <w:tcPr>
            <w:tcW w:w="1191" w:type="dxa"/>
            <w:tcBorders>
              <w:top w:val="nil"/>
              <w:left w:val="single" w:sz="4" w:space="0" w:color="auto"/>
              <w:bottom w:val="nil"/>
              <w:right w:val="single" w:sz="4" w:space="0" w:color="auto"/>
            </w:tcBorders>
            <w:shd w:val="clear" w:color="auto" w:fill="auto"/>
            <w:vAlign w:val="center"/>
          </w:tcPr>
          <w:p w14:paraId="44DA9466" w14:textId="3774D752" w:rsidR="00646128" w:rsidRPr="00D92E20" w:rsidRDefault="00646128" w:rsidP="00646128">
            <w:pPr>
              <w:spacing w:after="0" w:line="240" w:lineRule="auto"/>
              <w:jc w:val="right"/>
              <w:rPr>
                <w:rFonts w:cs="Arial"/>
                <w:color w:val="000000"/>
                <w:sz w:val="16"/>
                <w:szCs w:val="16"/>
              </w:rPr>
            </w:pPr>
            <w:r>
              <w:rPr>
                <w:rFonts w:cs="Arial"/>
                <w:color w:val="000000"/>
                <w:sz w:val="16"/>
                <w:szCs w:val="16"/>
              </w:rPr>
              <w:t>4 611,3</w:t>
            </w:r>
          </w:p>
        </w:tc>
        <w:tc>
          <w:tcPr>
            <w:tcW w:w="1191" w:type="dxa"/>
            <w:tcBorders>
              <w:top w:val="nil"/>
              <w:left w:val="nil"/>
              <w:bottom w:val="nil"/>
              <w:right w:val="single" w:sz="4" w:space="0" w:color="auto"/>
            </w:tcBorders>
            <w:shd w:val="clear" w:color="auto" w:fill="auto"/>
            <w:noWrap/>
            <w:vAlign w:val="center"/>
          </w:tcPr>
          <w:p w14:paraId="74672533" w14:textId="64AB7B43" w:rsidR="00646128" w:rsidRPr="00D92E20" w:rsidRDefault="00646128" w:rsidP="00646128">
            <w:pPr>
              <w:spacing w:after="0" w:line="240" w:lineRule="auto"/>
              <w:jc w:val="right"/>
              <w:rPr>
                <w:rFonts w:cs="Arial"/>
                <w:color w:val="000000"/>
                <w:sz w:val="16"/>
                <w:szCs w:val="16"/>
              </w:rPr>
            </w:pPr>
            <w:r>
              <w:rPr>
                <w:rFonts w:cs="Arial"/>
                <w:color w:val="000000"/>
                <w:sz w:val="16"/>
                <w:szCs w:val="16"/>
              </w:rPr>
              <w:t>31,0</w:t>
            </w:r>
          </w:p>
        </w:tc>
        <w:tc>
          <w:tcPr>
            <w:tcW w:w="1191" w:type="dxa"/>
            <w:tcBorders>
              <w:top w:val="nil"/>
              <w:left w:val="single" w:sz="4" w:space="0" w:color="auto"/>
              <w:bottom w:val="nil"/>
              <w:right w:val="nil"/>
            </w:tcBorders>
            <w:shd w:val="clear" w:color="auto" w:fill="auto"/>
            <w:vAlign w:val="center"/>
          </w:tcPr>
          <w:p w14:paraId="107BD4C4" w14:textId="44F0B7E1" w:rsidR="00646128" w:rsidRPr="00D92E20" w:rsidRDefault="00646128" w:rsidP="00646128">
            <w:pPr>
              <w:spacing w:after="0" w:line="240" w:lineRule="auto"/>
              <w:jc w:val="right"/>
              <w:rPr>
                <w:rFonts w:cs="Arial"/>
                <w:color w:val="000000"/>
                <w:sz w:val="16"/>
                <w:szCs w:val="16"/>
              </w:rPr>
            </w:pPr>
            <w:r>
              <w:rPr>
                <w:rFonts w:cs="Arial"/>
                <w:color w:val="000000"/>
                <w:sz w:val="16"/>
                <w:szCs w:val="16"/>
              </w:rPr>
              <w:t>31,4</w:t>
            </w:r>
          </w:p>
        </w:tc>
      </w:tr>
      <w:tr w:rsidR="00646128" w:rsidRPr="00D92E20" w14:paraId="0E2E4F83"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3FDECE22"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1191" w:type="dxa"/>
            <w:tcBorders>
              <w:top w:val="nil"/>
              <w:left w:val="single" w:sz="4" w:space="0" w:color="auto"/>
              <w:bottom w:val="nil"/>
              <w:right w:val="nil"/>
            </w:tcBorders>
            <w:shd w:val="clear" w:color="auto" w:fill="auto"/>
            <w:noWrap/>
            <w:vAlign w:val="center"/>
          </w:tcPr>
          <w:p w14:paraId="0DF1A2B0" w14:textId="44BCE64D" w:rsidR="00646128" w:rsidRPr="00D92E20" w:rsidRDefault="00646128" w:rsidP="00646128">
            <w:pPr>
              <w:spacing w:after="0" w:line="240" w:lineRule="auto"/>
              <w:jc w:val="right"/>
              <w:rPr>
                <w:rFonts w:cs="Arial"/>
                <w:color w:val="000000"/>
                <w:sz w:val="16"/>
                <w:szCs w:val="16"/>
              </w:rPr>
            </w:pPr>
            <w:r>
              <w:rPr>
                <w:rFonts w:cs="Arial"/>
                <w:color w:val="000000"/>
                <w:sz w:val="16"/>
                <w:szCs w:val="16"/>
              </w:rPr>
              <w:t>109,8</w:t>
            </w:r>
          </w:p>
        </w:tc>
        <w:tc>
          <w:tcPr>
            <w:tcW w:w="1191" w:type="dxa"/>
            <w:tcBorders>
              <w:top w:val="nil"/>
              <w:left w:val="single" w:sz="4" w:space="0" w:color="auto"/>
              <w:bottom w:val="nil"/>
              <w:right w:val="nil"/>
            </w:tcBorders>
            <w:shd w:val="clear" w:color="auto" w:fill="auto"/>
            <w:vAlign w:val="center"/>
          </w:tcPr>
          <w:p w14:paraId="6196D514" w14:textId="19E9C976" w:rsidR="00646128" w:rsidRPr="00D92E20" w:rsidRDefault="00646128" w:rsidP="00646128">
            <w:pPr>
              <w:spacing w:after="0" w:line="240" w:lineRule="auto"/>
              <w:jc w:val="right"/>
              <w:rPr>
                <w:rFonts w:cs="Arial"/>
                <w:color w:val="000000"/>
                <w:sz w:val="16"/>
                <w:szCs w:val="16"/>
              </w:rPr>
            </w:pPr>
            <w:r>
              <w:rPr>
                <w:rFonts w:cs="Arial"/>
                <w:color w:val="000000"/>
                <w:sz w:val="16"/>
                <w:szCs w:val="16"/>
              </w:rPr>
              <w:t>166,2</w:t>
            </w:r>
          </w:p>
        </w:tc>
        <w:tc>
          <w:tcPr>
            <w:tcW w:w="1191" w:type="dxa"/>
            <w:tcBorders>
              <w:top w:val="nil"/>
              <w:left w:val="single" w:sz="4" w:space="0" w:color="auto"/>
              <w:bottom w:val="nil"/>
              <w:right w:val="single" w:sz="4" w:space="0" w:color="auto"/>
            </w:tcBorders>
            <w:shd w:val="clear" w:color="auto" w:fill="auto"/>
            <w:noWrap/>
            <w:vAlign w:val="center"/>
          </w:tcPr>
          <w:p w14:paraId="3C7205A2" w14:textId="629D55E1" w:rsidR="00646128" w:rsidRPr="00D92E20" w:rsidRDefault="00646128" w:rsidP="00646128">
            <w:pPr>
              <w:spacing w:after="0" w:line="240" w:lineRule="auto"/>
              <w:jc w:val="right"/>
              <w:rPr>
                <w:rFonts w:cs="Arial"/>
                <w:color w:val="000000"/>
                <w:sz w:val="16"/>
                <w:szCs w:val="16"/>
              </w:rPr>
            </w:pPr>
            <w:r>
              <w:rPr>
                <w:rFonts w:cs="Arial"/>
                <w:color w:val="000000"/>
                <w:sz w:val="16"/>
                <w:szCs w:val="16"/>
              </w:rPr>
              <w:t>4 220,9</w:t>
            </w:r>
          </w:p>
        </w:tc>
        <w:tc>
          <w:tcPr>
            <w:tcW w:w="1191" w:type="dxa"/>
            <w:tcBorders>
              <w:top w:val="nil"/>
              <w:left w:val="single" w:sz="4" w:space="0" w:color="auto"/>
              <w:bottom w:val="nil"/>
              <w:right w:val="single" w:sz="4" w:space="0" w:color="auto"/>
            </w:tcBorders>
            <w:shd w:val="clear" w:color="auto" w:fill="auto"/>
            <w:vAlign w:val="center"/>
          </w:tcPr>
          <w:p w14:paraId="72793B3A" w14:textId="65552401" w:rsidR="00646128" w:rsidRPr="00D92E20" w:rsidRDefault="00646128" w:rsidP="00646128">
            <w:pPr>
              <w:spacing w:after="0" w:line="240" w:lineRule="auto"/>
              <w:jc w:val="right"/>
              <w:rPr>
                <w:rFonts w:cs="Arial"/>
                <w:color w:val="000000"/>
                <w:sz w:val="16"/>
                <w:szCs w:val="16"/>
              </w:rPr>
            </w:pPr>
            <w:r>
              <w:rPr>
                <w:rFonts w:cs="Arial"/>
                <w:color w:val="000000"/>
                <w:sz w:val="16"/>
                <w:szCs w:val="16"/>
              </w:rPr>
              <w:t>5 318,7</w:t>
            </w:r>
          </w:p>
        </w:tc>
        <w:tc>
          <w:tcPr>
            <w:tcW w:w="1191" w:type="dxa"/>
            <w:tcBorders>
              <w:top w:val="nil"/>
              <w:left w:val="nil"/>
              <w:bottom w:val="nil"/>
              <w:right w:val="single" w:sz="4" w:space="0" w:color="auto"/>
            </w:tcBorders>
            <w:shd w:val="clear" w:color="auto" w:fill="auto"/>
            <w:noWrap/>
            <w:vAlign w:val="center"/>
          </w:tcPr>
          <w:p w14:paraId="56485892" w14:textId="26F84102" w:rsidR="00646128" w:rsidRPr="00D92E20" w:rsidRDefault="00646128" w:rsidP="00646128">
            <w:pPr>
              <w:spacing w:after="0" w:line="240" w:lineRule="auto"/>
              <w:jc w:val="right"/>
              <w:rPr>
                <w:rFonts w:cs="Arial"/>
                <w:color w:val="000000"/>
                <w:sz w:val="16"/>
                <w:szCs w:val="16"/>
              </w:rPr>
            </w:pPr>
            <w:r>
              <w:rPr>
                <w:rFonts w:cs="Arial"/>
                <w:color w:val="000000"/>
                <w:sz w:val="16"/>
                <w:szCs w:val="16"/>
              </w:rPr>
              <w:t>38,4</w:t>
            </w:r>
          </w:p>
        </w:tc>
        <w:tc>
          <w:tcPr>
            <w:tcW w:w="1191" w:type="dxa"/>
            <w:tcBorders>
              <w:top w:val="nil"/>
              <w:left w:val="single" w:sz="4" w:space="0" w:color="auto"/>
              <w:bottom w:val="nil"/>
              <w:right w:val="nil"/>
            </w:tcBorders>
            <w:shd w:val="clear" w:color="auto" w:fill="auto"/>
            <w:vAlign w:val="center"/>
          </w:tcPr>
          <w:p w14:paraId="2FE20D8B" w14:textId="412DB217" w:rsidR="00646128" w:rsidRPr="00D92E20" w:rsidRDefault="00646128" w:rsidP="00646128">
            <w:pPr>
              <w:spacing w:after="0" w:line="240" w:lineRule="auto"/>
              <w:jc w:val="right"/>
              <w:rPr>
                <w:rFonts w:cs="Arial"/>
                <w:color w:val="000000"/>
                <w:sz w:val="16"/>
                <w:szCs w:val="16"/>
              </w:rPr>
            </w:pPr>
            <w:r>
              <w:rPr>
                <w:rFonts w:cs="Arial"/>
                <w:color w:val="000000"/>
                <w:sz w:val="16"/>
                <w:szCs w:val="16"/>
              </w:rPr>
              <w:t>32,0</w:t>
            </w:r>
          </w:p>
        </w:tc>
      </w:tr>
      <w:tr w:rsidR="00646128" w:rsidRPr="00D92E20" w14:paraId="35A1AB73"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21AD090B"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1191" w:type="dxa"/>
            <w:tcBorders>
              <w:top w:val="nil"/>
              <w:left w:val="single" w:sz="4" w:space="0" w:color="auto"/>
              <w:bottom w:val="nil"/>
              <w:right w:val="nil"/>
            </w:tcBorders>
            <w:shd w:val="clear" w:color="auto" w:fill="auto"/>
            <w:noWrap/>
            <w:vAlign w:val="center"/>
          </w:tcPr>
          <w:p w14:paraId="6DD84B18" w14:textId="13EB9E52" w:rsidR="00646128" w:rsidRPr="00D92E20" w:rsidRDefault="00646128" w:rsidP="00646128">
            <w:pPr>
              <w:spacing w:after="0" w:line="240" w:lineRule="auto"/>
              <w:jc w:val="right"/>
              <w:rPr>
                <w:rFonts w:cs="Arial"/>
                <w:color w:val="000000"/>
                <w:sz w:val="16"/>
                <w:szCs w:val="16"/>
              </w:rPr>
            </w:pPr>
            <w:r>
              <w:rPr>
                <w:rFonts w:cs="Arial"/>
                <w:color w:val="000000"/>
                <w:sz w:val="16"/>
                <w:szCs w:val="16"/>
              </w:rPr>
              <w:t>63,6</w:t>
            </w:r>
          </w:p>
        </w:tc>
        <w:tc>
          <w:tcPr>
            <w:tcW w:w="1191" w:type="dxa"/>
            <w:tcBorders>
              <w:top w:val="nil"/>
              <w:left w:val="single" w:sz="4" w:space="0" w:color="auto"/>
              <w:bottom w:val="nil"/>
              <w:right w:val="nil"/>
            </w:tcBorders>
            <w:shd w:val="clear" w:color="auto" w:fill="auto"/>
            <w:vAlign w:val="center"/>
          </w:tcPr>
          <w:p w14:paraId="0640A42C" w14:textId="22EDB2E9" w:rsidR="00646128" w:rsidRPr="00D92E20" w:rsidRDefault="00646128" w:rsidP="00646128">
            <w:pPr>
              <w:spacing w:after="0" w:line="240" w:lineRule="auto"/>
              <w:jc w:val="right"/>
              <w:rPr>
                <w:rFonts w:cs="Arial"/>
                <w:color w:val="000000"/>
                <w:sz w:val="16"/>
                <w:szCs w:val="16"/>
              </w:rPr>
            </w:pPr>
            <w:r>
              <w:rPr>
                <w:rFonts w:cs="Arial"/>
                <w:color w:val="000000"/>
                <w:sz w:val="16"/>
                <w:szCs w:val="16"/>
              </w:rPr>
              <w:t>88,5</w:t>
            </w:r>
          </w:p>
        </w:tc>
        <w:tc>
          <w:tcPr>
            <w:tcW w:w="1191" w:type="dxa"/>
            <w:tcBorders>
              <w:top w:val="nil"/>
              <w:left w:val="single" w:sz="4" w:space="0" w:color="auto"/>
              <w:bottom w:val="nil"/>
              <w:right w:val="single" w:sz="4" w:space="0" w:color="auto"/>
            </w:tcBorders>
            <w:shd w:val="clear" w:color="auto" w:fill="auto"/>
            <w:noWrap/>
            <w:vAlign w:val="center"/>
          </w:tcPr>
          <w:p w14:paraId="10062453" w14:textId="4768F611" w:rsidR="00646128" w:rsidRPr="00D92E20" w:rsidRDefault="00646128" w:rsidP="00646128">
            <w:pPr>
              <w:spacing w:after="0" w:line="240" w:lineRule="auto"/>
              <w:jc w:val="right"/>
              <w:rPr>
                <w:rFonts w:cs="Arial"/>
                <w:color w:val="000000"/>
                <w:sz w:val="16"/>
                <w:szCs w:val="16"/>
              </w:rPr>
            </w:pPr>
            <w:r>
              <w:rPr>
                <w:rFonts w:cs="Arial"/>
                <w:color w:val="000000"/>
                <w:sz w:val="16"/>
                <w:szCs w:val="16"/>
              </w:rPr>
              <w:t>2 782,1</w:t>
            </w:r>
          </w:p>
        </w:tc>
        <w:tc>
          <w:tcPr>
            <w:tcW w:w="1191" w:type="dxa"/>
            <w:tcBorders>
              <w:top w:val="nil"/>
              <w:left w:val="single" w:sz="4" w:space="0" w:color="auto"/>
              <w:bottom w:val="nil"/>
              <w:right w:val="single" w:sz="4" w:space="0" w:color="auto"/>
            </w:tcBorders>
            <w:shd w:val="clear" w:color="auto" w:fill="auto"/>
            <w:vAlign w:val="center"/>
          </w:tcPr>
          <w:p w14:paraId="78E6CFCC" w14:textId="520FDC47" w:rsidR="00646128" w:rsidRPr="00D92E20" w:rsidRDefault="00646128" w:rsidP="00646128">
            <w:pPr>
              <w:spacing w:after="0" w:line="240" w:lineRule="auto"/>
              <w:jc w:val="right"/>
              <w:rPr>
                <w:rFonts w:cs="Arial"/>
                <w:color w:val="000000"/>
                <w:sz w:val="16"/>
                <w:szCs w:val="16"/>
              </w:rPr>
            </w:pPr>
            <w:r>
              <w:rPr>
                <w:rFonts w:cs="Arial"/>
                <w:color w:val="000000"/>
                <w:sz w:val="16"/>
                <w:szCs w:val="16"/>
              </w:rPr>
              <w:t>3 311,9</w:t>
            </w:r>
          </w:p>
        </w:tc>
        <w:tc>
          <w:tcPr>
            <w:tcW w:w="1191" w:type="dxa"/>
            <w:tcBorders>
              <w:top w:val="nil"/>
              <w:left w:val="nil"/>
              <w:bottom w:val="nil"/>
              <w:right w:val="single" w:sz="4" w:space="0" w:color="auto"/>
            </w:tcBorders>
            <w:shd w:val="clear" w:color="auto" w:fill="auto"/>
            <w:noWrap/>
            <w:vAlign w:val="center"/>
          </w:tcPr>
          <w:p w14:paraId="4D621D60" w14:textId="3AB31424" w:rsidR="00646128" w:rsidRPr="00D92E20" w:rsidRDefault="00646128" w:rsidP="00646128">
            <w:pPr>
              <w:spacing w:after="0" w:line="240" w:lineRule="auto"/>
              <w:jc w:val="right"/>
              <w:rPr>
                <w:rFonts w:cs="Arial"/>
                <w:color w:val="000000"/>
                <w:sz w:val="16"/>
                <w:szCs w:val="16"/>
              </w:rPr>
            </w:pPr>
            <w:r>
              <w:rPr>
                <w:rFonts w:cs="Arial"/>
                <w:color w:val="000000"/>
                <w:sz w:val="16"/>
                <w:szCs w:val="16"/>
              </w:rPr>
              <w:t>43,7</w:t>
            </w:r>
          </w:p>
        </w:tc>
        <w:tc>
          <w:tcPr>
            <w:tcW w:w="1191" w:type="dxa"/>
            <w:tcBorders>
              <w:top w:val="nil"/>
              <w:left w:val="single" w:sz="4" w:space="0" w:color="auto"/>
              <w:bottom w:val="nil"/>
              <w:right w:val="nil"/>
            </w:tcBorders>
            <w:shd w:val="clear" w:color="auto" w:fill="auto"/>
            <w:vAlign w:val="center"/>
          </w:tcPr>
          <w:p w14:paraId="49BEBE91" w14:textId="5C2A1CA6" w:rsidR="00646128" w:rsidRPr="00D92E20" w:rsidRDefault="00646128" w:rsidP="00646128">
            <w:pPr>
              <w:spacing w:after="0" w:line="240" w:lineRule="auto"/>
              <w:jc w:val="right"/>
              <w:rPr>
                <w:rFonts w:cs="Arial"/>
                <w:color w:val="000000"/>
                <w:sz w:val="16"/>
                <w:szCs w:val="16"/>
              </w:rPr>
            </w:pPr>
            <w:r>
              <w:rPr>
                <w:rFonts w:cs="Arial"/>
                <w:color w:val="000000"/>
                <w:sz w:val="16"/>
                <w:szCs w:val="16"/>
              </w:rPr>
              <w:t>37,4</w:t>
            </w:r>
          </w:p>
        </w:tc>
      </w:tr>
      <w:tr w:rsidR="00646128" w:rsidRPr="00D92E20" w14:paraId="2575C1CF"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163B2E66"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1191" w:type="dxa"/>
            <w:tcBorders>
              <w:top w:val="nil"/>
              <w:left w:val="single" w:sz="4" w:space="0" w:color="auto"/>
              <w:bottom w:val="nil"/>
              <w:right w:val="nil"/>
            </w:tcBorders>
            <w:shd w:val="clear" w:color="auto" w:fill="auto"/>
            <w:noWrap/>
            <w:vAlign w:val="center"/>
          </w:tcPr>
          <w:p w14:paraId="247E25BB" w14:textId="6A9A710B" w:rsidR="00646128" w:rsidRPr="00D92E20" w:rsidRDefault="00646128" w:rsidP="00646128">
            <w:pPr>
              <w:spacing w:after="0" w:line="240" w:lineRule="auto"/>
              <w:jc w:val="right"/>
              <w:rPr>
                <w:rFonts w:cs="Arial"/>
                <w:color w:val="000000"/>
                <w:sz w:val="16"/>
                <w:szCs w:val="16"/>
              </w:rPr>
            </w:pPr>
            <w:r>
              <w:rPr>
                <w:rFonts w:cs="Arial"/>
                <w:color w:val="000000"/>
                <w:sz w:val="16"/>
                <w:szCs w:val="16"/>
              </w:rPr>
              <w:t>62,1</w:t>
            </w:r>
          </w:p>
        </w:tc>
        <w:tc>
          <w:tcPr>
            <w:tcW w:w="1191" w:type="dxa"/>
            <w:tcBorders>
              <w:top w:val="nil"/>
              <w:left w:val="single" w:sz="4" w:space="0" w:color="auto"/>
              <w:bottom w:val="nil"/>
              <w:right w:val="nil"/>
            </w:tcBorders>
            <w:shd w:val="clear" w:color="auto" w:fill="auto"/>
            <w:vAlign w:val="center"/>
          </w:tcPr>
          <w:p w14:paraId="776FCDCD" w14:textId="2144F986" w:rsidR="00646128" w:rsidRPr="00D92E20" w:rsidRDefault="00646128" w:rsidP="00646128">
            <w:pPr>
              <w:spacing w:after="0" w:line="240" w:lineRule="auto"/>
              <w:jc w:val="right"/>
              <w:rPr>
                <w:rFonts w:cs="Arial"/>
                <w:color w:val="000000"/>
                <w:sz w:val="16"/>
                <w:szCs w:val="16"/>
              </w:rPr>
            </w:pPr>
            <w:r>
              <w:rPr>
                <w:rFonts w:cs="Arial"/>
                <w:color w:val="000000"/>
                <w:sz w:val="16"/>
                <w:szCs w:val="16"/>
              </w:rPr>
              <w:t>94,4</w:t>
            </w:r>
          </w:p>
        </w:tc>
        <w:tc>
          <w:tcPr>
            <w:tcW w:w="1191" w:type="dxa"/>
            <w:tcBorders>
              <w:top w:val="nil"/>
              <w:left w:val="single" w:sz="4" w:space="0" w:color="auto"/>
              <w:bottom w:val="nil"/>
              <w:right w:val="single" w:sz="4" w:space="0" w:color="auto"/>
            </w:tcBorders>
            <w:shd w:val="clear" w:color="auto" w:fill="auto"/>
            <w:noWrap/>
            <w:vAlign w:val="center"/>
          </w:tcPr>
          <w:p w14:paraId="53977D90" w14:textId="289BF731" w:rsidR="00646128" w:rsidRPr="00D92E20" w:rsidRDefault="00646128" w:rsidP="00646128">
            <w:pPr>
              <w:spacing w:after="0" w:line="240" w:lineRule="auto"/>
              <w:jc w:val="right"/>
              <w:rPr>
                <w:rFonts w:cs="Arial"/>
                <w:color w:val="000000"/>
                <w:sz w:val="16"/>
                <w:szCs w:val="16"/>
              </w:rPr>
            </w:pPr>
            <w:r>
              <w:rPr>
                <w:rFonts w:cs="Arial"/>
                <w:color w:val="000000"/>
                <w:sz w:val="16"/>
                <w:szCs w:val="16"/>
              </w:rPr>
              <w:t>2 487,5</w:t>
            </w:r>
          </w:p>
        </w:tc>
        <w:tc>
          <w:tcPr>
            <w:tcW w:w="1191" w:type="dxa"/>
            <w:tcBorders>
              <w:top w:val="nil"/>
              <w:left w:val="single" w:sz="4" w:space="0" w:color="auto"/>
              <w:bottom w:val="nil"/>
              <w:right w:val="single" w:sz="4" w:space="0" w:color="auto"/>
            </w:tcBorders>
            <w:shd w:val="clear" w:color="auto" w:fill="auto"/>
            <w:vAlign w:val="center"/>
          </w:tcPr>
          <w:p w14:paraId="17372E02" w14:textId="400FF294" w:rsidR="00646128" w:rsidRPr="00D92E20" w:rsidRDefault="00646128" w:rsidP="00646128">
            <w:pPr>
              <w:spacing w:after="0" w:line="240" w:lineRule="auto"/>
              <w:jc w:val="right"/>
              <w:rPr>
                <w:rFonts w:cs="Arial"/>
                <w:color w:val="000000"/>
                <w:sz w:val="16"/>
                <w:szCs w:val="16"/>
              </w:rPr>
            </w:pPr>
            <w:r>
              <w:rPr>
                <w:rFonts w:cs="Arial"/>
                <w:color w:val="000000"/>
                <w:sz w:val="16"/>
                <w:szCs w:val="16"/>
              </w:rPr>
              <w:t>3 260,1</w:t>
            </w:r>
          </w:p>
        </w:tc>
        <w:tc>
          <w:tcPr>
            <w:tcW w:w="1191" w:type="dxa"/>
            <w:tcBorders>
              <w:top w:val="nil"/>
              <w:left w:val="nil"/>
              <w:bottom w:val="nil"/>
              <w:right w:val="single" w:sz="4" w:space="0" w:color="auto"/>
            </w:tcBorders>
            <w:shd w:val="clear" w:color="auto" w:fill="auto"/>
            <w:noWrap/>
            <w:vAlign w:val="center"/>
          </w:tcPr>
          <w:p w14:paraId="6C5EFCAF" w14:textId="4C4A16A3" w:rsidR="00646128" w:rsidRPr="00D92E20" w:rsidRDefault="00646128" w:rsidP="00646128">
            <w:pPr>
              <w:spacing w:after="0" w:line="240" w:lineRule="auto"/>
              <w:jc w:val="right"/>
              <w:rPr>
                <w:rFonts w:cs="Arial"/>
                <w:color w:val="000000"/>
                <w:sz w:val="16"/>
                <w:szCs w:val="16"/>
              </w:rPr>
            </w:pPr>
            <w:r>
              <w:rPr>
                <w:rFonts w:cs="Arial"/>
                <w:color w:val="000000"/>
                <w:sz w:val="16"/>
                <w:szCs w:val="16"/>
              </w:rPr>
              <w:t>40,0</w:t>
            </w:r>
          </w:p>
        </w:tc>
        <w:tc>
          <w:tcPr>
            <w:tcW w:w="1191" w:type="dxa"/>
            <w:tcBorders>
              <w:top w:val="nil"/>
              <w:left w:val="single" w:sz="4" w:space="0" w:color="auto"/>
              <w:bottom w:val="nil"/>
              <w:right w:val="nil"/>
            </w:tcBorders>
            <w:shd w:val="clear" w:color="auto" w:fill="auto"/>
            <w:vAlign w:val="center"/>
          </w:tcPr>
          <w:p w14:paraId="3AECB202" w14:textId="00CF6FCF" w:rsidR="00646128" w:rsidRPr="00D92E20" w:rsidRDefault="00646128" w:rsidP="00646128">
            <w:pPr>
              <w:spacing w:after="0" w:line="240" w:lineRule="auto"/>
              <w:jc w:val="right"/>
              <w:rPr>
                <w:rFonts w:cs="Arial"/>
                <w:color w:val="000000"/>
                <w:sz w:val="16"/>
                <w:szCs w:val="16"/>
              </w:rPr>
            </w:pPr>
            <w:r>
              <w:rPr>
                <w:rFonts w:cs="Arial"/>
                <w:color w:val="000000"/>
                <w:sz w:val="16"/>
                <w:szCs w:val="16"/>
              </w:rPr>
              <w:t>34,5</w:t>
            </w:r>
          </w:p>
        </w:tc>
      </w:tr>
      <w:tr w:rsidR="00646128" w:rsidRPr="00D92E20" w14:paraId="6D750AAC"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3198D5D3"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1191" w:type="dxa"/>
            <w:tcBorders>
              <w:top w:val="nil"/>
              <w:left w:val="single" w:sz="4" w:space="0" w:color="auto"/>
              <w:bottom w:val="nil"/>
              <w:right w:val="nil"/>
            </w:tcBorders>
            <w:shd w:val="clear" w:color="auto" w:fill="auto"/>
            <w:noWrap/>
            <w:vAlign w:val="center"/>
          </w:tcPr>
          <w:p w14:paraId="2C4FB532" w14:textId="0E15F573" w:rsidR="00646128" w:rsidRPr="00D92E20" w:rsidRDefault="00646128" w:rsidP="00646128">
            <w:pPr>
              <w:spacing w:after="0" w:line="240" w:lineRule="auto"/>
              <w:jc w:val="right"/>
              <w:rPr>
                <w:rFonts w:cs="Arial"/>
                <w:color w:val="000000"/>
                <w:sz w:val="16"/>
                <w:szCs w:val="16"/>
              </w:rPr>
            </w:pPr>
            <w:r>
              <w:rPr>
                <w:rFonts w:cs="Arial"/>
                <w:color w:val="000000"/>
                <w:sz w:val="16"/>
                <w:szCs w:val="16"/>
              </w:rPr>
              <w:t>24,9</w:t>
            </w:r>
          </w:p>
        </w:tc>
        <w:tc>
          <w:tcPr>
            <w:tcW w:w="1191" w:type="dxa"/>
            <w:tcBorders>
              <w:top w:val="nil"/>
              <w:left w:val="single" w:sz="4" w:space="0" w:color="auto"/>
              <w:bottom w:val="nil"/>
              <w:right w:val="nil"/>
            </w:tcBorders>
            <w:shd w:val="clear" w:color="auto" w:fill="auto"/>
            <w:vAlign w:val="center"/>
          </w:tcPr>
          <w:p w14:paraId="4F4FDF43" w14:textId="777BE49D" w:rsidR="00646128" w:rsidRPr="00D92E20" w:rsidRDefault="00646128" w:rsidP="00646128">
            <w:pPr>
              <w:spacing w:after="0" w:line="240" w:lineRule="auto"/>
              <w:jc w:val="right"/>
              <w:rPr>
                <w:rFonts w:cs="Arial"/>
                <w:color w:val="000000"/>
                <w:sz w:val="16"/>
                <w:szCs w:val="16"/>
              </w:rPr>
            </w:pPr>
            <w:r>
              <w:rPr>
                <w:rFonts w:cs="Arial"/>
                <w:color w:val="000000"/>
                <w:sz w:val="16"/>
                <w:szCs w:val="16"/>
              </w:rPr>
              <w:t>36,5</w:t>
            </w:r>
          </w:p>
        </w:tc>
        <w:tc>
          <w:tcPr>
            <w:tcW w:w="1191" w:type="dxa"/>
            <w:tcBorders>
              <w:top w:val="nil"/>
              <w:left w:val="single" w:sz="4" w:space="0" w:color="auto"/>
              <w:bottom w:val="nil"/>
              <w:right w:val="single" w:sz="4" w:space="0" w:color="auto"/>
            </w:tcBorders>
            <w:shd w:val="clear" w:color="auto" w:fill="auto"/>
            <w:noWrap/>
            <w:vAlign w:val="center"/>
          </w:tcPr>
          <w:p w14:paraId="1315E43C" w14:textId="44DCDD7B" w:rsidR="00646128" w:rsidRPr="00D92E20" w:rsidRDefault="00646128" w:rsidP="00646128">
            <w:pPr>
              <w:spacing w:after="0" w:line="240" w:lineRule="auto"/>
              <w:jc w:val="right"/>
              <w:rPr>
                <w:rFonts w:cs="Arial"/>
                <w:color w:val="000000"/>
                <w:sz w:val="16"/>
                <w:szCs w:val="16"/>
              </w:rPr>
            </w:pPr>
            <w:r>
              <w:rPr>
                <w:rFonts w:cs="Arial"/>
                <w:color w:val="000000"/>
                <w:sz w:val="16"/>
                <w:szCs w:val="16"/>
              </w:rPr>
              <w:t>1 004,4</w:t>
            </w:r>
          </w:p>
        </w:tc>
        <w:tc>
          <w:tcPr>
            <w:tcW w:w="1191" w:type="dxa"/>
            <w:tcBorders>
              <w:top w:val="nil"/>
              <w:left w:val="single" w:sz="4" w:space="0" w:color="auto"/>
              <w:bottom w:val="nil"/>
              <w:right w:val="single" w:sz="4" w:space="0" w:color="auto"/>
            </w:tcBorders>
            <w:shd w:val="clear" w:color="auto" w:fill="auto"/>
            <w:vAlign w:val="center"/>
          </w:tcPr>
          <w:p w14:paraId="4634DE7D" w14:textId="1B568F29" w:rsidR="00646128" w:rsidRPr="00D92E20" w:rsidRDefault="00646128" w:rsidP="00646128">
            <w:pPr>
              <w:spacing w:after="0" w:line="240" w:lineRule="auto"/>
              <w:jc w:val="right"/>
              <w:rPr>
                <w:rFonts w:cs="Arial"/>
                <w:color w:val="000000"/>
                <w:sz w:val="16"/>
                <w:szCs w:val="16"/>
              </w:rPr>
            </w:pPr>
            <w:r>
              <w:rPr>
                <w:rFonts w:cs="Arial"/>
                <w:color w:val="000000"/>
                <w:sz w:val="16"/>
                <w:szCs w:val="16"/>
              </w:rPr>
              <w:t>1 259,4</w:t>
            </w:r>
          </w:p>
        </w:tc>
        <w:tc>
          <w:tcPr>
            <w:tcW w:w="1191" w:type="dxa"/>
            <w:tcBorders>
              <w:top w:val="nil"/>
              <w:left w:val="nil"/>
              <w:bottom w:val="nil"/>
              <w:right w:val="single" w:sz="4" w:space="0" w:color="auto"/>
            </w:tcBorders>
            <w:shd w:val="clear" w:color="auto" w:fill="auto"/>
            <w:noWrap/>
            <w:vAlign w:val="center"/>
          </w:tcPr>
          <w:p w14:paraId="423EF97C" w14:textId="4D08679F" w:rsidR="00646128" w:rsidRPr="00D92E20" w:rsidRDefault="00646128" w:rsidP="00646128">
            <w:pPr>
              <w:spacing w:after="0" w:line="240" w:lineRule="auto"/>
              <w:jc w:val="right"/>
              <w:rPr>
                <w:rFonts w:cs="Arial"/>
                <w:color w:val="000000"/>
                <w:sz w:val="16"/>
                <w:szCs w:val="16"/>
              </w:rPr>
            </w:pPr>
            <w:r>
              <w:rPr>
                <w:rFonts w:cs="Arial"/>
                <w:color w:val="000000"/>
                <w:sz w:val="16"/>
                <w:szCs w:val="16"/>
              </w:rPr>
              <w:t>40,3</w:t>
            </w:r>
          </w:p>
        </w:tc>
        <w:tc>
          <w:tcPr>
            <w:tcW w:w="1191" w:type="dxa"/>
            <w:tcBorders>
              <w:top w:val="nil"/>
              <w:left w:val="single" w:sz="4" w:space="0" w:color="auto"/>
              <w:bottom w:val="nil"/>
              <w:right w:val="nil"/>
            </w:tcBorders>
            <w:shd w:val="clear" w:color="auto" w:fill="auto"/>
            <w:vAlign w:val="center"/>
          </w:tcPr>
          <w:p w14:paraId="75483062" w14:textId="73E7E52C" w:rsidR="00646128" w:rsidRPr="00D92E20" w:rsidRDefault="00646128" w:rsidP="00646128">
            <w:pPr>
              <w:spacing w:after="0" w:line="240" w:lineRule="auto"/>
              <w:jc w:val="right"/>
              <w:rPr>
                <w:rFonts w:cs="Arial"/>
                <w:color w:val="000000"/>
                <w:sz w:val="16"/>
                <w:szCs w:val="16"/>
              </w:rPr>
            </w:pPr>
            <w:r>
              <w:rPr>
                <w:rFonts w:cs="Arial"/>
                <w:color w:val="000000"/>
                <w:sz w:val="16"/>
                <w:szCs w:val="16"/>
              </w:rPr>
              <w:t>34,5</w:t>
            </w:r>
          </w:p>
        </w:tc>
      </w:tr>
      <w:tr w:rsidR="00646128" w:rsidRPr="00D92E20" w14:paraId="6B7122AB"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3E27580E"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1191" w:type="dxa"/>
            <w:tcBorders>
              <w:top w:val="nil"/>
              <w:left w:val="single" w:sz="4" w:space="0" w:color="auto"/>
              <w:bottom w:val="nil"/>
              <w:right w:val="nil"/>
            </w:tcBorders>
            <w:shd w:val="clear" w:color="auto" w:fill="auto"/>
            <w:noWrap/>
            <w:vAlign w:val="center"/>
          </w:tcPr>
          <w:p w14:paraId="6D1EF149" w14:textId="68173D14" w:rsidR="00646128" w:rsidRPr="00D92E20" w:rsidRDefault="00646128" w:rsidP="00646128">
            <w:pPr>
              <w:spacing w:after="0" w:line="240" w:lineRule="auto"/>
              <w:jc w:val="right"/>
              <w:rPr>
                <w:rFonts w:cs="Arial"/>
                <w:color w:val="000000"/>
                <w:sz w:val="16"/>
                <w:szCs w:val="16"/>
              </w:rPr>
            </w:pPr>
            <w:r>
              <w:rPr>
                <w:rFonts w:cs="Arial"/>
                <w:color w:val="000000"/>
                <w:sz w:val="16"/>
                <w:szCs w:val="16"/>
              </w:rPr>
              <w:t>75,1</w:t>
            </w:r>
          </w:p>
        </w:tc>
        <w:tc>
          <w:tcPr>
            <w:tcW w:w="1191" w:type="dxa"/>
            <w:tcBorders>
              <w:top w:val="nil"/>
              <w:left w:val="single" w:sz="4" w:space="0" w:color="auto"/>
              <w:bottom w:val="nil"/>
              <w:right w:val="nil"/>
            </w:tcBorders>
            <w:shd w:val="clear" w:color="auto" w:fill="auto"/>
            <w:vAlign w:val="center"/>
          </w:tcPr>
          <w:p w14:paraId="0669D666" w14:textId="33080CAD" w:rsidR="00646128" w:rsidRPr="00D92E20" w:rsidRDefault="00646128" w:rsidP="00646128">
            <w:pPr>
              <w:spacing w:after="0" w:line="240" w:lineRule="auto"/>
              <w:jc w:val="right"/>
              <w:rPr>
                <w:rFonts w:cs="Arial"/>
                <w:color w:val="000000"/>
                <w:sz w:val="16"/>
                <w:szCs w:val="16"/>
              </w:rPr>
            </w:pPr>
            <w:r>
              <w:rPr>
                <w:rFonts w:cs="Arial"/>
                <w:color w:val="000000"/>
                <w:sz w:val="16"/>
                <w:szCs w:val="16"/>
              </w:rPr>
              <w:t>113,1</w:t>
            </w:r>
          </w:p>
        </w:tc>
        <w:tc>
          <w:tcPr>
            <w:tcW w:w="1191" w:type="dxa"/>
            <w:tcBorders>
              <w:top w:val="nil"/>
              <w:left w:val="single" w:sz="4" w:space="0" w:color="auto"/>
              <w:bottom w:val="nil"/>
              <w:right w:val="single" w:sz="4" w:space="0" w:color="auto"/>
            </w:tcBorders>
            <w:shd w:val="clear" w:color="auto" w:fill="auto"/>
            <w:noWrap/>
            <w:vAlign w:val="center"/>
          </w:tcPr>
          <w:p w14:paraId="4A038CC0" w14:textId="2C8A113F" w:rsidR="00646128" w:rsidRPr="00D92E20" w:rsidRDefault="00646128" w:rsidP="00646128">
            <w:pPr>
              <w:spacing w:after="0" w:line="240" w:lineRule="auto"/>
              <w:jc w:val="right"/>
              <w:rPr>
                <w:rFonts w:cs="Arial"/>
                <w:color w:val="000000"/>
                <w:sz w:val="16"/>
                <w:szCs w:val="16"/>
              </w:rPr>
            </w:pPr>
            <w:r>
              <w:rPr>
                <w:rFonts w:cs="Arial"/>
                <w:color w:val="000000"/>
                <w:sz w:val="16"/>
                <w:szCs w:val="16"/>
              </w:rPr>
              <w:t>3 131,7</w:t>
            </w:r>
          </w:p>
        </w:tc>
        <w:tc>
          <w:tcPr>
            <w:tcW w:w="1191" w:type="dxa"/>
            <w:tcBorders>
              <w:top w:val="nil"/>
              <w:left w:val="single" w:sz="4" w:space="0" w:color="auto"/>
              <w:bottom w:val="nil"/>
              <w:right w:val="single" w:sz="4" w:space="0" w:color="auto"/>
            </w:tcBorders>
            <w:shd w:val="clear" w:color="auto" w:fill="auto"/>
            <w:vAlign w:val="center"/>
          </w:tcPr>
          <w:p w14:paraId="2552BB35" w14:textId="52DF3E08" w:rsidR="00646128" w:rsidRPr="00D92E20" w:rsidRDefault="00646128" w:rsidP="00646128">
            <w:pPr>
              <w:spacing w:after="0" w:line="240" w:lineRule="auto"/>
              <w:jc w:val="right"/>
              <w:rPr>
                <w:rFonts w:cs="Arial"/>
                <w:color w:val="000000"/>
                <w:sz w:val="16"/>
                <w:szCs w:val="16"/>
              </w:rPr>
            </w:pPr>
            <w:r>
              <w:rPr>
                <w:rFonts w:cs="Arial"/>
                <w:color w:val="000000"/>
                <w:sz w:val="16"/>
                <w:szCs w:val="16"/>
              </w:rPr>
              <w:t>3 877,3</w:t>
            </w:r>
          </w:p>
        </w:tc>
        <w:tc>
          <w:tcPr>
            <w:tcW w:w="1191" w:type="dxa"/>
            <w:tcBorders>
              <w:top w:val="nil"/>
              <w:left w:val="nil"/>
              <w:bottom w:val="nil"/>
              <w:right w:val="single" w:sz="4" w:space="0" w:color="auto"/>
            </w:tcBorders>
            <w:shd w:val="clear" w:color="auto" w:fill="auto"/>
            <w:noWrap/>
            <w:vAlign w:val="center"/>
          </w:tcPr>
          <w:p w14:paraId="34F485B2" w14:textId="2B16442B" w:rsidR="00646128" w:rsidRPr="00D92E20" w:rsidRDefault="00646128" w:rsidP="00646128">
            <w:pPr>
              <w:spacing w:after="0" w:line="240" w:lineRule="auto"/>
              <w:jc w:val="right"/>
              <w:rPr>
                <w:rFonts w:cs="Arial"/>
                <w:color w:val="000000"/>
                <w:sz w:val="16"/>
                <w:szCs w:val="16"/>
              </w:rPr>
            </w:pPr>
            <w:r>
              <w:rPr>
                <w:rFonts w:cs="Arial"/>
                <w:color w:val="000000"/>
                <w:sz w:val="16"/>
                <w:szCs w:val="16"/>
              </w:rPr>
              <w:t>41,7</w:t>
            </w:r>
          </w:p>
        </w:tc>
        <w:tc>
          <w:tcPr>
            <w:tcW w:w="1191" w:type="dxa"/>
            <w:tcBorders>
              <w:top w:val="nil"/>
              <w:left w:val="single" w:sz="4" w:space="0" w:color="auto"/>
              <w:bottom w:val="nil"/>
              <w:right w:val="nil"/>
            </w:tcBorders>
            <w:shd w:val="clear" w:color="auto" w:fill="auto"/>
            <w:vAlign w:val="center"/>
          </w:tcPr>
          <w:p w14:paraId="71E4A3E9" w14:textId="4ECCC538" w:rsidR="00646128" w:rsidRPr="00D92E20" w:rsidRDefault="00646128" w:rsidP="00646128">
            <w:pPr>
              <w:spacing w:after="0" w:line="240" w:lineRule="auto"/>
              <w:jc w:val="right"/>
              <w:rPr>
                <w:rFonts w:cs="Arial"/>
                <w:color w:val="000000"/>
                <w:sz w:val="16"/>
                <w:szCs w:val="16"/>
              </w:rPr>
            </w:pPr>
            <w:r>
              <w:rPr>
                <w:rFonts w:cs="Arial"/>
                <w:color w:val="000000"/>
                <w:sz w:val="16"/>
                <w:szCs w:val="16"/>
              </w:rPr>
              <w:t>34,3</w:t>
            </w:r>
          </w:p>
        </w:tc>
      </w:tr>
      <w:tr w:rsidR="00646128" w:rsidRPr="00D92E20" w14:paraId="1FADCF93"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6E4BF23B"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1191" w:type="dxa"/>
            <w:tcBorders>
              <w:top w:val="nil"/>
              <w:left w:val="single" w:sz="4" w:space="0" w:color="auto"/>
              <w:bottom w:val="nil"/>
              <w:right w:val="nil"/>
            </w:tcBorders>
            <w:shd w:val="clear" w:color="auto" w:fill="auto"/>
            <w:noWrap/>
            <w:vAlign w:val="center"/>
          </w:tcPr>
          <w:p w14:paraId="48760506" w14:textId="226D5645" w:rsidR="00646128" w:rsidRPr="00D92E20" w:rsidRDefault="00646128" w:rsidP="00646128">
            <w:pPr>
              <w:spacing w:after="0" w:line="240" w:lineRule="auto"/>
              <w:jc w:val="right"/>
              <w:rPr>
                <w:rFonts w:cs="Arial"/>
                <w:color w:val="000000"/>
                <w:sz w:val="16"/>
                <w:szCs w:val="16"/>
              </w:rPr>
            </w:pPr>
            <w:r>
              <w:rPr>
                <w:rFonts w:cs="Arial"/>
                <w:color w:val="000000"/>
                <w:sz w:val="16"/>
                <w:szCs w:val="16"/>
              </w:rPr>
              <w:t>47,2</w:t>
            </w:r>
          </w:p>
        </w:tc>
        <w:tc>
          <w:tcPr>
            <w:tcW w:w="1191" w:type="dxa"/>
            <w:tcBorders>
              <w:top w:val="nil"/>
              <w:left w:val="single" w:sz="4" w:space="0" w:color="auto"/>
              <w:bottom w:val="nil"/>
              <w:right w:val="nil"/>
            </w:tcBorders>
            <w:shd w:val="clear" w:color="auto" w:fill="auto"/>
            <w:vAlign w:val="center"/>
          </w:tcPr>
          <w:p w14:paraId="7298A1DD" w14:textId="4D12B776" w:rsidR="00646128" w:rsidRPr="00D92E20" w:rsidRDefault="00646128" w:rsidP="00646128">
            <w:pPr>
              <w:spacing w:after="0" w:line="240" w:lineRule="auto"/>
              <w:jc w:val="right"/>
              <w:rPr>
                <w:rFonts w:cs="Arial"/>
                <w:color w:val="000000"/>
                <w:sz w:val="16"/>
                <w:szCs w:val="16"/>
              </w:rPr>
            </w:pPr>
            <w:r>
              <w:rPr>
                <w:rFonts w:cs="Arial"/>
                <w:color w:val="000000"/>
                <w:sz w:val="16"/>
                <w:szCs w:val="16"/>
              </w:rPr>
              <w:t>71,3</w:t>
            </w:r>
          </w:p>
        </w:tc>
        <w:tc>
          <w:tcPr>
            <w:tcW w:w="1191" w:type="dxa"/>
            <w:tcBorders>
              <w:top w:val="nil"/>
              <w:left w:val="single" w:sz="4" w:space="0" w:color="auto"/>
              <w:bottom w:val="nil"/>
              <w:right w:val="single" w:sz="4" w:space="0" w:color="auto"/>
            </w:tcBorders>
            <w:shd w:val="clear" w:color="auto" w:fill="auto"/>
            <w:noWrap/>
            <w:vAlign w:val="center"/>
          </w:tcPr>
          <w:p w14:paraId="0AF492E2" w14:textId="5E63C415" w:rsidR="00646128" w:rsidRPr="00D92E20" w:rsidRDefault="00646128" w:rsidP="00646128">
            <w:pPr>
              <w:spacing w:after="0" w:line="240" w:lineRule="auto"/>
              <w:jc w:val="right"/>
              <w:rPr>
                <w:rFonts w:cs="Arial"/>
                <w:color w:val="000000"/>
                <w:sz w:val="16"/>
                <w:szCs w:val="16"/>
              </w:rPr>
            </w:pPr>
            <w:r>
              <w:rPr>
                <w:rFonts w:cs="Arial"/>
                <w:color w:val="000000"/>
                <w:sz w:val="16"/>
                <w:szCs w:val="16"/>
              </w:rPr>
              <w:t>1 887,6</w:t>
            </w:r>
          </w:p>
        </w:tc>
        <w:tc>
          <w:tcPr>
            <w:tcW w:w="1191" w:type="dxa"/>
            <w:tcBorders>
              <w:top w:val="nil"/>
              <w:left w:val="single" w:sz="4" w:space="0" w:color="auto"/>
              <w:bottom w:val="nil"/>
              <w:right w:val="single" w:sz="4" w:space="0" w:color="auto"/>
            </w:tcBorders>
            <w:shd w:val="clear" w:color="auto" w:fill="auto"/>
            <w:vAlign w:val="center"/>
          </w:tcPr>
          <w:p w14:paraId="648692CB" w14:textId="546EBF1D" w:rsidR="00646128" w:rsidRPr="00D92E20" w:rsidRDefault="00646128" w:rsidP="00646128">
            <w:pPr>
              <w:spacing w:after="0" w:line="240" w:lineRule="auto"/>
              <w:jc w:val="right"/>
              <w:rPr>
                <w:rFonts w:cs="Arial"/>
                <w:color w:val="000000"/>
                <w:sz w:val="16"/>
                <w:szCs w:val="16"/>
              </w:rPr>
            </w:pPr>
            <w:r>
              <w:rPr>
                <w:rFonts w:cs="Arial"/>
                <w:color w:val="000000"/>
                <w:sz w:val="16"/>
                <w:szCs w:val="16"/>
              </w:rPr>
              <w:t>2 396,0</w:t>
            </w:r>
          </w:p>
        </w:tc>
        <w:tc>
          <w:tcPr>
            <w:tcW w:w="1191" w:type="dxa"/>
            <w:tcBorders>
              <w:top w:val="nil"/>
              <w:left w:val="nil"/>
              <w:bottom w:val="nil"/>
              <w:right w:val="single" w:sz="4" w:space="0" w:color="auto"/>
            </w:tcBorders>
            <w:shd w:val="clear" w:color="auto" w:fill="auto"/>
            <w:noWrap/>
            <w:vAlign w:val="center"/>
          </w:tcPr>
          <w:p w14:paraId="0E12CE94" w14:textId="0BCEC049" w:rsidR="00646128" w:rsidRPr="00D92E20" w:rsidRDefault="00646128" w:rsidP="00646128">
            <w:pPr>
              <w:spacing w:after="0" w:line="240" w:lineRule="auto"/>
              <w:jc w:val="right"/>
              <w:rPr>
                <w:rFonts w:cs="Arial"/>
                <w:color w:val="000000"/>
                <w:sz w:val="16"/>
                <w:szCs w:val="16"/>
              </w:rPr>
            </w:pPr>
            <w:r>
              <w:rPr>
                <w:rFonts w:cs="Arial"/>
                <w:color w:val="000000"/>
                <w:sz w:val="16"/>
                <w:szCs w:val="16"/>
              </w:rPr>
              <w:t>40,0</w:t>
            </w:r>
          </w:p>
        </w:tc>
        <w:tc>
          <w:tcPr>
            <w:tcW w:w="1191" w:type="dxa"/>
            <w:tcBorders>
              <w:top w:val="nil"/>
              <w:left w:val="single" w:sz="4" w:space="0" w:color="auto"/>
              <w:bottom w:val="nil"/>
              <w:right w:val="nil"/>
            </w:tcBorders>
            <w:shd w:val="clear" w:color="auto" w:fill="auto"/>
            <w:vAlign w:val="center"/>
          </w:tcPr>
          <w:p w14:paraId="19BA6B29" w14:textId="1D8325A6" w:rsidR="00646128" w:rsidRPr="00D92E20" w:rsidRDefault="00646128" w:rsidP="00646128">
            <w:pPr>
              <w:spacing w:after="0" w:line="240" w:lineRule="auto"/>
              <w:jc w:val="right"/>
              <w:rPr>
                <w:rFonts w:cs="Arial"/>
                <w:color w:val="000000"/>
                <w:sz w:val="16"/>
                <w:szCs w:val="16"/>
              </w:rPr>
            </w:pPr>
            <w:r>
              <w:rPr>
                <w:rFonts w:cs="Arial"/>
                <w:color w:val="000000"/>
                <w:sz w:val="16"/>
                <w:szCs w:val="16"/>
              </w:rPr>
              <w:t>33,6</w:t>
            </w:r>
          </w:p>
        </w:tc>
      </w:tr>
      <w:tr w:rsidR="00646128" w:rsidRPr="00D92E20" w14:paraId="5E70E6E2"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6A00FF69"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1191" w:type="dxa"/>
            <w:tcBorders>
              <w:top w:val="nil"/>
              <w:left w:val="single" w:sz="4" w:space="0" w:color="auto"/>
              <w:bottom w:val="nil"/>
              <w:right w:val="nil"/>
            </w:tcBorders>
            <w:shd w:val="clear" w:color="auto" w:fill="auto"/>
            <w:noWrap/>
            <w:vAlign w:val="center"/>
          </w:tcPr>
          <w:p w14:paraId="043AD8D3" w14:textId="265F0DA6" w:rsidR="00646128" w:rsidRPr="00D92E20" w:rsidRDefault="00646128" w:rsidP="00646128">
            <w:pPr>
              <w:spacing w:after="0" w:line="240" w:lineRule="auto"/>
              <w:jc w:val="right"/>
              <w:rPr>
                <w:rFonts w:cs="Arial"/>
                <w:color w:val="000000"/>
                <w:sz w:val="16"/>
                <w:szCs w:val="16"/>
              </w:rPr>
            </w:pPr>
            <w:r>
              <w:rPr>
                <w:rFonts w:cs="Arial"/>
                <w:color w:val="000000"/>
                <w:sz w:val="16"/>
                <w:szCs w:val="16"/>
              </w:rPr>
              <w:t>56,8</w:t>
            </w:r>
          </w:p>
        </w:tc>
        <w:tc>
          <w:tcPr>
            <w:tcW w:w="1191" w:type="dxa"/>
            <w:tcBorders>
              <w:top w:val="nil"/>
              <w:left w:val="single" w:sz="4" w:space="0" w:color="auto"/>
              <w:bottom w:val="nil"/>
              <w:right w:val="nil"/>
            </w:tcBorders>
            <w:shd w:val="clear" w:color="auto" w:fill="auto"/>
            <w:vAlign w:val="center"/>
          </w:tcPr>
          <w:p w14:paraId="43534426" w14:textId="0C9DFDAB" w:rsidR="00646128" w:rsidRPr="00D92E20" w:rsidRDefault="00646128" w:rsidP="00646128">
            <w:pPr>
              <w:spacing w:after="0" w:line="240" w:lineRule="auto"/>
              <w:jc w:val="right"/>
              <w:rPr>
                <w:rFonts w:cs="Arial"/>
                <w:color w:val="000000"/>
                <w:sz w:val="16"/>
                <w:szCs w:val="16"/>
              </w:rPr>
            </w:pPr>
            <w:r>
              <w:rPr>
                <w:rFonts w:cs="Arial"/>
                <w:color w:val="000000"/>
                <w:sz w:val="16"/>
                <w:szCs w:val="16"/>
              </w:rPr>
              <w:t>89,4</w:t>
            </w:r>
          </w:p>
        </w:tc>
        <w:tc>
          <w:tcPr>
            <w:tcW w:w="1191" w:type="dxa"/>
            <w:tcBorders>
              <w:top w:val="nil"/>
              <w:left w:val="single" w:sz="4" w:space="0" w:color="auto"/>
              <w:bottom w:val="nil"/>
              <w:right w:val="single" w:sz="4" w:space="0" w:color="auto"/>
            </w:tcBorders>
            <w:shd w:val="clear" w:color="auto" w:fill="auto"/>
            <w:noWrap/>
            <w:vAlign w:val="center"/>
          </w:tcPr>
          <w:p w14:paraId="0C338273" w14:textId="7602F917" w:rsidR="00646128" w:rsidRPr="00D92E20" w:rsidRDefault="00646128" w:rsidP="00646128">
            <w:pPr>
              <w:spacing w:after="0" w:line="240" w:lineRule="auto"/>
              <w:jc w:val="right"/>
              <w:rPr>
                <w:rFonts w:cs="Arial"/>
                <w:color w:val="000000"/>
                <w:sz w:val="16"/>
                <w:szCs w:val="16"/>
              </w:rPr>
            </w:pPr>
            <w:r>
              <w:rPr>
                <w:rFonts w:cs="Arial"/>
                <w:color w:val="000000"/>
                <w:sz w:val="16"/>
                <w:szCs w:val="16"/>
              </w:rPr>
              <w:t>2 345,3</w:t>
            </w:r>
          </w:p>
        </w:tc>
        <w:tc>
          <w:tcPr>
            <w:tcW w:w="1191" w:type="dxa"/>
            <w:tcBorders>
              <w:top w:val="nil"/>
              <w:left w:val="single" w:sz="4" w:space="0" w:color="auto"/>
              <w:bottom w:val="nil"/>
              <w:right w:val="single" w:sz="4" w:space="0" w:color="auto"/>
            </w:tcBorders>
            <w:shd w:val="clear" w:color="auto" w:fill="auto"/>
            <w:vAlign w:val="center"/>
          </w:tcPr>
          <w:p w14:paraId="6C6A39F2" w14:textId="7F386D0A" w:rsidR="00646128" w:rsidRPr="00D92E20" w:rsidRDefault="00646128" w:rsidP="00646128">
            <w:pPr>
              <w:spacing w:after="0" w:line="240" w:lineRule="auto"/>
              <w:jc w:val="right"/>
              <w:rPr>
                <w:rFonts w:cs="Arial"/>
                <w:color w:val="000000"/>
                <w:sz w:val="16"/>
                <w:szCs w:val="16"/>
              </w:rPr>
            </w:pPr>
            <w:r>
              <w:rPr>
                <w:rFonts w:cs="Arial"/>
                <w:color w:val="000000"/>
                <w:sz w:val="16"/>
                <w:szCs w:val="16"/>
              </w:rPr>
              <w:t>2 978,0</w:t>
            </w:r>
          </w:p>
        </w:tc>
        <w:tc>
          <w:tcPr>
            <w:tcW w:w="1191" w:type="dxa"/>
            <w:tcBorders>
              <w:top w:val="nil"/>
              <w:left w:val="nil"/>
              <w:bottom w:val="nil"/>
              <w:right w:val="single" w:sz="4" w:space="0" w:color="auto"/>
            </w:tcBorders>
            <w:shd w:val="clear" w:color="auto" w:fill="auto"/>
            <w:noWrap/>
            <w:vAlign w:val="center"/>
          </w:tcPr>
          <w:p w14:paraId="391730C0" w14:textId="74092762" w:rsidR="00646128" w:rsidRPr="00D92E20" w:rsidRDefault="00646128" w:rsidP="00646128">
            <w:pPr>
              <w:spacing w:after="0" w:line="240" w:lineRule="auto"/>
              <w:jc w:val="right"/>
              <w:rPr>
                <w:rFonts w:cs="Arial"/>
                <w:color w:val="000000"/>
                <w:sz w:val="16"/>
                <w:szCs w:val="16"/>
              </w:rPr>
            </w:pPr>
            <w:r>
              <w:rPr>
                <w:rFonts w:cs="Arial"/>
                <w:color w:val="000000"/>
                <w:sz w:val="16"/>
                <w:szCs w:val="16"/>
              </w:rPr>
              <w:t>41,3</w:t>
            </w:r>
          </w:p>
        </w:tc>
        <w:tc>
          <w:tcPr>
            <w:tcW w:w="1191" w:type="dxa"/>
            <w:tcBorders>
              <w:top w:val="nil"/>
              <w:left w:val="single" w:sz="4" w:space="0" w:color="auto"/>
              <w:bottom w:val="nil"/>
              <w:right w:val="nil"/>
            </w:tcBorders>
            <w:shd w:val="clear" w:color="auto" w:fill="auto"/>
            <w:vAlign w:val="center"/>
          </w:tcPr>
          <w:p w14:paraId="423DF871" w14:textId="067C7F2B" w:rsidR="00646128" w:rsidRPr="00D92E20" w:rsidRDefault="00646128" w:rsidP="00646128">
            <w:pPr>
              <w:spacing w:after="0" w:line="240" w:lineRule="auto"/>
              <w:jc w:val="right"/>
              <w:rPr>
                <w:rFonts w:cs="Arial"/>
                <w:color w:val="000000"/>
                <w:sz w:val="16"/>
                <w:szCs w:val="16"/>
              </w:rPr>
            </w:pPr>
            <w:r>
              <w:rPr>
                <w:rFonts w:cs="Arial"/>
                <w:color w:val="000000"/>
                <w:sz w:val="16"/>
                <w:szCs w:val="16"/>
              </w:rPr>
              <w:t>33,3</w:t>
            </w:r>
          </w:p>
        </w:tc>
      </w:tr>
      <w:tr w:rsidR="00646128" w:rsidRPr="00D92E20" w14:paraId="0FF080AD"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2C565228"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1191" w:type="dxa"/>
            <w:tcBorders>
              <w:top w:val="nil"/>
              <w:left w:val="single" w:sz="4" w:space="0" w:color="auto"/>
              <w:bottom w:val="nil"/>
              <w:right w:val="nil"/>
            </w:tcBorders>
            <w:shd w:val="clear" w:color="auto" w:fill="auto"/>
            <w:noWrap/>
            <w:vAlign w:val="center"/>
          </w:tcPr>
          <w:p w14:paraId="525EB89F" w14:textId="0D9DBAE2" w:rsidR="00646128" w:rsidRPr="00D92E20" w:rsidRDefault="00646128" w:rsidP="00646128">
            <w:pPr>
              <w:spacing w:after="0" w:line="240" w:lineRule="auto"/>
              <w:jc w:val="right"/>
              <w:rPr>
                <w:rFonts w:cs="Arial"/>
                <w:color w:val="000000"/>
                <w:sz w:val="16"/>
                <w:szCs w:val="16"/>
              </w:rPr>
            </w:pPr>
            <w:r>
              <w:rPr>
                <w:rFonts w:cs="Arial"/>
                <w:color w:val="000000"/>
                <w:sz w:val="16"/>
                <w:szCs w:val="16"/>
              </w:rPr>
              <w:t>49,4</w:t>
            </w:r>
          </w:p>
        </w:tc>
        <w:tc>
          <w:tcPr>
            <w:tcW w:w="1191" w:type="dxa"/>
            <w:tcBorders>
              <w:top w:val="nil"/>
              <w:left w:val="single" w:sz="4" w:space="0" w:color="auto"/>
              <w:bottom w:val="nil"/>
              <w:right w:val="nil"/>
            </w:tcBorders>
            <w:shd w:val="clear" w:color="auto" w:fill="auto"/>
            <w:vAlign w:val="center"/>
          </w:tcPr>
          <w:p w14:paraId="069A8B25" w14:textId="4EBF6ACC" w:rsidR="00646128" w:rsidRPr="00D92E20" w:rsidRDefault="00646128" w:rsidP="00646128">
            <w:pPr>
              <w:spacing w:after="0" w:line="240" w:lineRule="auto"/>
              <w:jc w:val="right"/>
              <w:rPr>
                <w:rFonts w:cs="Arial"/>
                <w:color w:val="000000"/>
                <w:sz w:val="16"/>
                <w:szCs w:val="16"/>
              </w:rPr>
            </w:pPr>
            <w:r>
              <w:rPr>
                <w:rFonts w:cs="Arial"/>
                <w:color w:val="000000"/>
                <w:sz w:val="16"/>
                <w:szCs w:val="16"/>
              </w:rPr>
              <w:t>79,3</w:t>
            </w:r>
          </w:p>
        </w:tc>
        <w:tc>
          <w:tcPr>
            <w:tcW w:w="1191" w:type="dxa"/>
            <w:tcBorders>
              <w:top w:val="nil"/>
              <w:left w:val="single" w:sz="4" w:space="0" w:color="auto"/>
              <w:bottom w:val="nil"/>
              <w:right w:val="single" w:sz="4" w:space="0" w:color="auto"/>
            </w:tcBorders>
            <w:shd w:val="clear" w:color="auto" w:fill="auto"/>
            <w:noWrap/>
            <w:vAlign w:val="center"/>
          </w:tcPr>
          <w:p w14:paraId="48A9A672" w14:textId="293CBFBE" w:rsidR="00646128" w:rsidRPr="00D92E20" w:rsidRDefault="00646128" w:rsidP="00646128">
            <w:pPr>
              <w:spacing w:after="0" w:line="240" w:lineRule="auto"/>
              <w:jc w:val="right"/>
              <w:rPr>
                <w:rFonts w:cs="Arial"/>
                <w:color w:val="000000"/>
                <w:sz w:val="16"/>
                <w:szCs w:val="16"/>
              </w:rPr>
            </w:pPr>
            <w:r>
              <w:rPr>
                <w:rFonts w:cs="Arial"/>
                <w:color w:val="000000"/>
                <w:sz w:val="16"/>
                <w:szCs w:val="16"/>
              </w:rPr>
              <w:t>2 101,1</w:t>
            </w:r>
          </w:p>
        </w:tc>
        <w:tc>
          <w:tcPr>
            <w:tcW w:w="1191" w:type="dxa"/>
            <w:tcBorders>
              <w:top w:val="nil"/>
              <w:left w:val="single" w:sz="4" w:space="0" w:color="auto"/>
              <w:bottom w:val="nil"/>
              <w:right w:val="single" w:sz="4" w:space="0" w:color="auto"/>
            </w:tcBorders>
            <w:shd w:val="clear" w:color="auto" w:fill="auto"/>
            <w:vAlign w:val="center"/>
          </w:tcPr>
          <w:p w14:paraId="71D8D046" w14:textId="52741A99" w:rsidR="00646128" w:rsidRPr="00D92E20" w:rsidRDefault="00646128" w:rsidP="00646128">
            <w:pPr>
              <w:spacing w:after="0" w:line="240" w:lineRule="auto"/>
              <w:jc w:val="right"/>
              <w:rPr>
                <w:rFonts w:cs="Arial"/>
                <w:color w:val="000000"/>
                <w:sz w:val="16"/>
                <w:szCs w:val="16"/>
              </w:rPr>
            </w:pPr>
            <w:r>
              <w:rPr>
                <w:rFonts w:cs="Arial"/>
                <w:color w:val="000000"/>
                <w:sz w:val="16"/>
                <w:szCs w:val="16"/>
              </w:rPr>
              <w:t>2 655,0</w:t>
            </w:r>
          </w:p>
        </w:tc>
        <w:tc>
          <w:tcPr>
            <w:tcW w:w="1191" w:type="dxa"/>
            <w:tcBorders>
              <w:top w:val="nil"/>
              <w:left w:val="nil"/>
              <w:bottom w:val="nil"/>
              <w:right w:val="single" w:sz="4" w:space="0" w:color="auto"/>
            </w:tcBorders>
            <w:shd w:val="clear" w:color="auto" w:fill="auto"/>
            <w:noWrap/>
            <w:vAlign w:val="center"/>
          </w:tcPr>
          <w:p w14:paraId="0C57E791" w14:textId="24538FA1" w:rsidR="00646128" w:rsidRPr="00D92E20" w:rsidRDefault="00646128" w:rsidP="00646128">
            <w:pPr>
              <w:spacing w:after="0" w:line="240" w:lineRule="auto"/>
              <w:jc w:val="right"/>
              <w:rPr>
                <w:rFonts w:cs="Arial"/>
                <w:color w:val="000000"/>
                <w:sz w:val="16"/>
                <w:szCs w:val="16"/>
              </w:rPr>
            </w:pPr>
            <w:r>
              <w:rPr>
                <w:rFonts w:cs="Arial"/>
                <w:color w:val="000000"/>
                <w:sz w:val="16"/>
                <w:szCs w:val="16"/>
              </w:rPr>
              <w:t>42,5</w:t>
            </w:r>
          </w:p>
        </w:tc>
        <w:tc>
          <w:tcPr>
            <w:tcW w:w="1191" w:type="dxa"/>
            <w:tcBorders>
              <w:top w:val="nil"/>
              <w:left w:val="single" w:sz="4" w:space="0" w:color="auto"/>
              <w:bottom w:val="nil"/>
              <w:right w:val="nil"/>
            </w:tcBorders>
            <w:shd w:val="clear" w:color="auto" w:fill="auto"/>
            <w:vAlign w:val="center"/>
          </w:tcPr>
          <w:p w14:paraId="25BAF25C" w14:textId="572C76BA" w:rsidR="00646128" w:rsidRPr="00D92E20" w:rsidRDefault="00646128" w:rsidP="00646128">
            <w:pPr>
              <w:spacing w:after="0" w:line="240" w:lineRule="auto"/>
              <w:jc w:val="right"/>
              <w:rPr>
                <w:rFonts w:cs="Arial"/>
                <w:color w:val="000000"/>
                <w:sz w:val="16"/>
                <w:szCs w:val="16"/>
              </w:rPr>
            </w:pPr>
            <w:r>
              <w:rPr>
                <w:rFonts w:cs="Arial"/>
                <w:color w:val="000000"/>
                <w:sz w:val="16"/>
                <w:szCs w:val="16"/>
              </w:rPr>
              <w:t>33,5</w:t>
            </w:r>
          </w:p>
        </w:tc>
      </w:tr>
      <w:tr w:rsidR="00646128" w:rsidRPr="00D92E20" w14:paraId="4A3A07D3"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18852ABE"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1191" w:type="dxa"/>
            <w:tcBorders>
              <w:top w:val="nil"/>
              <w:left w:val="single" w:sz="4" w:space="0" w:color="auto"/>
              <w:bottom w:val="nil"/>
              <w:right w:val="nil"/>
            </w:tcBorders>
            <w:shd w:val="clear" w:color="auto" w:fill="auto"/>
            <w:noWrap/>
            <w:vAlign w:val="center"/>
          </w:tcPr>
          <w:p w14:paraId="7B16540B" w14:textId="560ACA4B" w:rsidR="00646128" w:rsidRPr="00D92E20" w:rsidRDefault="00646128" w:rsidP="00646128">
            <w:pPr>
              <w:spacing w:after="0" w:line="240" w:lineRule="auto"/>
              <w:jc w:val="right"/>
              <w:rPr>
                <w:rFonts w:cs="Arial"/>
                <w:color w:val="000000"/>
                <w:sz w:val="16"/>
                <w:szCs w:val="16"/>
              </w:rPr>
            </w:pPr>
            <w:r>
              <w:rPr>
                <w:rFonts w:cs="Arial"/>
                <w:color w:val="000000"/>
                <w:sz w:val="16"/>
                <w:szCs w:val="16"/>
              </w:rPr>
              <w:t>49,7</w:t>
            </w:r>
          </w:p>
        </w:tc>
        <w:tc>
          <w:tcPr>
            <w:tcW w:w="1191" w:type="dxa"/>
            <w:tcBorders>
              <w:top w:val="nil"/>
              <w:left w:val="single" w:sz="4" w:space="0" w:color="auto"/>
              <w:bottom w:val="nil"/>
              <w:right w:val="nil"/>
            </w:tcBorders>
            <w:shd w:val="clear" w:color="auto" w:fill="auto"/>
            <w:vAlign w:val="center"/>
          </w:tcPr>
          <w:p w14:paraId="47C56FD9" w14:textId="457E2881" w:rsidR="00646128" w:rsidRPr="00D92E20" w:rsidRDefault="00646128" w:rsidP="00646128">
            <w:pPr>
              <w:spacing w:after="0" w:line="240" w:lineRule="auto"/>
              <w:jc w:val="right"/>
              <w:rPr>
                <w:rFonts w:cs="Arial"/>
                <w:color w:val="000000"/>
                <w:sz w:val="16"/>
                <w:szCs w:val="16"/>
              </w:rPr>
            </w:pPr>
            <w:r>
              <w:rPr>
                <w:rFonts w:cs="Arial"/>
                <w:color w:val="000000"/>
                <w:sz w:val="16"/>
                <w:szCs w:val="16"/>
              </w:rPr>
              <w:t>65,5</w:t>
            </w:r>
          </w:p>
        </w:tc>
        <w:tc>
          <w:tcPr>
            <w:tcW w:w="1191" w:type="dxa"/>
            <w:tcBorders>
              <w:top w:val="nil"/>
              <w:left w:val="single" w:sz="4" w:space="0" w:color="auto"/>
              <w:bottom w:val="nil"/>
              <w:right w:val="single" w:sz="4" w:space="0" w:color="auto"/>
            </w:tcBorders>
            <w:shd w:val="clear" w:color="auto" w:fill="auto"/>
            <w:noWrap/>
            <w:vAlign w:val="center"/>
          </w:tcPr>
          <w:p w14:paraId="4D3C4118" w14:textId="4813EB22" w:rsidR="00646128" w:rsidRPr="00D92E20" w:rsidRDefault="00646128" w:rsidP="00646128">
            <w:pPr>
              <w:spacing w:after="0" w:line="240" w:lineRule="auto"/>
              <w:jc w:val="right"/>
              <w:rPr>
                <w:rFonts w:cs="Arial"/>
                <w:color w:val="000000"/>
                <w:sz w:val="16"/>
                <w:szCs w:val="16"/>
              </w:rPr>
            </w:pPr>
            <w:r>
              <w:rPr>
                <w:rFonts w:cs="Arial"/>
                <w:color w:val="000000"/>
                <w:sz w:val="16"/>
                <w:szCs w:val="16"/>
              </w:rPr>
              <w:t>2 298,3</w:t>
            </w:r>
          </w:p>
        </w:tc>
        <w:tc>
          <w:tcPr>
            <w:tcW w:w="1191" w:type="dxa"/>
            <w:tcBorders>
              <w:top w:val="nil"/>
              <w:left w:val="single" w:sz="4" w:space="0" w:color="auto"/>
              <w:bottom w:val="nil"/>
              <w:right w:val="single" w:sz="4" w:space="0" w:color="auto"/>
            </w:tcBorders>
            <w:shd w:val="clear" w:color="auto" w:fill="auto"/>
            <w:vAlign w:val="center"/>
          </w:tcPr>
          <w:p w14:paraId="7C60B3D7" w14:textId="39F869DF" w:rsidR="00646128" w:rsidRPr="00D92E20" w:rsidRDefault="00646128" w:rsidP="00646128">
            <w:pPr>
              <w:spacing w:after="0" w:line="240" w:lineRule="auto"/>
              <w:jc w:val="right"/>
              <w:rPr>
                <w:rFonts w:cs="Arial"/>
                <w:color w:val="000000"/>
                <w:sz w:val="16"/>
                <w:szCs w:val="16"/>
              </w:rPr>
            </w:pPr>
            <w:r>
              <w:rPr>
                <w:rFonts w:cs="Arial"/>
                <w:color w:val="000000"/>
                <w:sz w:val="16"/>
                <w:szCs w:val="16"/>
              </w:rPr>
              <w:t>2 577,6</w:t>
            </w:r>
          </w:p>
        </w:tc>
        <w:tc>
          <w:tcPr>
            <w:tcW w:w="1191" w:type="dxa"/>
            <w:tcBorders>
              <w:top w:val="nil"/>
              <w:left w:val="nil"/>
              <w:bottom w:val="nil"/>
              <w:right w:val="single" w:sz="4" w:space="0" w:color="auto"/>
            </w:tcBorders>
            <w:shd w:val="clear" w:color="auto" w:fill="auto"/>
            <w:noWrap/>
            <w:vAlign w:val="center"/>
          </w:tcPr>
          <w:p w14:paraId="21582949" w14:textId="1A391B25" w:rsidR="00646128" w:rsidRPr="00D92E20" w:rsidRDefault="00646128" w:rsidP="00646128">
            <w:pPr>
              <w:spacing w:after="0" w:line="240" w:lineRule="auto"/>
              <w:jc w:val="right"/>
              <w:rPr>
                <w:rFonts w:cs="Arial"/>
                <w:color w:val="000000"/>
                <w:sz w:val="16"/>
                <w:szCs w:val="16"/>
              </w:rPr>
            </w:pPr>
            <w:r>
              <w:rPr>
                <w:rFonts w:cs="Arial"/>
                <w:color w:val="000000"/>
                <w:sz w:val="16"/>
                <w:szCs w:val="16"/>
              </w:rPr>
              <w:t>46,3</w:t>
            </w:r>
          </w:p>
        </w:tc>
        <w:tc>
          <w:tcPr>
            <w:tcW w:w="1191" w:type="dxa"/>
            <w:tcBorders>
              <w:top w:val="nil"/>
              <w:left w:val="single" w:sz="4" w:space="0" w:color="auto"/>
              <w:bottom w:val="nil"/>
              <w:right w:val="nil"/>
            </w:tcBorders>
            <w:shd w:val="clear" w:color="auto" w:fill="auto"/>
            <w:vAlign w:val="center"/>
          </w:tcPr>
          <w:p w14:paraId="24E04168" w14:textId="0D19E768" w:rsidR="00646128" w:rsidRPr="00D92E20" w:rsidRDefault="00646128" w:rsidP="00646128">
            <w:pPr>
              <w:spacing w:after="0" w:line="240" w:lineRule="auto"/>
              <w:jc w:val="right"/>
              <w:rPr>
                <w:rFonts w:cs="Arial"/>
                <w:color w:val="000000"/>
                <w:sz w:val="16"/>
                <w:szCs w:val="16"/>
              </w:rPr>
            </w:pPr>
            <w:r>
              <w:rPr>
                <w:rFonts w:cs="Arial"/>
                <w:color w:val="000000"/>
                <w:sz w:val="16"/>
                <w:szCs w:val="16"/>
              </w:rPr>
              <w:t>39,4</w:t>
            </w:r>
          </w:p>
        </w:tc>
      </w:tr>
      <w:tr w:rsidR="00646128" w:rsidRPr="00D92E20" w14:paraId="0FDFAE32"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2F4B09B6"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1191" w:type="dxa"/>
            <w:tcBorders>
              <w:top w:val="nil"/>
              <w:left w:val="single" w:sz="4" w:space="0" w:color="auto"/>
              <w:bottom w:val="nil"/>
              <w:right w:val="nil"/>
            </w:tcBorders>
            <w:shd w:val="clear" w:color="auto" w:fill="auto"/>
            <w:noWrap/>
            <w:vAlign w:val="center"/>
          </w:tcPr>
          <w:p w14:paraId="1EE4B7A6" w14:textId="6845A2F5" w:rsidR="00646128" w:rsidRPr="00D92E20" w:rsidRDefault="00646128" w:rsidP="00646128">
            <w:pPr>
              <w:spacing w:after="0" w:line="240" w:lineRule="auto"/>
              <w:jc w:val="right"/>
              <w:rPr>
                <w:rFonts w:cs="Arial"/>
                <w:color w:val="000000"/>
                <w:sz w:val="16"/>
                <w:szCs w:val="16"/>
              </w:rPr>
            </w:pPr>
            <w:r>
              <w:rPr>
                <w:rFonts w:cs="Arial"/>
                <w:color w:val="000000"/>
                <w:sz w:val="16"/>
                <w:szCs w:val="16"/>
              </w:rPr>
              <w:t>113,3</w:t>
            </w:r>
          </w:p>
        </w:tc>
        <w:tc>
          <w:tcPr>
            <w:tcW w:w="1191" w:type="dxa"/>
            <w:tcBorders>
              <w:top w:val="nil"/>
              <w:left w:val="single" w:sz="4" w:space="0" w:color="auto"/>
              <w:bottom w:val="nil"/>
              <w:right w:val="nil"/>
            </w:tcBorders>
            <w:shd w:val="clear" w:color="auto" w:fill="auto"/>
            <w:vAlign w:val="center"/>
          </w:tcPr>
          <w:p w14:paraId="6CC05FB5" w14:textId="00FC424B" w:rsidR="00646128" w:rsidRPr="00D92E20" w:rsidRDefault="00646128" w:rsidP="00646128">
            <w:pPr>
              <w:spacing w:after="0" w:line="240" w:lineRule="auto"/>
              <w:jc w:val="right"/>
              <w:rPr>
                <w:rFonts w:cs="Arial"/>
                <w:color w:val="000000"/>
                <w:sz w:val="16"/>
                <w:szCs w:val="16"/>
              </w:rPr>
            </w:pPr>
            <w:r>
              <w:rPr>
                <w:rFonts w:cs="Arial"/>
                <w:color w:val="000000"/>
                <w:sz w:val="16"/>
                <w:szCs w:val="16"/>
              </w:rPr>
              <w:t>146,5</w:t>
            </w:r>
          </w:p>
        </w:tc>
        <w:tc>
          <w:tcPr>
            <w:tcW w:w="1191" w:type="dxa"/>
            <w:tcBorders>
              <w:top w:val="nil"/>
              <w:left w:val="single" w:sz="4" w:space="0" w:color="auto"/>
              <w:bottom w:val="nil"/>
              <w:right w:val="single" w:sz="4" w:space="0" w:color="auto"/>
            </w:tcBorders>
            <w:shd w:val="clear" w:color="auto" w:fill="auto"/>
            <w:noWrap/>
            <w:vAlign w:val="center"/>
          </w:tcPr>
          <w:p w14:paraId="01BD46D3" w14:textId="42A8FCD8" w:rsidR="00646128" w:rsidRPr="00D92E20" w:rsidRDefault="00646128" w:rsidP="00646128">
            <w:pPr>
              <w:spacing w:after="0" w:line="240" w:lineRule="auto"/>
              <w:jc w:val="right"/>
              <w:rPr>
                <w:rFonts w:cs="Arial"/>
                <w:color w:val="000000"/>
                <w:sz w:val="16"/>
                <w:szCs w:val="16"/>
              </w:rPr>
            </w:pPr>
            <w:r>
              <w:rPr>
                <w:rFonts w:cs="Arial"/>
                <w:color w:val="000000"/>
                <w:sz w:val="16"/>
                <w:szCs w:val="16"/>
              </w:rPr>
              <w:t>4 871,2</w:t>
            </w:r>
          </w:p>
        </w:tc>
        <w:tc>
          <w:tcPr>
            <w:tcW w:w="1191" w:type="dxa"/>
            <w:tcBorders>
              <w:top w:val="nil"/>
              <w:left w:val="single" w:sz="4" w:space="0" w:color="auto"/>
              <w:bottom w:val="nil"/>
              <w:right w:val="single" w:sz="4" w:space="0" w:color="auto"/>
            </w:tcBorders>
            <w:shd w:val="clear" w:color="auto" w:fill="auto"/>
            <w:vAlign w:val="center"/>
          </w:tcPr>
          <w:p w14:paraId="2B24A5BB" w14:textId="4D5EFE92" w:rsidR="00646128" w:rsidRPr="00D92E20" w:rsidRDefault="00646128" w:rsidP="00646128">
            <w:pPr>
              <w:spacing w:after="0" w:line="240" w:lineRule="auto"/>
              <w:jc w:val="right"/>
              <w:rPr>
                <w:rFonts w:cs="Arial"/>
                <w:color w:val="000000"/>
                <w:sz w:val="16"/>
                <w:szCs w:val="16"/>
              </w:rPr>
            </w:pPr>
            <w:r>
              <w:rPr>
                <w:rFonts w:cs="Arial"/>
                <w:color w:val="000000"/>
                <w:sz w:val="16"/>
                <w:szCs w:val="16"/>
              </w:rPr>
              <w:t>5 702,6</w:t>
            </w:r>
          </w:p>
        </w:tc>
        <w:tc>
          <w:tcPr>
            <w:tcW w:w="1191" w:type="dxa"/>
            <w:tcBorders>
              <w:top w:val="nil"/>
              <w:left w:val="nil"/>
              <w:bottom w:val="nil"/>
              <w:right w:val="single" w:sz="4" w:space="0" w:color="auto"/>
            </w:tcBorders>
            <w:shd w:val="clear" w:color="auto" w:fill="auto"/>
            <w:noWrap/>
            <w:vAlign w:val="center"/>
          </w:tcPr>
          <w:p w14:paraId="590DBFEF" w14:textId="007275B3" w:rsidR="00646128" w:rsidRPr="00D92E20" w:rsidRDefault="00646128" w:rsidP="00646128">
            <w:pPr>
              <w:spacing w:after="0" w:line="240" w:lineRule="auto"/>
              <w:jc w:val="right"/>
              <w:rPr>
                <w:rFonts w:cs="Arial"/>
                <w:color w:val="000000"/>
                <w:sz w:val="16"/>
                <w:szCs w:val="16"/>
              </w:rPr>
            </w:pPr>
            <w:r>
              <w:rPr>
                <w:rFonts w:cs="Arial"/>
                <w:color w:val="000000"/>
                <w:sz w:val="16"/>
                <w:szCs w:val="16"/>
              </w:rPr>
              <w:t>43,0</w:t>
            </w:r>
          </w:p>
        </w:tc>
        <w:tc>
          <w:tcPr>
            <w:tcW w:w="1191" w:type="dxa"/>
            <w:tcBorders>
              <w:top w:val="nil"/>
              <w:left w:val="single" w:sz="4" w:space="0" w:color="auto"/>
              <w:bottom w:val="nil"/>
              <w:right w:val="nil"/>
            </w:tcBorders>
            <w:shd w:val="clear" w:color="auto" w:fill="auto"/>
            <w:vAlign w:val="center"/>
          </w:tcPr>
          <w:p w14:paraId="37F6BDE4" w14:textId="7CBB44BB" w:rsidR="00646128" w:rsidRPr="00D92E20" w:rsidRDefault="00646128" w:rsidP="00646128">
            <w:pPr>
              <w:spacing w:after="0" w:line="240" w:lineRule="auto"/>
              <w:jc w:val="right"/>
              <w:rPr>
                <w:rFonts w:cs="Arial"/>
                <w:color w:val="000000"/>
                <w:sz w:val="16"/>
                <w:szCs w:val="16"/>
              </w:rPr>
            </w:pPr>
            <w:r>
              <w:rPr>
                <w:rFonts w:cs="Arial"/>
                <w:color w:val="000000"/>
                <w:sz w:val="16"/>
                <w:szCs w:val="16"/>
              </w:rPr>
              <w:t>38,9</w:t>
            </w:r>
          </w:p>
        </w:tc>
      </w:tr>
      <w:tr w:rsidR="00646128" w:rsidRPr="00D92E20" w14:paraId="42FF24A9"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132A69E4"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1191" w:type="dxa"/>
            <w:tcBorders>
              <w:top w:val="nil"/>
              <w:left w:val="single" w:sz="4" w:space="0" w:color="auto"/>
              <w:bottom w:val="nil"/>
              <w:right w:val="nil"/>
            </w:tcBorders>
            <w:shd w:val="clear" w:color="auto" w:fill="auto"/>
            <w:noWrap/>
            <w:vAlign w:val="center"/>
          </w:tcPr>
          <w:p w14:paraId="337F1D08" w14:textId="7A19F97A" w:rsidR="00646128" w:rsidRPr="00D92E20" w:rsidRDefault="00646128" w:rsidP="00646128">
            <w:pPr>
              <w:spacing w:after="0" w:line="240" w:lineRule="auto"/>
              <w:jc w:val="right"/>
              <w:rPr>
                <w:rFonts w:cs="Arial"/>
                <w:color w:val="000000"/>
                <w:sz w:val="16"/>
                <w:szCs w:val="16"/>
              </w:rPr>
            </w:pPr>
            <w:r>
              <w:rPr>
                <w:rFonts w:cs="Arial"/>
                <w:color w:val="000000"/>
                <w:sz w:val="16"/>
                <w:szCs w:val="16"/>
              </w:rPr>
              <w:t>73,7</w:t>
            </w:r>
          </w:p>
        </w:tc>
        <w:tc>
          <w:tcPr>
            <w:tcW w:w="1191" w:type="dxa"/>
            <w:tcBorders>
              <w:top w:val="nil"/>
              <w:left w:val="single" w:sz="4" w:space="0" w:color="auto"/>
              <w:bottom w:val="nil"/>
              <w:right w:val="nil"/>
            </w:tcBorders>
            <w:shd w:val="clear" w:color="auto" w:fill="auto"/>
            <w:vAlign w:val="center"/>
          </w:tcPr>
          <w:p w14:paraId="5D2D0C5E" w14:textId="6E13DC14" w:rsidR="00646128" w:rsidRPr="00D92E20" w:rsidRDefault="00646128" w:rsidP="00646128">
            <w:pPr>
              <w:spacing w:after="0" w:line="240" w:lineRule="auto"/>
              <w:jc w:val="right"/>
              <w:rPr>
                <w:rFonts w:cs="Arial"/>
                <w:color w:val="000000"/>
                <w:sz w:val="16"/>
                <w:szCs w:val="16"/>
              </w:rPr>
            </w:pPr>
            <w:r>
              <w:rPr>
                <w:rFonts w:cs="Arial"/>
                <w:color w:val="000000"/>
                <w:sz w:val="16"/>
                <w:szCs w:val="16"/>
              </w:rPr>
              <w:t>87,9</w:t>
            </w:r>
          </w:p>
        </w:tc>
        <w:tc>
          <w:tcPr>
            <w:tcW w:w="1191" w:type="dxa"/>
            <w:tcBorders>
              <w:top w:val="nil"/>
              <w:left w:val="single" w:sz="4" w:space="0" w:color="auto"/>
              <w:bottom w:val="nil"/>
              <w:right w:val="single" w:sz="4" w:space="0" w:color="auto"/>
            </w:tcBorders>
            <w:shd w:val="clear" w:color="auto" w:fill="auto"/>
            <w:noWrap/>
            <w:vAlign w:val="center"/>
          </w:tcPr>
          <w:p w14:paraId="3AAA2D38" w14:textId="0AB24D95" w:rsidR="00646128" w:rsidRPr="00D92E20" w:rsidRDefault="00646128" w:rsidP="00646128">
            <w:pPr>
              <w:spacing w:after="0" w:line="240" w:lineRule="auto"/>
              <w:jc w:val="right"/>
              <w:rPr>
                <w:rFonts w:cs="Arial"/>
                <w:color w:val="000000"/>
                <w:sz w:val="16"/>
                <w:szCs w:val="16"/>
              </w:rPr>
            </w:pPr>
            <w:r>
              <w:rPr>
                <w:rFonts w:cs="Arial"/>
                <w:color w:val="000000"/>
                <w:sz w:val="16"/>
                <w:szCs w:val="16"/>
              </w:rPr>
              <w:t>3 035,7</w:t>
            </w:r>
          </w:p>
        </w:tc>
        <w:tc>
          <w:tcPr>
            <w:tcW w:w="1191" w:type="dxa"/>
            <w:tcBorders>
              <w:top w:val="nil"/>
              <w:left w:val="single" w:sz="4" w:space="0" w:color="auto"/>
              <w:bottom w:val="nil"/>
              <w:right w:val="single" w:sz="4" w:space="0" w:color="auto"/>
            </w:tcBorders>
            <w:shd w:val="clear" w:color="auto" w:fill="auto"/>
            <w:vAlign w:val="center"/>
          </w:tcPr>
          <w:p w14:paraId="2440695D" w14:textId="279396E7" w:rsidR="00646128" w:rsidRPr="00D92E20" w:rsidRDefault="00646128" w:rsidP="00646128">
            <w:pPr>
              <w:spacing w:after="0" w:line="240" w:lineRule="auto"/>
              <w:jc w:val="right"/>
              <w:rPr>
                <w:rFonts w:cs="Arial"/>
                <w:color w:val="000000"/>
                <w:sz w:val="16"/>
                <w:szCs w:val="16"/>
              </w:rPr>
            </w:pPr>
            <w:r>
              <w:rPr>
                <w:rFonts w:cs="Arial"/>
                <w:color w:val="000000"/>
                <w:sz w:val="16"/>
                <w:szCs w:val="16"/>
              </w:rPr>
              <w:t>3 349,6</w:t>
            </w:r>
          </w:p>
        </w:tc>
        <w:tc>
          <w:tcPr>
            <w:tcW w:w="1191" w:type="dxa"/>
            <w:tcBorders>
              <w:top w:val="nil"/>
              <w:left w:val="nil"/>
              <w:bottom w:val="nil"/>
              <w:right w:val="single" w:sz="4" w:space="0" w:color="auto"/>
            </w:tcBorders>
            <w:shd w:val="clear" w:color="auto" w:fill="auto"/>
            <w:noWrap/>
            <w:vAlign w:val="center"/>
          </w:tcPr>
          <w:p w14:paraId="16B745B8" w14:textId="76B4478C" w:rsidR="00646128" w:rsidRPr="00D92E20" w:rsidRDefault="00646128" w:rsidP="00646128">
            <w:pPr>
              <w:spacing w:after="0" w:line="240" w:lineRule="auto"/>
              <w:jc w:val="right"/>
              <w:rPr>
                <w:rFonts w:cs="Arial"/>
                <w:color w:val="000000"/>
                <w:sz w:val="16"/>
                <w:szCs w:val="16"/>
              </w:rPr>
            </w:pPr>
            <w:r>
              <w:rPr>
                <w:rFonts w:cs="Arial"/>
                <w:color w:val="000000"/>
                <w:sz w:val="16"/>
                <w:szCs w:val="16"/>
              </w:rPr>
              <w:t>41,2</w:t>
            </w:r>
          </w:p>
        </w:tc>
        <w:tc>
          <w:tcPr>
            <w:tcW w:w="1191" w:type="dxa"/>
            <w:tcBorders>
              <w:top w:val="nil"/>
              <w:left w:val="single" w:sz="4" w:space="0" w:color="auto"/>
              <w:bottom w:val="nil"/>
              <w:right w:val="nil"/>
            </w:tcBorders>
            <w:shd w:val="clear" w:color="auto" w:fill="auto"/>
            <w:vAlign w:val="center"/>
          </w:tcPr>
          <w:p w14:paraId="5616C7E3" w14:textId="441C4287" w:rsidR="00646128" w:rsidRPr="00D92E20" w:rsidRDefault="00646128" w:rsidP="00646128">
            <w:pPr>
              <w:spacing w:after="0" w:line="240" w:lineRule="auto"/>
              <w:jc w:val="right"/>
              <w:rPr>
                <w:rFonts w:cs="Arial"/>
                <w:color w:val="000000"/>
                <w:sz w:val="16"/>
                <w:szCs w:val="16"/>
              </w:rPr>
            </w:pPr>
            <w:r>
              <w:rPr>
                <w:rFonts w:cs="Arial"/>
                <w:color w:val="000000"/>
                <w:sz w:val="16"/>
                <w:szCs w:val="16"/>
              </w:rPr>
              <w:t>38,1</w:t>
            </w:r>
          </w:p>
        </w:tc>
      </w:tr>
      <w:tr w:rsidR="00646128" w:rsidRPr="00D92E20" w14:paraId="1E3005C3"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512E2F06"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1191" w:type="dxa"/>
            <w:tcBorders>
              <w:top w:val="nil"/>
              <w:left w:val="single" w:sz="4" w:space="0" w:color="auto"/>
              <w:bottom w:val="nil"/>
              <w:right w:val="nil"/>
            </w:tcBorders>
            <w:shd w:val="clear" w:color="auto" w:fill="auto"/>
            <w:noWrap/>
            <w:vAlign w:val="center"/>
          </w:tcPr>
          <w:p w14:paraId="5853F82F" w14:textId="756DB640" w:rsidR="00646128" w:rsidRPr="00D92E20" w:rsidRDefault="00646128" w:rsidP="00646128">
            <w:pPr>
              <w:spacing w:after="0" w:line="240" w:lineRule="auto"/>
              <w:jc w:val="right"/>
              <w:rPr>
                <w:rFonts w:cs="Arial"/>
                <w:color w:val="000000"/>
                <w:sz w:val="16"/>
                <w:szCs w:val="16"/>
              </w:rPr>
            </w:pPr>
            <w:r>
              <w:rPr>
                <w:rFonts w:cs="Arial"/>
                <w:color w:val="000000"/>
                <w:sz w:val="16"/>
                <w:szCs w:val="16"/>
              </w:rPr>
              <w:t>59,3</w:t>
            </w:r>
          </w:p>
        </w:tc>
        <w:tc>
          <w:tcPr>
            <w:tcW w:w="1191" w:type="dxa"/>
            <w:tcBorders>
              <w:top w:val="nil"/>
              <w:left w:val="single" w:sz="4" w:space="0" w:color="auto"/>
              <w:bottom w:val="nil"/>
              <w:right w:val="nil"/>
            </w:tcBorders>
            <w:shd w:val="clear" w:color="auto" w:fill="auto"/>
            <w:vAlign w:val="center"/>
          </w:tcPr>
          <w:p w14:paraId="73CEEBE4" w14:textId="49CEAE6C" w:rsidR="00646128" w:rsidRPr="00D92E20" w:rsidRDefault="00646128" w:rsidP="00646128">
            <w:pPr>
              <w:spacing w:after="0" w:line="240" w:lineRule="auto"/>
              <w:jc w:val="right"/>
              <w:rPr>
                <w:rFonts w:cs="Arial"/>
                <w:color w:val="000000"/>
                <w:sz w:val="16"/>
                <w:szCs w:val="16"/>
              </w:rPr>
            </w:pPr>
            <w:r>
              <w:rPr>
                <w:rFonts w:cs="Arial"/>
                <w:color w:val="000000"/>
                <w:sz w:val="16"/>
                <w:szCs w:val="16"/>
              </w:rPr>
              <w:t>75,3</w:t>
            </w:r>
          </w:p>
        </w:tc>
        <w:tc>
          <w:tcPr>
            <w:tcW w:w="1191" w:type="dxa"/>
            <w:tcBorders>
              <w:top w:val="nil"/>
              <w:left w:val="single" w:sz="4" w:space="0" w:color="auto"/>
              <w:bottom w:val="nil"/>
              <w:right w:val="single" w:sz="4" w:space="0" w:color="auto"/>
            </w:tcBorders>
            <w:shd w:val="clear" w:color="auto" w:fill="auto"/>
            <w:noWrap/>
            <w:vAlign w:val="center"/>
          </w:tcPr>
          <w:p w14:paraId="1DEC9E90" w14:textId="1E867AE6" w:rsidR="00646128" w:rsidRPr="00D92E20" w:rsidRDefault="00646128" w:rsidP="00646128">
            <w:pPr>
              <w:spacing w:after="0" w:line="240" w:lineRule="auto"/>
              <w:jc w:val="right"/>
              <w:rPr>
                <w:rFonts w:cs="Arial"/>
                <w:color w:val="000000"/>
                <w:sz w:val="16"/>
                <w:szCs w:val="16"/>
              </w:rPr>
            </w:pPr>
            <w:r>
              <w:rPr>
                <w:rFonts w:cs="Arial"/>
                <w:color w:val="000000"/>
                <w:sz w:val="16"/>
                <w:szCs w:val="16"/>
              </w:rPr>
              <w:t>2 897,6</w:t>
            </w:r>
          </w:p>
        </w:tc>
        <w:tc>
          <w:tcPr>
            <w:tcW w:w="1191" w:type="dxa"/>
            <w:tcBorders>
              <w:top w:val="nil"/>
              <w:left w:val="single" w:sz="4" w:space="0" w:color="auto"/>
              <w:bottom w:val="nil"/>
              <w:right w:val="single" w:sz="4" w:space="0" w:color="auto"/>
            </w:tcBorders>
            <w:shd w:val="clear" w:color="auto" w:fill="auto"/>
            <w:vAlign w:val="center"/>
          </w:tcPr>
          <w:p w14:paraId="643C8D8D" w14:textId="41880A16" w:rsidR="00646128" w:rsidRPr="00D92E20" w:rsidRDefault="00646128" w:rsidP="00646128">
            <w:pPr>
              <w:spacing w:after="0" w:line="240" w:lineRule="auto"/>
              <w:jc w:val="right"/>
              <w:rPr>
                <w:rFonts w:cs="Arial"/>
                <w:color w:val="000000"/>
                <w:sz w:val="16"/>
                <w:szCs w:val="16"/>
              </w:rPr>
            </w:pPr>
            <w:r>
              <w:rPr>
                <w:rFonts w:cs="Arial"/>
                <w:color w:val="000000"/>
                <w:sz w:val="16"/>
                <w:szCs w:val="16"/>
              </w:rPr>
              <w:t>3 340,2</w:t>
            </w:r>
          </w:p>
        </w:tc>
        <w:tc>
          <w:tcPr>
            <w:tcW w:w="1191" w:type="dxa"/>
            <w:tcBorders>
              <w:top w:val="nil"/>
              <w:left w:val="nil"/>
              <w:bottom w:val="nil"/>
              <w:right w:val="single" w:sz="4" w:space="0" w:color="auto"/>
            </w:tcBorders>
            <w:shd w:val="clear" w:color="auto" w:fill="auto"/>
            <w:noWrap/>
            <w:vAlign w:val="center"/>
          </w:tcPr>
          <w:p w14:paraId="0A008656" w14:textId="2F3B623C" w:rsidR="00646128" w:rsidRPr="00D92E20" w:rsidRDefault="00646128" w:rsidP="00646128">
            <w:pPr>
              <w:spacing w:after="0" w:line="240" w:lineRule="auto"/>
              <w:jc w:val="right"/>
              <w:rPr>
                <w:rFonts w:cs="Arial"/>
                <w:color w:val="000000"/>
                <w:sz w:val="16"/>
                <w:szCs w:val="16"/>
              </w:rPr>
            </w:pPr>
            <w:r>
              <w:rPr>
                <w:rFonts w:cs="Arial"/>
                <w:color w:val="000000"/>
                <w:sz w:val="16"/>
                <w:szCs w:val="16"/>
              </w:rPr>
              <w:t>48,8</w:t>
            </w:r>
          </w:p>
        </w:tc>
        <w:tc>
          <w:tcPr>
            <w:tcW w:w="1191" w:type="dxa"/>
            <w:tcBorders>
              <w:top w:val="nil"/>
              <w:left w:val="single" w:sz="4" w:space="0" w:color="auto"/>
              <w:bottom w:val="nil"/>
              <w:right w:val="nil"/>
            </w:tcBorders>
            <w:shd w:val="clear" w:color="auto" w:fill="auto"/>
            <w:vAlign w:val="center"/>
          </w:tcPr>
          <w:p w14:paraId="020F40A7" w14:textId="361BA3E3" w:rsidR="00646128" w:rsidRPr="00D92E20" w:rsidRDefault="00646128" w:rsidP="00646128">
            <w:pPr>
              <w:spacing w:after="0" w:line="240" w:lineRule="auto"/>
              <w:jc w:val="right"/>
              <w:rPr>
                <w:rFonts w:cs="Arial"/>
                <w:color w:val="000000"/>
                <w:sz w:val="16"/>
                <w:szCs w:val="16"/>
              </w:rPr>
            </w:pPr>
            <w:r>
              <w:rPr>
                <w:rFonts w:cs="Arial"/>
                <w:color w:val="000000"/>
                <w:sz w:val="16"/>
                <w:szCs w:val="16"/>
              </w:rPr>
              <w:t>44,4</w:t>
            </w:r>
          </w:p>
        </w:tc>
      </w:tr>
      <w:tr w:rsidR="00646128" w:rsidRPr="00D92E20" w14:paraId="400E6602" w14:textId="77777777" w:rsidTr="00646128">
        <w:trPr>
          <w:trHeight w:val="285"/>
        </w:trPr>
        <w:tc>
          <w:tcPr>
            <w:tcW w:w="2438" w:type="dxa"/>
            <w:tcBorders>
              <w:top w:val="nil"/>
              <w:bottom w:val="nil"/>
              <w:right w:val="single" w:sz="4" w:space="0" w:color="auto"/>
            </w:tcBorders>
            <w:shd w:val="clear" w:color="auto" w:fill="auto"/>
            <w:noWrap/>
            <w:vAlign w:val="center"/>
            <w:hideMark/>
          </w:tcPr>
          <w:p w14:paraId="3359BB12" w14:textId="77777777" w:rsidR="00646128" w:rsidRPr="00D92E20" w:rsidRDefault="00646128" w:rsidP="00646128">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1191" w:type="dxa"/>
            <w:tcBorders>
              <w:top w:val="nil"/>
              <w:left w:val="single" w:sz="4" w:space="0" w:color="auto"/>
              <w:bottom w:val="nil"/>
              <w:right w:val="nil"/>
            </w:tcBorders>
            <w:shd w:val="clear" w:color="auto" w:fill="auto"/>
            <w:noWrap/>
            <w:vAlign w:val="center"/>
          </w:tcPr>
          <w:p w14:paraId="68B9C209" w14:textId="6D4023FC" w:rsidR="00646128" w:rsidRPr="00D92E20" w:rsidRDefault="00646128" w:rsidP="00646128">
            <w:pPr>
              <w:spacing w:after="0" w:line="240" w:lineRule="auto"/>
              <w:jc w:val="right"/>
              <w:rPr>
                <w:rFonts w:cs="Arial"/>
                <w:color w:val="000000"/>
                <w:sz w:val="16"/>
                <w:szCs w:val="16"/>
              </w:rPr>
            </w:pPr>
            <w:r>
              <w:rPr>
                <w:rFonts w:cs="Arial"/>
                <w:color w:val="000000"/>
                <w:sz w:val="16"/>
                <w:szCs w:val="16"/>
              </w:rPr>
              <w:t>123,3</w:t>
            </w:r>
          </w:p>
        </w:tc>
        <w:tc>
          <w:tcPr>
            <w:tcW w:w="1191" w:type="dxa"/>
            <w:tcBorders>
              <w:top w:val="nil"/>
              <w:left w:val="single" w:sz="4" w:space="0" w:color="auto"/>
              <w:bottom w:val="nil"/>
              <w:right w:val="nil"/>
            </w:tcBorders>
            <w:shd w:val="clear" w:color="auto" w:fill="auto"/>
            <w:vAlign w:val="center"/>
          </w:tcPr>
          <w:p w14:paraId="146A78FC" w14:textId="402FB291" w:rsidR="00646128" w:rsidRPr="00D92E20" w:rsidRDefault="00646128" w:rsidP="00646128">
            <w:pPr>
              <w:spacing w:after="0" w:line="240" w:lineRule="auto"/>
              <w:jc w:val="right"/>
              <w:rPr>
                <w:rFonts w:cs="Arial"/>
                <w:color w:val="000000"/>
                <w:sz w:val="16"/>
                <w:szCs w:val="16"/>
              </w:rPr>
            </w:pPr>
            <w:r>
              <w:rPr>
                <w:rFonts w:cs="Arial"/>
                <w:color w:val="000000"/>
                <w:sz w:val="16"/>
                <w:szCs w:val="16"/>
              </w:rPr>
              <w:t>162,5</w:t>
            </w:r>
          </w:p>
        </w:tc>
        <w:tc>
          <w:tcPr>
            <w:tcW w:w="1191" w:type="dxa"/>
            <w:tcBorders>
              <w:top w:val="nil"/>
              <w:left w:val="single" w:sz="4" w:space="0" w:color="auto"/>
              <w:bottom w:val="nil"/>
              <w:right w:val="single" w:sz="4" w:space="0" w:color="auto"/>
            </w:tcBorders>
            <w:shd w:val="clear" w:color="auto" w:fill="auto"/>
            <w:noWrap/>
            <w:vAlign w:val="center"/>
          </w:tcPr>
          <w:p w14:paraId="78077ADB" w14:textId="04D824DC" w:rsidR="00646128" w:rsidRPr="00D92E20" w:rsidRDefault="00646128" w:rsidP="00646128">
            <w:pPr>
              <w:spacing w:after="0" w:line="240" w:lineRule="auto"/>
              <w:jc w:val="right"/>
              <w:rPr>
                <w:rFonts w:cs="Arial"/>
                <w:color w:val="000000"/>
                <w:sz w:val="16"/>
                <w:szCs w:val="16"/>
              </w:rPr>
            </w:pPr>
            <w:r>
              <w:rPr>
                <w:rFonts w:cs="Arial"/>
                <w:color w:val="000000"/>
                <w:sz w:val="16"/>
                <w:szCs w:val="16"/>
              </w:rPr>
              <w:t>6 006,4</w:t>
            </w:r>
          </w:p>
        </w:tc>
        <w:tc>
          <w:tcPr>
            <w:tcW w:w="1191" w:type="dxa"/>
            <w:tcBorders>
              <w:top w:val="nil"/>
              <w:left w:val="single" w:sz="4" w:space="0" w:color="auto"/>
              <w:bottom w:val="nil"/>
              <w:right w:val="single" w:sz="4" w:space="0" w:color="auto"/>
            </w:tcBorders>
            <w:shd w:val="clear" w:color="auto" w:fill="auto"/>
            <w:vAlign w:val="center"/>
          </w:tcPr>
          <w:p w14:paraId="53B00E0C" w14:textId="7CF079A5" w:rsidR="00646128" w:rsidRPr="00D92E20" w:rsidRDefault="00646128" w:rsidP="00646128">
            <w:pPr>
              <w:spacing w:after="0" w:line="240" w:lineRule="auto"/>
              <w:jc w:val="right"/>
              <w:rPr>
                <w:rFonts w:cs="Arial"/>
                <w:color w:val="000000"/>
                <w:sz w:val="16"/>
                <w:szCs w:val="16"/>
              </w:rPr>
            </w:pPr>
            <w:r>
              <w:rPr>
                <w:rFonts w:cs="Arial"/>
                <w:color w:val="000000"/>
                <w:sz w:val="16"/>
                <w:szCs w:val="16"/>
              </w:rPr>
              <w:t>6 771,5</w:t>
            </w:r>
          </w:p>
        </w:tc>
        <w:tc>
          <w:tcPr>
            <w:tcW w:w="1191" w:type="dxa"/>
            <w:tcBorders>
              <w:top w:val="nil"/>
              <w:left w:val="nil"/>
              <w:bottom w:val="nil"/>
              <w:right w:val="single" w:sz="4" w:space="0" w:color="auto"/>
            </w:tcBorders>
            <w:shd w:val="clear" w:color="auto" w:fill="auto"/>
            <w:noWrap/>
            <w:vAlign w:val="center"/>
          </w:tcPr>
          <w:p w14:paraId="5BBC090B" w14:textId="7978BC57" w:rsidR="00646128" w:rsidRPr="00D92E20" w:rsidRDefault="00646128" w:rsidP="00646128">
            <w:pPr>
              <w:spacing w:after="0" w:line="240" w:lineRule="auto"/>
              <w:jc w:val="right"/>
              <w:rPr>
                <w:rFonts w:cs="Arial"/>
                <w:color w:val="000000"/>
                <w:sz w:val="16"/>
                <w:szCs w:val="16"/>
              </w:rPr>
            </w:pPr>
            <w:r>
              <w:rPr>
                <w:rFonts w:cs="Arial"/>
                <w:color w:val="000000"/>
                <w:sz w:val="16"/>
                <w:szCs w:val="16"/>
              </w:rPr>
              <w:t>48,7</w:t>
            </w:r>
          </w:p>
        </w:tc>
        <w:tc>
          <w:tcPr>
            <w:tcW w:w="1191" w:type="dxa"/>
            <w:tcBorders>
              <w:top w:val="nil"/>
              <w:left w:val="single" w:sz="4" w:space="0" w:color="auto"/>
              <w:bottom w:val="nil"/>
              <w:right w:val="nil"/>
            </w:tcBorders>
            <w:shd w:val="clear" w:color="auto" w:fill="auto"/>
            <w:vAlign w:val="center"/>
          </w:tcPr>
          <w:p w14:paraId="2417CC89" w14:textId="19188628" w:rsidR="00646128" w:rsidRPr="00D92E20" w:rsidRDefault="00646128" w:rsidP="00646128">
            <w:pPr>
              <w:spacing w:after="0" w:line="240" w:lineRule="auto"/>
              <w:jc w:val="right"/>
              <w:rPr>
                <w:rFonts w:cs="Arial"/>
                <w:color w:val="000000"/>
                <w:sz w:val="16"/>
                <w:szCs w:val="16"/>
              </w:rPr>
            </w:pPr>
            <w:r>
              <w:rPr>
                <w:rFonts w:cs="Arial"/>
                <w:color w:val="000000"/>
                <w:sz w:val="16"/>
                <w:szCs w:val="16"/>
              </w:rPr>
              <w:t>41,7</w:t>
            </w:r>
          </w:p>
        </w:tc>
      </w:tr>
    </w:tbl>
    <w:p w14:paraId="036C2416" w14:textId="77777777" w:rsidR="00391FBE" w:rsidRPr="00D92E20" w:rsidRDefault="00391FBE" w:rsidP="00391FBE">
      <w:pPr>
        <w:spacing w:before="120"/>
        <w:rPr>
          <w:sz w:val="16"/>
        </w:rPr>
      </w:pPr>
      <w:r w:rsidRPr="00D92E20">
        <w:rPr>
          <w:sz w:val="16"/>
        </w:rPr>
        <w:t>Zdroj: ČSSZ</w:t>
      </w:r>
    </w:p>
    <w:p w14:paraId="79A545F2" w14:textId="7C09BF33" w:rsidR="007B36AD" w:rsidRDefault="00391FBE" w:rsidP="00CD63E8">
      <w:pPr>
        <w:spacing w:before="120" w:after="120"/>
        <w:jc w:val="both"/>
      </w:pPr>
      <w:r w:rsidRPr="00D92E20">
        <w:t xml:space="preserve">Celková </w:t>
      </w:r>
      <w:r w:rsidRPr="00D92E20">
        <w:rPr>
          <w:b/>
        </w:rPr>
        <w:t>prostonaná doba</w:t>
      </w:r>
      <w:r w:rsidRPr="00D92E20">
        <w:t xml:space="preserve"> v</w:t>
      </w:r>
      <w:r w:rsidR="00646128">
        <w:t> 1. pol. 2021</w:t>
      </w:r>
      <w:r w:rsidRPr="00D92E20">
        <w:t xml:space="preserve"> činila </w:t>
      </w:r>
      <w:r w:rsidR="00646128">
        <w:t>51 409</w:t>
      </w:r>
      <w:r w:rsidRPr="00D92E20">
        <w:t xml:space="preserve"> </w:t>
      </w:r>
      <w:r w:rsidR="00CA3130" w:rsidRPr="00D92E20">
        <w:t>tis.</w:t>
      </w:r>
      <w:r w:rsidRPr="00D92E20">
        <w:t xml:space="preserve"> dnů, což je o </w:t>
      </w:r>
      <w:r w:rsidR="00646128">
        <w:t>8,5</w:t>
      </w:r>
      <w:r w:rsidRPr="00D92E20">
        <w:t xml:space="preserve"> mil. dnů více než </w:t>
      </w:r>
      <w:r w:rsidR="00CA3130" w:rsidRPr="00D92E20">
        <w:t>v</w:t>
      </w:r>
      <w:r w:rsidR="00646128">
        <w:t> 1.</w:t>
      </w:r>
      <w:r w:rsidR="00CD63E8">
        <w:t> p</w:t>
      </w:r>
      <w:r w:rsidR="00646128">
        <w:t>ol.</w:t>
      </w:r>
      <w:r w:rsidR="00CD63E8">
        <w:t> </w:t>
      </w:r>
      <w:r w:rsidR="00CA3130" w:rsidRPr="00D92E20">
        <w:t>předchozí</w:t>
      </w:r>
      <w:r w:rsidR="00646128">
        <w:t>ho roku</w:t>
      </w:r>
      <w:r w:rsidRPr="00D92E20">
        <w:t xml:space="preserve">. Jeden případ dočasné pracovní neschopnosti trval </w:t>
      </w:r>
      <w:r w:rsidR="00CA3130" w:rsidRPr="00D92E20">
        <w:t>průměrně</w:t>
      </w:r>
      <w:r w:rsidRPr="00D92E20">
        <w:t xml:space="preserve"> </w:t>
      </w:r>
      <w:r w:rsidR="00646128">
        <w:t>36,1</w:t>
      </w:r>
      <w:r w:rsidRPr="00D92E20">
        <w:t xml:space="preserve"> dne. </w:t>
      </w:r>
      <w:r w:rsidR="00C7753B" w:rsidRPr="00D92E20">
        <w:t>V průměru n</w:t>
      </w:r>
      <w:r w:rsidRPr="00D92E20">
        <w:t xml:space="preserve">ejdelší </w:t>
      </w:r>
      <w:r w:rsidR="00B527E8" w:rsidRPr="00D92E20">
        <w:t>pracovní neschopnost</w:t>
      </w:r>
      <w:r w:rsidRPr="00D92E20">
        <w:t xml:space="preserve"> </w:t>
      </w:r>
      <w:r w:rsidR="00396FAF" w:rsidRPr="00D92E20">
        <w:t>si vyžádaly nemoci a úrazy v</w:t>
      </w:r>
      <w:r w:rsidR="00646128">
        <w:t>e</w:t>
      </w:r>
      <w:r w:rsidR="00396FAF" w:rsidRPr="00D92E20">
        <w:t> </w:t>
      </w:r>
      <w:r w:rsidRPr="00D92E20">
        <w:t xml:space="preserve">Zlínském </w:t>
      </w:r>
      <w:r w:rsidR="00646128">
        <w:t xml:space="preserve">a Moravskoslezském </w:t>
      </w:r>
      <w:r w:rsidRPr="00D92E20">
        <w:t>kraji, a sice 4</w:t>
      </w:r>
      <w:r w:rsidR="00646128">
        <w:t>4</w:t>
      </w:r>
      <w:r w:rsidRPr="00D92E20">
        <w:t xml:space="preserve"> resp. 4</w:t>
      </w:r>
      <w:r w:rsidR="00396FAF" w:rsidRPr="00D92E20">
        <w:t>2</w:t>
      </w:r>
      <w:r w:rsidR="00C02C40" w:rsidRPr="00D92E20">
        <w:t> </w:t>
      </w:r>
      <w:r w:rsidR="00646128">
        <w:t>dnů na jed</w:t>
      </w:r>
      <w:r w:rsidR="00B527E8" w:rsidRPr="00D92E20">
        <w:t>n</w:t>
      </w:r>
      <w:r w:rsidR="00646128">
        <w:t>u</w:t>
      </w:r>
      <w:r w:rsidR="00B527E8" w:rsidRPr="00D92E20">
        <w:t xml:space="preserve"> </w:t>
      </w:r>
      <w:r w:rsidR="00646128">
        <w:t>pracovní neschopnost.</w:t>
      </w:r>
      <w:r w:rsidR="007B36AD">
        <w:br w:type="page"/>
      </w:r>
    </w:p>
    <w:p w14:paraId="3A499DD3" w14:textId="70FF92FC" w:rsidR="000E0772" w:rsidRPr="00D92E20" w:rsidRDefault="00646128" w:rsidP="00000A90">
      <w:pPr>
        <w:spacing w:after="0"/>
        <w:jc w:val="both"/>
        <w:rPr>
          <w:b/>
        </w:rPr>
      </w:pPr>
      <w:r w:rsidRPr="00646128">
        <w:rPr>
          <w:b/>
        </w:rPr>
        <w:lastRenderedPageBreak/>
        <w:t>Tab. 3.2: Ukončené případy</w:t>
      </w:r>
      <w:r w:rsidR="007B36AD">
        <w:rPr>
          <w:b/>
        </w:rPr>
        <w:t xml:space="preserve"> dočasné pracovní neschopnosti </w:t>
      </w:r>
      <w:r w:rsidRPr="00646128">
        <w:rPr>
          <w:b/>
        </w:rPr>
        <w:t>podle věku a pohlaví, 1. pol. 2021, 2020</w:t>
      </w:r>
    </w:p>
    <w:tbl>
      <w:tblPr>
        <w:tblW w:w="9633" w:type="dxa"/>
        <w:tblCellMar>
          <w:left w:w="70" w:type="dxa"/>
          <w:right w:w="70" w:type="dxa"/>
        </w:tblCellMar>
        <w:tblLook w:val="04A0" w:firstRow="1" w:lastRow="0" w:firstColumn="1" w:lastColumn="0" w:noHBand="0" w:noVBand="1"/>
      </w:tblPr>
      <w:tblGrid>
        <w:gridCol w:w="1749"/>
        <w:gridCol w:w="1618"/>
        <w:gridCol w:w="1253"/>
        <w:gridCol w:w="1254"/>
        <w:gridCol w:w="1253"/>
        <w:gridCol w:w="1253"/>
        <w:gridCol w:w="1253"/>
      </w:tblGrid>
      <w:tr w:rsidR="00B9122C" w:rsidRPr="00D92E20" w14:paraId="0610A139" w14:textId="77777777" w:rsidTr="00B9122C">
        <w:trPr>
          <w:trHeight w:val="505"/>
        </w:trPr>
        <w:tc>
          <w:tcPr>
            <w:tcW w:w="1749"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5387AE6"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Věková skupina</w:t>
            </w:r>
          </w:p>
        </w:tc>
        <w:tc>
          <w:tcPr>
            <w:tcW w:w="4125" w:type="dxa"/>
            <w:gridSpan w:val="3"/>
            <w:tcBorders>
              <w:top w:val="single" w:sz="4" w:space="0" w:color="auto"/>
              <w:left w:val="nil"/>
              <w:bottom w:val="single" w:sz="4" w:space="0" w:color="auto"/>
              <w:right w:val="single" w:sz="4" w:space="0" w:color="000000"/>
            </w:tcBorders>
            <w:shd w:val="clear" w:color="000000" w:fill="F2DBDB"/>
            <w:vAlign w:val="center"/>
            <w:hideMark/>
          </w:tcPr>
          <w:p w14:paraId="52CF9BD3" w14:textId="284CF704" w:rsidR="00B9122C" w:rsidRPr="00D92E20" w:rsidRDefault="009F67D0" w:rsidP="007B36AD">
            <w:pPr>
              <w:spacing w:after="0" w:line="240" w:lineRule="auto"/>
              <w:jc w:val="center"/>
              <w:rPr>
                <w:rFonts w:cs="Arial"/>
                <w:color w:val="000000"/>
                <w:sz w:val="16"/>
                <w:szCs w:val="16"/>
              </w:rPr>
            </w:pPr>
            <w:r w:rsidRPr="00D92E20">
              <w:rPr>
                <w:rFonts w:cs="Arial"/>
                <w:color w:val="000000"/>
                <w:sz w:val="16"/>
                <w:szCs w:val="16"/>
              </w:rPr>
              <w:t>Počet případů</w:t>
            </w:r>
            <w:r w:rsidR="00B9122C" w:rsidRPr="00D92E20">
              <w:rPr>
                <w:rFonts w:cs="Arial"/>
                <w:color w:val="000000"/>
                <w:sz w:val="16"/>
                <w:szCs w:val="16"/>
              </w:rPr>
              <w:t xml:space="preserve"> DPN</w:t>
            </w:r>
            <w:r w:rsidRPr="00D92E20">
              <w:rPr>
                <w:rFonts w:cs="Arial"/>
                <w:color w:val="000000"/>
                <w:sz w:val="16"/>
                <w:szCs w:val="16"/>
              </w:rPr>
              <w:t xml:space="preserve"> (tis.)</w:t>
            </w:r>
          </w:p>
        </w:tc>
        <w:tc>
          <w:tcPr>
            <w:tcW w:w="3759" w:type="dxa"/>
            <w:gridSpan w:val="3"/>
            <w:tcBorders>
              <w:top w:val="single" w:sz="4" w:space="0" w:color="auto"/>
              <w:left w:val="nil"/>
              <w:bottom w:val="single" w:sz="4" w:space="0" w:color="auto"/>
              <w:right w:val="nil"/>
            </w:tcBorders>
            <w:shd w:val="clear" w:color="000000" w:fill="F2DBDB"/>
            <w:vAlign w:val="center"/>
            <w:hideMark/>
          </w:tcPr>
          <w:p w14:paraId="0199D86E" w14:textId="32E71E80" w:rsidR="00B9122C" w:rsidRPr="00D92E20" w:rsidRDefault="00B9122C"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B9122C" w:rsidRPr="00D92E20" w14:paraId="7303041B"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4705B018" w14:textId="77777777" w:rsidR="00B9122C" w:rsidRPr="00D92E20" w:rsidRDefault="00B9122C" w:rsidP="00B9122C">
            <w:pPr>
              <w:spacing w:after="0" w:line="240" w:lineRule="auto"/>
              <w:rPr>
                <w:rFonts w:cs="Arial"/>
                <w:color w:val="000000"/>
                <w:sz w:val="16"/>
                <w:szCs w:val="16"/>
              </w:rPr>
            </w:pPr>
          </w:p>
        </w:tc>
        <w:tc>
          <w:tcPr>
            <w:tcW w:w="1618" w:type="dxa"/>
            <w:vMerge w:val="restart"/>
            <w:tcBorders>
              <w:top w:val="nil"/>
              <w:left w:val="single" w:sz="4" w:space="0" w:color="auto"/>
              <w:bottom w:val="single" w:sz="4" w:space="0" w:color="000000"/>
              <w:right w:val="nil"/>
            </w:tcBorders>
            <w:shd w:val="clear" w:color="000000" w:fill="F2DBDB"/>
            <w:vAlign w:val="center"/>
            <w:hideMark/>
          </w:tcPr>
          <w:p w14:paraId="40416A62"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Celkem</w:t>
            </w:r>
          </w:p>
        </w:tc>
        <w:tc>
          <w:tcPr>
            <w:tcW w:w="2507"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89B0E24"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podle pohlaví</w:t>
            </w:r>
          </w:p>
        </w:tc>
        <w:tc>
          <w:tcPr>
            <w:tcW w:w="1253" w:type="dxa"/>
            <w:vMerge w:val="restart"/>
            <w:tcBorders>
              <w:top w:val="nil"/>
              <w:left w:val="single" w:sz="4" w:space="0" w:color="auto"/>
              <w:bottom w:val="single" w:sz="4" w:space="0" w:color="000000"/>
              <w:right w:val="nil"/>
            </w:tcBorders>
            <w:shd w:val="clear" w:color="000000" w:fill="F2DBDB"/>
            <w:vAlign w:val="center"/>
            <w:hideMark/>
          </w:tcPr>
          <w:p w14:paraId="5F7A3B11"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F38D9A8"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podle pohlaví</w:t>
            </w:r>
          </w:p>
        </w:tc>
      </w:tr>
      <w:tr w:rsidR="00B9122C" w:rsidRPr="00D92E20" w14:paraId="4116ABFF"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55C1663C" w14:textId="77777777" w:rsidR="00B9122C" w:rsidRPr="00D92E20" w:rsidRDefault="00B9122C" w:rsidP="00B9122C">
            <w:pPr>
              <w:spacing w:after="0" w:line="240" w:lineRule="auto"/>
              <w:rPr>
                <w:rFonts w:cs="Arial"/>
                <w:color w:val="000000"/>
                <w:sz w:val="16"/>
                <w:szCs w:val="16"/>
              </w:rPr>
            </w:pPr>
          </w:p>
        </w:tc>
        <w:tc>
          <w:tcPr>
            <w:tcW w:w="1618" w:type="dxa"/>
            <w:vMerge/>
            <w:tcBorders>
              <w:top w:val="nil"/>
              <w:left w:val="single" w:sz="4" w:space="0" w:color="auto"/>
              <w:bottom w:val="single" w:sz="4" w:space="0" w:color="000000"/>
              <w:right w:val="nil"/>
            </w:tcBorders>
            <w:vAlign w:val="center"/>
            <w:hideMark/>
          </w:tcPr>
          <w:p w14:paraId="777BF152" w14:textId="77777777" w:rsidR="00B9122C" w:rsidRPr="00D92E20" w:rsidRDefault="00B9122C" w:rsidP="00B9122C">
            <w:pPr>
              <w:spacing w:after="0" w:line="240" w:lineRule="auto"/>
              <w:rPr>
                <w:rFonts w:cs="Arial"/>
                <w:b/>
                <w:bCs/>
                <w:color w:val="000000"/>
                <w:sz w:val="16"/>
                <w:szCs w:val="16"/>
              </w:rPr>
            </w:pPr>
          </w:p>
        </w:tc>
        <w:tc>
          <w:tcPr>
            <w:tcW w:w="1253" w:type="dxa"/>
            <w:tcBorders>
              <w:top w:val="nil"/>
              <w:left w:val="single" w:sz="4" w:space="0" w:color="auto"/>
              <w:bottom w:val="single" w:sz="4" w:space="0" w:color="auto"/>
              <w:right w:val="single" w:sz="4" w:space="0" w:color="auto"/>
            </w:tcBorders>
            <w:shd w:val="clear" w:color="000000" w:fill="F2DBDB"/>
            <w:vAlign w:val="center"/>
            <w:hideMark/>
          </w:tcPr>
          <w:p w14:paraId="68E5DBB6"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552AB7F2"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ženy</w:t>
            </w:r>
          </w:p>
        </w:tc>
        <w:tc>
          <w:tcPr>
            <w:tcW w:w="1253" w:type="dxa"/>
            <w:vMerge/>
            <w:tcBorders>
              <w:top w:val="nil"/>
              <w:left w:val="single" w:sz="4" w:space="0" w:color="auto"/>
              <w:bottom w:val="single" w:sz="4" w:space="0" w:color="000000"/>
              <w:right w:val="nil"/>
            </w:tcBorders>
            <w:vAlign w:val="center"/>
            <w:hideMark/>
          </w:tcPr>
          <w:p w14:paraId="62DFAF28" w14:textId="77777777" w:rsidR="00B9122C" w:rsidRPr="00D92E20" w:rsidRDefault="00B9122C" w:rsidP="00B9122C">
            <w:pPr>
              <w:spacing w:after="0" w:line="240" w:lineRule="auto"/>
              <w:rPr>
                <w:rFonts w:cs="Arial"/>
                <w:b/>
                <w:bCs/>
                <w:color w:val="000000"/>
                <w:sz w:val="16"/>
                <w:szCs w:val="16"/>
              </w:rPr>
            </w:pPr>
          </w:p>
        </w:tc>
        <w:tc>
          <w:tcPr>
            <w:tcW w:w="1253" w:type="dxa"/>
            <w:tcBorders>
              <w:top w:val="nil"/>
              <w:left w:val="single" w:sz="4" w:space="0" w:color="auto"/>
              <w:bottom w:val="single" w:sz="4" w:space="0" w:color="auto"/>
              <w:right w:val="single" w:sz="4" w:space="0" w:color="auto"/>
            </w:tcBorders>
            <w:shd w:val="clear" w:color="000000" w:fill="F2DBDB"/>
            <w:vAlign w:val="center"/>
            <w:hideMark/>
          </w:tcPr>
          <w:p w14:paraId="3A4F6F1E"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muži</w:t>
            </w:r>
          </w:p>
        </w:tc>
        <w:tc>
          <w:tcPr>
            <w:tcW w:w="1253" w:type="dxa"/>
            <w:tcBorders>
              <w:top w:val="nil"/>
              <w:left w:val="nil"/>
              <w:bottom w:val="single" w:sz="4" w:space="0" w:color="auto"/>
              <w:right w:val="nil"/>
            </w:tcBorders>
            <w:shd w:val="clear" w:color="000000" w:fill="F2DBDB"/>
            <w:vAlign w:val="center"/>
            <w:hideMark/>
          </w:tcPr>
          <w:p w14:paraId="1466A6B8"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ženy</w:t>
            </w:r>
          </w:p>
        </w:tc>
      </w:tr>
      <w:tr w:rsidR="00B9122C" w:rsidRPr="00D92E20" w14:paraId="69473146"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1DD13699" w14:textId="77777777" w:rsidR="00B9122C" w:rsidRPr="00D92E20" w:rsidRDefault="00B9122C" w:rsidP="00B9122C">
            <w:pPr>
              <w:spacing w:after="0" w:line="240" w:lineRule="auto"/>
              <w:rPr>
                <w:rFonts w:cs="Arial"/>
                <w:color w:val="000000"/>
                <w:sz w:val="16"/>
                <w:szCs w:val="16"/>
              </w:rPr>
            </w:pPr>
          </w:p>
        </w:tc>
        <w:tc>
          <w:tcPr>
            <w:tcW w:w="7884" w:type="dxa"/>
            <w:gridSpan w:val="6"/>
            <w:tcBorders>
              <w:top w:val="single" w:sz="4" w:space="0" w:color="auto"/>
              <w:left w:val="nil"/>
              <w:bottom w:val="single" w:sz="4" w:space="0" w:color="auto"/>
              <w:right w:val="nil"/>
            </w:tcBorders>
            <w:shd w:val="clear" w:color="000000" w:fill="F2DBDB"/>
            <w:vAlign w:val="center"/>
            <w:hideMark/>
          </w:tcPr>
          <w:p w14:paraId="7E2840B4" w14:textId="64B78E84" w:rsidR="00B9122C" w:rsidRPr="00646128" w:rsidRDefault="00646128" w:rsidP="00646128">
            <w:pPr>
              <w:spacing w:after="0" w:line="240" w:lineRule="auto"/>
              <w:jc w:val="center"/>
              <w:rPr>
                <w:rFonts w:ascii="Arial CE" w:hAnsi="Arial CE" w:cs="Arial CE"/>
                <w:b/>
                <w:sz w:val="16"/>
                <w:szCs w:val="16"/>
              </w:rPr>
            </w:pPr>
            <w:r w:rsidRPr="00646128">
              <w:rPr>
                <w:rFonts w:ascii="Arial CE" w:hAnsi="Arial CE" w:cs="Arial CE"/>
                <w:b/>
                <w:sz w:val="16"/>
                <w:szCs w:val="16"/>
              </w:rPr>
              <w:t>1. pol. 2021</w:t>
            </w:r>
          </w:p>
        </w:tc>
      </w:tr>
      <w:tr w:rsidR="000B190B" w:rsidRPr="00D92E20" w14:paraId="2ACB1F46"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6B3A3C3E" w14:textId="77777777" w:rsidR="000B190B" w:rsidRPr="00D92E20" w:rsidRDefault="000B190B" w:rsidP="000B190B">
            <w:pPr>
              <w:spacing w:after="0" w:line="240" w:lineRule="auto"/>
              <w:rPr>
                <w:rFonts w:cs="Arial"/>
                <w:b/>
                <w:bCs/>
                <w:color w:val="000000"/>
                <w:sz w:val="16"/>
                <w:szCs w:val="16"/>
              </w:rPr>
            </w:pPr>
            <w:r w:rsidRPr="00D92E20">
              <w:rPr>
                <w:rFonts w:cs="Arial"/>
                <w:b/>
                <w:bCs/>
                <w:color w:val="000000"/>
                <w:sz w:val="16"/>
                <w:szCs w:val="16"/>
              </w:rPr>
              <w:t>Celkem</w:t>
            </w:r>
          </w:p>
        </w:tc>
        <w:tc>
          <w:tcPr>
            <w:tcW w:w="1618" w:type="dxa"/>
            <w:tcBorders>
              <w:top w:val="nil"/>
              <w:left w:val="nil"/>
              <w:bottom w:val="nil"/>
              <w:right w:val="nil"/>
            </w:tcBorders>
            <w:shd w:val="clear" w:color="auto" w:fill="auto"/>
            <w:vAlign w:val="center"/>
            <w:hideMark/>
          </w:tcPr>
          <w:p w14:paraId="3426135B" w14:textId="2B93E751" w:rsidR="000B190B" w:rsidRPr="00D92E20" w:rsidRDefault="000B190B" w:rsidP="000B190B">
            <w:pPr>
              <w:spacing w:after="0" w:line="240" w:lineRule="auto"/>
              <w:jc w:val="right"/>
              <w:rPr>
                <w:rFonts w:cs="Arial"/>
                <w:b/>
                <w:bCs/>
                <w:color w:val="000000"/>
                <w:sz w:val="16"/>
                <w:szCs w:val="16"/>
              </w:rPr>
            </w:pPr>
            <w:r>
              <w:rPr>
                <w:rFonts w:cs="Arial"/>
                <w:b/>
                <w:bCs/>
                <w:sz w:val="16"/>
                <w:szCs w:val="16"/>
              </w:rPr>
              <w:t>1 423,1</w:t>
            </w:r>
          </w:p>
        </w:tc>
        <w:tc>
          <w:tcPr>
            <w:tcW w:w="1253" w:type="dxa"/>
            <w:tcBorders>
              <w:top w:val="nil"/>
              <w:left w:val="nil"/>
              <w:bottom w:val="nil"/>
              <w:right w:val="nil"/>
            </w:tcBorders>
            <w:shd w:val="clear" w:color="auto" w:fill="auto"/>
            <w:vAlign w:val="center"/>
            <w:hideMark/>
          </w:tcPr>
          <w:p w14:paraId="33C15536" w14:textId="65A740F3" w:rsidR="000B190B" w:rsidRPr="00D92E20" w:rsidRDefault="000B190B" w:rsidP="000B190B">
            <w:pPr>
              <w:spacing w:after="0" w:line="240" w:lineRule="auto"/>
              <w:jc w:val="right"/>
              <w:rPr>
                <w:rFonts w:cs="Arial"/>
                <w:b/>
                <w:bCs/>
                <w:color w:val="000000"/>
                <w:sz w:val="16"/>
                <w:szCs w:val="16"/>
              </w:rPr>
            </w:pPr>
            <w:r>
              <w:rPr>
                <w:rFonts w:cs="Arial"/>
                <w:b/>
                <w:bCs/>
                <w:sz w:val="16"/>
                <w:szCs w:val="16"/>
              </w:rPr>
              <w:t>708,5</w:t>
            </w:r>
          </w:p>
        </w:tc>
        <w:tc>
          <w:tcPr>
            <w:tcW w:w="1254" w:type="dxa"/>
            <w:tcBorders>
              <w:top w:val="nil"/>
              <w:left w:val="nil"/>
              <w:bottom w:val="nil"/>
              <w:right w:val="single" w:sz="4" w:space="0" w:color="auto"/>
            </w:tcBorders>
            <w:shd w:val="clear" w:color="auto" w:fill="auto"/>
            <w:vAlign w:val="center"/>
            <w:hideMark/>
          </w:tcPr>
          <w:p w14:paraId="1AEED994" w14:textId="5877AF5C" w:rsidR="000B190B" w:rsidRPr="00D92E20" w:rsidRDefault="000B190B" w:rsidP="000B190B">
            <w:pPr>
              <w:spacing w:after="0" w:line="240" w:lineRule="auto"/>
              <w:jc w:val="right"/>
              <w:rPr>
                <w:rFonts w:cs="Arial"/>
                <w:b/>
                <w:bCs/>
                <w:color w:val="000000"/>
                <w:sz w:val="16"/>
                <w:szCs w:val="16"/>
              </w:rPr>
            </w:pPr>
            <w:r>
              <w:rPr>
                <w:rFonts w:cs="Arial"/>
                <w:b/>
                <w:bCs/>
                <w:sz w:val="16"/>
                <w:szCs w:val="16"/>
              </w:rPr>
              <w:t>714,7</w:t>
            </w:r>
          </w:p>
        </w:tc>
        <w:tc>
          <w:tcPr>
            <w:tcW w:w="1253" w:type="dxa"/>
            <w:tcBorders>
              <w:top w:val="nil"/>
              <w:left w:val="nil"/>
              <w:bottom w:val="nil"/>
              <w:right w:val="nil"/>
            </w:tcBorders>
            <w:shd w:val="clear" w:color="auto" w:fill="auto"/>
            <w:vAlign w:val="center"/>
            <w:hideMark/>
          </w:tcPr>
          <w:p w14:paraId="581DB7E3" w14:textId="07D0FB97" w:rsidR="000B190B" w:rsidRPr="00D92E20" w:rsidRDefault="000B190B" w:rsidP="000B190B">
            <w:pPr>
              <w:spacing w:after="0" w:line="240" w:lineRule="auto"/>
              <w:jc w:val="center"/>
              <w:rPr>
                <w:rFonts w:cs="Arial"/>
                <w:b/>
                <w:bCs/>
                <w:color w:val="000000"/>
                <w:sz w:val="16"/>
                <w:szCs w:val="16"/>
              </w:rPr>
            </w:pPr>
            <w:r>
              <w:rPr>
                <w:rFonts w:cs="Arial"/>
                <w:b/>
                <w:bCs/>
                <w:sz w:val="16"/>
                <w:szCs w:val="16"/>
              </w:rPr>
              <w:t>36,1</w:t>
            </w:r>
          </w:p>
        </w:tc>
        <w:tc>
          <w:tcPr>
            <w:tcW w:w="1253" w:type="dxa"/>
            <w:tcBorders>
              <w:top w:val="nil"/>
              <w:left w:val="nil"/>
              <w:bottom w:val="nil"/>
              <w:right w:val="nil"/>
            </w:tcBorders>
            <w:shd w:val="clear" w:color="auto" w:fill="auto"/>
            <w:vAlign w:val="center"/>
            <w:hideMark/>
          </w:tcPr>
          <w:p w14:paraId="0724775B" w14:textId="694C28B5" w:rsidR="000B190B" w:rsidRPr="00D92E20" w:rsidRDefault="000B190B" w:rsidP="000B190B">
            <w:pPr>
              <w:spacing w:after="0" w:line="240" w:lineRule="auto"/>
              <w:jc w:val="center"/>
              <w:rPr>
                <w:rFonts w:cs="Arial"/>
                <w:b/>
                <w:bCs/>
                <w:color w:val="000000"/>
                <w:sz w:val="16"/>
                <w:szCs w:val="16"/>
              </w:rPr>
            </w:pPr>
            <w:r>
              <w:rPr>
                <w:rFonts w:cs="Arial"/>
                <w:b/>
                <w:bCs/>
                <w:sz w:val="16"/>
                <w:szCs w:val="16"/>
              </w:rPr>
              <w:t>33,8</w:t>
            </w:r>
          </w:p>
        </w:tc>
        <w:tc>
          <w:tcPr>
            <w:tcW w:w="1253" w:type="dxa"/>
            <w:tcBorders>
              <w:top w:val="nil"/>
              <w:left w:val="nil"/>
              <w:bottom w:val="nil"/>
              <w:right w:val="nil"/>
            </w:tcBorders>
            <w:shd w:val="clear" w:color="auto" w:fill="auto"/>
            <w:vAlign w:val="center"/>
            <w:hideMark/>
          </w:tcPr>
          <w:p w14:paraId="1D038327" w14:textId="2BE5F159" w:rsidR="000B190B" w:rsidRPr="00D92E20" w:rsidRDefault="000B190B" w:rsidP="000B190B">
            <w:pPr>
              <w:spacing w:after="0" w:line="240" w:lineRule="auto"/>
              <w:jc w:val="center"/>
              <w:rPr>
                <w:rFonts w:cs="Arial"/>
                <w:b/>
                <w:bCs/>
                <w:color w:val="000000"/>
                <w:sz w:val="16"/>
                <w:szCs w:val="16"/>
              </w:rPr>
            </w:pPr>
            <w:r>
              <w:rPr>
                <w:rFonts w:cs="Arial"/>
                <w:b/>
                <w:bCs/>
                <w:sz w:val="16"/>
                <w:szCs w:val="16"/>
              </w:rPr>
              <w:t>38,5</w:t>
            </w:r>
          </w:p>
        </w:tc>
      </w:tr>
      <w:tr w:rsidR="000B190B" w:rsidRPr="00D92E20" w14:paraId="7B0F614A"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4D7B8B6F"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1618" w:type="dxa"/>
            <w:tcBorders>
              <w:top w:val="nil"/>
              <w:left w:val="nil"/>
              <w:bottom w:val="nil"/>
              <w:right w:val="nil"/>
            </w:tcBorders>
            <w:shd w:val="clear" w:color="auto" w:fill="auto"/>
            <w:vAlign w:val="center"/>
            <w:hideMark/>
          </w:tcPr>
          <w:p w14:paraId="17A0F459" w14:textId="4D43A170" w:rsidR="000B190B" w:rsidRPr="00D92E20" w:rsidRDefault="000B190B" w:rsidP="000B190B">
            <w:pPr>
              <w:spacing w:after="0" w:line="240" w:lineRule="auto"/>
              <w:jc w:val="right"/>
              <w:rPr>
                <w:rFonts w:cs="Arial"/>
                <w:color w:val="000000"/>
                <w:sz w:val="16"/>
                <w:szCs w:val="16"/>
              </w:rPr>
            </w:pPr>
            <w:r>
              <w:rPr>
                <w:rFonts w:cs="Arial"/>
                <w:sz w:val="16"/>
                <w:szCs w:val="16"/>
              </w:rPr>
              <w:t>13,9</w:t>
            </w:r>
          </w:p>
        </w:tc>
        <w:tc>
          <w:tcPr>
            <w:tcW w:w="1253" w:type="dxa"/>
            <w:tcBorders>
              <w:top w:val="nil"/>
              <w:left w:val="nil"/>
              <w:bottom w:val="nil"/>
              <w:right w:val="nil"/>
            </w:tcBorders>
            <w:shd w:val="clear" w:color="auto" w:fill="auto"/>
            <w:vAlign w:val="center"/>
            <w:hideMark/>
          </w:tcPr>
          <w:p w14:paraId="14CAB7B4" w14:textId="153A4071" w:rsidR="000B190B" w:rsidRPr="00D92E20" w:rsidRDefault="000B190B" w:rsidP="000B190B">
            <w:pPr>
              <w:spacing w:after="0" w:line="240" w:lineRule="auto"/>
              <w:jc w:val="right"/>
              <w:rPr>
                <w:rFonts w:cs="Arial"/>
                <w:color w:val="000000"/>
                <w:sz w:val="16"/>
                <w:szCs w:val="16"/>
              </w:rPr>
            </w:pPr>
            <w:r>
              <w:rPr>
                <w:rFonts w:cs="Arial"/>
                <w:sz w:val="16"/>
                <w:szCs w:val="16"/>
              </w:rPr>
              <w:t>8,1</w:t>
            </w:r>
          </w:p>
        </w:tc>
        <w:tc>
          <w:tcPr>
            <w:tcW w:w="1254" w:type="dxa"/>
            <w:tcBorders>
              <w:top w:val="nil"/>
              <w:left w:val="nil"/>
              <w:bottom w:val="nil"/>
              <w:right w:val="single" w:sz="4" w:space="0" w:color="auto"/>
            </w:tcBorders>
            <w:shd w:val="clear" w:color="auto" w:fill="auto"/>
            <w:vAlign w:val="center"/>
            <w:hideMark/>
          </w:tcPr>
          <w:p w14:paraId="3FF61ECD" w14:textId="46AB09B0" w:rsidR="000B190B" w:rsidRPr="00D92E20" w:rsidRDefault="000B190B" w:rsidP="000B190B">
            <w:pPr>
              <w:spacing w:after="0" w:line="240" w:lineRule="auto"/>
              <w:jc w:val="right"/>
              <w:rPr>
                <w:rFonts w:cs="Arial"/>
                <w:color w:val="000000"/>
                <w:sz w:val="16"/>
                <w:szCs w:val="16"/>
              </w:rPr>
            </w:pPr>
            <w:r>
              <w:rPr>
                <w:rFonts w:cs="Arial"/>
                <w:sz w:val="16"/>
                <w:szCs w:val="16"/>
              </w:rPr>
              <w:t>5,8</w:t>
            </w:r>
          </w:p>
        </w:tc>
        <w:tc>
          <w:tcPr>
            <w:tcW w:w="1253" w:type="dxa"/>
            <w:tcBorders>
              <w:top w:val="nil"/>
              <w:left w:val="nil"/>
              <w:bottom w:val="nil"/>
              <w:right w:val="nil"/>
            </w:tcBorders>
            <w:shd w:val="clear" w:color="auto" w:fill="auto"/>
            <w:vAlign w:val="center"/>
            <w:hideMark/>
          </w:tcPr>
          <w:p w14:paraId="600870F8" w14:textId="607E8F09" w:rsidR="000B190B" w:rsidRPr="00D92E20" w:rsidRDefault="000B190B" w:rsidP="000B190B">
            <w:pPr>
              <w:spacing w:after="0" w:line="240" w:lineRule="auto"/>
              <w:jc w:val="center"/>
              <w:rPr>
                <w:rFonts w:cs="Arial"/>
                <w:color w:val="000000"/>
                <w:sz w:val="16"/>
                <w:szCs w:val="16"/>
              </w:rPr>
            </w:pPr>
            <w:r>
              <w:rPr>
                <w:rFonts w:cs="Arial"/>
                <w:sz w:val="16"/>
                <w:szCs w:val="16"/>
              </w:rPr>
              <w:t>17,7</w:t>
            </w:r>
          </w:p>
        </w:tc>
        <w:tc>
          <w:tcPr>
            <w:tcW w:w="1253" w:type="dxa"/>
            <w:tcBorders>
              <w:top w:val="nil"/>
              <w:left w:val="nil"/>
              <w:bottom w:val="nil"/>
              <w:right w:val="nil"/>
            </w:tcBorders>
            <w:shd w:val="clear" w:color="auto" w:fill="auto"/>
            <w:vAlign w:val="center"/>
            <w:hideMark/>
          </w:tcPr>
          <w:p w14:paraId="3EE2B369" w14:textId="6EA01322" w:rsidR="000B190B" w:rsidRPr="00D92E20" w:rsidRDefault="000B190B" w:rsidP="000B190B">
            <w:pPr>
              <w:spacing w:after="0" w:line="240" w:lineRule="auto"/>
              <w:jc w:val="center"/>
              <w:rPr>
                <w:rFonts w:cs="Arial"/>
                <w:color w:val="000000"/>
                <w:sz w:val="16"/>
                <w:szCs w:val="16"/>
              </w:rPr>
            </w:pPr>
            <w:r>
              <w:rPr>
                <w:rFonts w:cs="Arial"/>
                <w:sz w:val="16"/>
                <w:szCs w:val="16"/>
              </w:rPr>
              <w:t>16,3</w:t>
            </w:r>
          </w:p>
        </w:tc>
        <w:tc>
          <w:tcPr>
            <w:tcW w:w="1253" w:type="dxa"/>
            <w:tcBorders>
              <w:top w:val="nil"/>
              <w:left w:val="nil"/>
              <w:bottom w:val="nil"/>
              <w:right w:val="nil"/>
            </w:tcBorders>
            <w:shd w:val="clear" w:color="auto" w:fill="auto"/>
            <w:vAlign w:val="center"/>
            <w:hideMark/>
          </w:tcPr>
          <w:p w14:paraId="1A098A67" w14:textId="5756B831" w:rsidR="000B190B" w:rsidRPr="00D92E20" w:rsidRDefault="000B190B" w:rsidP="000B190B">
            <w:pPr>
              <w:spacing w:after="0" w:line="240" w:lineRule="auto"/>
              <w:jc w:val="center"/>
              <w:rPr>
                <w:rFonts w:cs="Arial"/>
                <w:color w:val="000000"/>
                <w:sz w:val="16"/>
                <w:szCs w:val="16"/>
              </w:rPr>
            </w:pPr>
            <w:r>
              <w:rPr>
                <w:rFonts w:cs="Arial"/>
                <w:sz w:val="16"/>
                <w:szCs w:val="16"/>
              </w:rPr>
              <w:t>19,6</w:t>
            </w:r>
          </w:p>
        </w:tc>
      </w:tr>
      <w:tr w:rsidR="000B190B" w:rsidRPr="00D92E20" w14:paraId="7372BE45"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81445DA"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1618" w:type="dxa"/>
            <w:tcBorders>
              <w:top w:val="nil"/>
              <w:left w:val="nil"/>
              <w:bottom w:val="nil"/>
              <w:right w:val="nil"/>
            </w:tcBorders>
            <w:shd w:val="clear" w:color="auto" w:fill="auto"/>
            <w:vAlign w:val="center"/>
            <w:hideMark/>
          </w:tcPr>
          <w:p w14:paraId="5CC87A4F" w14:textId="4675CB72" w:rsidR="000B190B" w:rsidRPr="00D92E20" w:rsidRDefault="000B190B" w:rsidP="000B190B">
            <w:pPr>
              <w:spacing w:after="0" w:line="240" w:lineRule="auto"/>
              <w:jc w:val="right"/>
              <w:rPr>
                <w:rFonts w:cs="Arial"/>
                <w:color w:val="000000"/>
                <w:sz w:val="16"/>
                <w:szCs w:val="16"/>
              </w:rPr>
            </w:pPr>
            <w:r>
              <w:rPr>
                <w:rFonts w:cs="Arial"/>
                <w:sz w:val="16"/>
                <w:szCs w:val="16"/>
              </w:rPr>
              <w:t>257,2</w:t>
            </w:r>
          </w:p>
        </w:tc>
        <w:tc>
          <w:tcPr>
            <w:tcW w:w="1253" w:type="dxa"/>
            <w:tcBorders>
              <w:top w:val="nil"/>
              <w:left w:val="nil"/>
              <w:bottom w:val="nil"/>
              <w:right w:val="nil"/>
            </w:tcBorders>
            <w:shd w:val="clear" w:color="auto" w:fill="auto"/>
            <w:vAlign w:val="center"/>
            <w:hideMark/>
          </w:tcPr>
          <w:p w14:paraId="120918CC" w14:textId="22B51D58" w:rsidR="000B190B" w:rsidRPr="00D92E20" w:rsidRDefault="000B190B" w:rsidP="000B190B">
            <w:pPr>
              <w:spacing w:after="0" w:line="240" w:lineRule="auto"/>
              <w:jc w:val="right"/>
              <w:rPr>
                <w:rFonts w:cs="Arial"/>
                <w:color w:val="000000"/>
                <w:sz w:val="16"/>
                <w:szCs w:val="16"/>
              </w:rPr>
            </w:pPr>
            <w:r>
              <w:rPr>
                <w:rFonts w:cs="Arial"/>
                <w:sz w:val="16"/>
                <w:szCs w:val="16"/>
              </w:rPr>
              <w:t>144,8</w:t>
            </w:r>
          </w:p>
        </w:tc>
        <w:tc>
          <w:tcPr>
            <w:tcW w:w="1254" w:type="dxa"/>
            <w:tcBorders>
              <w:top w:val="nil"/>
              <w:left w:val="nil"/>
              <w:bottom w:val="nil"/>
              <w:right w:val="single" w:sz="4" w:space="0" w:color="auto"/>
            </w:tcBorders>
            <w:shd w:val="clear" w:color="auto" w:fill="auto"/>
            <w:vAlign w:val="center"/>
            <w:hideMark/>
          </w:tcPr>
          <w:p w14:paraId="0208F366" w14:textId="64A62527" w:rsidR="000B190B" w:rsidRPr="00D92E20" w:rsidRDefault="000B190B" w:rsidP="000B190B">
            <w:pPr>
              <w:spacing w:after="0" w:line="240" w:lineRule="auto"/>
              <w:jc w:val="right"/>
              <w:rPr>
                <w:rFonts w:cs="Arial"/>
                <w:color w:val="000000"/>
                <w:sz w:val="16"/>
                <w:szCs w:val="16"/>
              </w:rPr>
            </w:pPr>
            <w:r>
              <w:rPr>
                <w:rFonts w:cs="Arial"/>
                <w:sz w:val="16"/>
                <w:szCs w:val="16"/>
              </w:rPr>
              <w:t>112,4</w:t>
            </w:r>
          </w:p>
        </w:tc>
        <w:tc>
          <w:tcPr>
            <w:tcW w:w="1253" w:type="dxa"/>
            <w:tcBorders>
              <w:top w:val="nil"/>
              <w:left w:val="nil"/>
              <w:bottom w:val="nil"/>
              <w:right w:val="nil"/>
            </w:tcBorders>
            <w:shd w:val="clear" w:color="auto" w:fill="auto"/>
            <w:vAlign w:val="center"/>
            <w:hideMark/>
          </w:tcPr>
          <w:p w14:paraId="2C6E46C1" w14:textId="55E599C0" w:rsidR="000B190B" w:rsidRPr="00D92E20" w:rsidRDefault="000B190B" w:rsidP="000B190B">
            <w:pPr>
              <w:spacing w:after="0" w:line="240" w:lineRule="auto"/>
              <w:jc w:val="center"/>
              <w:rPr>
                <w:rFonts w:cs="Arial"/>
                <w:color w:val="000000"/>
                <w:sz w:val="16"/>
                <w:szCs w:val="16"/>
              </w:rPr>
            </w:pPr>
            <w:r>
              <w:rPr>
                <w:rFonts w:cs="Arial"/>
                <w:sz w:val="16"/>
                <w:szCs w:val="16"/>
              </w:rPr>
              <w:t>24,0</w:t>
            </w:r>
          </w:p>
        </w:tc>
        <w:tc>
          <w:tcPr>
            <w:tcW w:w="1253" w:type="dxa"/>
            <w:tcBorders>
              <w:top w:val="nil"/>
              <w:left w:val="nil"/>
              <w:bottom w:val="nil"/>
              <w:right w:val="nil"/>
            </w:tcBorders>
            <w:shd w:val="clear" w:color="auto" w:fill="auto"/>
            <w:vAlign w:val="center"/>
            <w:hideMark/>
          </w:tcPr>
          <w:p w14:paraId="1D9D2486" w14:textId="452407D7" w:rsidR="000B190B" w:rsidRPr="00D92E20" w:rsidRDefault="000B190B" w:rsidP="000B190B">
            <w:pPr>
              <w:spacing w:after="0" w:line="240" w:lineRule="auto"/>
              <w:jc w:val="center"/>
              <w:rPr>
                <w:rFonts w:cs="Arial"/>
                <w:color w:val="000000"/>
                <w:sz w:val="16"/>
                <w:szCs w:val="16"/>
              </w:rPr>
            </w:pPr>
            <w:r>
              <w:rPr>
                <w:rFonts w:cs="Arial"/>
                <w:sz w:val="16"/>
                <w:szCs w:val="16"/>
              </w:rPr>
              <w:t>19,9</w:t>
            </w:r>
          </w:p>
        </w:tc>
        <w:tc>
          <w:tcPr>
            <w:tcW w:w="1253" w:type="dxa"/>
            <w:tcBorders>
              <w:top w:val="nil"/>
              <w:left w:val="nil"/>
              <w:bottom w:val="nil"/>
              <w:right w:val="nil"/>
            </w:tcBorders>
            <w:shd w:val="clear" w:color="auto" w:fill="auto"/>
            <w:vAlign w:val="center"/>
            <w:hideMark/>
          </w:tcPr>
          <w:p w14:paraId="308EDAF5" w14:textId="47BE53BF" w:rsidR="000B190B" w:rsidRPr="00D92E20" w:rsidRDefault="000B190B" w:rsidP="000B190B">
            <w:pPr>
              <w:spacing w:after="0" w:line="240" w:lineRule="auto"/>
              <w:jc w:val="center"/>
              <w:rPr>
                <w:rFonts w:cs="Arial"/>
                <w:color w:val="000000"/>
                <w:sz w:val="16"/>
                <w:szCs w:val="16"/>
              </w:rPr>
            </w:pPr>
            <w:r>
              <w:rPr>
                <w:rFonts w:cs="Arial"/>
                <w:sz w:val="16"/>
                <w:szCs w:val="16"/>
              </w:rPr>
              <w:t>29,3</w:t>
            </w:r>
          </w:p>
        </w:tc>
      </w:tr>
      <w:tr w:rsidR="000B190B" w:rsidRPr="00D92E20" w14:paraId="4C346089"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3FA5208"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1618" w:type="dxa"/>
            <w:tcBorders>
              <w:top w:val="nil"/>
              <w:left w:val="nil"/>
              <w:bottom w:val="nil"/>
              <w:right w:val="nil"/>
            </w:tcBorders>
            <w:shd w:val="clear" w:color="auto" w:fill="auto"/>
            <w:vAlign w:val="center"/>
            <w:hideMark/>
          </w:tcPr>
          <w:p w14:paraId="0529C537" w14:textId="06186696" w:rsidR="000B190B" w:rsidRPr="00D92E20" w:rsidRDefault="000B190B" w:rsidP="000B190B">
            <w:pPr>
              <w:spacing w:after="0" w:line="240" w:lineRule="auto"/>
              <w:jc w:val="right"/>
              <w:rPr>
                <w:rFonts w:cs="Arial"/>
                <w:color w:val="000000"/>
                <w:sz w:val="16"/>
                <w:szCs w:val="16"/>
              </w:rPr>
            </w:pPr>
            <w:r>
              <w:rPr>
                <w:rFonts w:cs="Arial"/>
                <w:sz w:val="16"/>
                <w:szCs w:val="16"/>
              </w:rPr>
              <w:t>287,3</w:t>
            </w:r>
          </w:p>
        </w:tc>
        <w:tc>
          <w:tcPr>
            <w:tcW w:w="1253" w:type="dxa"/>
            <w:tcBorders>
              <w:top w:val="nil"/>
              <w:left w:val="nil"/>
              <w:bottom w:val="nil"/>
              <w:right w:val="nil"/>
            </w:tcBorders>
            <w:shd w:val="clear" w:color="auto" w:fill="auto"/>
            <w:vAlign w:val="center"/>
            <w:hideMark/>
          </w:tcPr>
          <w:p w14:paraId="2E7F8D52" w14:textId="16B2E40B" w:rsidR="000B190B" w:rsidRPr="00D92E20" w:rsidRDefault="000B190B" w:rsidP="000B190B">
            <w:pPr>
              <w:spacing w:after="0" w:line="240" w:lineRule="auto"/>
              <w:jc w:val="right"/>
              <w:rPr>
                <w:rFonts w:cs="Arial"/>
                <w:color w:val="000000"/>
                <w:sz w:val="16"/>
                <w:szCs w:val="16"/>
              </w:rPr>
            </w:pPr>
            <w:r>
              <w:rPr>
                <w:rFonts w:cs="Arial"/>
                <w:sz w:val="16"/>
                <w:szCs w:val="16"/>
              </w:rPr>
              <w:t>157,6</w:t>
            </w:r>
          </w:p>
        </w:tc>
        <w:tc>
          <w:tcPr>
            <w:tcW w:w="1254" w:type="dxa"/>
            <w:tcBorders>
              <w:top w:val="nil"/>
              <w:left w:val="nil"/>
              <w:bottom w:val="nil"/>
              <w:right w:val="single" w:sz="4" w:space="0" w:color="auto"/>
            </w:tcBorders>
            <w:shd w:val="clear" w:color="auto" w:fill="auto"/>
            <w:vAlign w:val="center"/>
            <w:hideMark/>
          </w:tcPr>
          <w:p w14:paraId="6E5D616C" w14:textId="13AA31BB" w:rsidR="000B190B" w:rsidRPr="00D92E20" w:rsidRDefault="000B190B" w:rsidP="000B190B">
            <w:pPr>
              <w:spacing w:after="0" w:line="240" w:lineRule="auto"/>
              <w:jc w:val="right"/>
              <w:rPr>
                <w:rFonts w:cs="Arial"/>
                <w:color w:val="000000"/>
                <w:sz w:val="16"/>
                <w:szCs w:val="16"/>
              </w:rPr>
            </w:pPr>
            <w:r>
              <w:rPr>
                <w:rFonts w:cs="Arial"/>
                <w:sz w:val="16"/>
                <w:szCs w:val="16"/>
              </w:rPr>
              <w:t>129,7</w:t>
            </w:r>
          </w:p>
        </w:tc>
        <w:tc>
          <w:tcPr>
            <w:tcW w:w="1253" w:type="dxa"/>
            <w:tcBorders>
              <w:top w:val="nil"/>
              <w:left w:val="nil"/>
              <w:bottom w:val="nil"/>
              <w:right w:val="nil"/>
            </w:tcBorders>
            <w:shd w:val="clear" w:color="auto" w:fill="auto"/>
            <w:vAlign w:val="center"/>
            <w:hideMark/>
          </w:tcPr>
          <w:p w14:paraId="0F6F55E3" w14:textId="68A9E205" w:rsidR="000B190B" w:rsidRPr="00D92E20" w:rsidRDefault="000B190B" w:rsidP="000B190B">
            <w:pPr>
              <w:spacing w:after="0" w:line="240" w:lineRule="auto"/>
              <w:jc w:val="center"/>
              <w:rPr>
                <w:rFonts w:cs="Arial"/>
                <w:color w:val="000000"/>
                <w:sz w:val="16"/>
                <w:szCs w:val="16"/>
              </w:rPr>
            </w:pPr>
            <w:r>
              <w:rPr>
                <w:rFonts w:cs="Arial"/>
                <w:sz w:val="16"/>
                <w:szCs w:val="16"/>
              </w:rPr>
              <w:t>29,8</w:t>
            </w:r>
          </w:p>
        </w:tc>
        <w:tc>
          <w:tcPr>
            <w:tcW w:w="1253" w:type="dxa"/>
            <w:tcBorders>
              <w:top w:val="nil"/>
              <w:left w:val="nil"/>
              <w:bottom w:val="nil"/>
              <w:right w:val="nil"/>
            </w:tcBorders>
            <w:shd w:val="clear" w:color="auto" w:fill="auto"/>
            <w:vAlign w:val="center"/>
            <w:hideMark/>
          </w:tcPr>
          <w:p w14:paraId="3D3E9D70" w14:textId="2FB4CFE8" w:rsidR="000B190B" w:rsidRPr="00D92E20" w:rsidRDefault="000B190B" w:rsidP="000B190B">
            <w:pPr>
              <w:spacing w:after="0" w:line="240" w:lineRule="auto"/>
              <w:jc w:val="center"/>
              <w:rPr>
                <w:rFonts w:cs="Arial"/>
                <w:color w:val="000000"/>
                <w:sz w:val="16"/>
                <w:szCs w:val="16"/>
              </w:rPr>
            </w:pPr>
            <w:r>
              <w:rPr>
                <w:rFonts w:cs="Arial"/>
                <w:sz w:val="16"/>
                <w:szCs w:val="16"/>
              </w:rPr>
              <w:t>25,5</w:t>
            </w:r>
          </w:p>
        </w:tc>
        <w:tc>
          <w:tcPr>
            <w:tcW w:w="1253" w:type="dxa"/>
            <w:tcBorders>
              <w:top w:val="nil"/>
              <w:left w:val="nil"/>
              <w:bottom w:val="nil"/>
              <w:right w:val="nil"/>
            </w:tcBorders>
            <w:shd w:val="clear" w:color="auto" w:fill="auto"/>
            <w:vAlign w:val="center"/>
            <w:hideMark/>
          </w:tcPr>
          <w:p w14:paraId="262A9F77" w14:textId="6B96523B" w:rsidR="000B190B" w:rsidRPr="00D92E20" w:rsidRDefault="000B190B" w:rsidP="000B190B">
            <w:pPr>
              <w:spacing w:after="0" w:line="240" w:lineRule="auto"/>
              <w:jc w:val="center"/>
              <w:rPr>
                <w:rFonts w:cs="Arial"/>
                <w:color w:val="000000"/>
                <w:sz w:val="16"/>
                <w:szCs w:val="16"/>
              </w:rPr>
            </w:pPr>
            <w:r>
              <w:rPr>
                <w:rFonts w:cs="Arial"/>
                <w:sz w:val="16"/>
                <w:szCs w:val="16"/>
              </w:rPr>
              <w:t>35,1</w:t>
            </w:r>
          </w:p>
        </w:tc>
      </w:tr>
      <w:tr w:rsidR="000B190B" w:rsidRPr="00D92E20" w14:paraId="2C9DA50E"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0684C7A"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1618" w:type="dxa"/>
            <w:tcBorders>
              <w:top w:val="nil"/>
              <w:left w:val="nil"/>
              <w:bottom w:val="nil"/>
              <w:right w:val="nil"/>
            </w:tcBorders>
            <w:shd w:val="clear" w:color="auto" w:fill="auto"/>
            <w:vAlign w:val="center"/>
            <w:hideMark/>
          </w:tcPr>
          <w:p w14:paraId="0C4A9C98" w14:textId="2DDFD124" w:rsidR="000B190B" w:rsidRPr="00D92E20" w:rsidRDefault="000B190B" w:rsidP="000B190B">
            <w:pPr>
              <w:spacing w:after="0" w:line="240" w:lineRule="auto"/>
              <w:jc w:val="right"/>
              <w:rPr>
                <w:rFonts w:cs="Arial"/>
                <w:color w:val="000000"/>
                <w:sz w:val="16"/>
                <w:szCs w:val="16"/>
              </w:rPr>
            </w:pPr>
            <w:r>
              <w:rPr>
                <w:rFonts w:cs="Arial"/>
                <w:sz w:val="16"/>
                <w:szCs w:val="16"/>
              </w:rPr>
              <w:t>405,9</w:t>
            </w:r>
          </w:p>
        </w:tc>
        <w:tc>
          <w:tcPr>
            <w:tcW w:w="1253" w:type="dxa"/>
            <w:tcBorders>
              <w:top w:val="nil"/>
              <w:left w:val="nil"/>
              <w:bottom w:val="nil"/>
              <w:right w:val="nil"/>
            </w:tcBorders>
            <w:shd w:val="clear" w:color="auto" w:fill="auto"/>
            <w:vAlign w:val="center"/>
            <w:hideMark/>
          </w:tcPr>
          <w:p w14:paraId="25663682" w14:textId="54665D91" w:rsidR="000B190B" w:rsidRPr="00D92E20" w:rsidRDefault="000B190B" w:rsidP="000B190B">
            <w:pPr>
              <w:spacing w:after="0" w:line="240" w:lineRule="auto"/>
              <w:jc w:val="right"/>
              <w:rPr>
                <w:rFonts w:cs="Arial"/>
                <w:color w:val="000000"/>
                <w:sz w:val="16"/>
                <w:szCs w:val="16"/>
              </w:rPr>
            </w:pPr>
            <w:r>
              <w:rPr>
                <w:rFonts w:cs="Arial"/>
                <w:sz w:val="16"/>
                <w:szCs w:val="16"/>
              </w:rPr>
              <w:t>180,2</w:t>
            </w:r>
          </w:p>
        </w:tc>
        <w:tc>
          <w:tcPr>
            <w:tcW w:w="1254" w:type="dxa"/>
            <w:tcBorders>
              <w:top w:val="nil"/>
              <w:left w:val="nil"/>
              <w:bottom w:val="nil"/>
              <w:right w:val="single" w:sz="4" w:space="0" w:color="auto"/>
            </w:tcBorders>
            <w:shd w:val="clear" w:color="auto" w:fill="auto"/>
            <w:vAlign w:val="center"/>
            <w:hideMark/>
          </w:tcPr>
          <w:p w14:paraId="5D45D10C" w14:textId="534B9BA4" w:rsidR="000B190B" w:rsidRPr="00D92E20" w:rsidRDefault="000B190B" w:rsidP="000B190B">
            <w:pPr>
              <w:spacing w:after="0" w:line="240" w:lineRule="auto"/>
              <w:jc w:val="right"/>
              <w:rPr>
                <w:rFonts w:cs="Arial"/>
                <w:color w:val="000000"/>
                <w:sz w:val="16"/>
                <w:szCs w:val="16"/>
              </w:rPr>
            </w:pPr>
            <w:r>
              <w:rPr>
                <w:rFonts w:cs="Arial"/>
                <w:sz w:val="16"/>
                <w:szCs w:val="16"/>
              </w:rPr>
              <w:t>225,7</w:t>
            </w:r>
          </w:p>
        </w:tc>
        <w:tc>
          <w:tcPr>
            <w:tcW w:w="1253" w:type="dxa"/>
            <w:tcBorders>
              <w:top w:val="nil"/>
              <w:left w:val="nil"/>
              <w:bottom w:val="nil"/>
              <w:right w:val="nil"/>
            </w:tcBorders>
            <w:shd w:val="clear" w:color="auto" w:fill="auto"/>
            <w:vAlign w:val="center"/>
            <w:hideMark/>
          </w:tcPr>
          <w:p w14:paraId="5A719F8F" w14:textId="4E5E60B1" w:rsidR="000B190B" w:rsidRPr="00D92E20" w:rsidRDefault="000B190B" w:rsidP="000B190B">
            <w:pPr>
              <w:spacing w:after="0" w:line="240" w:lineRule="auto"/>
              <w:jc w:val="center"/>
              <w:rPr>
                <w:rFonts w:cs="Arial"/>
                <w:color w:val="000000"/>
                <w:sz w:val="16"/>
                <w:szCs w:val="16"/>
              </w:rPr>
            </w:pPr>
            <w:r>
              <w:rPr>
                <w:rFonts w:cs="Arial"/>
                <w:sz w:val="16"/>
                <w:szCs w:val="16"/>
              </w:rPr>
              <w:t>35,0</w:t>
            </w:r>
          </w:p>
        </w:tc>
        <w:tc>
          <w:tcPr>
            <w:tcW w:w="1253" w:type="dxa"/>
            <w:tcBorders>
              <w:top w:val="nil"/>
              <w:left w:val="nil"/>
              <w:bottom w:val="nil"/>
              <w:right w:val="nil"/>
            </w:tcBorders>
            <w:shd w:val="clear" w:color="auto" w:fill="auto"/>
            <w:vAlign w:val="center"/>
            <w:hideMark/>
          </w:tcPr>
          <w:p w14:paraId="540327DC" w14:textId="23BF378E" w:rsidR="000B190B" w:rsidRPr="00D92E20" w:rsidRDefault="000B190B" w:rsidP="000B190B">
            <w:pPr>
              <w:spacing w:after="0" w:line="240" w:lineRule="auto"/>
              <w:jc w:val="center"/>
              <w:rPr>
                <w:rFonts w:cs="Arial"/>
                <w:color w:val="000000"/>
                <w:sz w:val="16"/>
                <w:szCs w:val="16"/>
              </w:rPr>
            </w:pPr>
            <w:r>
              <w:rPr>
                <w:rFonts w:cs="Arial"/>
                <w:sz w:val="16"/>
                <w:szCs w:val="16"/>
              </w:rPr>
              <w:t>33,8</w:t>
            </w:r>
          </w:p>
        </w:tc>
        <w:tc>
          <w:tcPr>
            <w:tcW w:w="1253" w:type="dxa"/>
            <w:tcBorders>
              <w:top w:val="nil"/>
              <w:left w:val="nil"/>
              <w:bottom w:val="nil"/>
              <w:right w:val="nil"/>
            </w:tcBorders>
            <w:shd w:val="clear" w:color="auto" w:fill="auto"/>
            <w:vAlign w:val="center"/>
            <w:hideMark/>
          </w:tcPr>
          <w:p w14:paraId="181D06E1" w14:textId="4A4C341E" w:rsidR="000B190B" w:rsidRPr="00D92E20" w:rsidRDefault="000B190B" w:rsidP="000B190B">
            <w:pPr>
              <w:spacing w:after="0" w:line="240" w:lineRule="auto"/>
              <w:jc w:val="center"/>
              <w:rPr>
                <w:rFonts w:cs="Arial"/>
                <w:color w:val="000000"/>
                <w:sz w:val="16"/>
                <w:szCs w:val="16"/>
              </w:rPr>
            </w:pPr>
            <w:r>
              <w:rPr>
                <w:rFonts w:cs="Arial"/>
                <w:sz w:val="16"/>
                <w:szCs w:val="16"/>
              </w:rPr>
              <w:t>36,0</w:t>
            </w:r>
          </w:p>
        </w:tc>
      </w:tr>
      <w:tr w:rsidR="000B190B" w:rsidRPr="00D92E20" w14:paraId="6CE35C38"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36D1D038"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1618" w:type="dxa"/>
            <w:tcBorders>
              <w:top w:val="nil"/>
              <w:left w:val="nil"/>
              <w:bottom w:val="nil"/>
              <w:right w:val="nil"/>
            </w:tcBorders>
            <w:shd w:val="clear" w:color="auto" w:fill="auto"/>
            <w:vAlign w:val="center"/>
            <w:hideMark/>
          </w:tcPr>
          <w:p w14:paraId="2A2DCEC9" w14:textId="63C31A20" w:rsidR="000B190B" w:rsidRPr="00D92E20" w:rsidRDefault="000B190B" w:rsidP="000B190B">
            <w:pPr>
              <w:spacing w:after="0" w:line="240" w:lineRule="auto"/>
              <w:jc w:val="right"/>
              <w:rPr>
                <w:rFonts w:cs="Arial"/>
                <w:color w:val="000000"/>
                <w:sz w:val="16"/>
                <w:szCs w:val="16"/>
              </w:rPr>
            </w:pPr>
            <w:r>
              <w:rPr>
                <w:rFonts w:cs="Arial"/>
                <w:sz w:val="16"/>
                <w:szCs w:val="16"/>
              </w:rPr>
              <w:t>353,5</w:t>
            </w:r>
          </w:p>
        </w:tc>
        <w:tc>
          <w:tcPr>
            <w:tcW w:w="1253" w:type="dxa"/>
            <w:tcBorders>
              <w:top w:val="nil"/>
              <w:left w:val="nil"/>
              <w:bottom w:val="nil"/>
              <w:right w:val="nil"/>
            </w:tcBorders>
            <w:shd w:val="clear" w:color="auto" w:fill="auto"/>
            <w:vAlign w:val="center"/>
            <w:hideMark/>
          </w:tcPr>
          <w:p w14:paraId="3A62B1B6" w14:textId="57499528" w:rsidR="000B190B" w:rsidRPr="00D92E20" w:rsidRDefault="000B190B" w:rsidP="000B190B">
            <w:pPr>
              <w:spacing w:after="0" w:line="240" w:lineRule="auto"/>
              <w:jc w:val="right"/>
              <w:rPr>
                <w:rFonts w:cs="Arial"/>
                <w:color w:val="000000"/>
                <w:sz w:val="16"/>
                <w:szCs w:val="16"/>
              </w:rPr>
            </w:pPr>
            <w:r>
              <w:rPr>
                <w:rFonts w:cs="Arial"/>
                <w:sz w:val="16"/>
                <w:szCs w:val="16"/>
              </w:rPr>
              <w:t>156,0</w:t>
            </w:r>
          </w:p>
        </w:tc>
        <w:tc>
          <w:tcPr>
            <w:tcW w:w="1254" w:type="dxa"/>
            <w:tcBorders>
              <w:top w:val="nil"/>
              <w:left w:val="nil"/>
              <w:bottom w:val="nil"/>
              <w:right w:val="single" w:sz="4" w:space="0" w:color="auto"/>
            </w:tcBorders>
            <w:shd w:val="clear" w:color="auto" w:fill="auto"/>
            <w:vAlign w:val="center"/>
            <w:hideMark/>
          </w:tcPr>
          <w:p w14:paraId="774871E6" w14:textId="42C20F15" w:rsidR="000B190B" w:rsidRPr="00D92E20" w:rsidRDefault="000B190B" w:rsidP="000B190B">
            <w:pPr>
              <w:spacing w:after="0" w:line="240" w:lineRule="auto"/>
              <w:jc w:val="right"/>
              <w:rPr>
                <w:rFonts w:cs="Arial"/>
                <w:color w:val="000000"/>
                <w:sz w:val="16"/>
                <w:szCs w:val="16"/>
              </w:rPr>
            </w:pPr>
            <w:r>
              <w:rPr>
                <w:rFonts w:cs="Arial"/>
                <w:sz w:val="16"/>
                <w:szCs w:val="16"/>
              </w:rPr>
              <w:t>197,5</w:t>
            </w:r>
          </w:p>
        </w:tc>
        <w:tc>
          <w:tcPr>
            <w:tcW w:w="1253" w:type="dxa"/>
            <w:tcBorders>
              <w:top w:val="nil"/>
              <w:left w:val="nil"/>
              <w:bottom w:val="nil"/>
              <w:right w:val="nil"/>
            </w:tcBorders>
            <w:shd w:val="clear" w:color="auto" w:fill="auto"/>
            <w:vAlign w:val="center"/>
            <w:hideMark/>
          </w:tcPr>
          <w:p w14:paraId="31467C24" w14:textId="69515E39" w:rsidR="000B190B" w:rsidRPr="00D92E20" w:rsidRDefault="000B190B" w:rsidP="000B190B">
            <w:pPr>
              <w:spacing w:after="0" w:line="240" w:lineRule="auto"/>
              <w:jc w:val="center"/>
              <w:rPr>
                <w:rFonts w:cs="Arial"/>
                <w:color w:val="000000"/>
                <w:sz w:val="16"/>
                <w:szCs w:val="16"/>
              </w:rPr>
            </w:pPr>
            <w:r>
              <w:rPr>
                <w:rFonts w:cs="Arial"/>
                <w:sz w:val="16"/>
                <w:szCs w:val="16"/>
              </w:rPr>
              <w:t>45,5</w:t>
            </w:r>
          </w:p>
        </w:tc>
        <w:tc>
          <w:tcPr>
            <w:tcW w:w="1253" w:type="dxa"/>
            <w:tcBorders>
              <w:top w:val="nil"/>
              <w:left w:val="nil"/>
              <w:bottom w:val="nil"/>
              <w:right w:val="nil"/>
            </w:tcBorders>
            <w:shd w:val="clear" w:color="auto" w:fill="auto"/>
            <w:vAlign w:val="center"/>
            <w:hideMark/>
          </w:tcPr>
          <w:p w14:paraId="78154705" w14:textId="097CEFAF" w:rsidR="000B190B" w:rsidRPr="00D92E20" w:rsidRDefault="000B190B" w:rsidP="000B190B">
            <w:pPr>
              <w:spacing w:after="0" w:line="240" w:lineRule="auto"/>
              <w:jc w:val="center"/>
              <w:rPr>
                <w:rFonts w:cs="Arial"/>
                <w:color w:val="000000"/>
                <w:sz w:val="16"/>
                <w:szCs w:val="16"/>
              </w:rPr>
            </w:pPr>
            <w:r>
              <w:rPr>
                <w:rFonts w:cs="Arial"/>
                <w:sz w:val="16"/>
                <w:szCs w:val="16"/>
              </w:rPr>
              <w:t>45,0</w:t>
            </w:r>
          </w:p>
        </w:tc>
        <w:tc>
          <w:tcPr>
            <w:tcW w:w="1253" w:type="dxa"/>
            <w:tcBorders>
              <w:top w:val="nil"/>
              <w:left w:val="nil"/>
              <w:bottom w:val="nil"/>
              <w:right w:val="nil"/>
            </w:tcBorders>
            <w:shd w:val="clear" w:color="auto" w:fill="auto"/>
            <w:vAlign w:val="center"/>
            <w:hideMark/>
          </w:tcPr>
          <w:p w14:paraId="635271C4" w14:textId="3EA992E1" w:rsidR="000B190B" w:rsidRPr="00D92E20" w:rsidRDefault="000B190B" w:rsidP="000B190B">
            <w:pPr>
              <w:spacing w:after="0" w:line="240" w:lineRule="auto"/>
              <w:jc w:val="center"/>
              <w:rPr>
                <w:rFonts w:cs="Arial"/>
                <w:color w:val="000000"/>
                <w:sz w:val="16"/>
                <w:szCs w:val="16"/>
              </w:rPr>
            </w:pPr>
            <w:r>
              <w:rPr>
                <w:rFonts w:cs="Arial"/>
                <w:sz w:val="16"/>
                <w:szCs w:val="16"/>
              </w:rPr>
              <w:t>45,9</w:t>
            </w:r>
          </w:p>
        </w:tc>
      </w:tr>
      <w:tr w:rsidR="000B190B" w:rsidRPr="00D92E20" w14:paraId="7C794DF4"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6955BF63"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1618" w:type="dxa"/>
            <w:tcBorders>
              <w:top w:val="nil"/>
              <w:left w:val="nil"/>
              <w:bottom w:val="nil"/>
              <w:right w:val="nil"/>
            </w:tcBorders>
            <w:shd w:val="clear" w:color="auto" w:fill="auto"/>
            <w:vAlign w:val="center"/>
            <w:hideMark/>
          </w:tcPr>
          <w:p w14:paraId="199C1A4D" w14:textId="2F7B7FCD" w:rsidR="000B190B" w:rsidRPr="00D92E20" w:rsidRDefault="000B190B" w:rsidP="000B190B">
            <w:pPr>
              <w:spacing w:after="0" w:line="240" w:lineRule="auto"/>
              <w:jc w:val="right"/>
              <w:rPr>
                <w:rFonts w:cs="Arial"/>
                <w:color w:val="000000"/>
                <w:sz w:val="16"/>
                <w:szCs w:val="16"/>
              </w:rPr>
            </w:pPr>
            <w:r>
              <w:rPr>
                <w:rFonts w:cs="Arial"/>
                <w:sz w:val="16"/>
                <w:szCs w:val="16"/>
              </w:rPr>
              <w:t>105,5</w:t>
            </w:r>
          </w:p>
        </w:tc>
        <w:tc>
          <w:tcPr>
            <w:tcW w:w="1253" w:type="dxa"/>
            <w:tcBorders>
              <w:top w:val="nil"/>
              <w:left w:val="nil"/>
              <w:bottom w:val="single" w:sz="4" w:space="0" w:color="auto"/>
              <w:right w:val="nil"/>
            </w:tcBorders>
            <w:shd w:val="clear" w:color="auto" w:fill="auto"/>
            <w:vAlign w:val="center"/>
            <w:hideMark/>
          </w:tcPr>
          <w:p w14:paraId="14A9AD94" w14:textId="27C58A90" w:rsidR="000B190B" w:rsidRPr="00D92E20" w:rsidRDefault="000B190B" w:rsidP="000B190B">
            <w:pPr>
              <w:spacing w:after="0" w:line="240" w:lineRule="auto"/>
              <w:jc w:val="right"/>
              <w:rPr>
                <w:rFonts w:cs="Arial"/>
                <w:color w:val="000000"/>
                <w:sz w:val="16"/>
                <w:szCs w:val="16"/>
              </w:rPr>
            </w:pPr>
            <w:r>
              <w:rPr>
                <w:rFonts w:cs="Arial"/>
                <w:sz w:val="16"/>
                <w:szCs w:val="16"/>
              </w:rPr>
              <w:t>61,8</w:t>
            </w:r>
          </w:p>
        </w:tc>
        <w:tc>
          <w:tcPr>
            <w:tcW w:w="1254" w:type="dxa"/>
            <w:tcBorders>
              <w:top w:val="nil"/>
              <w:left w:val="nil"/>
              <w:bottom w:val="nil"/>
              <w:right w:val="single" w:sz="4" w:space="0" w:color="auto"/>
            </w:tcBorders>
            <w:shd w:val="clear" w:color="auto" w:fill="auto"/>
            <w:vAlign w:val="center"/>
            <w:hideMark/>
          </w:tcPr>
          <w:p w14:paraId="4C74C3AF" w14:textId="181DCE47" w:rsidR="000B190B" w:rsidRPr="00D92E20" w:rsidRDefault="000B190B" w:rsidP="000B190B">
            <w:pPr>
              <w:spacing w:after="0" w:line="240" w:lineRule="auto"/>
              <w:jc w:val="right"/>
              <w:rPr>
                <w:rFonts w:cs="Arial"/>
                <w:color w:val="000000"/>
                <w:sz w:val="16"/>
                <w:szCs w:val="16"/>
              </w:rPr>
            </w:pPr>
            <w:r>
              <w:rPr>
                <w:rFonts w:cs="Arial"/>
                <w:sz w:val="16"/>
                <w:szCs w:val="16"/>
              </w:rPr>
              <w:t>43,6</w:t>
            </w:r>
          </w:p>
        </w:tc>
        <w:tc>
          <w:tcPr>
            <w:tcW w:w="1253" w:type="dxa"/>
            <w:tcBorders>
              <w:top w:val="nil"/>
              <w:left w:val="nil"/>
              <w:bottom w:val="nil"/>
              <w:right w:val="nil"/>
            </w:tcBorders>
            <w:shd w:val="clear" w:color="auto" w:fill="auto"/>
            <w:vAlign w:val="center"/>
            <w:hideMark/>
          </w:tcPr>
          <w:p w14:paraId="3683DDE7" w14:textId="369E0D25" w:rsidR="000B190B" w:rsidRPr="00D92E20" w:rsidRDefault="000B190B" w:rsidP="000B190B">
            <w:pPr>
              <w:spacing w:after="0" w:line="240" w:lineRule="auto"/>
              <w:jc w:val="center"/>
              <w:rPr>
                <w:rFonts w:cs="Arial"/>
                <w:color w:val="000000"/>
                <w:sz w:val="16"/>
                <w:szCs w:val="16"/>
              </w:rPr>
            </w:pPr>
            <w:r>
              <w:rPr>
                <w:rFonts w:cs="Arial"/>
                <w:sz w:val="16"/>
                <w:szCs w:val="16"/>
              </w:rPr>
              <w:t>57,9</w:t>
            </w:r>
          </w:p>
        </w:tc>
        <w:tc>
          <w:tcPr>
            <w:tcW w:w="1253" w:type="dxa"/>
            <w:tcBorders>
              <w:top w:val="nil"/>
              <w:left w:val="nil"/>
              <w:bottom w:val="single" w:sz="4" w:space="0" w:color="auto"/>
              <w:right w:val="nil"/>
            </w:tcBorders>
            <w:shd w:val="clear" w:color="auto" w:fill="auto"/>
            <w:vAlign w:val="center"/>
            <w:hideMark/>
          </w:tcPr>
          <w:p w14:paraId="7BE4ABC6" w14:textId="6FF70784" w:rsidR="000B190B" w:rsidRPr="00D92E20" w:rsidRDefault="000B190B" w:rsidP="000B190B">
            <w:pPr>
              <w:spacing w:after="0" w:line="240" w:lineRule="auto"/>
              <w:jc w:val="center"/>
              <w:rPr>
                <w:rFonts w:cs="Arial"/>
                <w:color w:val="000000"/>
                <w:sz w:val="16"/>
                <w:szCs w:val="16"/>
              </w:rPr>
            </w:pPr>
            <w:r>
              <w:rPr>
                <w:rFonts w:cs="Arial"/>
                <w:sz w:val="16"/>
                <w:szCs w:val="16"/>
              </w:rPr>
              <w:t>61,2</w:t>
            </w:r>
          </w:p>
        </w:tc>
        <w:tc>
          <w:tcPr>
            <w:tcW w:w="1253" w:type="dxa"/>
            <w:tcBorders>
              <w:top w:val="nil"/>
              <w:left w:val="nil"/>
              <w:bottom w:val="nil"/>
              <w:right w:val="nil"/>
            </w:tcBorders>
            <w:shd w:val="clear" w:color="auto" w:fill="auto"/>
            <w:vAlign w:val="center"/>
            <w:hideMark/>
          </w:tcPr>
          <w:p w14:paraId="0E9EC85D" w14:textId="54274A29" w:rsidR="000B190B" w:rsidRPr="00D92E20" w:rsidRDefault="000B190B" w:rsidP="000B190B">
            <w:pPr>
              <w:spacing w:after="0" w:line="240" w:lineRule="auto"/>
              <w:jc w:val="center"/>
              <w:rPr>
                <w:rFonts w:cs="Arial"/>
                <w:color w:val="000000"/>
                <w:sz w:val="16"/>
                <w:szCs w:val="16"/>
              </w:rPr>
            </w:pPr>
            <w:r>
              <w:rPr>
                <w:rFonts w:cs="Arial"/>
                <w:sz w:val="16"/>
                <w:szCs w:val="16"/>
              </w:rPr>
              <w:t>53,3</w:t>
            </w:r>
          </w:p>
        </w:tc>
      </w:tr>
      <w:tr w:rsidR="00B9122C" w:rsidRPr="00D92E20" w14:paraId="2A5212F4" w14:textId="77777777" w:rsidTr="00B9122C">
        <w:trPr>
          <w:trHeight w:val="288"/>
        </w:trPr>
        <w:tc>
          <w:tcPr>
            <w:tcW w:w="1749" w:type="dxa"/>
            <w:tcBorders>
              <w:top w:val="single" w:sz="4" w:space="0" w:color="auto"/>
              <w:left w:val="nil"/>
              <w:bottom w:val="single" w:sz="4" w:space="0" w:color="auto"/>
              <w:right w:val="single" w:sz="4" w:space="0" w:color="auto"/>
            </w:tcBorders>
            <w:shd w:val="clear" w:color="000000" w:fill="F5DADD"/>
            <w:vAlign w:val="center"/>
            <w:hideMark/>
          </w:tcPr>
          <w:p w14:paraId="54B0965B"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 </w:t>
            </w:r>
          </w:p>
        </w:tc>
        <w:tc>
          <w:tcPr>
            <w:tcW w:w="7884" w:type="dxa"/>
            <w:gridSpan w:val="6"/>
            <w:tcBorders>
              <w:top w:val="single" w:sz="4" w:space="0" w:color="auto"/>
              <w:left w:val="nil"/>
              <w:bottom w:val="single" w:sz="4" w:space="0" w:color="auto"/>
              <w:right w:val="nil"/>
            </w:tcBorders>
            <w:shd w:val="clear" w:color="000000" w:fill="F2DBDB"/>
            <w:vAlign w:val="center"/>
            <w:hideMark/>
          </w:tcPr>
          <w:p w14:paraId="1584FFB2" w14:textId="39A88BAF" w:rsidR="00B9122C" w:rsidRPr="00D92E20" w:rsidRDefault="00646128" w:rsidP="00B9122C">
            <w:pPr>
              <w:spacing w:after="0" w:line="240" w:lineRule="auto"/>
              <w:jc w:val="center"/>
              <w:rPr>
                <w:rFonts w:cs="Arial"/>
                <w:b/>
                <w:bCs/>
                <w:color w:val="000000"/>
                <w:sz w:val="16"/>
                <w:szCs w:val="16"/>
              </w:rPr>
            </w:pPr>
            <w:r w:rsidRPr="00646128">
              <w:rPr>
                <w:rFonts w:cs="Arial"/>
                <w:b/>
                <w:bCs/>
                <w:color w:val="000000"/>
                <w:sz w:val="16"/>
                <w:szCs w:val="16"/>
              </w:rPr>
              <w:t>1. pol. 2020</w:t>
            </w:r>
          </w:p>
        </w:tc>
      </w:tr>
      <w:tr w:rsidR="000B190B" w:rsidRPr="00D92E20" w14:paraId="34A0EF4C"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9ADD277" w14:textId="77777777" w:rsidR="000B190B" w:rsidRPr="00D92E20" w:rsidRDefault="000B190B" w:rsidP="000B190B">
            <w:pPr>
              <w:spacing w:after="0" w:line="240" w:lineRule="auto"/>
              <w:rPr>
                <w:rFonts w:cs="Arial"/>
                <w:b/>
                <w:bCs/>
                <w:color w:val="000000"/>
                <w:sz w:val="16"/>
                <w:szCs w:val="16"/>
              </w:rPr>
            </w:pPr>
            <w:r w:rsidRPr="00D92E20">
              <w:rPr>
                <w:rFonts w:cs="Arial"/>
                <w:b/>
                <w:bCs/>
                <w:color w:val="000000"/>
                <w:sz w:val="16"/>
                <w:szCs w:val="16"/>
              </w:rPr>
              <w:t>Celkem</w:t>
            </w:r>
          </w:p>
        </w:tc>
        <w:tc>
          <w:tcPr>
            <w:tcW w:w="1618" w:type="dxa"/>
            <w:tcBorders>
              <w:top w:val="nil"/>
              <w:left w:val="nil"/>
              <w:bottom w:val="nil"/>
              <w:right w:val="nil"/>
            </w:tcBorders>
            <w:shd w:val="clear" w:color="auto" w:fill="auto"/>
            <w:vAlign w:val="center"/>
            <w:hideMark/>
          </w:tcPr>
          <w:p w14:paraId="0C6FDF13" w14:textId="15AAD87F" w:rsidR="000B190B" w:rsidRPr="00D92E20" w:rsidRDefault="000B190B" w:rsidP="000B190B">
            <w:pPr>
              <w:spacing w:after="0" w:line="240" w:lineRule="auto"/>
              <w:jc w:val="right"/>
              <w:rPr>
                <w:rFonts w:cs="Arial"/>
                <w:b/>
                <w:bCs/>
                <w:color w:val="000000"/>
                <w:sz w:val="16"/>
                <w:szCs w:val="16"/>
              </w:rPr>
            </w:pPr>
            <w:r>
              <w:rPr>
                <w:rFonts w:cs="Arial"/>
                <w:b/>
                <w:bCs/>
                <w:sz w:val="16"/>
                <w:szCs w:val="16"/>
              </w:rPr>
              <w:t>1 032,8</w:t>
            </w:r>
          </w:p>
        </w:tc>
        <w:tc>
          <w:tcPr>
            <w:tcW w:w="1253" w:type="dxa"/>
            <w:tcBorders>
              <w:top w:val="nil"/>
              <w:left w:val="nil"/>
              <w:bottom w:val="nil"/>
              <w:right w:val="nil"/>
            </w:tcBorders>
            <w:shd w:val="clear" w:color="auto" w:fill="auto"/>
            <w:vAlign w:val="center"/>
            <w:hideMark/>
          </w:tcPr>
          <w:p w14:paraId="3ACD8616" w14:textId="7A254764" w:rsidR="000B190B" w:rsidRPr="00D92E20" w:rsidRDefault="000B190B" w:rsidP="000B190B">
            <w:pPr>
              <w:spacing w:after="0" w:line="240" w:lineRule="auto"/>
              <w:jc w:val="right"/>
              <w:rPr>
                <w:rFonts w:cs="Arial"/>
                <w:b/>
                <w:bCs/>
                <w:color w:val="000000"/>
                <w:sz w:val="16"/>
                <w:szCs w:val="16"/>
              </w:rPr>
            </w:pPr>
            <w:r>
              <w:rPr>
                <w:rFonts w:cs="Arial"/>
                <w:b/>
                <w:bCs/>
                <w:sz w:val="16"/>
                <w:szCs w:val="16"/>
              </w:rPr>
              <w:t>491,1</w:t>
            </w:r>
          </w:p>
        </w:tc>
        <w:tc>
          <w:tcPr>
            <w:tcW w:w="1254" w:type="dxa"/>
            <w:tcBorders>
              <w:top w:val="nil"/>
              <w:left w:val="nil"/>
              <w:bottom w:val="nil"/>
              <w:right w:val="single" w:sz="4" w:space="0" w:color="auto"/>
            </w:tcBorders>
            <w:shd w:val="clear" w:color="auto" w:fill="auto"/>
            <w:vAlign w:val="center"/>
            <w:hideMark/>
          </w:tcPr>
          <w:p w14:paraId="799DDDF1" w14:textId="0032CBDE" w:rsidR="000B190B" w:rsidRPr="00D92E20" w:rsidRDefault="000B190B" w:rsidP="000B190B">
            <w:pPr>
              <w:spacing w:after="0" w:line="240" w:lineRule="auto"/>
              <w:jc w:val="right"/>
              <w:rPr>
                <w:rFonts w:cs="Arial"/>
                <w:b/>
                <w:bCs/>
                <w:color w:val="000000"/>
                <w:sz w:val="16"/>
                <w:szCs w:val="16"/>
              </w:rPr>
            </w:pPr>
            <w:r>
              <w:rPr>
                <w:rFonts w:cs="Arial"/>
                <w:b/>
                <w:bCs/>
                <w:sz w:val="16"/>
                <w:szCs w:val="16"/>
              </w:rPr>
              <w:t>541,6</w:t>
            </w:r>
          </w:p>
        </w:tc>
        <w:tc>
          <w:tcPr>
            <w:tcW w:w="1253" w:type="dxa"/>
            <w:tcBorders>
              <w:top w:val="nil"/>
              <w:left w:val="nil"/>
              <w:bottom w:val="nil"/>
              <w:right w:val="nil"/>
            </w:tcBorders>
            <w:shd w:val="clear" w:color="auto" w:fill="auto"/>
            <w:vAlign w:val="center"/>
            <w:hideMark/>
          </w:tcPr>
          <w:p w14:paraId="38587298" w14:textId="0930B285" w:rsidR="000B190B" w:rsidRPr="00D92E20" w:rsidRDefault="000B190B" w:rsidP="000B190B">
            <w:pPr>
              <w:spacing w:after="0" w:line="240" w:lineRule="auto"/>
              <w:jc w:val="center"/>
              <w:rPr>
                <w:rFonts w:cs="Arial"/>
                <w:b/>
                <w:bCs/>
                <w:color w:val="000000"/>
                <w:sz w:val="16"/>
                <w:szCs w:val="16"/>
              </w:rPr>
            </w:pPr>
            <w:r>
              <w:rPr>
                <w:rFonts w:cs="Arial"/>
                <w:b/>
                <w:bCs/>
                <w:sz w:val="16"/>
                <w:szCs w:val="16"/>
              </w:rPr>
              <w:t>41,6</w:t>
            </w:r>
          </w:p>
        </w:tc>
        <w:tc>
          <w:tcPr>
            <w:tcW w:w="1253" w:type="dxa"/>
            <w:tcBorders>
              <w:top w:val="nil"/>
              <w:left w:val="nil"/>
              <w:bottom w:val="nil"/>
              <w:right w:val="nil"/>
            </w:tcBorders>
            <w:shd w:val="clear" w:color="auto" w:fill="auto"/>
            <w:vAlign w:val="center"/>
            <w:hideMark/>
          </w:tcPr>
          <w:p w14:paraId="3430F76D" w14:textId="46AB5B41" w:rsidR="000B190B" w:rsidRPr="00D92E20" w:rsidRDefault="000B190B" w:rsidP="000B190B">
            <w:pPr>
              <w:spacing w:after="0" w:line="240" w:lineRule="auto"/>
              <w:jc w:val="center"/>
              <w:rPr>
                <w:rFonts w:cs="Arial"/>
                <w:b/>
                <w:bCs/>
                <w:color w:val="000000"/>
                <w:sz w:val="16"/>
                <w:szCs w:val="16"/>
              </w:rPr>
            </w:pPr>
            <w:r>
              <w:rPr>
                <w:rFonts w:cs="Arial"/>
                <w:b/>
                <w:bCs/>
                <w:sz w:val="16"/>
                <w:szCs w:val="16"/>
              </w:rPr>
              <w:t>39,8</w:t>
            </w:r>
          </w:p>
        </w:tc>
        <w:tc>
          <w:tcPr>
            <w:tcW w:w="1253" w:type="dxa"/>
            <w:tcBorders>
              <w:top w:val="nil"/>
              <w:left w:val="nil"/>
              <w:bottom w:val="nil"/>
              <w:right w:val="nil"/>
            </w:tcBorders>
            <w:shd w:val="clear" w:color="auto" w:fill="auto"/>
            <w:vAlign w:val="center"/>
            <w:hideMark/>
          </w:tcPr>
          <w:p w14:paraId="5590F201" w14:textId="30962064" w:rsidR="000B190B" w:rsidRPr="00D92E20" w:rsidRDefault="000B190B" w:rsidP="000B190B">
            <w:pPr>
              <w:spacing w:after="0" w:line="240" w:lineRule="auto"/>
              <w:jc w:val="center"/>
              <w:rPr>
                <w:rFonts w:cs="Arial"/>
                <w:b/>
                <w:bCs/>
                <w:color w:val="000000"/>
                <w:sz w:val="16"/>
                <w:szCs w:val="16"/>
              </w:rPr>
            </w:pPr>
            <w:r>
              <w:rPr>
                <w:rFonts w:cs="Arial"/>
                <w:b/>
                <w:bCs/>
                <w:sz w:val="16"/>
                <w:szCs w:val="16"/>
              </w:rPr>
              <w:t>43,2</w:t>
            </w:r>
          </w:p>
        </w:tc>
      </w:tr>
      <w:tr w:rsidR="000B190B" w:rsidRPr="00D92E20" w14:paraId="7CCF88CE"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D0915C5"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1618" w:type="dxa"/>
            <w:tcBorders>
              <w:top w:val="nil"/>
              <w:left w:val="nil"/>
              <w:bottom w:val="nil"/>
              <w:right w:val="nil"/>
            </w:tcBorders>
            <w:shd w:val="clear" w:color="auto" w:fill="auto"/>
            <w:vAlign w:val="center"/>
            <w:hideMark/>
          </w:tcPr>
          <w:p w14:paraId="0094F445" w14:textId="67C8ACA6" w:rsidR="000B190B" w:rsidRPr="00D92E20" w:rsidRDefault="000B190B" w:rsidP="000B190B">
            <w:pPr>
              <w:spacing w:after="0" w:line="240" w:lineRule="auto"/>
              <w:jc w:val="right"/>
              <w:rPr>
                <w:rFonts w:cs="Arial"/>
                <w:color w:val="000000"/>
                <w:sz w:val="16"/>
                <w:szCs w:val="16"/>
              </w:rPr>
            </w:pPr>
            <w:r>
              <w:rPr>
                <w:rFonts w:cs="Arial"/>
                <w:sz w:val="16"/>
                <w:szCs w:val="16"/>
              </w:rPr>
              <w:t>11,6</w:t>
            </w:r>
          </w:p>
        </w:tc>
        <w:tc>
          <w:tcPr>
            <w:tcW w:w="1253" w:type="dxa"/>
            <w:tcBorders>
              <w:top w:val="nil"/>
              <w:left w:val="nil"/>
              <w:bottom w:val="nil"/>
              <w:right w:val="nil"/>
            </w:tcBorders>
            <w:shd w:val="clear" w:color="auto" w:fill="auto"/>
            <w:vAlign w:val="center"/>
            <w:hideMark/>
          </w:tcPr>
          <w:p w14:paraId="6D6BBC67" w14:textId="0D072BEA" w:rsidR="000B190B" w:rsidRPr="00D92E20" w:rsidRDefault="000B190B" w:rsidP="000B190B">
            <w:pPr>
              <w:spacing w:after="0" w:line="240" w:lineRule="auto"/>
              <w:jc w:val="right"/>
              <w:rPr>
                <w:rFonts w:cs="Arial"/>
                <w:color w:val="000000"/>
                <w:sz w:val="16"/>
                <w:szCs w:val="16"/>
              </w:rPr>
            </w:pPr>
            <w:r>
              <w:rPr>
                <w:rFonts w:cs="Arial"/>
                <w:sz w:val="16"/>
                <w:szCs w:val="16"/>
              </w:rPr>
              <w:t>6,4</w:t>
            </w:r>
          </w:p>
        </w:tc>
        <w:tc>
          <w:tcPr>
            <w:tcW w:w="1254" w:type="dxa"/>
            <w:tcBorders>
              <w:top w:val="nil"/>
              <w:left w:val="nil"/>
              <w:bottom w:val="nil"/>
              <w:right w:val="single" w:sz="4" w:space="0" w:color="auto"/>
            </w:tcBorders>
            <w:shd w:val="clear" w:color="auto" w:fill="auto"/>
            <w:vAlign w:val="center"/>
            <w:hideMark/>
          </w:tcPr>
          <w:p w14:paraId="5927A43E" w14:textId="2BAC8C56" w:rsidR="000B190B" w:rsidRPr="00D92E20" w:rsidRDefault="000B190B" w:rsidP="000B190B">
            <w:pPr>
              <w:spacing w:after="0" w:line="240" w:lineRule="auto"/>
              <w:jc w:val="right"/>
              <w:rPr>
                <w:rFonts w:cs="Arial"/>
                <w:color w:val="000000"/>
                <w:sz w:val="16"/>
                <w:szCs w:val="16"/>
              </w:rPr>
            </w:pPr>
            <w:r>
              <w:rPr>
                <w:rFonts w:cs="Arial"/>
                <w:sz w:val="16"/>
                <w:szCs w:val="16"/>
              </w:rPr>
              <w:t>5,2</w:t>
            </w:r>
          </w:p>
        </w:tc>
        <w:tc>
          <w:tcPr>
            <w:tcW w:w="1253" w:type="dxa"/>
            <w:tcBorders>
              <w:top w:val="nil"/>
              <w:left w:val="nil"/>
              <w:bottom w:val="nil"/>
              <w:right w:val="nil"/>
            </w:tcBorders>
            <w:shd w:val="clear" w:color="auto" w:fill="auto"/>
            <w:vAlign w:val="center"/>
            <w:hideMark/>
          </w:tcPr>
          <w:p w14:paraId="60D4C865" w14:textId="70568E18" w:rsidR="000B190B" w:rsidRPr="00D92E20" w:rsidRDefault="000B190B" w:rsidP="000B190B">
            <w:pPr>
              <w:spacing w:after="0" w:line="240" w:lineRule="auto"/>
              <w:jc w:val="center"/>
              <w:rPr>
                <w:rFonts w:cs="Arial"/>
                <w:color w:val="000000"/>
                <w:sz w:val="16"/>
                <w:szCs w:val="16"/>
              </w:rPr>
            </w:pPr>
            <w:r>
              <w:rPr>
                <w:rFonts w:cs="Arial"/>
                <w:sz w:val="16"/>
                <w:szCs w:val="16"/>
              </w:rPr>
              <w:t>20,4</w:t>
            </w:r>
          </w:p>
        </w:tc>
        <w:tc>
          <w:tcPr>
            <w:tcW w:w="1253" w:type="dxa"/>
            <w:tcBorders>
              <w:top w:val="nil"/>
              <w:left w:val="nil"/>
              <w:bottom w:val="nil"/>
              <w:right w:val="nil"/>
            </w:tcBorders>
            <w:shd w:val="clear" w:color="auto" w:fill="auto"/>
            <w:vAlign w:val="center"/>
            <w:hideMark/>
          </w:tcPr>
          <w:p w14:paraId="5E18BDC8" w14:textId="71681E83" w:rsidR="000B190B" w:rsidRPr="00D92E20" w:rsidRDefault="000B190B" w:rsidP="000B190B">
            <w:pPr>
              <w:spacing w:after="0" w:line="240" w:lineRule="auto"/>
              <w:jc w:val="center"/>
              <w:rPr>
                <w:rFonts w:cs="Arial"/>
                <w:color w:val="000000"/>
                <w:sz w:val="16"/>
                <w:szCs w:val="16"/>
              </w:rPr>
            </w:pPr>
            <w:r>
              <w:rPr>
                <w:rFonts w:cs="Arial"/>
                <w:sz w:val="16"/>
                <w:szCs w:val="16"/>
              </w:rPr>
              <w:t>18,0</w:t>
            </w:r>
          </w:p>
        </w:tc>
        <w:tc>
          <w:tcPr>
            <w:tcW w:w="1253" w:type="dxa"/>
            <w:tcBorders>
              <w:top w:val="nil"/>
              <w:left w:val="nil"/>
              <w:bottom w:val="nil"/>
              <w:right w:val="nil"/>
            </w:tcBorders>
            <w:shd w:val="clear" w:color="auto" w:fill="auto"/>
            <w:vAlign w:val="center"/>
            <w:hideMark/>
          </w:tcPr>
          <w:p w14:paraId="76357B7E" w14:textId="194CE302" w:rsidR="000B190B" w:rsidRPr="00D92E20" w:rsidRDefault="000B190B" w:rsidP="000B190B">
            <w:pPr>
              <w:spacing w:after="0" w:line="240" w:lineRule="auto"/>
              <w:jc w:val="center"/>
              <w:rPr>
                <w:rFonts w:cs="Arial"/>
                <w:color w:val="000000"/>
                <w:sz w:val="16"/>
                <w:szCs w:val="16"/>
              </w:rPr>
            </w:pPr>
            <w:r>
              <w:rPr>
                <w:rFonts w:cs="Arial"/>
                <w:sz w:val="16"/>
                <w:szCs w:val="16"/>
              </w:rPr>
              <w:t>23,3</w:t>
            </w:r>
          </w:p>
        </w:tc>
      </w:tr>
      <w:tr w:rsidR="000B190B" w:rsidRPr="00D92E20" w14:paraId="6D7823B0"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40C046BD"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1618" w:type="dxa"/>
            <w:tcBorders>
              <w:top w:val="nil"/>
              <w:left w:val="nil"/>
              <w:bottom w:val="nil"/>
              <w:right w:val="nil"/>
            </w:tcBorders>
            <w:shd w:val="clear" w:color="auto" w:fill="auto"/>
            <w:vAlign w:val="center"/>
            <w:hideMark/>
          </w:tcPr>
          <w:p w14:paraId="2B669CE6" w14:textId="6248A61C" w:rsidR="000B190B" w:rsidRPr="00D92E20" w:rsidRDefault="000B190B" w:rsidP="000B190B">
            <w:pPr>
              <w:spacing w:after="0" w:line="240" w:lineRule="auto"/>
              <w:jc w:val="right"/>
              <w:rPr>
                <w:rFonts w:cs="Arial"/>
                <w:color w:val="000000"/>
                <w:sz w:val="16"/>
                <w:szCs w:val="16"/>
              </w:rPr>
            </w:pPr>
            <w:r>
              <w:rPr>
                <w:rFonts w:cs="Arial"/>
                <w:sz w:val="16"/>
                <w:szCs w:val="16"/>
              </w:rPr>
              <w:t>211,6</w:t>
            </w:r>
          </w:p>
        </w:tc>
        <w:tc>
          <w:tcPr>
            <w:tcW w:w="1253" w:type="dxa"/>
            <w:tcBorders>
              <w:top w:val="nil"/>
              <w:left w:val="nil"/>
              <w:bottom w:val="nil"/>
              <w:right w:val="nil"/>
            </w:tcBorders>
            <w:shd w:val="clear" w:color="auto" w:fill="auto"/>
            <w:vAlign w:val="center"/>
            <w:hideMark/>
          </w:tcPr>
          <w:p w14:paraId="1A9DEE09" w14:textId="1FA79660" w:rsidR="000B190B" w:rsidRPr="00D92E20" w:rsidRDefault="000B190B" w:rsidP="000B190B">
            <w:pPr>
              <w:spacing w:after="0" w:line="240" w:lineRule="auto"/>
              <w:jc w:val="right"/>
              <w:rPr>
                <w:rFonts w:cs="Arial"/>
                <w:color w:val="000000"/>
                <w:sz w:val="16"/>
                <w:szCs w:val="16"/>
              </w:rPr>
            </w:pPr>
            <w:r>
              <w:rPr>
                <w:rFonts w:cs="Arial"/>
                <w:sz w:val="16"/>
                <w:szCs w:val="16"/>
              </w:rPr>
              <w:t>111,6</w:t>
            </w:r>
          </w:p>
        </w:tc>
        <w:tc>
          <w:tcPr>
            <w:tcW w:w="1254" w:type="dxa"/>
            <w:tcBorders>
              <w:top w:val="nil"/>
              <w:left w:val="nil"/>
              <w:bottom w:val="nil"/>
              <w:right w:val="single" w:sz="4" w:space="0" w:color="auto"/>
            </w:tcBorders>
            <w:shd w:val="clear" w:color="auto" w:fill="auto"/>
            <w:vAlign w:val="center"/>
            <w:hideMark/>
          </w:tcPr>
          <w:p w14:paraId="37C197E0" w14:textId="7B5C4644" w:rsidR="000B190B" w:rsidRPr="00D92E20" w:rsidRDefault="000B190B" w:rsidP="000B190B">
            <w:pPr>
              <w:spacing w:after="0" w:line="240" w:lineRule="auto"/>
              <w:jc w:val="right"/>
              <w:rPr>
                <w:rFonts w:cs="Arial"/>
                <w:color w:val="000000"/>
                <w:sz w:val="16"/>
                <w:szCs w:val="16"/>
              </w:rPr>
            </w:pPr>
            <w:r>
              <w:rPr>
                <w:rFonts w:cs="Arial"/>
                <w:sz w:val="16"/>
                <w:szCs w:val="16"/>
              </w:rPr>
              <w:t>100,0</w:t>
            </w:r>
          </w:p>
        </w:tc>
        <w:tc>
          <w:tcPr>
            <w:tcW w:w="1253" w:type="dxa"/>
            <w:tcBorders>
              <w:top w:val="nil"/>
              <w:left w:val="nil"/>
              <w:bottom w:val="nil"/>
              <w:right w:val="nil"/>
            </w:tcBorders>
            <w:shd w:val="clear" w:color="auto" w:fill="auto"/>
            <w:vAlign w:val="center"/>
            <w:hideMark/>
          </w:tcPr>
          <w:p w14:paraId="18EC4697" w14:textId="5EF8C710" w:rsidR="000B190B" w:rsidRPr="00D92E20" w:rsidRDefault="000B190B" w:rsidP="000B190B">
            <w:pPr>
              <w:spacing w:after="0" w:line="240" w:lineRule="auto"/>
              <w:jc w:val="center"/>
              <w:rPr>
                <w:rFonts w:cs="Arial"/>
                <w:color w:val="000000"/>
                <w:sz w:val="16"/>
                <w:szCs w:val="16"/>
              </w:rPr>
            </w:pPr>
            <w:r>
              <w:rPr>
                <w:rFonts w:cs="Arial"/>
                <w:sz w:val="16"/>
                <w:szCs w:val="16"/>
              </w:rPr>
              <w:t>27,4</w:t>
            </w:r>
          </w:p>
        </w:tc>
        <w:tc>
          <w:tcPr>
            <w:tcW w:w="1253" w:type="dxa"/>
            <w:tcBorders>
              <w:top w:val="nil"/>
              <w:left w:val="nil"/>
              <w:bottom w:val="nil"/>
              <w:right w:val="nil"/>
            </w:tcBorders>
            <w:shd w:val="clear" w:color="auto" w:fill="auto"/>
            <w:vAlign w:val="center"/>
            <w:hideMark/>
          </w:tcPr>
          <w:p w14:paraId="3B5CDD02" w14:textId="6C56ABA7" w:rsidR="000B190B" w:rsidRPr="00D92E20" w:rsidRDefault="000B190B" w:rsidP="000B190B">
            <w:pPr>
              <w:spacing w:after="0" w:line="240" w:lineRule="auto"/>
              <w:jc w:val="center"/>
              <w:rPr>
                <w:rFonts w:cs="Arial"/>
                <w:color w:val="000000"/>
                <w:sz w:val="16"/>
                <w:szCs w:val="16"/>
              </w:rPr>
            </w:pPr>
            <w:r>
              <w:rPr>
                <w:rFonts w:cs="Arial"/>
                <w:sz w:val="16"/>
                <w:szCs w:val="16"/>
              </w:rPr>
              <w:t>22,8</w:t>
            </w:r>
          </w:p>
        </w:tc>
        <w:tc>
          <w:tcPr>
            <w:tcW w:w="1253" w:type="dxa"/>
            <w:tcBorders>
              <w:top w:val="nil"/>
              <w:left w:val="nil"/>
              <w:bottom w:val="nil"/>
              <w:right w:val="nil"/>
            </w:tcBorders>
            <w:shd w:val="clear" w:color="auto" w:fill="auto"/>
            <w:vAlign w:val="center"/>
            <w:hideMark/>
          </w:tcPr>
          <w:p w14:paraId="74975A82" w14:textId="39A18236" w:rsidR="000B190B" w:rsidRPr="00D92E20" w:rsidRDefault="000B190B" w:rsidP="000B190B">
            <w:pPr>
              <w:spacing w:after="0" w:line="240" w:lineRule="auto"/>
              <w:jc w:val="center"/>
              <w:rPr>
                <w:rFonts w:cs="Arial"/>
                <w:color w:val="000000"/>
                <w:sz w:val="16"/>
                <w:szCs w:val="16"/>
              </w:rPr>
            </w:pPr>
            <w:r>
              <w:rPr>
                <w:rFonts w:cs="Arial"/>
                <w:sz w:val="16"/>
                <w:szCs w:val="16"/>
              </w:rPr>
              <w:t>32,5</w:t>
            </w:r>
          </w:p>
        </w:tc>
      </w:tr>
      <w:tr w:rsidR="000B190B" w:rsidRPr="00D92E20" w14:paraId="3129E1F7"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34FDF785"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1618" w:type="dxa"/>
            <w:tcBorders>
              <w:top w:val="nil"/>
              <w:left w:val="nil"/>
              <w:bottom w:val="nil"/>
              <w:right w:val="nil"/>
            </w:tcBorders>
            <w:shd w:val="clear" w:color="auto" w:fill="auto"/>
            <w:vAlign w:val="center"/>
            <w:hideMark/>
          </w:tcPr>
          <w:p w14:paraId="0E0D8867" w14:textId="152E2673" w:rsidR="000B190B" w:rsidRPr="00D92E20" w:rsidRDefault="000B190B" w:rsidP="000B190B">
            <w:pPr>
              <w:spacing w:after="0" w:line="240" w:lineRule="auto"/>
              <w:jc w:val="right"/>
              <w:rPr>
                <w:rFonts w:cs="Arial"/>
                <w:color w:val="000000"/>
                <w:sz w:val="16"/>
                <w:szCs w:val="16"/>
              </w:rPr>
            </w:pPr>
            <w:r>
              <w:rPr>
                <w:rFonts w:cs="Arial"/>
                <w:sz w:val="16"/>
                <w:szCs w:val="16"/>
              </w:rPr>
              <w:t>212,5</w:t>
            </w:r>
          </w:p>
        </w:tc>
        <w:tc>
          <w:tcPr>
            <w:tcW w:w="1253" w:type="dxa"/>
            <w:tcBorders>
              <w:top w:val="nil"/>
              <w:left w:val="nil"/>
              <w:bottom w:val="nil"/>
              <w:right w:val="nil"/>
            </w:tcBorders>
            <w:shd w:val="clear" w:color="auto" w:fill="auto"/>
            <w:vAlign w:val="center"/>
            <w:hideMark/>
          </w:tcPr>
          <w:p w14:paraId="38369E27" w14:textId="760D3D83" w:rsidR="000B190B" w:rsidRPr="00D92E20" w:rsidRDefault="000B190B" w:rsidP="000B190B">
            <w:pPr>
              <w:spacing w:after="0" w:line="240" w:lineRule="auto"/>
              <w:jc w:val="right"/>
              <w:rPr>
                <w:rFonts w:cs="Arial"/>
                <w:color w:val="000000"/>
                <w:sz w:val="16"/>
                <w:szCs w:val="16"/>
              </w:rPr>
            </w:pPr>
            <w:r>
              <w:rPr>
                <w:rFonts w:cs="Arial"/>
                <w:sz w:val="16"/>
                <w:szCs w:val="16"/>
              </w:rPr>
              <w:t>112,6</w:t>
            </w:r>
          </w:p>
        </w:tc>
        <w:tc>
          <w:tcPr>
            <w:tcW w:w="1254" w:type="dxa"/>
            <w:tcBorders>
              <w:top w:val="nil"/>
              <w:left w:val="nil"/>
              <w:bottom w:val="nil"/>
              <w:right w:val="single" w:sz="4" w:space="0" w:color="auto"/>
            </w:tcBorders>
            <w:shd w:val="clear" w:color="auto" w:fill="auto"/>
            <w:vAlign w:val="center"/>
            <w:hideMark/>
          </w:tcPr>
          <w:p w14:paraId="225E03A1" w14:textId="45EC8FD8" w:rsidR="000B190B" w:rsidRPr="00D92E20" w:rsidRDefault="000B190B" w:rsidP="000B190B">
            <w:pPr>
              <w:spacing w:after="0" w:line="240" w:lineRule="auto"/>
              <w:jc w:val="right"/>
              <w:rPr>
                <w:rFonts w:cs="Arial"/>
                <w:color w:val="000000"/>
                <w:sz w:val="16"/>
                <w:szCs w:val="16"/>
              </w:rPr>
            </w:pPr>
            <w:r>
              <w:rPr>
                <w:rFonts w:cs="Arial"/>
                <w:sz w:val="16"/>
                <w:szCs w:val="16"/>
              </w:rPr>
              <w:t>99,9</w:t>
            </w:r>
          </w:p>
        </w:tc>
        <w:tc>
          <w:tcPr>
            <w:tcW w:w="1253" w:type="dxa"/>
            <w:tcBorders>
              <w:top w:val="nil"/>
              <w:left w:val="nil"/>
              <w:bottom w:val="nil"/>
              <w:right w:val="nil"/>
            </w:tcBorders>
            <w:shd w:val="clear" w:color="auto" w:fill="auto"/>
            <w:vAlign w:val="center"/>
            <w:hideMark/>
          </w:tcPr>
          <w:p w14:paraId="0BBDF994" w14:textId="0777229F" w:rsidR="000B190B" w:rsidRPr="00D92E20" w:rsidRDefault="000B190B" w:rsidP="000B190B">
            <w:pPr>
              <w:spacing w:after="0" w:line="240" w:lineRule="auto"/>
              <w:jc w:val="center"/>
              <w:rPr>
                <w:rFonts w:cs="Arial"/>
                <w:color w:val="000000"/>
                <w:sz w:val="16"/>
                <w:szCs w:val="16"/>
              </w:rPr>
            </w:pPr>
            <w:r>
              <w:rPr>
                <w:rFonts w:cs="Arial"/>
                <w:sz w:val="16"/>
                <w:szCs w:val="16"/>
              </w:rPr>
              <w:t>34,8</w:t>
            </w:r>
          </w:p>
        </w:tc>
        <w:tc>
          <w:tcPr>
            <w:tcW w:w="1253" w:type="dxa"/>
            <w:tcBorders>
              <w:top w:val="nil"/>
              <w:left w:val="nil"/>
              <w:bottom w:val="nil"/>
              <w:right w:val="nil"/>
            </w:tcBorders>
            <w:shd w:val="clear" w:color="auto" w:fill="auto"/>
            <w:vAlign w:val="center"/>
            <w:hideMark/>
          </w:tcPr>
          <w:p w14:paraId="121C5E30" w14:textId="110E9E16" w:rsidR="000B190B" w:rsidRPr="00D92E20" w:rsidRDefault="000B190B" w:rsidP="000B190B">
            <w:pPr>
              <w:spacing w:after="0" w:line="240" w:lineRule="auto"/>
              <w:jc w:val="center"/>
              <w:rPr>
                <w:rFonts w:cs="Arial"/>
                <w:color w:val="000000"/>
                <w:sz w:val="16"/>
                <w:szCs w:val="16"/>
              </w:rPr>
            </w:pPr>
            <w:r>
              <w:rPr>
                <w:rFonts w:cs="Arial"/>
                <w:sz w:val="16"/>
                <w:szCs w:val="16"/>
              </w:rPr>
              <w:t>29,8</w:t>
            </w:r>
          </w:p>
        </w:tc>
        <w:tc>
          <w:tcPr>
            <w:tcW w:w="1253" w:type="dxa"/>
            <w:tcBorders>
              <w:top w:val="nil"/>
              <w:left w:val="nil"/>
              <w:bottom w:val="nil"/>
              <w:right w:val="nil"/>
            </w:tcBorders>
            <w:shd w:val="clear" w:color="auto" w:fill="auto"/>
            <w:vAlign w:val="center"/>
            <w:hideMark/>
          </w:tcPr>
          <w:p w14:paraId="65560C7C" w14:textId="62D413A7" w:rsidR="000B190B" w:rsidRPr="00D92E20" w:rsidRDefault="000B190B" w:rsidP="000B190B">
            <w:pPr>
              <w:spacing w:after="0" w:line="240" w:lineRule="auto"/>
              <w:jc w:val="center"/>
              <w:rPr>
                <w:rFonts w:cs="Arial"/>
                <w:color w:val="000000"/>
                <w:sz w:val="16"/>
                <w:szCs w:val="16"/>
              </w:rPr>
            </w:pPr>
            <w:r>
              <w:rPr>
                <w:rFonts w:cs="Arial"/>
                <w:sz w:val="16"/>
                <w:szCs w:val="16"/>
              </w:rPr>
              <w:t>40,4</w:t>
            </w:r>
          </w:p>
        </w:tc>
      </w:tr>
      <w:tr w:rsidR="000B190B" w:rsidRPr="00D92E20" w14:paraId="72325EEA"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ECE904E"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1618" w:type="dxa"/>
            <w:tcBorders>
              <w:top w:val="nil"/>
              <w:left w:val="nil"/>
              <w:bottom w:val="nil"/>
              <w:right w:val="nil"/>
            </w:tcBorders>
            <w:shd w:val="clear" w:color="auto" w:fill="auto"/>
            <w:vAlign w:val="center"/>
            <w:hideMark/>
          </w:tcPr>
          <w:p w14:paraId="4582D66E" w14:textId="6C08DFAF" w:rsidR="000B190B" w:rsidRPr="00D92E20" w:rsidRDefault="000B190B" w:rsidP="000B190B">
            <w:pPr>
              <w:spacing w:after="0" w:line="240" w:lineRule="auto"/>
              <w:jc w:val="right"/>
              <w:rPr>
                <w:rFonts w:cs="Arial"/>
                <w:color w:val="000000"/>
                <w:sz w:val="16"/>
                <w:szCs w:val="16"/>
              </w:rPr>
            </w:pPr>
            <w:r>
              <w:rPr>
                <w:rFonts w:cs="Arial"/>
                <w:sz w:val="16"/>
                <w:szCs w:val="16"/>
              </w:rPr>
              <w:t>273,9</w:t>
            </w:r>
          </w:p>
        </w:tc>
        <w:tc>
          <w:tcPr>
            <w:tcW w:w="1253" w:type="dxa"/>
            <w:tcBorders>
              <w:top w:val="nil"/>
              <w:left w:val="nil"/>
              <w:bottom w:val="nil"/>
              <w:right w:val="nil"/>
            </w:tcBorders>
            <w:shd w:val="clear" w:color="auto" w:fill="auto"/>
            <w:vAlign w:val="center"/>
            <w:hideMark/>
          </w:tcPr>
          <w:p w14:paraId="4769087C" w14:textId="06C8E61A" w:rsidR="000B190B" w:rsidRPr="00D92E20" w:rsidRDefault="000B190B" w:rsidP="000B190B">
            <w:pPr>
              <w:spacing w:after="0" w:line="240" w:lineRule="auto"/>
              <w:jc w:val="right"/>
              <w:rPr>
                <w:rFonts w:cs="Arial"/>
                <w:color w:val="000000"/>
                <w:sz w:val="16"/>
                <w:szCs w:val="16"/>
              </w:rPr>
            </w:pPr>
            <w:r>
              <w:rPr>
                <w:rFonts w:cs="Arial"/>
                <w:sz w:val="16"/>
                <w:szCs w:val="16"/>
              </w:rPr>
              <w:t>116,1</w:t>
            </w:r>
          </w:p>
        </w:tc>
        <w:tc>
          <w:tcPr>
            <w:tcW w:w="1254" w:type="dxa"/>
            <w:tcBorders>
              <w:top w:val="nil"/>
              <w:left w:val="nil"/>
              <w:bottom w:val="nil"/>
              <w:right w:val="single" w:sz="4" w:space="0" w:color="auto"/>
            </w:tcBorders>
            <w:shd w:val="clear" w:color="auto" w:fill="auto"/>
            <w:vAlign w:val="center"/>
            <w:hideMark/>
          </w:tcPr>
          <w:p w14:paraId="237764AD" w14:textId="26BC589F" w:rsidR="000B190B" w:rsidRPr="00D92E20" w:rsidRDefault="000B190B" w:rsidP="000B190B">
            <w:pPr>
              <w:spacing w:after="0" w:line="240" w:lineRule="auto"/>
              <w:jc w:val="right"/>
              <w:rPr>
                <w:rFonts w:cs="Arial"/>
                <w:color w:val="000000"/>
                <w:sz w:val="16"/>
                <w:szCs w:val="16"/>
              </w:rPr>
            </w:pPr>
            <w:r>
              <w:rPr>
                <w:rFonts w:cs="Arial"/>
                <w:sz w:val="16"/>
                <w:szCs w:val="16"/>
              </w:rPr>
              <w:t>157,8</w:t>
            </w:r>
          </w:p>
        </w:tc>
        <w:tc>
          <w:tcPr>
            <w:tcW w:w="1253" w:type="dxa"/>
            <w:tcBorders>
              <w:top w:val="nil"/>
              <w:left w:val="nil"/>
              <w:bottom w:val="nil"/>
              <w:right w:val="nil"/>
            </w:tcBorders>
            <w:shd w:val="clear" w:color="auto" w:fill="auto"/>
            <w:vAlign w:val="center"/>
            <w:hideMark/>
          </w:tcPr>
          <w:p w14:paraId="365DFC57" w14:textId="6EB257A3" w:rsidR="000B190B" w:rsidRPr="00D92E20" w:rsidRDefault="000B190B" w:rsidP="000B190B">
            <w:pPr>
              <w:spacing w:after="0" w:line="240" w:lineRule="auto"/>
              <w:jc w:val="center"/>
              <w:rPr>
                <w:rFonts w:cs="Arial"/>
                <w:color w:val="000000"/>
                <w:sz w:val="16"/>
                <w:szCs w:val="16"/>
              </w:rPr>
            </w:pPr>
            <w:r>
              <w:rPr>
                <w:rFonts w:cs="Arial"/>
                <w:sz w:val="16"/>
                <w:szCs w:val="16"/>
              </w:rPr>
              <w:t>42,2</w:t>
            </w:r>
          </w:p>
        </w:tc>
        <w:tc>
          <w:tcPr>
            <w:tcW w:w="1253" w:type="dxa"/>
            <w:tcBorders>
              <w:top w:val="nil"/>
              <w:left w:val="nil"/>
              <w:bottom w:val="nil"/>
              <w:right w:val="nil"/>
            </w:tcBorders>
            <w:shd w:val="clear" w:color="auto" w:fill="auto"/>
            <w:vAlign w:val="center"/>
            <w:hideMark/>
          </w:tcPr>
          <w:p w14:paraId="4EA677FC" w14:textId="01D751A0" w:rsidR="000B190B" w:rsidRPr="00D92E20" w:rsidRDefault="000B190B" w:rsidP="000B190B">
            <w:pPr>
              <w:spacing w:after="0" w:line="240" w:lineRule="auto"/>
              <w:jc w:val="center"/>
              <w:rPr>
                <w:rFonts w:cs="Arial"/>
                <w:color w:val="000000"/>
                <w:sz w:val="16"/>
                <w:szCs w:val="16"/>
              </w:rPr>
            </w:pPr>
            <w:r>
              <w:rPr>
                <w:rFonts w:cs="Arial"/>
                <w:sz w:val="16"/>
                <w:szCs w:val="16"/>
              </w:rPr>
              <w:t>41,6</w:t>
            </w:r>
          </w:p>
        </w:tc>
        <w:tc>
          <w:tcPr>
            <w:tcW w:w="1253" w:type="dxa"/>
            <w:tcBorders>
              <w:top w:val="nil"/>
              <w:left w:val="nil"/>
              <w:bottom w:val="nil"/>
              <w:right w:val="nil"/>
            </w:tcBorders>
            <w:shd w:val="clear" w:color="auto" w:fill="auto"/>
            <w:vAlign w:val="center"/>
            <w:hideMark/>
          </w:tcPr>
          <w:p w14:paraId="6355EB57" w14:textId="3EE11010" w:rsidR="000B190B" w:rsidRPr="00D92E20" w:rsidRDefault="000B190B" w:rsidP="000B190B">
            <w:pPr>
              <w:spacing w:after="0" w:line="240" w:lineRule="auto"/>
              <w:jc w:val="center"/>
              <w:rPr>
                <w:rFonts w:cs="Arial"/>
                <w:color w:val="000000"/>
                <w:sz w:val="16"/>
                <w:szCs w:val="16"/>
              </w:rPr>
            </w:pPr>
            <w:r>
              <w:rPr>
                <w:rFonts w:cs="Arial"/>
                <w:sz w:val="16"/>
                <w:szCs w:val="16"/>
              </w:rPr>
              <w:t>42,7</w:t>
            </w:r>
          </w:p>
        </w:tc>
      </w:tr>
      <w:tr w:rsidR="000B190B" w:rsidRPr="00D92E20" w14:paraId="2F67599B"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1702FF2"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1618" w:type="dxa"/>
            <w:tcBorders>
              <w:top w:val="nil"/>
              <w:left w:val="nil"/>
              <w:bottom w:val="nil"/>
              <w:right w:val="nil"/>
            </w:tcBorders>
            <w:shd w:val="clear" w:color="auto" w:fill="auto"/>
            <w:vAlign w:val="center"/>
            <w:hideMark/>
          </w:tcPr>
          <w:p w14:paraId="17EC10FC" w14:textId="0811F5B7" w:rsidR="000B190B" w:rsidRPr="00D92E20" w:rsidRDefault="000B190B" w:rsidP="000B190B">
            <w:pPr>
              <w:spacing w:after="0" w:line="240" w:lineRule="auto"/>
              <w:jc w:val="right"/>
              <w:rPr>
                <w:rFonts w:cs="Arial"/>
                <w:color w:val="000000"/>
                <w:sz w:val="16"/>
                <w:szCs w:val="16"/>
              </w:rPr>
            </w:pPr>
            <w:r>
              <w:rPr>
                <w:rFonts w:cs="Arial"/>
                <w:sz w:val="16"/>
                <w:szCs w:val="16"/>
              </w:rPr>
              <w:t>244,1</w:t>
            </w:r>
          </w:p>
        </w:tc>
        <w:tc>
          <w:tcPr>
            <w:tcW w:w="1253" w:type="dxa"/>
            <w:tcBorders>
              <w:top w:val="nil"/>
              <w:left w:val="nil"/>
              <w:bottom w:val="nil"/>
              <w:right w:val="nil"/>
            </w:tcBorders>
            <w:shd w:val="clear" w:color="auto" w:fill="auto"/>
            <w:vAlign w:val="center"/>
            <w:hideMark/>
          </w:tcPr>
          <w:p w14:paraId="5654649E" w14:textId="51B4F907" w:rsidR="000B190B" w:rsidRPr="00D92E20" w:rsidRDefault="000B190B" w:rsidP="000B190B">
            <w:pPr>
              <w:spacing w:after="0" w:line="240" w:lineRule="auto"/>
              <w:jc w:val="right"/>
              <w:rPr>
                <w:rFonts w:cs="Arial"/>
                <w:color w:val="000000"/>
                <w:sz w:val="16"/>
                <w:szCs w:val="16"/>
              </w:rPr>
            </w:pPr>
            <w:r>
              <w:rPr>
                <w:rFonts w:cs="Arial"/>
                <w:sz w:val="16"/>
                <w:szCs w:val="16"/>
              </w:rPr>
              <w:t>100,0</w:t>
            </w:r>
          </w:p>
        </w:tc>
        <w:tc>
          <w:tcPr>
            <w:tcW w:w="1254" w:type="dxa"/>
            <w:tcBorders>
              <w:top w:val="nil"/>
              <w:left w:val="nil"/>
              <w:bottom w:val="nil"/>
              <w:right w:val="single" w:sz="4" w:space="0" w:color="auto"/>
            </w:tcBorders>
            <w:shd w:val="clear" w:color="auto" w:fill="auto"/>
            <w:vAlign w:val="center"/>
            <w:hideMark/>
          </w:tcPr>
          <w:p w14:paraId="7EA4EFC4" w14:textId="092A30EC" w:rsidR="000B190B" w:rsidRPr="00D92E20" w:rsidRDefault="000B190B" w:rsidP="000B190B">
            <w:pPr>
              <w:spacing w:after="0" w:line="240" w:lineRule="auto"/>
              <w:jc w:val="right"/>
              <w:rPr>
                <w:rFonts w:cs="Arial"/>
                <w:color w:val="000000"/>
                <w:sz w:val="16"/>
                <w:szCs w:val="16"/>
              </w:rPr>
            </w:pPr>
            <w:r>
              <w:rPr>
                <w:rFonts w:cs="Arial"/>
                <w:sz w:val="16"/>
                <w:szCs w:val="16"/>
              </w:rPr>
              <w:t>144,1</w:t>
            </w:r>
          </w:p>
        </w:tc>
        <w:tc>
          <w:tcPr>
            <w:tcW w:w="1253" w:type="dxa"/>
            <w:tcBorders>
              <w:top w:val="nil"/>
              <w:left w:val="nil"/>
              <w:bottom w:val="nil"/>
              <w:right w:val="nil"/>
            </w:tcBorders>
            <w:shd w:val="clear" w:color="auto" w:fill="auto"/>
            <w:vAlign w:val="center"/>
            <w:hideMark/>
          </w:tcPr>
          <w:p w14:paraId="188F2166" w14:textId="29EE5295" w:rsidR="000B190B" w:rsidRPr="00D92E20" w:rsidRDefault="000B190B" w:rsidP="000B190B">
            <w:pPr>
              <w:spacing w:after="0" w:line="240" w:lineRule="auto"/>
              <w:jc w:val="center"/>
              <w:rPr>
                <w:rFonts w:cs="Arial"/>
                <w:color w:val="000000"/>
                <w:sz w:val="16"/>
                <w:szCs w:val="16"/>
              </w:rPr>
            </w:pPr>
            <w:r>
              <w:rPr>
                <w:rFonts w:cs="Arial"/>
                <w:sz w:val="16"/>
                <w:szCs w:val="16"/>
              </w:rPr>
              <w:t>53,2</w:t>
            </w:r>
          </w:p>
        </w:tc>
        <w:tc>
          <w:tcPr>
            <w:tcW w:w="1253" w:type="dxa"/>
            <w:tcBorders>
              <w:top w:val="nil"/>
              <w:left w:val="nil"/>
              <w:bottom w:val="nil"/>
              <w:right w:val="nil"/>
            </w:tcBorders>
            <w:shd w:val="clear" w:color="auto" w:fill="auto"/>
            <w:vAlign w:val="center"/>
            <w:hideMark/>
          </w:tcPr>
          <w:p w14:paraId="46010ECF" w14:textId="3C557682" w:rsidR="000B190B" w:rsidRPr="00D92E20" w:rsidRDefault="000B190B" w:rsidP="000B190B">
            <w:pPr>
              <w:spacing w:after="0" w:line="240" w:lineRule="auto"/>
              <w:jc w:val="center"/>
              <w:rPr>
                <w:rFonts w:cs="Arial"/>
                <w:color w:val="000000"/>
                <w:sz w:val="16"/>
                <w:szCs w:val="16"/>
              </w:rPr>
            </w:pPr>
            <w:r>
              <w:rPr>
                <w:rFonts w:cs="Arial"/>
                <w:sz w:val="16"/>
                <w:szCs w:val="16"/>
              </w:rPr>
              <w:t>55,4</w:t>
            </w:r>
          </w:p>
        </w:tc>
        <w:tc>
          <w:tcPr>
            <w:tcW w:w="1253" w:type="dxa"/>
            <w:tcBorders>
              <w:top w:val="nil"/>
              <w:left w:val="nil"/>
              <w:bottom w:val="nil"/>
              <w:right w:val="nil"/>
            </w:tcBorders>
            <w:shd w:val="clear" w:color="auto" w:fill="auto"/>
            <w:vAlign w:val="center"/>
            <w:hideMark/>
          </w:tcPr>
          <w:p w14:paraId="31A2035A" w14:textId="425673D9" w:rsidR="000B190B" w:rsidRPr="00D92E20" w:rsidRDefault="000B190B" w:rsidP="000B190B">
            <w:pPr>
              <w:spacing w:after="0" w:line="240" w:lineRule="auto"/>
              <w:jc w:val="center"/>
              <w:rPr>
                <w:rFonts w:cs="Arial"/>
                <w:color w:val="000000"/>
                <w:sz w:val="16"/>
                <w:szCs w:val="16"/>
              </w:rPr>
            </w:pPr>
            <w:r>
              <w:rPr>
                <w:rFonts w:cs="Arial"/>
                <w:sz w:val="16"/>
                <w:szCs w:val="16"/>
              </w:rPr>
              <w:t>51,8</w:t>
            </w:r>
          </w:p>
        </w:tc>
      </w:tr>
      <w:tr w:rsidR="000B190B" w:rsidRPr="00D92E20" w14:paraId="5D9C795C"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AE554D8" w14:textId="77777777" w:rsidR="000B190B" w:rsidRPr="00D92E20" w:rsidRDefault="000B190B" w:rsidP="000B190B">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1618" w:type="dxa"/>
            <w:tcBorders>
              <w:top w:val="nil"/>
              <w:left w:val="nil"/>
              <w:bottom w:val="nil"/>
              <w:right w:val="nil"/>
            </w:tcBorders>
            <w:shd w:val="clear" w:color="auto" w:fill="auto"/>
            <w:vAlign w:val="center"/>
            <w:hideMark/>
          </w:tcPr>
          <w:p w14:paraId="3AF4AB86" w14:textId="48A60380" w:rsidR="000B190B" w:rsidRPr="00D92E20" w:rsidRDefault="000B190B" w:rsidP="000B190B">
            <w:pPr>
              <w:spacing w:after="0" w:line="240" w:lineRule="auto"/>
              <w:jc w:val="right"/>
              <w:rPr>
                <w:rFonts w:cs="Arial"/>
                <w:color w:val="000000"/>
                <w:sz w:val="16"/>
                <w:szCs w:val="16"/>
              </w:rPr>
            </w:pPr>
            <w:r>
              <w:rPr>
                <w:rFonts w:cs="Arial"/>
                <w:sz w:val="16"/>
                <w:szCs w:val="16"/>
              </w:rPr>
              <w:t>79,0</w:t>
            </w:r>
          </w:p>
        </w:tc>
        <w:tc>
          <w:tcPr>
            <w:tcW w:w="1253" w:type="dxa"/>
            <w:tcBorders>
              <w:top w:val="nil"/>
              <w:left w:val="nil"/>
              <w:bottom w:val="nil"/>
              <w:right w:val="nil"/>
            </w:tcBorders>
            <w:shd w:val="clear" w:color="auto" w:fill="auto"/>
            <w:vAlign w:val="center"/>
            <w:hideMark/>
          </w:tcPr>
          <w:p w14:paraId="57651157" w14:textId="0F033834" w:rsidR="000B190B" w:rsidRPr="00D92E20" w:rsidRDefault="000B190B" w:rsidP="000B190B">
            <w:pPr>
              <w:spacing w:after="0" w:line="240" w:lineRule="auto"/>
              <w:jc w:val="right"/>
              <w:rPr>
                <w:rFonts w:cs="Arial"/>
                <w:color w:val="000000"/>
                <w:sz w:val="16"/>
                <w:szCs w:val="16"/>
              </w:rPr>
            </w:pPr>
            <w:r>
              <w:rPr>
                <w:rFonts w:cs="Arial"/>
                <w:sz w:val="16"/>
                <w:szCs w:val="16"/>
              </w:rPr>
              <w:t>44,4</w:t>
            </w:r>
          </w:p>
        </w:tc>
        <w:tc>
          <w:tcPr>
            <w:tcW w:w="1254" w:type="dxa"/>
            <w:tcBorders>
              <w:top w:val="nil"/>
              <w:left w:val="nil"/>
              <w:bottom w:val="nil"/>
              <w:right w:val="single" w:sz="4" w:space="0" w:color="auto"/>
            </w:tcBorders>
            <w:shd w:val="clear" w:color="auto" w:fill="auto"/>
            <w:vAlign w:val="center"/>
            <w:hideMark/>
          </w:tcPr>
          <w:p w14:paraId="5B571264" w14:textId="6DC689D4" w:rsidR="000B190B" w:rsidRPr="00D92E20" w:rsidRDefault="000B190B" w:rsidP="000B190B">
            <w:pPr>
              <w:spacing w:after="0" w:line="240" w:lineRule="auto"/>
              <w:jc w:val="right"/>
              <w:rPr>
                <w:rFonts w:cs="Arial"/>
                <w:color w:val="000000"/>
                <w:sz w:val="16"/>
                <w:szCs w:val="16"/>
              </w:rPr>
            </w:pPr>
            <w:r>
              <w:rPr>
                <w:rFonts w:cs="Arial"/>
                <w:sz w:val="16"/>
                <w:szCs w:val="16"/>
              </w:rPr>
              <w:t>34,6</w:t>
            </w:r>
          </w:p>
        </w:tc>
        <w:tc>
          <w:tcPr>
            <w:tcW w:w="1253" w:type="dxa"/>
            <w:tcBorders>
              <w:top w:val="nil"/>
              <w:left w:val="nil"/>
              <w:bottom w:val="nil"/>
              <w:right w:val="nil"/>
            </w:tcBorders>
            <w:shd w:val="clear" w:color="auto" w:fill="auto"/>
            <w:vAlign w:val="center"/>
            <w:hideMark/>
          </w:tcPr>
          <w:p w14:paraId="366973B9" w14:textId="6EF22B69" w:rsidR="000B190B" w:rsidRPr="00D92E20" w:rsidRDefault="000B190B" w:rsidP="000B190B">
            <w:pPr>
              <w:spacing w:after="0" w:line="240" w:lineRule="auto"/>
              <w:jc w:val="center"/>
              <w:rPr>
                <w:rFonts w:cs="Arial"/>
                <w:color w:val="000000"/>
                <w:sz w:val="16"/>
                <w:szCs w:val="16"/>
              </w:rPr>
            </w:pPr>
            <w:r>
              <w:rPr>
                <w:rFonts w:cs="Arial"/>
                <w:sz w:val="16"/>
                <w:szCs w:val="16"/>
              </w:rPr>
              <w:t>62,7</w:t>
            </w:r>
          </w:p>
        </w:tc>
        <w:tc>
          <w:tcPr>
            <w:tcW w:w="1253" w:type="dxa"/>
            <w:tcBorders>
              <w:top w:val="nil"/>
              <w:left w:val="nil"/>
              <w:bottom w:val="nil"/>
              <w:right w:val="nil"/>
            </w:tcBorders>
            <w:shd w:val="clear" w:color="auto" w:fill="auto"/>
            <w:vAlign w:val="center"/>
            <w:hideMark/>
          </w:tcPr>
          <w:p w14:paraId="0689618B" w14:textId="2F3366AC" w:rsidR="000B190B" w:rsidRPr="00D92E20" w:rsidRDefault="000B190B" w:rsidP="000B190B">
            <w:pPr>
              <w:spacing w:after="0" w:line="240" w:lineRule="auto"/>
              <w:jc w:val="center"/>
              <w:rPr>
                <w:rFonts w:cs="Arial"/>
                <w:color w:val="000000"/>
                <w:sz w:val="16"/>
                <w:szCs w:val="16"/>
              </w:rPr>
            </w:pPr>
            <w:r>
              <w:rPr>
                <w:rFonts w:cs="Arial"/>
                <w:sz w:val="16"/>
                <w:szCs w:val="16"/>
              </w:rPr>
              <w:t>70,9</w:t>
            </w:r>
          </w:p>
        </w:tc>
        <w:tc>
          <w:tcPr>
            <w:tcW w:w="1253" w:type="dxa"/>
            <w:tcBorders>
              <w:top w:val="nil"/>
              <w:left w:val="nil"/>
              <w:bottom w:val="nil"/>
              <w:right w:val="nil"/>
            </w:tcBorders>
            <w:shd w:val="clear" w:color="auto" w:fill="auto"/>
            <w:vAlign w:val="center"/>
            <w:hideMark/>
          </w:tcPr>
          <w:p w14:paraId="5F6FC319" w14:textId="4DD2AB9C" w:rsidR="000B190B" w:rsidRPr="00D92E20" w:rsidRDefault="000B190B" w:rsidP="000B190B">
            <w:pPr>
              <w:spacing w:after="0" w:line="240" w:lineRule="auto"/>
              <w:jc w:val="center"/>
              <w:rPr>
                <w:rFonts w:cs="Arial"/>
                <w:color w:val="000000"/>
                <w:sz w:val="16"/>
                <w:szCs w:val="16"/>
              </w:rPr>
            </w:pPr>
            <w:r>
              <w:rPr>
                <w:rFonts w:cs="Arial"/>
                <w:sz w:val="16"/>
                <w:szCs w:val="16"/>
              </w:rPr>
              <w:t>52,1</w:t>
            </w:r>
          </w:p>
        </w:tc>
      </w:tr>
    </w:tbl>
    <w:p w14:paraId="56E8B21C" w14:textId="77777777" w:rsidR="00B9122C" w:rsidRPr="00D92E20" w:rsidRDefault="00B9122C" w:rsidP="00B9122C">
      <w:pPr>
        <w:spacing w:before="120"/>
        <w:rPr>
          <w:sz w:val="16"/>
        </w:rPr>
      </w:pPr>
      <w:r w:rsidRPr="00D92E20">
        <w:rPr>
          <w:sz w:val="16"/>
        </w:rPr>
        <w:t>Zdroj: ČSSZ</w:t>
      </w:r>
    </w:p>
    <w:p w14:paraId="3805C765" w14:textId="7233F7BA" w:rsidR="00B9122C" w:rsidRPr="00D92E20" w:rsidRDefault="00B9122C" w:rsidP="00000A90">
      <w:pPr>
        <w:spacing w:before="120" w:after="120"/>
        <w:jc w:val="both"/>
      </w:pPr>
      <w:r w:rsidRPr="00D92E20">
        <w:t>Doba, po kterou</w:t>
      </w:r>
      <w:r w:rsidR="0088375E">
        <w:t xml:space="preserve"> průměrná</w:t>
      </w:r>
      <w:r w:rsidRPr="00D92E20">
        <w:t xml:space="preserve"> pracovní neschopnost trvala, rostla </w:t>
      </w:r>
      <w:r w:rsidRPr="00D92E20">
        <w:rPr>
          <w:b/>
        </w:rPr>
        <w:t>s věkem</w:t>
      </w:r>
      <w:r w:rsidRPr="00D92E20">
        <w:t xml:space="preserve"> (viz tab. 3.</w:t>
      </w:r>
      <w:r w:rsidR="00391FBE" w:rsidRPr="00D92E20">
        <w:t>2</w:t>
      </w:r>
      <w:r w:rsidRPr="00D92E20">
        <w:t xml:space="preserve">), a to od </w:t>
      </w:r>
      <w:r w:rsidR="000B190B">
        <w:t>17,7</w:t>
      </w:r>
      <w:r w:rsidRPr="00D92E20">
        <w:t xml:space="preserve"> dne ve</w:t>
      </w:r>
      <w:r w:rsidR="00CD63E8">
        <w:t> </w:t>
      </w:r>
      <w:r w:rsidRPr="00D92E20">
        <w:t xml:space="preserve">věkové skupině osob mladších 20 let až po </w:t>
      </w:r>
      <w:r w:rsidR="000B190B">
        <w:t>57,9</w:t>
      </w:r>
      <w:r w:rsidRPr="00D92E20">
        <w:t xml:space="preserve"> dne ve věkové skupině 60letých a starších. To je způsobeno zejména vyšším zastoupením krátkodobých případů pracovní neschopnosti pro nemoci dýchací soustavy v mladším věku a naopak nárůstem dlouhodobých případů pracovní neschopnosti pro nádorová onemocnění a nemoci oběhové soustavy se zvyšujícím se věkem.</w:t>
      </w:r>
    </w:p>
    <w:p w14:paraId="50BF44C2" w14:textId="7F78FE3C" w:rsidR="002C05CC" w:rsidRPr="002203FD" w:rsidRDefault="002C05CC" w:rsidP="00000A90">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w:t>
      </w:r>
      <w:r w:rsidR="00586EBB" w:rsidRPr="002203FD">
        <w:t xml:space="preserve">Pokud pomineme kategorii </w:t>
      </w:r>
      <w:r w:rsidR="00586EBB" w:rsidRPr="002203FD">
        <w:rPr>
          <w:b/>
        </w:rPr>
        <w:t>ostatní nemoci</w:t>
      </w:r>
      <w:r w:rsidR="00586EBB" w:rsidRPr="002203FD">
        <w:t>, kterou oproti předchozím rokům navyšují zejm</w:t>
      </w:r>
      <w:r w:rsidR="00957C6D">
        <w:t>éna</w:t>
      </w:r>
      <w:r w:rsidR="00586EBB" w:rsidRPr="002203FD">
        <w:t xml:space="preserve"> neschopenky pro případ karantény</w:t>
      </w:r>
      <w:r w:rsidR="00877802">
        <w:t xml:space="preserve"> spojené s covidem</w:t>
      </w:r>
      <w:r w:rsidR="00586EBB" w:rsidRPr="002203FD">
        <w:t>, n</w:t>
      </w:r>
      <w:r w:rsidRPr="002203FD">
        <w:t xml:space="preserve">ejčastějším důvodem jsou dlouhodobě </w:t>
      </w:r>
      <w:r w:rsidRPr="002203FD">
        <w:rPr>
          <w:b/>
        </w:rPr>
        <w:t>nemoci dýchací soustavy</w:t>
      </w:r>
      <w:r w:rsidRPr="002203FD">
        <w:t>, které v</w:t>
      </w:r>
      <w:r w:rsidR="00586EBB" w:rsidRPr="002203FD">
        <w:t> 1. pol. 2021</w:t>
      </w:r>
      <w:r w:rsidRPr="002203FD">
        <w:t xml:space="preserve"> způsobily </w:t>
      </w:r>
      <w:r w:rsidR="002203FD">
        <w:t>šestinu</w:t>
      </w:r>
      <w:r w:rsidRPr="002203FD">
        <w:t xml:space="preserve"> všech případů</w:t>
      </w:r>
      <w:r w:rsidR="00586EBB" w:rsidRPr="002203FD">
        <w:t xml:space="preserve"> pracovní neschopností</w:t>
      </w:r>
      <w:r w:rsidRPr="002203FD">
        <w:t xml:space="preserve">. Z nemocí této skupiny jsou neschopenky vystavovány </w:t>
      </w:r>
      <w:r w:rsidR="00957C6D">
        <w:t>především</w:t>
      </w:r>
      <w:r w:rsidRPr="002203FD">
        <w:t xml:space="preserve"> kvůli akutní</w:t>
      </w:r>
      <w:r w:rsidR="00C7753B" w:rsidRPr="002203FD">
        <w:t>m infekcím dýchacích cest či chřipkám</w:t>
      </w:r>
      <w:r w:rsidRPr="002203FD">
        <w:t>. Na</w:t>
      </w:r>
      <w:r w:rsidR="00CD63E8">
        <w:t> </w:t>
      </w:r>
      <w:r w:rsidRPr="002203FD">
        <w:t xml:space="preserve">druhou stranu, onemocnění dýchací soustavy tvořila pouze </w:t>
      </w:r>
      <w:r w:rsidR="00586EBB" w:rsidRPr="002203FD">
        <w:t>9</w:t>
      </w:r>
      <w:r w:rsidRPr="002203FD">
        <w:t xml:space="preserve"> % (</w:t>
      </w:r>
      <w:r w:rsidR="00586EBB" w:rsidRPr="002203FD">
        <w:t>4,5</w:t>
      </w:r>
      <w:r w:rsidRPr="002203FD">
        <w:t xml:space="preserve"> mil. dnů) z ce</w:t>
      </w:r>
      <w:r w:rsidR="00C7753B" w:rsidRPr="002203FD">
        <w:t xml:space="preserve">lkového počtu prostonaných dnů. To </w:t>
      </w:r>
      <w:r w:rsidR="00795664">
        <w:t>znamená</w:t>
      </w:r>
      <w:r w:rsidR="00C7753B" w:rsidRPr="002203FD">
        <w:t xml:space="preserve"> </w:t>
      </w:r>
      <w:r w:rsidRPr="002203FD">
        <w:t>v průměru nejkratší dobu pracovní neschopnosti ze všech skupin diagnóz, a</w:t>
      </w:r>
      <w:r w:rsidR="00CD63E8">
        <w:t> </w:t>
      </w:r>
      <w:r w:rsidRPr="002203FD">
        <w:t xml:space="preserve">sice </w:t>
      </w:r>
      <w:r w:rsidR="00586EBB" w:rsidRPr="002203FD">
        <w:t>19,5</w:t>
      </w:r>
      <w:r w:rsidRPr="002203FD">
        <w:t xml:space="preserve"> dne na 1</w:t>
      </w:r>
      <w:r w:rsidR="00957C6D">
        <w:t> </w:t>
      </w:r>
      <w:r w:rsidRPr="002203FD">
        <w:t>případ.</w:t>
      </w:r>
    </w:p>
    <w:p w14:paraId="7E090F30" w14:textId="7A1DF0F4" w:rsidR="00867A29" w:rsidRPr="00867A29" w:rsidRDefault="002203FD" w:rsidP="00867A29">
      <w:pPr>
        <w:spacing w:before="120" w:after="120"/>
        <w:jc w:val="both"/>
      </w:pPr>
      <w:r w:rsidRPr="00867A29">
        <w:t>Již zmíněná kategorie</w:t>
      </w:r>
      <w:r w:rsidR="002C05CC" w:rsidRPr="00867A29">
        <w:t xml:space="preserve"> </w:t>
      </w:r>
      <w:r w:rsidR="002C05CC" w:rsidRPr="00867A29">
        <w:rPr>
          <w:b/>
        </w:rPr>
        <w:t>ostatní nemoci</w:t>
      </w:r>
      <w:r w:rsidRPr="00867A29">
        <w:t xml:space="preserve"> zaujímala v 1. pol. 2021 polovinu všech pracovních neschopností</w:t>
      </w:r>
      <w:r w:rsidR="002C05CC" w:rsidRPr="00867A29">
        <w:t xml:space="preserve">. </w:t>
      </w:r>
      <w:r w:rsidR="00867A29" w:rsidRPr="00867A29">
        <w:t xml:space="preserve">Dá se předpokládat, že jsou zde </w:t>
      </w:r>
      <w:r w:rsidR="0088375E">
        <w:t xml:space="preserve">kromě karantén </w:t>
      </w:r>
      <w:r w:rsidR="00867A29" w:rsidRPr="00867A29">
        <w:t xml:space="preserve">zahrnuty i některé případy osob, u kterých </w:t>
      </w:r>
      <w:r w:rsidR="0088375E">
        <w:t xml:space="preserve">v průběhu karantény vypuklo </w:t>
      </w:r>
      <w:r w:rsidR="00867A29" w:rsidRPr="00867A29">
        <w:t>samotné onemocnění</w:t>
      </w:r>
      <w:r w:rsidR="00D04AA1">
        <w:t xml:space="preserve"> s vážnějšími příznaky</w:t>
      </w:r>
      <w:r w:rsidR="00867A29" w:rsidRPr="00867A29">
        <w:t xml:space="preserve">. Přesnější zachycení pandemie z těchto dat </w:t>
      </w:r>
      <w:r w:rsidR="00957C6D">
        <w:t xml:space="preserve">ovšem </w:t>
      </w:r>
      <w:r w:rsidR="00867A29" w:rsidRPr="00867A29">
        <w:t>není možné.</w:t>
      </w:r>
      <w:r w:rsidR="00D04AA1">
        <w:t xml:space="preserve"> </w:t>
      </w:r>
      <w:r w:rsidR="0088375E">
        <w:t>V období let 20</w:t>
      </w:r>
      <w:r w:rsidR="00877802">
        <w:t>15 až 2019, tedy před epidemií c</w:t>
      </w:r>
      <w:r w:rsidR="0088375E">
        <w:t xml:space="preserve">ovid, se zastoupení ostatních nemocí jako příčiny pracovní neschopnosti pohybovalo mezi </w:t>
      </w:r>
      <w:r w:rsidR="00D72727">
        <w:t>7</w:t>
      </w:r>
      <w:r w:rsidR="0088375E">
        <w:t xml:space="preserve"> a 10 %.</w:t>
      </w:r>
    </w:p>
    <w:p w14:paraId="0A1DD0B4" w14:textId="349CD71C" w:rsidR="002C05CC" w:rsidRPr="00921C1C" w:rsidRDefault="00867A29" w:rsidP="00000A90">
      <w:pPr>
        <w:spacing w:before="120" w:after="120"/>
        <w:jc w:val="both"/>
      </w:pPr>
      <w:r w:rsidRPr="00921C1C">
        <w:rPr>
          <w:b/>
        </w:rPr>
        <w:t>N</w:t>
      </w:r>
      <w:r w:rsidR="002C05CC" w:rsidRPr="00921C1C">
        <w:rPr>
          <w:b/>
        </w:rPr>
        <w:t>emoc</w:t>
      </w:r>
      <w:r w:rsidRPr="00921C1C">
        <w:rPr>
          <w:b/>
        </w:rPr>
        <w:t>i</w:t>
      </w:r>
      <w:r w:rsidR="002C05CC" w:rsidRPr="00921C1C">
        <w:rPr>
          <w:b/>
        </w:rPr>
        <w:t xml:space="preserve"> pohybové soustavy</w:t>
      </w:r>
      <w:r w:rsidRPr="00921C1C">
        <w:rPr>
          <w:b/>
        </w:rPr>
        <w:t xml:space="preserve"> </w:t>
      </w:r>
      <w:r w:rsidRPr="00921C1C">
        <w:t>zapříčinily 14 % pracovních neschopností</w:t>
      </w:r>
      <w:r w:rsidR="00391FBE" w:rsidRPr="00921C1C">
        <w:t>.</w:t>
      </w:r>
      <w:r w:rsidR="00391FBE" w:rsidRPr="00921C1C">
        <w:rPr>
          <w:b/>
        </w:rPr>
        <w:t xml:space="preserve"> </w:t>
      </w:r>
      <w:r w:rsidR="002C05CC" w:rsidRPr="00921C1C">
        <w:t>Tyto nemoci se vyznačují poměrně dlouhou délkou trvání, v průměru déle než 2 kalendářní měsíce (</w:t>
      </w:r>
      <w:r w:rsidR="00921C1C" w:rsidRPr="00921C1C">
        <w:t>74</w:t>
      </w:r>
      <w:r w:rsidR="002C05CC" w:rsidRPr="00921C1C">
        <w:t>,</w:t>
      </w:r>
      <w:r w:rsidR="00391FBE" w:rsidRPr="00921C1C">
        <w:t>3</w:t>
      </w:r>
      <w:r w:rsidR="002C05CC" w:rsidRPr="00921C1C">
        <w:t xml:space="preserve"> dne) na 1 případ. </w:t>
      </w:r>
      <w:r w:rsidR="00D72727">
        <w:t>Počet</w:t>
      </w:r>
      <w:r w:rsidR="002C05CC" w:rsidRPr="00921C1C">
        <w:t xml:space="preserve"> prostonaných dnů </w:t>
      </w:r>
      <w:r w:rsidR="00D72727">
        <w:t>této</w:t>
      </w:r>
      <w:r w:rsidR="002C05CC" w:rsidRPr="00921C1C">
        <w:t xml:space="preserve"> kategorie </w:t>
      </w:r>
      <w:r w:rsidR="00877802">
        <w:t>činil 14 754 tis.</w:t>
      </w:r>
      <w:r w:rsidR="00D72727">
        <w:t xml:space="preserve"> a tvoří </w:t>
      </w:r>
      <w:r w:rsidR="002C05CC" w:rsidRPr="00921C1C">
        <w:t>dlouhodobě nejvyšší podíl</w:t>
      </w:r>
      <w:r w:rsidR="00D72727">
        <w:t xml:space="preserve"> ze všech skupin diagnóz</w:t>
      </w:r>
      <w:r w:rsidR="002C05CC" w:rsidRPr="00921C1C">
        <w:t xml:space="preserve">. Z nemocí pohybové soustavy zapříčiňují pracovní neschopnost nejčastěji </w:t>
      </w:r>
      <w:r w:rsidR="00650B10">
        <w:t>nemoci</w:t>
      </w:r>
      <w:r w:rsidR="002C05CC" w:rsidRPr="00921C1C">
        <w:t xml:space="preserve"> páteře.</w:t>
      </w:r>
    </w:p>
    <w:p w14:paraId="02064C15" w14:textId="08C54652" w:rsidR="00000A90" w:rsidRPr="00921C1C" w:rsidRDefault="00391FBE" w:rsidP="000B190B">
      <w:pPr>
        <w:spacing w:before="120" w:after="120"/>
        <w:jc w:val="both"/>
        <w:rPr>
          <w:b/>
        </w:rPr>
      </w:pPr>
      <w:r w:rsidRPr="00921C1C">
        <w:t xml:space="preserve">Další častou příčinu pracovní neschopnosti představovaly </w:t>
      </w:r>
      <w:r w:rsidR="002C05CC" w:rsidRPr="00921C1C">
        <w:rPr>
          <w:b/>
        </w:rPr>
        <w:t>úrazy a otravy</w:t>
      </w:r>
      <w:r w:rsidR="002C05CC" w:rsidRPr="00921C1C">
        <w:t xml:space="preserve">. </w:t>
      </w:r>
      <w:r w:rsidRPr="00921C1C">
        <w:t xml:space="preserve">Na všech neschopenkách se podílely </w:t>
      </w:r>
      <w:r w:rsidR="00921C1C" w:rsidRPr="00921C1C">
        <w:t>6</w:t>
      </w:r>
      <w:r w:rsidRPr="00921C1C">
        <w:t xml:space="preserve"> %. </w:t>
      </w:r>
      <w:r w:rsidR="002C05CC" w:rsidRPr="00921C1C">
        <w:t xml:space="preserve">Průměrná délka trvání pracovní neschopnosti byla v tomto případě </w:t>
      </w:r>
      <w:r w:rsidR="00921C1C" w:rsidRPr="00921C1C">
        <w:t>57,6</w:t>
      </w:r>
      <w:r w:rsidR="002C05CC" w:rsidRPr="00921C1C">
        <w:t xml:space="preserve"> dne a celkový počet prostonaných dnů činil </w:t>
      </w:r>
      <w:r w:rsidR="00921C1C" w:rsidRPr="00921C1C">
        <w:t>5,2</w:t>
      </w:r>
      <w:r w:rsidR="002C05CC" w:rsidRPr="00921C1C">
        <w:t xml:space="preserve"> mil.</w:t>
      </w:r>
    </w:p>
    <w:p w14:paraId="3C9E5C4E" w14:textId="020F665D" w:rsidR="005A63A4" w:rsidRPr="00921C1C" w:rsidRDefault="005A63A4" w:rsidP="005A63A4">
      <w:pPr>
        <w:spacing w:before="120" w:after="120"/>
        <w:jc w:val="both"/>
      </w:pPr>
      <w:r w:rsidRPr="00921C1C">
        <w:lastRenderedPageBreak/>
        <w:t xml:space="preserve">Nejdelší </w:t>
      </w:r>
      <w:r w:rsidRPr="00921C1C">
        <w:rPr>
          <w:b/>
        </w:rPr>
        <w:t>průměrná délka</w:t>
      </w:r>
      <w:r w:rsidRPr="00921C1C">
        <w:t xml:space="preserve"> trvání pracovní neschopnosti byla v</w:t>
      </w:r>
      <w:r w:rsidR="00921C1C" w:rsidRPr="00921C1C">
        <w:t> 1. pol. 2021</w:t>
      </w:r>
      <w:r w:rsidRPr="00921C1C">
        <w:t xml:space="preserve"> evidována </w:t>
      </w:r>
      <w:r w:rsidR="00F163D5">
        <w:t xml:space="preserve">u </w:t>
      </w:r>
      <w:r w:rsidR="00921C1C" w:rsidRPr="00921C1C">
        <w:t xml:space="preserve">zhoubných novotvarů (187,7 dne). Neschopenka u této </w:t>
      </w:r>
      <w:r w:rsidRPr="00921C1C">
        <w:t xml:space="preserve">skupiny nemocí </w:t>
      </w:r>
      <w:r w:rsidR="00921C1C" w:rsidRPr="00921C1C">
        <w:t>trvala 175 dnů u mužů, zatímco u žen 198 dní</w:t>
      </w:r>
      <w:r w:rsidRPr="00921C1C">
        <w:t xml:space="preserve">. </w:t>
      </w:r>
      <w:r w:rsidR="00B527E8" w:rsidRPr="00921C1C">
        <w:t>Přes hranici 100 dnů se dostaly i n</w:t>
      </w:r>
      <w:r w:rsidRPr="00921C1C">
        <w:t>emoci spojené s těhotenstvím, mateřstvím a šestinedělím</w:t>
      </w:r>
      <w:r w:rsidR="00B527E8" w:rsidRPr="00921C1C">
        <w:t>, které</w:t>
      </w:r>
      <w:r w:rsidR="00921C1C" w:rsidRPr="00921C1C">
        <w:t xml:space="preserve"> si vyžádaly v průměru 105</w:t>
      </w:r>
      <w:r w:rsidRPr="00921C1C">
        <w:t xml:space="preserve"> dnů v pracovní neschopnosti.</w:t>
      </w:r>
    </w:p>
    <w:p w14:paraId="35382427" w14:textId="376281A1" w:rsidR="00B527E8" w:rsidRPr="00921C1C" w:rsidRDefault="005A63A4" w:rsidP="005A63A4">
      <w:pPr>
        <w:spacing w:before="120" w:after="120"/>
        <w:jc w:val="both"/>
      </w:pPr>
      <w:r w:rsidRPr="00921C1C">
        <w:t xml:space="preserve">Z hlediska </w:t>
      </w:r>
      <w:r w:rsidRPr="00921C1C">
        <w:rPr>
          <w:b/>
        </w:rPr>
        <w:t>pohlaví</w:t>
      </w:r>
      <w:r w:rsidRPr="00921C1C">
        <w:t xml:space="preserve"> je výskyt pracovní neschopnosti četnější u žen, v</w:t>
      </w:r>
      <w:r w:rsidR="00921C1C" w:rsidRPr="00921C1C">
        <w:t> 1. pol. 2021</w:t>
      </w:r>
      <w:r w:rsidRPr="00921C1C">
        <w:t xml:space="preserve"> ženy </w:t>
      </w:r>
      <w:r w:rsidR="00B527E8" w:rsidRPr="00921C1C">
        <w:t>zaznamenaly</w:t>
      </w:r>
      <w:r w:rsidRPr="00921C1C">
        <w:t xml:space="preserve"> </w:t>
      </w:r>
      <w:r w:rsidR="00921C1C" w:rsidRPr="00921C1C">
        <w:t>715</w:t>
      </w:r>
      <w:r w:rsidRPr="00921C1C">
        <w:t xml:space="preserve"> tis. </w:t>
      </w:r>
      <w:r w:rsidR="00B527E8" w:rsidRPr="00921C1C">
        <w:t xml:space="preserve">ukončených </w:t>
      </w:r>
      <w:r w:rsidRPr="00921C1C">
        <w:t xml:space="preserve">případů pracovní neschopnosti, muži </w:t>
      </w:r>
      <w:r w:rsidR="00921C1C" w:rsidRPr="00921C1C">
        <w:t>709</w:t>
      </w:r>
      <w:r w:rsidRPr="00921C1C">
        <w:t xml:space="preserve"> tis. neschopenek. Pracovní neschopnost u žen také trvala v průměru o </w:t>
      </w:r>
      <w:r w:rsidR="00921C1C" w:rsidRPr="00921C1C">
        <w:t>4,7</w:t>
      </w:r>
      <w:r w:rsidRPr="00921C1C">
        <w:t xml:space="preserve"> dne déle než u mužů. Tento rozdíl přetrvává dlouhodobě a je dán zejména indispozicemi spojenými s těhotenstvím. </w:t>
      </w:r>
    </w:p>
    <w:p w14:paraId="2247ED56" w14:textId="206EA2B5" w:rsidR="005A63A4" w:rsidRPr="00D92E20" w:rsidRDefault="005A63A4" w:rsidP="005A63A4">
      <w:pPr>
        <w:spacing w:before="120" w:after="120"/>
        <w:jc w:val="both"/>
      </w:pPr>
      <w:r w:rsidRPr="00921C1C">
        <w:t xml:space="preserve">Výraznější rozdíl v pracovní neschopnosti podle pohlaví se objevuje u nemocí močové a pohlavní soustavy, kdy </w:t>
      </w:r>
      <w:r w:rsidR="00B527E8" w:rsidRPr="00921C1C">
        <w:t xml:space="preserve">je </w:t>
      </w:r>
      <w:r w:rsidRPr="00921C1C">
        <w:t xml:space="preserve">počet ukončených případů </w:t>
      </w:r>
      <w:r w:rsidR="00D72727">
        <w:t xml:space="preserve">u </w:t>
      </w:r>
      <w:r w:rsidRPr="00921C1C">
        <w:t>mužů oproti ženám 3,5krát nižší. Duševní onemocnění vedoucí k pracovní neschopnosti byly v</w:t>
      </w:r>
      <w:r w:rsidR="00921C1C" w:rsidRPr="00921C1C">
        <w:t> 1. pol. 2021</w:t>
      </w:r>
      <w:r w:rsidRPr="00921C1C">
        <w:t xml:space="preserve"> téměř dvakrát častější u žen. Muži jsou naopak náchylnější na nemoci oběhové, trávicí či pohybové soustavy. Mnohem častěji jsou v pracovní neschopnosti také z důvodu úrazu či otravy.</w:t>
      </w:r>
    </w:p>
    <w:p w14:paraId="06D60AA5" w14:textId="22AF4538" w:rsidR="00B12C5F" w:rsidRPr="00D72727" w:rsidRDefault="000B190B" w:rsidP="000B190B">
      <w:pPr>
        <w:pStyle w:val="Seznam"/>
        <w:spacing w:after="0"/>
        <w:jc w:val="both"/>
        <w:rPr>
          <w:b/>
          <w:spacing w:val="-2"/>
        </w:rPr>
      </w:pPr>
      <w:r w:rsidRPr="00D72727">
        <w:rPr>
          <w:b/>
          <w:spacing w:val="-2"/>
        </w:rPr>
        <w:t>Tab. 3.3: Ukončené případy dočasné pracovní neschopnosti podle skupin diagnóz a pohlaví, 1. pol. 2021</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E371CF" w:rsidRPr="00D92E20" w14:paraId="5B4F9C4F" w14:textId="77777777" w:rsidTr="00E371CF">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C63078C" w14:textId="77777777" w:rsidR="00EC21A5"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Skupiny diagnóz</w:t>
            </w:r>
          </w:p>
          <w:p w14:paraId="5E257B1F" w14:textId="77777777" w:rsidR="0070383F"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5EF1385D" w14:textId="76A7B614" w:rsidR="0070383F" w:rsidRPr="00D92E20" w:rsidRDefault="009F67D0" w:rsidP="00D72727">
            <w:pPr>
              <w:spacing w:after="0" w:line="240" w:lineRule="auto"/>
              <w:jc w:val="center"/>
              <w:rPr>
                <w:rFonts w:cs="Arial"/>
                <w:color w:val="000000"/>
                <w:sz w:val="16"/>
                <w:szCs w:val="16"/>
              </w:rPr>
            </w:pPr>
            <w:r w:rsidRPr="00D92E20">
              <w:rPr>
                <w:rFonts w:cs="Arial"/>
                <w:color w:val="000000"/>
                <w:sz w:val="16"/>
                <w:szCs w:val="16"/>
              </w:rPr>
              <w:t xml:space="preserve">Počet </w:t>
            </w:r>
            <w:r w:rsidR="0070383F" w:rsidRPr="00D92E20">
              <w:rPr>
                <w:rFonts w:cs="Arial"/>
                <w:color w:val="000000"/>
                <w:sz w:val="16"/>
                <w:szCs w:val="16"/>
              </w:rPr>
              <w:t>případ</w:t>
            </w:r>
            <w:r w:rsidRPr="00D92E20">
              <w:rPr>
                <w:rFonts w:cs="Arial"/>
                <w:color w:val="000000"/>
                <w:sz w:val="16"/>
                <w:szCs w:val="16"/>
              </w:rPr>
              <w:t>ů</w:t>
            </w:r>
            <w:r w:rsidR="0070383F" w:rsidRPr="00D92E20">
              <w:rPr>
                <w:rFonts w:cs="Arial"/>
                <w:color w:val="000000"/>
                <w:sz w:val="16"/>
                <w:szCs w:val="16"/>
              </w:rPr>
              <w:t xml:space="preserve"> DPN</w:t>
            </w:r>
            <w:r w:rsidRPr="00D92E20">
              <w:rPr>
                <w:rFonts w:cs="Arial"/>
                <w:color w:val="000000"/>
                <w:sz w:val="16"/>
                <w:szCs w:val="16"/>
              </w:rPr>
              <w:t xml:space="preserve">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670C3B66" w14:textId="6BF6617B" w:rsidR="0070383F" w:rsidRPr="00D92E20" w:rsidRDefault="0070383F"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371CF" w:rsidRPr="00D92E20" w14:paraId="47A6171E"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182C5DE4" w14:textId="77777777" w:rsidR="00E371CF" w:rsidRPr="00D92E20" w:rsidRDefault="00E371CF" w:rsidP="00EC21A5">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791AA979"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EE48943"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70727E04" w14:textId="77777777" w:rsidR="00E371CF" w:rsidRPr="00D92E20" w:rsidRDefault="00E371CF"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735965DF"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podle pohlaví</w:t>
            </w:r>
          </w:p>
        </w:tc>
      </w:tr>
      <w:tr w:rsidR="00E371CF" w:rsidRPr="00D92E20" w14:paraId="5E18F793" w14:textId="77777777" w:rsidTr="00E371CF">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49D1C485" w14:textId="77777777" w:rsidR="00E371CF" w:rsidRPr="00D92E20" w:rsidRDefault="00E371CF" w:rsidP="00EC21A5">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F6D0E5E"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65CCDCC6"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7F3E93B5"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1EB589A8" w14:textId="77777777" w:rsidR="00E371CF" w:rsidRPr="00D92E20" w:rsidRDefault="00E371CF" w:rsidP="0070383F">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356EB219"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72B3282B" w14:textId="77777777" w:rsidR="00E371CF" w:rsidRPr="00D92E20" w:rsidRDefault="00E371CF" w:rsidP="0070383F">
            <w:pPr>
              <w:spacing w:after="0" w:line="240" w:lineRule="auto"/>
              <w:jc w:val="center"/>
              <w:rPr>
                <w:rFonts w:cs="Arial"/>
                <w:color w:val="000000"/>
                <w:sz w:val="16"/>
                <w:szCs w:val="16"/>
              </w:rPr>
            </w:pPr>
            <w:r w:rsidRPr="00D92E20">
              <w:rPr>
                <w:rFonts w:cs="Arial"/>
                <w:color w:val="000000"/>
                <w:sz w:val="16"/>
                <w:szCs w:val="16"/>
              </w:rPr>
              <w:t>ženy</w:t>
            </w:r>
          </w:p>
        </w:tc>
      </w:tr>
      <w:tr w:rsidR="00E371CF" w:rsidRPr="00D92E20" w14:paraId="0611A931" w14:textId="77777777" w:rsidTr="00E371CF">
        <w:trPr>
          <w:trHeight w:val="300"/>
        </w:trPr>
        <w:tc>
          <w:tcPr>
            <w:tcW w:w="4195" w:type="dxa"/>
            <w:tcBorders>
              <w:top w:val="nil"/>
              <w:left w:val="nil"/>
              <w:bottom w:val="nil"/>
              <w:right w:val="nil"/>
            </w:tcBorders>
            <w:shd w:val="clear" w:color="auto" w:fill="auto"/>
            <w:noWrap/>
            <w:vAlign w:val="center"/>
            <w:hideMark/>
          </w:tcPr>
          <w:p w14:paraId="7EDEA946" w14:textId="254B5D1A" w:rsidR="000B190B" w:rsidRPr="00D92E20" w:rsidRDefault="000B190B" w:rsidP="000B190B">
            <w:pPr>
              <w:spacing w:after="0" w:line="240" w:lineRule="auto"/>
              <w:rPr>
                <w:rFonts w:cs="Arial"/>
                <w:b/>
                <w:bCs/>
                <w:color w:val="000000"/>
                <w:sz w:val="16"/>
                <w:szCs w:val="16"/>
              </w:rPr>
            </w:pPr>
            <w:r>
              <w:rPr>
                <w:rFonts w:cs="Arial"/>
                <w:b/>
                <w:bCs/>
                <w:sz w:val="16"/>
                <w:szCs w:val="16"/>
              </w:rPr>
              <w:t>Celkem</w:t>
            </w:r>
          </w:p>
        </w:tc>
        <w:tc>
          <w:tcPr>
            <w:tcW w:w="907" w:type="dxa"/>
            <w:tcBorders>
              <w:top w:val="nil"/>
              <w:left w:val="single" w:sz="4" w:space="0" w:color="auto"/>
              <w:bottom w:val="nil"/>
              <w:right w:val="nil"/>
            </w:tcBorders>
            <w:shd w:val="clear" w:color="auto" w:fill="auto"/>
            <w:noWrap/>
            <w:vAlign w:val="center"/>
            <w:hideMark/>
          </w:tcPr>
          <w:p w14:paraId="3F10F1B1" w14:textId="52AFFA92"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1 423,1</w:t>
            </w:r>
          </w:p>
        </w:tc>
        <w:tc>
          <w:tcPr>
            <w:tcW w:w="907" w:type="dxa"/>
            <w:tcBorders>
              <w:top w:val="nil"/>
              <w:left w:val="nil"/>
              <w:bottom w:val="nil"/>
              <w:right w:val="nil"/>
            </w:tcBorders>
            <w:shd w:val="clear" w:color="auto" w:fill="auto"/>
            <w:noWrap/>
            <w:vAlign w:val="center"/>
            <w:hideMark/>
          </w:tcPr>
          <w:p w14:paraId="0814F888" w14:textId="7C7E8166"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708,5</w:t>
            </w:r>
          </w:p>
        </w:tc>
        <w:tc>
          <w:tcPr>
            <w:tcW w:w="907" w:type="dxa"/>
            <w:tcBorders>
              <w:top w:val="nil"/>
              <w:left w:val="nil"/>
              <w:bottom w:val="nil"/>
              <w:right w:val="single" w:sz="4" w:space="0" w:color="auto"/>
            </w:tcBorders>
            <w:shd w:val="clear" w:color="auto" w:fill="auto"/>
            <w:noWrap/>
            <w:vAlign w:val="center"/>
            <w:hideMark/>
          </w:tcPr>
          <w:p w14:paraId="278F3C18" w14:textId="08CC7A49"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714,7</w:t>
            </w:r>
          </w:p>
        </w:tc>
        <w:tc>
          <w:tcPr>
            <w:tcW w:w="907" w:type="dxa"/>
            <w:tcBorders>
              <w:top w:val="nil"/>
              <w:left w:val="nil"/>
              <w:bottom w:val="nil"/>
              <w:right w:val="nil"/>
            </w:tcBorders>
            <w:shd w:val="clear" w:color="auto" w:fill="auto"/>
            <w:noWrap/>
            <w:vAlign w:val="center"/>
            <w:hideMark/>
          </w:tcPr>
          <w:p w14:paraId="3D013185" w14:textId="585FB767"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36,1</w:t>
            </w:r>
          </w:p>
        </w:tc>
        <w:tc>
          <w:tcPr>
            <w:tcW w:w="907" w:type="dxa"/>
            <w:tcBorders>
              <w:top w:val="nil"/>
              <w:left w:val="nil"/>
              <w:bottom w:val="nil"/>
              <w:right w:val="nil"/>
            </w:tcBorders>
            <w:shd w:val="clear" w:color="auto" w:fill="auto"/>
            <w:noWrap/>
            <w:vAlign w:val="center"/>
            <w:hideMark/>
          </w:tcPr>
          <w:p w14:paraId="71D59C1F" w14:textId="41771B7B"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33,8</w:t>
            </w:r>
          </w:p>
        </w:tc>
        <w:tc>
          <w:tcPr>
            <w:tcW w:w="907" w:type="dxa"/>
            <w:tcBorders>
              <w:top w:val="nil"/>
              <w:left w:val="nil"/>
              <w:bottom w:val="nil"/>
              <w:right w:val="nil"/>
            </w:tcBorders>
            <w:shd w:val="clear" w:color="auto" w:fill="auto"/>
            <w:noWrap/>
            <w:vAlign w:val="center"/>
            <w:hideMark/>
          </w:tcPr>
          <w:p w14:paraId="2AD3452D" w14:textId="12905927" w:rsidR="000B190B" w:rsidRPr="00D92E20" w:rsidRDefault="000B190B" w:rsidP="000B190B">
            <w:pPr>
              <w:spacing w:after="0" w:line="240" w:lineRule="auto"/>
              <w:jc w:val="right"/>
              <w:rPr>
                <w:rFonts w:cs="Arial"/>
                <w:b/>
                <w:bCs/>
                <w:color w:val="000000"/>
                <w:sz w:val="16"/>
                <w:szCs w:val="16"/>
              </w:rPr>
            </w:pPr>
            <w:r>
              <w:rPr>
                <w:rFonts w:cs="Arial"/>
                <w:b/>
                <w:bCs/>
                <w:color w:val="000000"/>
                <w:sz w:val="16"/>
                <w:szCs w:val="16"/>
              </w:rPr>
              <w:t>38,5</w:t>
            </w:r>
          </w:p>
        </w:tc>
      </w:tr>
      <w:tr w:rsidR="00E371CF" w:rsidRPr="00D92E20" w14:paraId="7E435868" w14:textId="77777777" w:rsidTr="00E371CF">
        <w:trPr>
          <w:trHeight w:val="300"/>
        </w:trPr>
        <w:tc>
          <w:tcPr>
            <w:tcW w:w="4195" w:type="dxa"/>
            <w:tcBorders>
              <w:top w:val="nil"/>
              <w:left w:val="nil"/>
              <w:bottom w:val="nil"/>
              <w:right w:val="nil"/>
            </w:tcBorders>
            <w:shd w:val="clear" w:color="auto" w:fill="auto"/>
            <w:noWrap/>
            <w:vAlign w:val="center"/>
            <w:hideMark/>
          </w:tcPr>
          <w:p w14:paraId="6E94681B" w14:textId="3C24BBE9"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Tuberkulóza</w:t>
            </w:r>
          </w:p>
        </w:tc>
        <w:tc>
          <w:tcPr>
            <w:tcW w:w="907" w:type="dxa"/>
            <w:tcBorders>
              <w:top w:val="nil"/>
              <w:left w:val="single" w:sz="4" w:space="0" w:color="auto"/>
              <w:bottom w:val="nil"/>
              <w:right w:val="nil"/>
            </w:tcBorders>
            <w:shd w:val="clear" w:color="auto" w:fill="auto"/>
            <w:noWrap/>
            <w:vAlign w:val="center"/>
            <w:hideMark/>
          </w:tcPr>
          <w:p w14:paraId="4E6AD390" w14:textId="6BBA0D46" w:rsidR="000B190B" w:rsidRPr="00D92E20" w:rsidRDefault="000B190B" w:rsidP="000B190B">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7343099C" w14:textId="0E4E2BA0" w:rsidR="000B190B" w:rsidRPr="00D92E20" w:rsidRDefault="000B190B" w:rsidP="000B190B">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single" w:sz="4" w:space="0" w:color="auto"/>
            </w:tcBorders>
            <w:shd w:val="clear" w:color="auto" w:fill="auto"/>
            <w:noWrap/>
            <w:vAlign w:val="center"/>
            <w:hideMark/>
          </w:tcPr>
          <w:p w14:paraId="6DD49EC1" w14:textId="707CD385" w:rsidR="000B190B" w:rsidRPr="00D92E20" w:rsidRDefault="000B190B" w:rsidP="000B190B">
            <w:pPr>
              <w:spacing w:after="0" w:line="240" w:lineRule="auto"/>
              <w:jc w:val="right"/>
              <w:rPr>
                <w:rFonts w:cs="Arial"/>
                <w:color w:val="000000"/>
                <w:sz w:val="16"/>
                <w:szCs w:val="16"/>
              </w:rPr>
            </w:pPr>
            <w:r>
              <w:rPr>
                <w:rFonts w:cs="Arial"/>
                <w:color w:val="000000"/>
                <w:sz w:val="16"/>
                <w:szCs w:val="16"/>
              </w:rPr>
              <w:t>0,0</w:t>
            </w:r>
          </w:p>
        </w:tc>
        <w:tc>
          <w:tcPr>
            <w:tcW w:w="907" w:type="dxa"/>
            <w:tcBorders>
              <w:top w:val="nil"/>
              <w:left w:val="nil"/>
              <w:bottom w:val="nil"/>
              <w:right w:val="nil"/>
            </w:tcBorders>
            <w:shd w:val="clear" w:color="auto" w:fill="auto"/>
            <w:noWrap/>
            <w:vAlign w:val="center"/>
            <w:hideMark/>
          </w:tcPr>
          <w:p w14:paraId="10DB4056" w14:textId="3C0F30DC" w:rsidR="000B190B" w:rsidRPr="00D92E20" w:rsidRDefault="000B190B" w:rsidP="000B190B">
            <w:pPr>
              <w:spacing w:after="0" w:line="240" w:lineRule="auto"/>
              <w:jc w:val="right"/>
              <w:rPr>
                <w:rFonts w:cs="Arial"/>
                <w:color w:val="000000"/>
                <w:sz w:val="16"/>
                <w:szCs w:val="16"/>
              </w:rPr>
            </w:pPr>
            <w:r>
              <w:rPr>
                <w:rFonts w:cs="Arial"/>
                <w:color w:val="000000"/>
                <w:sz w:val="16"/>
                <w:szCs w:val="16"/>
              </w:rPr>
              <w:t>182,0</w:t>
            </w:r>
          </w:p>
        </w:tc>
        <w:tc>
          <w:tcPr>
            <w:tcW w:w="907" w:type="dxa"/>
            <w:tcBorders>
              <w:top w:val="nil"/>
              <w:left w:val="nil"/>
              <w:bottom w:val="nil"/>
              <w:right w:val="nil"/>
            </w:tcBorders>
            <w:shd w:val="clear" w:color="auto" w:fill="auto"/>
            <w:noWrap/>
            <w:vAlign w:val="center"/>
            <w:hideMark/>
          </w:tcPr>
          <w:p w14:paraId="463FDE36" w14:textId="76262807" w:rsidR="000B190B" w:rsidRPr="00D92E20" w:rsidRDefault="000B190B" w:rsidP="000B190B">
            <w:pPr>
              <w:spacing w:after="0" w:line="240" w:lineRule="auto"/>
              <w:jc w:val="right"/>
              <w:rPr>
                <w:rFonts w:cs="Arial"/>
                <w:color w:val="000000"/>
                <w:sz w:val="16"/>
                <w:szCs w:val="16"/>
              </w:rPr>
            </w:pPr>
            <w:r>
              <w:rPr>
                <w:rFonts w:cs="Arial"/>
                <w:color w:val="000000"/>
                <w:sz w:val="16"/>
                <w:szCs w:val="16"/>
              </w:rPr>
              <w:t>156,3</w:t>
            </w:r>
          </w:p>
        </w:tc>
        <w:tc>
          <w:tcPr>
            <w:tcW w:w="907" w:type="dxa"/>
            <w:tcBorders>
              <w:top w:val="nil"/>
              <w:left w:val="nil"/>
              <w:bottom w:val="nil"/>
              <w:right w:val="nil"/>
            </w:tcBorders>
            <w:shd w:val="clear" w:color="auto" w:fill="auto"/>
            <w:noWrap/>
            <w:vAlign w:val="center"/>
            <w:hideMark/>
          </w:tcPr>
          <w:p w14:paraId="1B3C9596" w14:textId="49309BAC" w:rsidR="000B190B" w:rsidRPr="00D92E20" w:rsidRDefault="000B190B" w:rsidP="000B190B">
            <w:pPr>
              <w:spacing w:after="0" w:line="240" w:lineRule="auto"/>
              <w:jc w:val="right"/>
              <w:rPr>
                <w:rFonts w:cs="Arial"/>
                <w:color w:val="000000"/>
                <w:sz w:val="16"/>
                <w:szCs w:val="16"/>
              </w:rPr>
            </w:pPr>
            <w:r>
              <w:rPr>
                <w:rFonts w:cs="Arial"/>
                <w:color w:val="000000"/>
                <w:sz w:val="16"/>
                <w:szCs w:val="16"/>
              </w:rPr>
              <w:t>226,1</w:t>
            </w:r>
          </w:p>
        </w:tc>
      </w:tr>
      <w:tr w:rsidR="00E371CF" w:rsidRPr="00D92E20" w14:paraId="63580BE6" w14:textId="77777777" w:rsidTr="00E371CF">
        <w:trPr>
          <w:trHeight w:val="300"/>
        </w:trPr>
        <w:tc>
          <w:tcPr>
            <w:tcW w:w="4195" w:type="dxa"/>
            <w:tcBorders>
              <w:top w:val="nil"/>
              <w:left w:val="nil"/>
              <w:bottom w:val="nil"/>
              <w:right w:val="nil"/>
            </w:tcBorders>
            <w:shd w:val="clear" w:color="auto" w:fill="auto"/>
            <w:noWrap/>
            <w:vAlign w:val="center"/>
            <w:hideMark/>
          </w:tcPr>
          <w:p w14:paraId="78A38178" w14:textId="338568CC"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Zhoubné novotvary</w:t>
            </w:r>
          </w:p>
        </w:tc>
        <w:tc>
          <w:tcPr>
            <w:tcW w:w="907" w:type="dxa"/>
            <w:tcBorders>
              <w:top w:val="nil"/>
              <w:left w:val="single" w:sz="4" w:space="0" w:color="auto"/>
              <w:bottom w:val="nil"/>
              <w:right w:val="nil"/>
            </w:tcBorders>
            <w:shd w:val="clear" w:color="auto" w:fill="auto"/>
            <w:noWrap/>
            <w:vAlign w:val="center"/>
            <w:hideMark/>
          </w:tcPr>
          <w:p w14:paraId="33AAC3D1" w14:textId="755CE313" w:rsidR="000B190B" w:rsidRPr="00D92E20" w:rsidRDefault="000B190B" w:rsidP="000B190B">
            <w:pPr>
              <w:spacing w:after="0" w:line="240" w:lineRule="auto"/>
              <w:jc w:val="right"/>
              <w:rPr>
                <w:rFonts w:cs="Arial"/>
                <w:color w:val="000000"/>
                <w:sz w:val="16"/>
                <w:szCs w:val="16"/>
              </w:rPr>
            </w:pPr>
            <w:r>
              <w:rPr>
                <w:rFonts w:cs="Arial"/>
                <w:color w:val="000000"/>
                <w:sz w:val="16"/>
                <w:szCs w:val="16"/>
              </w:rPr>
              <w:t>7,1</w:t>
            </w:r>
          </w:p>
        </w:tc>
        <w:tc>
          <w:tcPr>
            <w:tcW w:w="907" w:type="dxa"/>
            <w:tcBorders>
              <w:top w:val="nil"/>
              <w:left w:val="nil"/>
              <w:bottom w:val="nil"/>
              <w:right w:val="nil"/>
            </w:tcBorders>
            <w:shd w:val="clear" w:color="auto" w:fill="auto"/>
            <w:noWrap/>
            <w:vAlign w:val="center"/>
            <w:hideMark/>
          </w:tcPr>
          <w:p w14:paraId="39270011" w14:textId="611AC724" w:rsidR="000B190B" w:rsidRPr="00D92E20" w:rsidRDefault="000B190B" w:rsidP="000B190B">
            <w:pPr>
              <w:spacing w:after="0" w:line="240" w:lineRule="auto"/>
              <w:jc w:val="right"/>
              <w:rPr>
                <w:rFonts w:cs="Arial"/>
                <w:color w:val="000000"/>
                <w:sz w:val="16"/>
                <w:szCs w:val="16"/>
              </w:rPr>
            </w:pPr>
            <w:r>
              <w:rPr>
                <w:rFonts w:cs="Arial"/>
                <w:color w:val="000000"/>
                <w:sz w:val="16"/>
                <w:szCs w:val="16"/>
              </w:rPr>
              <w:t>3,2</w:t>
            </w:r>
          </w:p>
        </w:tc>
        <w:tc>
          <w:tcPr>
            <w:tcW w:w="907" w:type="dxa"/>
            <w:tcBorders>
              <w:top w:val="nil"/>
              <w:left w:val="nil"/>
              <w:bottom w:val="nil"/>
              <w:right w:val="single" w:sz="4" w:space="0" w:color="auto"/>
            </w:tcBorders>
            <w:shd w:val="clear" w:color="auto" w:fill="auto"/>
            <w:noWrap/>
            <w:vAlign w:val="center"/>
            <w:hideMark/>
          </w:tcPr>
          <w:p w14:paraId="283A6F88" w14:textId="26203E11" w:rsidR="000B190B" w:rsidRPr="00D92E20" w:rsidRDefault="000B190B" w:rsidP="000B190B">
            <w:pPr>
              <w:spacing w:after="0" w:line="240" w:lineRule="auto"/>
              <w:jc w:val="right"/>
              <w:rPr>
                <w:rFonts w:cs="Arial"/>
                <w:color w:val="000000"/>
                <w:sz w:val="16"/>
                <w:szCs w:val="16"/>
              </w:rPr>
            </w:pPr>
            <w:r>
              <w:rPr>
                <w:rFonts w:cs="Arial"/>
                <w:color w:val="000000"/>
                <w:sz w:val="16"/>
                <w:szCs w:val="16"/>
              </w:rPr>
              <w:t>3,9</w:t>
            </w:r>
          </w:p>
        </w:tc>
        <w:tc>
          <w:tcPr>
            <w:tcW w:w="907" w:type="dxa"/>
            <w:tcBorders>
              <w:top w:val="nil"/>
              <w:left w:val="nil"/>
              <w:bottom w:val="nil"/>
              <w:right w:val="nil"/>
            </w:tcBorders>
            <w:shd w:val="clear" w:color="auto" w:fill="auto"/>
            <w:noWrap/>
            <w:vAlign w:val="center"/>
            <w:hideMark/>
          </w:tcPr>
          <w:p w14:paraId="64D588B3" w14:textId="32E6C06B" w:rsidR="000B190B" w:rsidRPr="00D92E20" w:rsidRDefault="000B190B" w:rsidP="000B190B">
            <w:pPr>
              <w:spacing w:after="0" w:line="240" w:lineRule="auto"/>
              <w:jc w:val="right"/>
              <w:rPr>
                <w:rFonts w:cs="Arial"/>
                <w:color w:val="000000"/>
                <w:sz w:val="16"/>
                <w:szCs w:val="16"/>
              </w:rPr>
            </w:pPr>
            <w:r>
              <w:rPr>
                <w:rFonts w:cs="Arial"/>
                <w:color w:val="000000"/>
                <w:sz w:val="16"/>
                <w:szCs w:val="16"/>
              </w:rPr>
              <w:t>187,7</w:t>
            </w:r>
          </w:p>
        </w:tc>
        <w:tc>
          <w:tcPr>
            <w:tcW w:w="907" w:type="dxa"/>
            <w:tcBorders>
              <w:top w:val="nil"/>
              <w:left w:val="nil"/>
              <w:bottom w:val="nil"/>
              <w:right w:val="nil"/>
            </w:tcBorders>
            <w:shd w:val="clear" w:color="auto" w:fill="auto"/>
            <w:noWrap/>
            <w:vAlign w:val="center"/>
            <w:hideMark/>
          </w:tcPr>
          <w:p w14:paraId="6EEA2220" w14:textId="4EAF2DDA" w:rsidR="000B190B" w:rsidRPr="00D92E20" w:rsidRDefault="000B190B" w:rsidP="000B190B">
            <w:pPr>
              <w:spacing w:after="0" w:line="240" w:lineRule="auto"/>
              <w:jc w:val="right"/>
              <w:rPr>
                <w:rFonts w:cs="Arial"/>
                <w:color w:val="000000"/>
                <w:sz w:val="16"/>
                <w:szCs w:val="16"/>
              </w:rPr>
            </w:pPr>
            <w:r>
              <w:rPr>
                <w:rFonts w:cs="Arial"/>
                <w:color w:val="000000"/>
                <w:sz w:val="16"/>
                <w:szCs w:val="16"/>
              </w:rPr>
              <w:t>175,2</w:t>
            </w:r>
          </w:p>
        </w:tc>
        <w:tc>
          <w:tcPr>
            <w:tcW w:w="907" w:type="dxa"/>
            <w:tcBorders>
              <w:top w:val="nil"/>
              <w:left w:val="nil"/>
              <w:bottom w:val="nil"/>
              <w:right w:val="nil"/>
            </w:tcBorders>
            <w:shd w:val="clear" w:color="auto" w:fill="auto"/>
            <w:noWrap/>
            <w:vAlign w:val="center"/>
            <w:hideMark/>
          </w:tcPr>
          <w:p w14:paraId="272C236E" w14:textId="6CD09D27" w:rsidR="000B190B" w:rsidRPr="00D92E20" w:rsidRDefault="000B190B" w:rsidP="000B190B">
            <w:pPr>
              <w:spacing w:after="0" w:line="240" w:lineRule="auto"/>
              <w:jc w:val="right"/>
              <w:rPr>
                <w:rFonts w:cs="Arial"/>
                <w:color w:val="000000"/>
                <w:sz w:val="16"/>
                <w:szCs w:val="16"/>
              </w:rPr>
            </w:pPr>
            <w:r>
              <w:rPr>
                <w:rFonts w:cs="Arial"/>
                <w:color w:val="000000"/>
                <w:sz w:val="16"/>
                <w:szCs w:val="16"/>
              </w:rPr>
              <w:t>198,0</w:t>
            </w:r>
          </w:p>
        </w:tc>
      </w:tr>
      <w:tr w:rsidR="00E371CF" w:rsidRPr="00D92E20" w14:paraId="552203C6" w14:textId="77777777" w:rsidTr="00E371CF">
        <w:trPr>
          <w:trHeight w:val="300"/>
        </w:trPr>
        <w:tc>
          <w:tcPr>
            <w:tcW w:w="4195" w:type="dxa"/>
            <w:tcBorders>
              <w:top w:val="nil"/>
              <w:left w:val="nil"/>
              <w:bottom w:val="nil"/>
              <w:right w:val="nil"/>
            </w:tcBorders>
            <w:shd w:val="clear" w:color="auto" w:fill="auto"/>
            <w:noWrap/>
            <w:vAlign w:val="center"/>
            <w:hideMark/>
          </w:tcPr>
          <w:p w14:paraId="43CD67B2" w14:textId="512588F3"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duševní</w:t>
            </w:r>
          </w:p>
        </w:tc>
        <w:tc>
          <w:tcPr>
            <w:tcW w:w="907" w:type="dxa"/>
            <w:tcBorders>
              <w:top w:val="nil"/>
              <w:left w:val="single" w:sz="4" w:space="0" w:color="auto"/>
              <w:bottom w:val="nil"/>
              <w:right w:val="nil"/>
            </w:tcBorders>
            <w:shd w:val="clear" w:color="auto" w:fill="auto"/>
            <w:noWrap/>
            <w:vAlign w:val="center"/>
            <w:hideMark/>
          </w:tcPr>
          <w:p w14:paraId="3A0FFC25" w14:textId="2FA6EFCE" w:rsidR="000B190B" w:rsidRPr="00D92E20" w:rsidRDefault="000B190B" w:rsidP="000B190B">
            <w:pPr>
              <w:spacing w:after="0" w:line="240" w:lineRule="auto"/>
              <w:jc w:val="right"/>
              <w:rPr>
                <w:rFonts w:cs="Arial"/>
                <w:color w:val="000000"/>
                <w:sz w:val="16"/>
                <w:szCs w:val="16"/>
              </w:rPr>
            </w:pPr>
            <w:r>
              <w:rPr>
                <w:rFonts w:cs="Arial"/>
                <w:color w:val="000000"/>
                <w:sz w:val="16"/>
                <w:szCs w:val="16"/>
              </w:rPr>
              <w:t>27,4</w:t>
            </w:r>
          </w:p>
        </w:tc>
        <w:tc>
          <w:tcPr>
            <w:tcW w:w="907" w:type="dxa"/>
            <w:tcBorders>
              <w:top w:val="nil"/>
              <w:left w:val="nil"/>
              <w:bottom w:val="nil"/>
              <w:right w:val="nil"/>
            </w:tcBorders>
            <w:shd w:val="clear" w:color="auto" w:fill="auto"/>
            <w:noWrap/>
            <w:vAlign w:val="center"/>
            <w:hideMark/>
          </w:tcPr>
          <w:p w14:paraId="1248E12D" w14:textId="6EFD331D" w:rsidR="000B190B" w:rsidRPr="00D92E20" w:rsidRDefault="000B190B" w:rsidP="000B190B">
            <w:pPr>
              <w:spacing w:after="0" w:line="240" w:lineRule="auto"/>
              <w:jc w:val="right"/>
              <w:rPr>
                <w:rFonts w:cs="Arial"/>
                <w:color w:val="000000"/>
                <w:sz w:val="16"/>
                <w:szCs w:val="16"/>
              </w:rPr>
            </w:pPr>
            <w:r>
              <w:rPr>
                <w:rFonts w:cs="Arial"/>
                <w:color w:val="000000"/>
                <w:sz w:val="16"/>
                <w:szCs w:val="16"/>
              </w:rPr>
              <w:t>9,7</w:t>
            </w:r>
          </w:p>
        </w:tc>
        <w:tc>
          <w:tcPr>
            <w:tcW w:w="907" w:type="dxa"/>
            <w:tcBorders>
              <w:top w:val="nil"/>
              <w:left w:val="nil"/>
              <w:bottom w:val="nil"/>
              <w:right w:val="single" w:sz="4" w:space="0" w:color="auto"/>
            </w:tcBorders>
            <w:shd w:val="clear" w:color="auto" w:fill="auto"/>
            <w:noWrap/>
            <w:vAlign w:val="center"/>
            <w:hideMark/>
          </w:tcPr>
          <w:p w14:paraId="10F324A3" w14:textId="238FCC45" w:rsidR="000B190B" w:rsidRPr="00D92E20" w:rsidRDefault="000B190B" w:rsidP="000B190B">
            <w:pPr>
              <w:spacing w:after="0" w:line="240" w:lineRule="auto"/>
              <w:jc w:val="right"/>
              <w:rPr>
                <w:rFonts w:cs="Arial"/>
                <w:color w:val="000000"/>
                <w:sz w:val="16"/>
                <w:szCs w:val="16"/>
              </w:rPr>
            </w:pPr>
            <w:r>
              <w:rPr>
                <w:rFonts w:cs="Arial"/>
                <w:color w:val="000000"/>
                <w:sz w:val="16"/>
                <w:szCs w:val="16"/>
              </w:rPr>
              <w:t>17,7</w:t>
            </w:r>
          </w:p>
        </w:tc>
        <w:tc>
          <w:tcPr>
            <w:tcW w:w="907" w:type="dxa"/>
            <w:tcBorders>
              <w:top w:val="nil"/>
              <w:left w:val="nil"/>
              <w:bottom w:val="nil"/>
              <w:right w:val="nil"/>
            </w:tcBorders>
            <w:shd w:val="clear" w:color="auto" w:fill="auto"/>
            <w:noWrap/>
            <w:vAlign w:val="center"/>
            <w:hideMark/>
          </w:tcPr>
          <w:p w14:paraId="5AD137E9" w14:textId="295F9593" w:rsidR="000B190B" w:rsidRPr="00D92E20" w:rsidRDefault="000B190B" w:rsidP="000B190B">
            <w:pPr>
              <w:spacing w:after="0" w:line="240" w:lineRule="auto"/>
              <w:jc w:val="right"/>
              <w:rPr>
                <w:rFonts w:cs="Arial"/>
                <w:color w:val="000000"/>
                <w:sz w:val="16"/>
                <w:szCs w:val="16"/>
              </w:rPr>
            </w:pPr>
            <w:r>
              <w:rPr>
                <w:rFonts w:cs="Arial"/>
                <w:color w:val="000000"/>
                <w:sz w:val="16"/>
                <w:szCs w:val="16"/>
              </w:rPr>
              <w:t>97,7</w:t>
            </w:r>
          </w:p>
        </w:tc>
        <w:tc>
          <w:tcPr>
            <w:tcW w:w="907" w:type="dxa"/>
            <w:tcBorders>
              <w:top w:val="nil"/>
              <w:left w:val="nil"/>
              <w:bottom w:val="nil"/>
              <w:right w:val="nil"/>
            </w:tcBorders>
            <w:shd w:val="clear" w:color="auto" w:fill="auto"/>
            <w:noWrap/>
            <w:vAlign w:val="center"/>
            <w:hideMark/>
          </w:tcPr>
          <w:p w14:paraId="275AD66A" w14:textId="5B20E29C" w:rsidR="000B190B" w:rsidRPr="00D92E20" w:rsidRDefault="000B190B" w:rsidP="000B190B">
            <w:pPr>
              <w:spacing w:after="0" w:line="240" w:lineRule="auto"/>
              <w:jc w:val="right"/>
              <w:rPr>
                <w:rFonts w:cs="Arial"/>
                <w:color w:val="000000"/>
                <w:sz w:val="16"/>
                <w:szCs w:val="16"/>
              </w:rPr>
            </w:pPr>
            <w:r>
              <w:rPr>
                <w:rFonts w:cs="Arial"/>
                <w:color w:val="000000"/>
                <w:sz w:val="16"/>
                <w:szCs w:val="16"/>
              </w:rPr>
              <w:t>92,8</w:t>
            </w:r>
          </w:p>
        </w:tc>
        <w:tc>
          <w:tcPr>
            <w:tcW w:w="907" w:type="dxa"/>
            <w:tcBorders>
              <w:top w:val="nil"/>
              <w:left w:val="nil"/>
              <w:bottom w:val="nil"/>
              <w:right w:val="nil"/>
            </w:tcBorders>
            <w:shd w:val="clear" w:color="auto" w:fill="auto"/>
            <w:noWrap/>
            <w:vAlign w:val="center"/>
            <w:hideMark/>
          </w:tcPr>
          <w:p w14:paraId="62E06225" w14:textId="4B4BA358" w:rsidR="000B190B" w:rsidRPr="00D92E20" w:rsidRDefault="000B190B" w:rsidP="000B190B">
            <w:pPr>
              <w:spacing w:after="0" w:line="240" w:lineRule="auto"/>
              <w:jc w:val="right"/>
              <w:rPr>
                <w:rFonts w:cs="Arial"/>
                <w:color w:val="000000"/>
                <w:sz w:val="16"/>
                <w:szCs w:val="16"/>
              </w:rPr>
            </w:pPr>
            <w:r>
              <w:rPr>
                <w:rFonts w:cs="Arial"/>
                <w:color w:val="000000"/>
                <w:sz w:val="16"/>
                <w:szCs w:val="16"/>
              </w:rPr>
              <w:t>100,3</w:t>
            </w:r>
          </w:p>
        </w:tc>
      </w:tr>
      <w:tr w:rsidR="00E371CF" w:rsidRPr="00D92E20" w14:paraId="559EEC93" w14:textId="77777777" w:rsidTr="00E371CF">
        <w:trPr>
          <w:trHeight w:val="300"/>
        </w:trPr>
        <w:tc>
          <w:tcPr>
            <w:tcW w:w="4195" w:type="dxa"/>
            <w:tcBorders>
              <w:top w:val="nil"/>
              <w:left w:val="nil"/>
              <w:bottom w:val="nil"/>
              <w:right w:val="nil"/>
            </w:tcBorders>
            <w:shd w:val="clear" w:color="auto" w:fill="auto"/>
            <w:noWrap/>
            <w:vAlign w:val="center"/>
            <w:hideMark/>
          </w:tcPr>
          <w:p w14:paraId="14F7B712" w14:textId="66407962"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nervové soustavy</w:t>
            </w:r>
          </w:p>
        </w:tc>
        <w:tc>
          <w:tcPr>
            <w:tcW w:w="907" w:type="dxa"/>
            <w:tcBorders>
              <w:top w:val="nil"/>
              <w:left w:val="single" w:sz="4" w:space="0" w:color="auto"/>
              <w:bottom w:val="nil"/>
              <w:right w:val="nil"/>
            </w:tcBorders>
            <w:shd w:val="clear" w:color="auto" w:fill="auto"/>
            <w:noWrap/>
            <w:vAlign w:val="center"/>
            <w:hideMark/>
          </w:tcPr>
          <w:p w14:paraId="7E36F5D7" w14:textId="3642A5E0" w:rsidR="000B190B" w:rsidRPr="00D92E20" w:rsidRDefault="000B190B" w:rsidP="000B190B">
            <w:pPr>
              <w:spacing w:after="0" w:line="240" w:lineRule="auto"/>
              <w:jc w:val="right"/>
              <w:rPr>
                <w:rFonts w:cs="Arial"/>
                <w:color w:val="000000"/>
                <w:sz w:val="16"/>
                <w:szCs w:val="16"/>
              </w:rPr>
            </w:pPr>
            <w:r>
              <w:rPr>
                <w:rFonts w:cs="Arial"/>
                <w:color w:val="000000"/>
                <w:sz w:val="16"/>
                <w:szCs w:val="16"/>
              </w:rPr>
              <w:t>16,4</w:t>
            </w:r>
          </w:p>
        </w:tc>
        <w:tc>
          <w:tcPr>
            <w:tcW w:w="907" w:type="dxa"/>
            <w:tcBorders>
              <w:top w:val="nil"/>
              <w:left w:val="nil"/>
              <w:bottom w:val="nil"/>
              <w:right w:val="nil"/>
            </w:tcBorders>
            <w:shd w:val="clear" w:color="auto" w:fill="auto"/>
            <w:noWrap/>
            <w:vAlign w:val="center"/>
            <w:hideMark/>
          </w:tcPr>
          <w:p w14:paraId="1D82442D" w14:textId="46438F4F" w:rsidR="000B190B" w:rsidRPr="00D92E20" w:rsidRDefault="000B190B" w:rsidP="000B190B">
            <w:pPr>
              <w:spacing w:after="0" w:line="240" w:lineRule="auto"/>
              <w:jc w:val="right"/>
              <w:rPr>
                <w:rFonts w:cs="Arial"/>
                <w:color w:val="000000"/>
                <w:sz w:val="16"/>
                <w:szCs w:val="16"/>
              </w:rPr>
            </w:pPr>
            <w:r>
              <w:rPr>
                <w:rFonts w:cs="Arial"/>
                <w:color w:val="000000"/>
                <w:sz w:val="16"/>
                <w:szCs w:val="16"/>
              </w:rPr>
              <w:t>6,7</w:t>
            </w:r>
          </w:p>
        </w:tc>
        <w:tc>
          <w:tcPr>
            <w:tcW w:w="907" w:type="dxa"/>
            <w:tcBorders>
              <w:top w:val="nil"/>
              <w:left w:val="nil"/>
              <w:bottom w:val="nil"/>
              <w:right w:val="single" w:sz="4" w:space="0" w:color="auto"/>
            </w:tcBorders>
            <w:shd w:val="clear" w:color="auto" w:fill="auto"/>
            <w:noWrap/>
            <w:vAlign w:val="center"/>
            <w:hideMark/>
          </w:tcPr>
          <w:p w14:paraId="297E2A9F" w14:textId="5BA961DA" w:rsidR="000B190B" w:rsidRPr="00D92E20" w:rsidRDefault="000B190B" w:rsidP="000B190B">
            <w:pPr>
              <w:spacing w:after="0" w:line="240" w:lineRule="auto"/>
              <w:jc w:val="right"/>
              <w:rPr>
                <w:rFonts w:cs="Arial"/>
                <w:color w:val="000000"/>
                <w:sz w:val="16"/>
                <w:szCs w:val="16"/>
              </w:rPr>
            </w:pPr>
            <w:r>
              <w:rPr>
                <w:rFonts w:cs="Arial"/>
                <w:color w:val="000000"/>
                <w:sz w:val="16"/>
                <w:szCs w:val="16"/>
              </w:rPr>
              <w:t>9,7</w:t>
            </w:r>
          </w:p>
        </w:tc>
        <w:tc>
          <w:tcPr>
            <w:tcW w:w="907" w:type="dxa"/>
            <w:tcBorders>
              <w:top w:val="nil"/>
              <w:left w:val="nil"/>
              <w:bottom w:val="nil"/>
              <w:right w:val="nil"/>
            </w:tcBorders>
            <w:shd w:val="clear" w:color="auto" w:fill="auto"/>
            <w:noWrap/>
            <w:vAlign w:val="center"/>
            <w:hideMark/>
          </w:tcPr>
          <w:p w14:paraId="6835D90C" w14:textId="234DFE25" w:rsidR="000B190B" w:rsidRPr="00D92E20" w:rsidRDefault="000B190B" w:rsidP="000B190B">
            <w:pPr>
              <w:spacing w:after="0" w:line="240" w:lineRule="auto"/>
              <w:jc w:val="right"/>
              <w:rPr>
                <w:rFonts w:cs="Arial"/>
                <w:color w:val="000000"/>
                <w:sz w:val="16"/>
                <w:szCs w:val="16"/>
              </w:rPr>
            </w:pPr>
            <w:r>
              <w:rPr>
                <w:rFonts w:cs="Arial"/>
                <w:color w:val="000000"/>
                <w:sz w:val="16"/>
                <w:szCs w:val="16"/>
              </w:rPr>
              <w:t>82,7</w:t>
            </w:r>
          </w:p>
        </w:tc>
        <w:tc>
          <w:tcPr>
            <w:tcW w:w="907" w:type="dxa"/>
            <w:tcBorders>
              <w:top w:val="nil"/>
              <w:left w:val="nil"/>
              <w:bottom w:val="nil"/>
              <w:right w:val="nil"/>
            </w:tcBorders>
            <w:shd w:val="clear" w:color="auto" w:fill="auto"/>
            <w:noWrap/>
            <w:vAlign w:val="center"/>
            <w:hideMark/>
          </w:tcPr>
          <w:p w14:paraId="74D47F8B" w14:textId="79280A9A" w:rsidR="000B190B" w:rsidRPr="00D92E20" w:rsidRDefault="000B190B" w:rsidP="000B190B">
            <w:pPr>
              <w:spacing w:after="0" w:line="240" w:lineRule="auto"/>
              <w:jc w:val="right"/>
              <w:rPr>
                <w:rFonts w:cs="Arial"/>
                <w:color w:val="000000"/>
                <w:sz w:val="16"/>
                <w:szCs w:val="16"/>
              </w:rPr>
            </w:pPr>
            <w:r>
              <w:rPr>
                <w:rFonts w:cs="Arial"/>
                <w:color w:val="000000"/>
                <w:sz w:val="16"/>
                <w:szCs w:val="16"/>
              </w:rPr>
              <w:t>83,0</w:t>
            </w:r>
          </w:p>
        </w:tc>
        <w:tc>
          <w:tcPr>
            <w:tcW w:w="907" w:type="dxa"/>
            <w:tcBorders>
              <w:top w:val="nil"/>
              <w:left w:val="nil"/>
              <w:bottom w:val="nil"/>
              <w:right w:val="nil"/>
            </w:tcBorders>
            <w:shd w:val="clear" w:color="auto" w:fill="auto"/>
            <w:noWrap/>
            <w:vAlign w:val="center"/>
            <w:hideMark/>
          </w:tcPr>
          <w:p w14:paraId="172DDDB3" w14:textId="7881B245" w:rsidR="000B190B" w:rsidRPr="00D92E20" w:rsidRDefault="000B190B" w:rsidP="000B190B">
            <w:pPr>
              <w:spacing w:after="0" w:line="240" w:lineRule="auto"/>
              <w:jc w:val="right"/>
              <w:rPr>
                <w:rFonts w:cs="Arial"/>
                <w:color w:val="000000"/>
                <w:sz w:val="16"/>
                <w:szCs w:val="16"/>
              </w:rPr>
            </w:pPr>
            <w:r>
              <w:rPr>
                <w:rFonts w:cs="Arial"/>
                <w:color w:val="000000"/>
                <w:sz w:val="16"/>
                <w:szCs w:val="16"/>
              </w:rPr>
              <w:t>82,5</w:t>
            </w:r>
          </w:p>
        </w:tc>
      </w:tr>
      <w:tr w:rsidR="00E371CF" w:rsidRPr="00D92E20" w14:paraId="75A5661C" w14:textId="77777777" w:rsidTr="00E371CF">
        <w:trPr>
          <w:trHeight w:val="300"/>
        </w:trPr>
        <w:tc>
          <w:tcPr>
            <w:tcW w:w="4195" w:type="dxa"/>
            <w:tcBorders>
              <w:top w:val="nil"/>
              <w:left w:val="nil"/>
              <w:bottom w:val="nil"/>
              <w:right w:val="nil"/>
            </w:tcBorders>
            <w:shd w:val="clear" w:color="auto" w:fill="auto"/>
            <w:noWrap/>
            <w:vAlign w:val="center"/>
            <w:hideMark/>
          </w:tcPr>
          <w:p w14:paraId="4CE6A75B" w14:textId="13678083"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oběhové soustavy</w:t>
            </w:r>
          </w:p>
        </w:tc>
        <w:tc>
          <w:tcPr>
            <w:tcW w:w="907" w:type="dxa"/>
            <w:tcBorders>
              <w:top w:val="nil"/>
              <w:left w:val="single" w:sz="4" w:space="0" w:color="auto"/>
              <w:bottom w:val="nil"/>
              <w:right w:val="nil"/>
            </w:tcBorders>
            <w:shd w:val="clear" w:color="auto" w:fill="auto"/>
            <w:noWrap/>
            <w:vAlign w:val="center"/>
            <w:hideMark/>
          </w:tcPr>
          <w:p w14:paraId="47AF33BC" w14:textId="697A4FF9" w:rsidR="000B190B" w:rsidRPr="00D92E20" w:rsidRDefault="000B190B" w:rsidP="000B190B">
            <w:pPr>
              <w:spacing w:after="0" w:line="240" w:lineRule="auto"/>
              <w:jc w:val="right"/>
              <w:rPr>
                <w:rFonts w:cs="Arial"/>
                <w:color w:val="000000"/>
                <w:sz w:val="16"/>
                <w:szCs w:val="16"/>
              </w:rPr>
            </w:pPr>
            <w:r>
              <w:rPr>
                <w:rFonts w:cs="Arial"/>
                <w:color w:val="000000"/>
                <w:sz w:val="16"/>
                <w:szCs w:val="16"/>
              </w:rPr>
              <w:t>24,8</w:t>
            </w:r>
          </w:p>
        </w:tc>
        <w:tc>
          <w:tcPr>
            <w:tcW w:w="907" w:type="dxa"/>
            <w:tcBorders>
              <w:top w:val="nil"/>
              <w:left w:val="nil"/>
              <w:bottom w:val="nil"/>
              <w:right w:val="nil"/>
            </w:tcBorders>
            <w:shd w:val="clear" w:color="auto" w:fill="auto"/>
            <w:noWrap/>
            <w:vAlign w:val="center"/>
            <w:hideMark/>
          </w:tcPr>
          <w:p w14:paraId="27609FCB" w14:textId="008EB441" w:rsidR="000B190B" w:rsidRPr="00D92E20" w:rsidRDefault="000B190B" w:rsidP="000B190B">
            <w:pPr>
              <w:spacing w:after="0" w:line="240" w:lineRule="auto"/>
              <w:jc w:val="right"/>
              <w:rPr>
                <w:rFonts w:cs="Arial"/>
                <w:color w:val="000000"/>
                <w:sz w:val="16"/>
                <w:szCs w:val="16"/>
              </w:rPr>
            </w:pPr>
            <w:r>
              <w:rPr>
                <w:rFonts w:cs="Arial"/>
                <w:color w:val="000000"/>
                <w:sz w:val="16"/>
                <w:szCs w:val="16"/>
              </w:rPr>
              <w:t>14,3</w:t>
            </w:r>
          </w:p>
        </w:tc>
        <w:tc>
          <w:tcPr>
            <w:tcW w:w="907" w:type="dxa"/>
            <w:tcBorders>
              <w:top w:val="nil"/>
              <w:left w:val="nil"/>
              <w:bottom w:val="nil"/>
              <w:right w:val="single" w:sz="4" w:space="0" w:color="auto"/>
            </w:tcBorders>
            <w:shd w:val="clear" w:color="auto" w:fill="auto"/>
            <w:noWrap/>
            <w:vAlign w:val="center"/>
            <w:hideMark/>
          </w:tcPr>
          <w:p w14:paraId="40DF092F" w14:textId="5E5CBFFC" w:rsidR="000B190B" w:rsidRPr="00D92E20" w:rsidRDefault="000B190B" w:rsidP="000B190B">
            <w:pPr>
              <w:spacing w:after="0" w:line="240" w:lineRule="auto"/>
              <w:jc w:val="right"/>
              <w:rPr>
                <w:rFonts w:cs="Arial"/>
                <w:color w:val="000000"/>
                <w:sz w:val="16"/>
                <w:szCs w:val="16"/>
              </w:rPr>
            </w:pPr>
            <w:r>
              <w:rPr>
                <w:rFonts w:cs="Arial"/>
                <w:color w:val="000000"/>
                <w:sz w:val="16"/>
                <w:szCs w:val="16"/>
              </w:rPr>
              <w:t>10,5</w:t>
            </w:r>
          </w:p>
        </w:tc>
        <w:tc>
          <w:tcPr>
            <w:tcW w:w="907" w:type="dxa"/>
            <w:tcBorders>
              <w:top w:val="nil"/>
              <w:left w:val="nil"/>
              <w:bottom w:val="nil"/>
              <w:right w:val="nil"/>
            </w:tcBorders>
            <w:shd w:val="clear" w:color="auto" w:fill="auto"/>
            <w:noWrap/>
            <w:vAlign w:val="center"/>
            <w:hideMark/>
          </w:tcPr>
          <w:p w14:paraId="47703321" w14:textId="113720EA" w:rsidR="000B190B" w:rsidRPr="00D92E20" w:rsidRDefault="000B190B" w:rsidP="000B190B">
            <w:pPr>
              <w:spacing w:after="0" w:line="240" w:lineRule="auto"/>
              <w:jc w:val="right"/>
              <w:rPr>
                <w:rFonts w:cs="Arial"/>
                <w:color w:val="000000"/>
                <w:sz w:val="16"/>
                <w:szCs w:val="16"/>
              </w:rPr>
            </w:pPr>
            <w:r>
              <w:rPr>
                <w:rFonts w:cs="Arial"/>
                <w:color w:val="000000"/>
                <w:sz w:val="16"/>
                <w:szCs w:val="16"/>
              </w:rPr>
              <w:t>84,9</w:t>
            </w:r>
          </w:p>
        </w:tc>
        <w:tc>
          <w:tcPr>
            <w:tcW w:w="907" w:type="dxa"/>
            <w:tcBorders>
              <w:top w:val="nil"/>
              <w:left w:val="nil"/>
              <w:bottom w:val="nil"/>
              <w:right w:val="nil"/>
            </w:tcBorders>
            <w:shd w:val="clear" w:color="auto" w:fill="auto"/>
            <w:noWrap/>
            <w:vAlign w:val="center"/>
            <w:hideMark/>
          </w:tcPr>
          <w:p w14:paraId="366657C6" w14:textId="2BC9E014" w:rsidR="000B190B" w:rsidRPr="00D92E20" w:rsidRDefault="000B190B" w:rsidP="000B190B">
            <w:pPr>
              <w:spacing w:after="0" w:line="240" w:lineRule="auto"/>
              <w:jc w:val="right"/>
              <w:rPr>
                <w:rFonts w:cs="Arial"/>
                <w:color w:val="000000"/>
                <w:sz w:val="16"/>
                <w:szCs w:val="16"/>
              </w:rPr>
            </w:pPr>
            <w:r>
              <w:rPr>
                <w:rFonts w:cs="Arial"/>
                <w:color w:val="000000"/>
                <w:sz w:val="16"/>
                <w:szCs w:val="16"/>
              </w:rPr>
              <w:t>95,0</w:t>
            </w:r>
          </w:p>
        </w:tc>
        <w:tc>
          <w:tcPr>
            <w:tcW w:w="907" w:type="dxa"/>
            <w:tcBorders>
              <w:top w:val="nil"/>
              <w:left w:val="nil"/>
              <w:bottom w:val="nil"/>
              <w:right w:val="nil"/>
            </w:tcBorders>
            <w:shd w:val="clear" w:color="auto" w:fill="auto"/>
            <w:noWrap/>
            <w:vAlign w:val="center"/>
            <w:hideMark/>
          </w:tcPr>
          <w:p w14:paraId="0F421828" w14:textId="551A9BCA" w:rsidR="000B190B" w:rsidRPr="00D92E20" w:rsidRDefault="000B190B" w:rsidP="000B190B">
            <w:pPr>
              <w:spacing w:after="0" w:line="240" w:lineRule="auto"/>
              <w:jc w:val="right"/>
              <w:rPr>
                <w:rFonts w:cs="Arial"/>
                <w:color w:val="000000"/>
                <w:sz w:val="16"/>
                <w:szCs w:val="16"/>
              </w:rPr>
            </w:pPr>
            <w:r>
              <w:rPr>
                <w:rFonts w:cs="Arial"/>
                <w:color w:val="000000"/>
                <w:sz w:val="16"/>
                <w:szCs w:val="16"/>
              </w:rPr>
              <w:t>71,1</w:t>
            </w:r>
          </w:p>
        </w:tc>
      </w:tr>
      <w:tr w:rsidR="00E371CF" w:rsidRPr="00D92E20" w14:paraId="1880F282" w14:textId="77777777" w:rsidTr="00E371CF">
        <w:trPr>
          <w:trHeight w:val="300"/>
        </w:trPr>
        <w:tc>
          <w:tcPr>
            <w:tcW w:w="4195" w:type="dxa"/>
            <w:tcBorders>
              <w:top w:val="nil"/>
              <w:left w:val="nil"/>
              <w:bottom w:val="nil"/>
              <w:right w:val="nil"/>
            </w:tcBorders>
            <w:shd w:val="clear" w:color="auto" w:fill="auto"/>
            <w:noWrap/>
            <w:vAlign w:val="center"/>
            <w:hideMark/>
          </w:tcPr>
          <w:p w14:paraId="654B271F" w14:textId="7FD9A244"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hypertenze</w:t>
            </w:r>
          </w:p>
        </w:tc>
        <w:tc>
          <w:tcPr>
            <w:tcW w:w="907" w:type="dxa"/>
            <w:tcBorders>
              <w:top w:val="nil"/>
              <w:left w:val="single" w:sz="4" w:space="0" w:color="auto"/>
              <w:bottom w:val="nil"/>
              <w:right w:val="nil"/>
            </w:tcBorders>
            <w:shd w:val="clear" w:color="auto" w:fill="auto"/>
            <w:noWrap/>
            <w:vAlign w:val="center"/>
            <w:hideMark/>
          </w:tcPr>
          <w:p w14:paraId="0F28C048" w14:textId="506435F5" w:rsidR="000B190B" w:rsidRPr="00D92E20" w:rsidRDefault="000B190B" w:rsidP="000B190B">
            <w:pPr>
              <w:spacing w:after="0" w:line="240" w:lineRule="auto"/>
              <w:jc w:val="right"/>
              <w:rPr>
                <w:rFonts w:cs="Arial"/>
                <w:color w:val="000000"/>
                <w:sz w:val="16"/>
                <w:szCs w:val="16"/>
              </w:rPr>
            </w:pPr>
            <w:r>
              <w:rPr>
                <w:rFonts w:cs="Arial"/>
                <w:color w:val="000000"/>
                <w:sz w:val="16"/>
                <w:szCs w:val="16"/>
              </w:rPr>
              <w:t>8,1</w:t>
            </w:r>
          </w:p>
        </w:tc>
        <w:tc>
          <w:tcPr>
            <w:tcW w:w="907" w:type="dxa"/>
            <w:tcBorders>
              <w:top w:val="nil"/>
              <w:left w:val="nil"/>
              <w:bottom w:val="nil"/>
              <w:right w:val="nil"/>
            </w:tcBorders>
            <w:shd w:val="clear" w:color="auto" w:fill="auto"/>
            <w:noWrap/>
            <w:vAlign w:val="center"/>
            <w:hideMark/>
          </w:tcPr>
          <w:p w14:paraId="296552D7" w14:textId="7EF51F43" w:rsidR="000B190B" w:rsidRPr="00D92E20" w:rsidRDefault="000B190B" w:rsidP="000B190B">
            <w:pPr>
              <w:spacing w:after="0" w:line="240" w:lineRule="auto"/>
              <w:jc w:val="right"/>
              <w:rPr>
                <w:rFonts w:cs="Arial"/>
                <w:color w:val="000000"/>
                <w:sz w:val="16"/>
                <w:szCs w:val="16"/>
              </w:rPr>
            </w:pPr>
            <w:r>
              <w:rPr>
                <w:rFonts w:cs="Arial"/>
                <w:color w:val="000000"/>
                <w:sz w:val="16"/>
                <w:szCs w:val="16"/>
              </w:rPr>
              <w:t>4,3</w:t>
            </w:r>
          </w:p>
        </w:tc>
        <w:tc>
          <w:tcPr>
            <w:tcW w:w="907" w:type="dxa"/>
            <w:tcBorders>
              <w:top w:val="nil"/>
              <w:left w:val="nil"/>
              <w:bottom w:val="nil"/>
              <w:right w:val="single" w:sz="4" w:space="0" w:color="auto"/>
            </w:tcBorders>
            <w:shd w:val="clear" w:color="auto" w:fill="auto"/>
            <w:noWrap/>
            <w:vAlign w:val="center"/>
            <w:hideMark/>
          </w:tcPr>
          <w:p w14:paraId="2F27BCED" w14:textId="265473A9" w:rsidR="000B190B" w:rsidRPr="00D92E20" w:rsidRDefault="000B190B" w:rsidP="000B190B">
            <w:pPr>
              <w:spacing w:after="0" w:line="240" w:lineRule="auto"/>
              <w:jc w:val="right"/>
              <w:rPr>
                <w:rFonts w:cs="Arial"/>
                <w:color w:val="000000"/>
                <w:sz w:val="16"/>
                <w:szCs w:val="16"/>
              </w:rPr>
            </w:pPr>
            <w:r>
              <w:rPr>
                <w:rFonts w:cs="Arial"/>
                <w:color w:val="000000"/>
                <w:sz w:val="16"/>
                <w:szCs w:val="16"/>
              </w:rPr>
              <w:t>3,8</w:t>
            </w:r>
          </w:p>
        </w:tc>
        <w:tc>
          <w:tcPr>
            <w:tcW w:w="907" w:type="dxa"/>
            <w:tcBorders>
              <w:top w:val="nil"/>
              <w:left w:val="nil"/>
              <w:bottom w:val="nil"/>
              <w:right w:val="nil"/>
            </w:tcBorders>
            <w:shd w:val="clear" w:color="auto" w:fill="auto"/>
            <w:noWrap/>
            <w:vAlign w:val="center"/>
            <w:hideMark/>
          </w:tcPr>
          <w:p w14:paraId="22879A21" w14:textId="5D8D395C" w:rsidR="000B190B" w:rsidRPr="00D92E20" w:rsidRDefault="000B190B" w:rsidP="000B190B">
            <w:pPr>
              <w:spacing w:after="0" w:line="240" w:lineRule="auto"/>
              <w:jc w:val="right"/>
              <w:rPr>
                <w:rFonts w:cs="Arial"/>
                <w:color w:val="000000"/>
                <w:sz w:val="16"/>
                <w:szCs w:val="16"/>
              </w:rPr>
            </w:pPr>
            <w:r>
              <w:rPr>
                <w:rFonts w:cs="Arial"/>
                <w:color w:val="000000"/>
                <w:sz w:val="16"/>
                <w:szCs w:val="16"/>
              </w:rPr>
              <w:t>57,2</w:t>
            </w:r>
          </w:p>
        </w:tc>
        <w:tc>
          <w:tcPr>
            <w:tcW w:w="907" w:type="dxa"/>
            <w:tcBorders>
              <w:top w:val="nil"/>
              <w:left w:val="nil"/>
              <w:bottom w:val="nil"/>
              <w:right w:val="nil"/>
            </w:tcBorders>
            <w:shd w:val="clear" w:color="auto" w:fill="auto"/>
            <w:noWrap/>
            <w:vAlign w:val="center"/>
            <w:hideMark/>
          </w:tcPr>
          <w:p w14:paraId="4730A926" w14:textId="2896155D" w:rsidR="000B190B" w:rsidRPr="00D92E20" w:rsidRDefault="000B190B" w:rsidP="000B190B">
            <w:pPr>
              <w:spacing w:after="0" w:line="240" w:lineRule="auto"/>
              <w:jc w:val="right"/>
              <w:rPr>
                <w:rFonts w:cs="Arial"/>
                <w:color w:val="000000"/>
                <w:sz w:val="16"/>
                <w:szCs w:val="16"/>
              </w:rPr>
            </w:pPr>
            <w:r>
              <w:rPr>
                <w:rFonts w:cs="Arial"/>
                <w:color w:val="000000"/>
                <w:sz w:val="16"/>
                <w:szCs w:val="16"/>
              </w:rPr>
              <w:t>59,5</w:t>
            </w:r>
          </w:p>
        </w:tc>
        <w:tc>
          <w:tcPr>
            <w:tcW w:w="907" w:type="dxa"/>
            <w:tcBorders>
              <w:top w:val="nil"/>
              <w:left w:val="nil"/>
              <w:bottom w:val="nil"/>
              <w:right w:val="nil"/>
            </w:tcBorders>
            <w:shd w:val="clear" w:color="auto" w:fill="auto"/>
            <w:noWrap/>
            <w:vAlign w:val="center"/>
            <w:hideMark/>
          </w:tcPr>
          <w:p w14:paraId="30D5E362" w14:textId="41588CF7" w:rsidR="000B190B" w:rsidRPr="00D92E20" w:rsidRDefault="000B190B" w:rsidP="000B190B">
            <w:pPr>
              <w:spacing w:after="0" w:line="240" w:lineRule="auto"/>
              <w:jc w:val="right"/>
              <w:rPr>
                <w:rFonts w:cs="Arial"/>
                <w:color w:val="000000"/>
                <w:sz w:val="16"/>
                <w:szCs w:val="16"/>
              </w:rPr>
            </w:pPr>
            <w:r>
              <w:rPr>
                <w:rFonts w:cs="Arial"/>
                <w:color w:val="000000"/>
                <w:sz w:val="16"/>
                <w:szCs w:val="16"/>
              </w:rPr>
              <w:t>54,5</w:t>
            </w:r>
          </w:p>
        </w:tc>
      </w:tr>
      <w:tr w:rsidR="00E371CF" w:rsidRPr="00D92E20" w14:paraId="52556D18" w14:textId="77777777" w:rsidTr="00E371CF">
        <w:trPr>
          <w:trHeight w:val="300"/>
        </w:trPr>
        <w:tc>
          <w:tcPr>
            <w:tcW w:w="4195" w:type="dxa"/>
            <w:tcBorders>
              <w:top w:val="nil"/>
              <w:left w:val="nil"/>
              <w:bottom w:val="nil"/>
              <w:right w:val="nil"/>
            </w:tcBorders>
            <w:shd w:val="clear" w:color="auto" w:fill="auto"/>
            <w:noWrap/>
            <w:vAlign w:val="center"/>
            <w:hideMark/>
          </w:tcPr>
          <w:p w14:paraId="25E418C7" w14:textId="043ACFDD"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ischemická choroba srdeční</w:t>
            </w:r>
          </w:p>
        </w:tc>
        <w:tc>
          <w:tcPr>
            <w:tcW w:w="907" w:type="dxa"/>
            <w:tcBorders>
              <w:top w:val="nil"/>
              <w:left w:val="single" w:sz="4" w:space="0" w:color="auto"/>
              <w:bottom w:val="nil"/>
              <w:right w:val="nil"/>
            </w:tcBorders>
            <w:shd w:val="clear" w:color="auto" w:fill="auto"/>
            <w:noWrap/>
            <w:vAlign w:val="center"/>
            <w:hideMark/>
          </w:tcPr>
          <w:p w14:paraId="3A9762EF" w14:textId="74700E8C" w:rsidR="000B190B" w:rsidRPr="00D92E20" w:rsidRDefault="000B190B" w:rsidP="000B190B">
            <w:pPr>
              <w:spacing w:after="0" w:line="240" w:lineRule="auto"/>
              <w:jc w:val="right"/>
              <w:rPr>
                <w:rFonts w:cs="Arial"/>
                <w:color w:val="000000"/>
                <w:sz w:val="16"/>
                <w:szCs w:val="16"/>
              </w:rPr>
            </w:pPr>
            <w:r>
              <w:rPr>
                <w:rFonts w:cs="Arial"/>
                <w:color w:val="000000"/>
                <w:sz w:val="16"/>
                <w:szCs w:val="16"/>
              </w:rPr>
              <w:t>3,3</w:t>
            </w:r>
          </w:p>
        </w:tc>
        <w:tc>
          <w:tcPr>
            <w:tcW w:w="907" w:type="dxa"/>
            <w:tcBorders>
              <w:top w:val="nil"/>
              <w:left w:val="nil"/>
              <w:bottom w:val="nil"/>
              <w:right w:val="nil"/>
            </w:tcBorders>
            <w:shd w:val="clear" w:color="auto" w:fill="auto"/>
            <w:noWrap/>
            <w:vAlign w:val="center"/>
            <w:hideMark/>
          </w:tcPr>
          <w:p w14:paraId="5CBB4017" w14:textId="1600D258" w:rsidR="000B190B" w:rsidRPr="00D92E20" w:rsidRDefault="000B190B" w:rsidP="000B190B">
            <w:pPr>
              <w:spacing w:after="0" w:line="240" w:lineRule="auto"/>
              <w:jc w:val="right"/>
              <w:rPr>
                <w:rFonts w:cs="Arial"/>
                <w:color w:val="000000"/>
                <w:sz w:val="16"/>
                <w:szCs w:val="16"/>
              </w:rPr>
            </w:pPr>
            <w:r>
              <w:rPr>
                <w:rFonts w:cs="Arial"/>
                <w:color w:val="000000"/>
                <w:sz w:val="16"/>
                <w:szCs w:val="16"/>
              </w:rPr>
              <w:t>2,6</w:t>
            </w:r>
          </w:p>
        </w:tc>
        <w:tc>
          <w:tcPr>
            <w:tcW w:w="907" w:type="dxa"/>
            <w:tcBorders>
              <w:top w:val="nil"/>
              <w:left w:val="nil"/>
              <w:bottom w:val="nil"/>
              <w:right w:val="single" w:sz="4" w:space="0" w:color="auto"/>
            </w:tcBorders>
            <w:shd w:val="clear" w:color="auto" w:fill="auto"/>
            <w:noWrap/>
            <w:vAlign w:val="center"/>
            <w:hideMark/>
          </w:tcPr>
          <w:p w14:paraId="1696A752" w14:textId="5C089306" w:rsidR="000B190B" w:rsidRPr="00D92E20" w:rsidRDefault="000B190B" w:rsidP="000B190B">
            <w:pPr>
              <w:spacing w:after="0" w:line="240" w:lineRule="auto"/>
              <w:jc w:val="right"/>
              <w:rPr>
                <w:rFonts w:cs="Arial"/>
                <w:color w:val="000000"/>
                <w:sz w:val="16"/>
                <w:szCs w:val="16"/>
              </w:rPr>
            </w:pPr>
            <w:r>
              <w:rPr>
                <w:rFonts w:cs="Arial"/>
                <w:color w:val="000000"/>
                <w:sz w:val="16"/>
                <w:szCs w:val="16"/>
              </w:rPr>
              <w:t>0,7</w:t>
            </w:r>
          </w:p>
        </w:tc>
        <w:tc>
          <w:tcPr>
            <w:tcW w:w="907" w:type="dxa"/>
            <w:tcBorders>
              <w:top w:val="nil"/>
              <w:left w:val="nil"/>
              <w:bottom w:val="nil"/>
              <w:right w:val="nil"/>
            </w:tcBorders>
            <w:shd w:val="clear" w:color="auto" w:fill="auto"/>
            <w:noWrap/>
            <w:vAlign w:val="center"/>
            <w:hideMark/>
          </w:tcPr>
          <w:p w14:paraId="2C9DBD05" w14:textId="3E9AD34E" w:rsidR="000B190B" w:rsidRPr="00D92E20" w:rsidRDefault="000B190B" w:rsidP="000B190B">
            <w:pPr>
              <w:spacing w:after="0" w:line="240" w:lineRule="auto"/>
              <w:jc w:val="right"/>
              <w:rPr>
                <w:rFonts w:cs="Arial"/>
                <w:color w:val="000000"/>
                <w:sz w:val="16"/>
                <w:szCs w:val="16"/>
              </w:rPr>
            </w:pPr>
            <w:r>
              <w:rPr>
                <w:rFonts w:cs="Arial"/>
                <w:color w:val="000000"/>
                <w:sz w:val="16"/>
                <w:szCs w:val="16"/>
              </w:rPr>
              <w:t>127,5</w:t>
            </w:r>
          </w:p>
        </w:tc>
        <w:tc>
          <w:tcPr>
            <w:tcW w:w="907" w:type="dxa"/>
            <w:tcBorders>
              <w:top w:val="nil"/>
              <w:left w:val="nil"/>
              <w:bottom w:val="nil"/>
              <w:right w:val="nil"/>
            </w:tcBorders>
            <w:shd w:val="clear" w:color="auto" w:fill="auto"/>
            <w:noWrap/>
            <w:vAlign w:val="center"/>
            <w:hideMark/>
          </w:tcPr>
          <w:p w14:paraId="3A69468D" w14:textId="7BE42517" w:rsidR="000B190B" w:rsidRPr="00D92E20" w:rsidRDefault="000B190B" w:rsidP="000B190B">
            <w:pPr>
              <w:spacing w:after="0" w:line="240" w:lineRule="auto"/>
              <w:jc w:val="right"/>
              <w:rPr>
                <w:rFonts w:cs="Arial"/>
                <w:color w:val="000000"/>
                <w:sz w:val="16"/>
                <w:szCs w:val="16"/>
              </w:rPr>
            </w:pPr>
            <w:r>
              <w:rPr>
                <w:rFonts w:cs="Arial"/>
                <w:color w:val="000000"/>
                <w:sz w:val="16"/>
                <w:szCs w:val="16"/>
              </w:rPr>
              <w:t>132,7</w:t>
            </w:r>
          </w:p>
        </w:tc>
        <w:tc>
          <w:tcPr>
            <w:tcW w:w="907" w:type="dxa"/>
            <w:tcBorders>
              <w:top w:val="nil"/>
              <w:left w:val="nil"/>
              <w:bottom w:val="nil"/>
              <w:right w:val="nil"/>
            </w:tcBorders>
            <w:shd w:val="clear" w:color="auto" w:fill="auto"/>
            <w:noWrap/>
            <w:vAlign w:val="center"/>
            <w:hideMark/>
          </w:tcPr>
          <w:p w14:paraId="73C471FA" w14:textId="32234F24" w:rsidR="000B190B" w:rsidRPr="00D92E20" w:rsidRDefault="000B190B" w:rsidP="000B190B">
            <w:pPr>
              <w:spacing w:after="0" w:line="240" w:lineRule="auto"/>
              <w:jc w:val="right"/>
              <w:rPr>
                <w:rFonts w:cs="Arial"/>
                <w:color w:val="000000"/>
                <w:sz w:val="16"/>
                <w:szCs w:val="16"/>
              </w:rPr>
            </w:pPr>
            <w:r>
              <w:rPr>
                <w:rFonts w:cs="Arial"/>
                <w:color w:val="000000"/>
                <w:sz w:val="16"/>
                <w:szCs w:val="16"/>
              </w:rPr>
              <w:t>108,2</w:t>
            </w:r>
          </w:p>
        </w:tc>
      </w:tr>
      <w:tr w:rsidR="00E371CF" w:rsidRPr="00D92E20" w14:paraId="0C808624" w14:textId="77777777" w:rsidTr="00E371CF">
        <w:trPr>
          <w:trHeight w:val="300"/>
        </w:trPr>
        <w:tc>
          <w:tcPr>
            <w:tcW w:w="4195" w:type="dxa"/>
            <w:tcBorders>
              <w:top w:val="nil"/>
              <w:left w:val="nil"/>
              <w:bottom w:val="nil"/>
              <w:right w:val="nil"/>
            </w:tcBorders>
            <w:shd w:val="clear" w:color="auto" w:fill="auto"/>
            <w:noWrap/>
            <w:vAlign w:val="center"/>
            <w:hideMark/>
          </w:tcPr>
          <w:p w14:paraId="32471380" w14:textId="06279503"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cévní nemoci mozku</w:t>
            </w:r>
          </w:p>
        </w:tc>
        <w:tc>
          <w:tcPr>
            <w:tcW w:w="907" w:type="dxa"/>
            <w:tcBorders>
              <w:top w:val="nil"/>
              <w:left w:val="single" w:sz="4" w:space="0" w:color="auto"/>
              <w:bottom w:val="nil"/>
              <w:right w:val="nil"/>
            </w:tcBorders>
            <w:shd w:val="clear" w:color="auto" w:fill="auto"/>
            <w:noWrap/>
            <w:vAlign w:val="center"/>
            <w:hideMark/>
          </w:tcPr>
          <w:p w14:paraId="6BC3F0E9" w14:textId="1C600ED1" w:rsidR="000B190B" w:rsidRPr="00D92E20" w:rsidRDefault="000B190B" w:rsidP="000B190B">
            <w:pPr>
              <w:spacing w:after="0" w:line="240" w:lineRule="auto"/>
              <w:jc w:val="right"/>
              <w:rPr>
                <w:rFonts w:cs="Arial"/>
                <w:color w:val="000000"/>
                <w:sz w:val="16"/>
                <w:szCs w:val="16"/>
              </w:rPr>
            </w:pPr>
            <w:r>
              <w:rPr>
                <w:rFonts w:cs="Arial"/>
                <w:color w:val="000000"/>
                <w:sz w:val="16"/>
                <w:szCs w:val="16"/>
              </w:rPr>
              <w:t>1,6</w:t>
            </w:r>
          </w:p>
        </w:tc>
        <w:tc>
          <w:tcPr>
            <w:tcW w:w="907" w:type="dxa"/>
            <w:tcBorders>
              <w:top w:val="nil"/>
              <w:left w:val="nil"/>
              <w:bottom w:val="nil"/>
              <w:right w:val="nil"/>
            </w:tcBorders>
            <w:shd w:val="clear" w:color="auto" w:fill="auto"/>
            <w:noWrap/>
            <w:vAlign w:val="center"/>
            <w:hideMark/>
          </w:tcPr>
          <w:p w14:paraId="56FE0B8F" w14:textId="260396D1" w:rsidR="000B190B" w:rsidRPr="00D92E20" w:rsidRDefault="000B190B" w:rsidP="000B190B">
            <w:pPr>
              <w:spacing w:after="0" w:line="240" w:lineRule="auto"/>
              <w:jc w:val="right"/>
              <w:rPr>
                <w:rFonts w:cs="Arial"/>
                <w:color w:val="000000"/>
                <w:sz w:val="16"/>
                <w:szCs w:val="16"/>
              </w:rPr>
            </w:pPr>
            <w:r>
              <w:rPr>
                <w:rFonts w:cs="Arial"/>
                <w:color w:val="000000"/>
                <w:sz w:val="16"/>
                <w:szCs w:val="16"/>
              </w:rPr>
              <w:t>1,0</w:t>
            </w:r>
          </w:p>
        </w:tc>
        <w:tc>
          <w:tcPr>
            <w:tcW w:w="907" w:type="dxa"/>
            <w:tcBorders>
              <w:top w:val="nil"/>
              <w:left w:val="nil"/>
              <w:bottom w:val="nil"/>
              <w:right w:val="single" w:sz="4" w:space="0" w:color="auto"/>
            </w:tcBorders>
            <w:shd w:val="clear" w:color="auto" w:fill="auto"/>
            <w:noWrap/>
            <w:vAlign w:val="center"/>
            <w:hideMark/>
          </w:tcPr>
          <w:p w14:paraId="6B0E62F5" w14:textId="6EB3F211" w:rsidR="000B190B" w:rsidRPr="00D92E20" w:rsidRDefault="000B190B" w:rsidP="000B190B">
            <w:pPr>
              <w:spacing w:after="0" w:line="240" w:lineRule="auto"/>
              <w:jc w:val="right"/>
              <w:rPr>
                <w:rFonts w:cs="Arial"/>
                <w:color w:val="000000"/>
                <w:sz w:val="16"/>
                <w:szCs w:val="16"/>
              </w:rPr>
            </w:pPr>
            <w:r>
              <w:rPr>
                <w:rFonts w:cs="Arial"/>
                <w:color w:val="000000"/>
                <w:sz w:val="16"/>
                <w:szCs w:val="16"/>
              </w:rPr>
              <w:t>0,6</w:t>
            </w:r>
          </w:p>
        </w:tc>
        <w:tc>
          <w:tcPr>
            <w:tcW w:w="907" w:type="dxa"/>
            <w:tcBorders>
              <w:top w:val="nil"/>
              <w:left w:val="nil"/>
              <w:bottom w:val="nil"/>
              <w:right w:val="nil"/>
            </w:tcBorders>
            <w:shd w:val="clear" w:color="auto" w:fill="auto"/>
            <w:noWrap/>
            <w:vAlign w:val="center"/>
            <w:hideMark/>
          </w:tcPr>
          <w:p w14:paraId="21F7546E" w14:textId="0E12604E" w:rsidR="000B190B" w:rsidRPr="00D92E20" w:rsidRDefault="000B190B" w:rsidP="000B190B">
            <w:pPr>
              <w:spacing w:after="0" w:line="240" w:lineRule="auto"/>
              <w:jc w:val="right"/>
              <w:rPr>
                <w:rFonts w:cs="Arial"/>
                <w:color w:val="000000"/>
                <w:sz w:val="16"/>
                <w:szCs w:val="16"/>
              </w:rPr>
            </w:pPr>
            <w:r>
              <w:rPr>
                <w:rFonts w:cs="Arial"/>
                <w:color w:val="000000"/>
                <w:sz w:val="16"/>
                <w:szCs w:val="16"/>
              </w:rPr>
              <w:t>168,7</w:t>
            </w:r>
          </w:p>
        </w:tc>
        <w:tc>
          <w:tcPr>
            <w:tcW w:w="907" w:type="dxa"/>
            <w:tcBorders>
              <w:top w:val="nil"/>
              <w:left w:val="nil"/>
              <w:bottom w:val="nil"/>
              <w:right w:val="nil"/>
            </w:tcBorders>
            <w:shd w:val="clear" w:color="auto" w:fill="auto"/>
            <w:noWrap/>
            <w:vAlign w:val="center"/>
            <w:hideMark/>
          </w:tcPr>
          <w:p w14:paraId="286ECA84" w14:textId="4E077FBE" w:rsidR="000B190B" w:rsidRPr="00D92E20" w:rsidRDefault="000B190B" w:rsidP="000B190B">
            <w:pPr>
              <w:spacing w:after="0" w:line="240" w:lineRule="auto"/>
              <w:jc w:val="right"/>
              <w:rPr>
                <w:rFonts w:cs="Arial"/>
                <w:color w:val="000000"/>
                <w:sz w:val="16"/>
                <w:szCs w:val="16"/>
              </w:rPr>
            </w:pPr>
            <w:r>
              <w:rPr>
                <w:rFonts w:cs="Arial"/>
                <w:color w:val="000000"/>
                <w:sz w:val="16"/>
                <w:szCs w:val="16"/>
              </w:rPr>
              <w:t>174,6</w:t>
            </w:r>
          </w:p>
        </w:tc>
        <w:tc>
          <w:tcPr>
            <w:tcW w:w="907" w:type="dxa"/>
            <w:tcBorders>
              <w:top w:val="nil"/>
              <w:left w:val="nil"/>
              <w:bottom w:val="nil"/>
              <w:right w:val="nil"/>
            </w:tcBorders>
            <w:shd w:val="clear" w:color="auto" w:fill="auto"/>
            <w:noWrap/>
            <w:vAlign w:val="center"/>
            <w:hideMark/>
          </w:tcPr>
          <w:p w14:paraId="3D5BF987" w14:textId="2C2D0C7D" w:rsidR="000B190B" w:rsidRPr="00D92E20" w:rsidRDefault="000B190B" w:rsidP="000B190B">
            <w:pPr>
              <w:spacing w:after="0" w:line="240" w:lineRule="auto"/>
              <w:jc w:val="right"/>
              <w:rPr>
                <w:rFonts w:cs="Arial"/>
                <w:color w:val="000000"/>
                <w:sz w:val="16"/>
                <w:szCs w:val="16"/>
              </w:rPr>
            </w:pPr>
            <w:r>
              <w:rPr>
                <w:rFonts w:cs="Arial"/>
                <w:color w:val="000000"/>
                <w:sz w:val="16"/>
                <w:szCs w:val="16"/>
              </w:rPr>
              <w:t>158,4</w:t>
            </w:r>
          </w:p>
        </w:tc>
      </w:tr>
      <w:tr w:rsidR="00E371CF" w:rsidRPr="00D92E20" w14:paraId="4AA549AA" w14:textId="77777777" w:rsidTr="00E371CF">
        <w:trPr>
          <w:trHeight w:val="300"/>
        </w:trPr>
        <w:tc>
          <w:tcPr>
            <w:tcW w:w="4195" w:type="dxa"/>
            <w:tcBorders>
              <w:top w:val="nil"/>
              <w:left w:val="nil"/>
              <w:bottom w:val="nil"/>
              <w:right w:val="nil"/>
            </w:tcBorders>
            <w:shd w:val="clear" w:color="auto" w:fill="auto"/>
            <w:noWrap/>
            <w:vAlign w:val="center"/>
            <w:hideMark/>
          </w:tcPr>
          <w:p w14:paraId="39A6BB3E" w14:textId="09278A1A"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jiné nemoci oběhové soustavy</w:t>
            </w:r>
          </w:p>
        </w:tc>
        <w:tc>
          <w:tcPr>
            <w:tcW w:w="907" w:type="dxa"/>
            <w:tcBorders>
              <w:top w:val="nil"/>
              <w:left w:val="single" w:sz="4" w:space="0" w:color="auto"/>
              <w:bottom w:val="nil"/>
              <w:right w:val="nil"/>
            </w:tcBorders>
            <w:shd w:val="clear" w:color="auto" w:fill="auto"/>
            <w:noWrap/>
            <w:vAlign w:val="center"/>
            <w:hideMark/>
          </w:tcPr>
          <w:p w14:paraId="4C69FAC9" w14:textId="3C3F1238" w:rsidR="000B190B" w:rsidRPr="00D92E20" w:rsidRDefault="000B190B" w:rsidP="000B190B">
            <w:pPr>
              <w:spacing w:after="0" w:line="240" w:lineRule="auto"/>
              <w:jc w:val="right"/>
              <w:rPr>
                <w:rFonts w:cs="Arial"/>
                <w:color w:val="000000"/>
                <w:sz w:val="16"/>
                <w:szCs w:val="16"/>
              </w:rPr>
            </w:pPr>
            <w:r>
              <w:rPr>
                <w:rFonts w:cs="Arial"/>
                <w:color w:val="000000"/>
                <w:sz w:val="16"/>
                <w:szCs w:val="16"/>
              </w:rPr>
              <w:t>11,8</w:t>
            </w:r>
          </w:p>
        </w:tc>
        <w:tc>
          <w:tcPr>
            <w:tcW w:w="907" w:type="dxa"/>
            <w:tcBorders>
              <w:top w:val="nil"/>
              <w:left w:val="nil"/>
              <w:bottom w:val="nil"/>
              <w:right w:val="nil"/>
            </w:tcBorders>
            <w:shd w:val="clear" w:color="auto" w:fill="auto"/>
            <w:noWrap/>
            <w:vAlign w:val="center"/>
            <w:hideMark/>
          </w:tcPr>
          <w:p w14:paraId="18C6D2E1" w14:textId="648987D9" w:rsidR="000B190B" w:rsidRPr="00D92E20" w:rsidRDefault="000B190B" w:rsidP="000B190B">
            <w:pPr>
              <w:spacing w:after="0" w:line="240" w:lineRule="auto"/>
              <w:jc w:val="right"/>
              <w:rPr>
                <w:rFonts w:cs="Arial"/>
                <w:color w:val="000000"/>
                <w:sz w:val="16"/>
                <w:szCs w:val="16"/>
              </w:rPr>
            </w:pPr>
            <w:r>
              <w:rPr>
                <w:rFonts w:cs="Arial"/>
                <w:color w:val="000000"/>
                <w:sz w:val="16"/>
                <w:szCs w:val="16"/>
              </w:rPr>
              <w:t>6,4</w:t>
            </w:r>
          </w:p>
        </w:tc>
        <w:tc>
          <w:tcPr>
            <w:tcW w:w="907" w:type="dxa"/>
            <w:tcBorders>
              <w:top w:val="nil"/>
              <w:left w:val="nil"/>
              <w:bottom w:val="nil"/>
              <w:right w:val="single" w:sz="4" w:space="0" w:color="auto"/>
            </w:tcBorders>
            <w:shd w:val="clear" w:color="auto" w:fill="auto"/>
            <w:noWrap/>
            <w:vAlign w:val="center"/>
            <w:hideMark/>
          </w:tcPr>
          <w:p w14:paraId="1E94BDC2" w14:textId="6B7D57A6" w:rsidR="000B190B" w:rsidRPr="00D92E20" w:rsidRDefault="000B190B" w:rsidP="000B190B">
            <w:pPr>
              <w:spacing w:after="0" w:line="240" w:lineRule="auto"/>
              <w:jc w:val="right"/>
              <w:rPr>
                <w:rFonts w:cs="Arial"/>
                <w:color w:val="000000"/>
                <w:sz w:val="16"/>
                <w:szCs w:val="16"/>
              </w:rPr>
            </w:pPr>
            <w:r>
              <w:rPr>
                <w:rFonts w:cs="Arial"/>
                <w:color w:val="000000"/>
                <w:sz w:val="16"/>
                <w:szCs w:val="16"/>
              </w:rPr>
              <w:t>5,4</w:t>
            </w:r>
          </w:p>
        </w:tc>
        <w:tc>
          <w:tcPr>
            <w:tcW w:w="907" w:type="dxa"/>
            <w:tcBorders>
              <w:top w:val="nil"/>
              <w:left w:val="nil"/>
              <w:bottom w:val="nil"/>
              <w:right w:val="nil"/>
            </w:tcBorders>
            <w:shd w:val="clear" w:color="auto" w:fill="auto"/>
            <w:noWrap/>
            <w:vAlign w:val="center"/>
            <w:hideMark/>
          </w:tcPr>
          <w:p w14:paraId="4B4081E9" w14:textId="6DD586D6" w:rsidR="000B190B" w:rsidRPr="00D92E20" w:rsidRDefault="000B190B" w:rsidP="000B190B">
            <w:pPr>
              <w:spacing w:after="0" w:line="240" w:lineRule="auto"/>
              <w:jc w:val="right"/>
              <w:rPr>
                <w:rFonts w:cs="Arial"/>
                <w:color w:val="000000"/>
                <w:sz w:val="16"/>
                <w:szCs w:val="16"/>
              </w:rPr>
            </w:pPr>
            <w:r>
              <w:rPr>
                <w:rFonts w:cs="Arial"/>
                <w:color w:val="000000"/>
                <w:sz w:val="16"/>
                <w:szCs w:val="16"/>
              </w:rPr>
              <w:t>80,5</w:t>
            </w:r>
          </w:p>
        </w:tc>
        <w:tc>
          <w:tcPr>
            <w:tcW w:w="907" w:type="dxa"/>
            <w:tcBorders>
              <w:top w:val="nil"/>
              <w:left w:val="nil"/>
              <w:bottom w:val="nil"/>
              <w:right w:val="nil"/>
            </w:tcBorders>
            <w:shd w:val="clear" w:color="auto" w:fill="auto"/>
            <w:noWrap/>
            <w:vAlign w:val="center"/>
            <w:hideMark/>
          </w:tcPr>
          <w:p w14:paraId="04C49799" w14:textId="01074E27" w:rsidR="000B190B" w:rsidRPr="00D92E20" w:rsidRDefault="000B190B" w:rsidP="000B190B">
            <w:pPr>
              <w:spacing w:after="0" w:line="240" w:lineRule="auto"/>
              <w:jc w:val="right"/>
              <w:rPr>
                <w:rFonts w:cs="Arial"/>
                <w:color w:val="000000"/>
                <w:sz w:val="16"/>
                <w:szCs w:val="16"/>
              </w:rPr>
            </w:pPr>
            <w:r>
              <w:rPr>
                <w:rFonts w:cs="Arial"/>
                <w:color w:val="000000"/>
                <w:sz w:val="16"/>
                <w:szCs w:val="16"/>
              </w:rPr>
              <w:t>90,8</w:t>
            </w:r>
          </w:p>
        </w:tc>
        <w:tc>
          <w:tcPr>
            <w:tcW w:w="907" w:type="dxa"/>
            <w:tcBorders>
              <w:top w:val="nil"/>
              <w:left w:val="nil"/>
              <w:bottom w:val="nil"/>
              <w:right w:val="nil"/>
            </w:tcBorders>
            <w:shd w:val="clear" w:color="auto" w:fill="auto"/>
            <w:noWrap/>
            <w:vAlign w:val="center"/>
            <w:hideMark/>
          </w:tcPr>
          <w:p w14:paraId="04F874CB" w14:textId="15357B5F" w:rsidR="000B190B" w:rsidRPr="00D92E20" w:rsidRDefault="000B190B" w:rsidP="000B190B">
            <w:pPr>
              <w:spacing w:after="0" w:line="240" w:lineRule="auto"/>
              <w:jc w:val="right"/>
              <w:rPr>
                <w:rFonts w:cs="Arial"/>
                <w:color w:val="000000"/>
                <w:sz w:val="16"/>
                <w:szCs w:val="16"/>
              </w:rPr>
            </w:pPr>
            <w:r>
              <w:rPr>
                <w:rFonts w:cs="Arial"/>
                <w:color w:val="000000"/>
                <w:sz w:val="16"/>
                <w:szCs w:val="16"/>
              </w:rPr>
              <w:t>68,4</w:t>
            </w:r>
          </w:p>
        </w:tc>
      </w:tr>
      <w:tr w:rsidR="00E371CF" w:rsidRPr="00D92E20" w14:paraId="45B85609" w14:textId="77777777" w:rsidTr="00E371CF">
        <w:trPr>
          <w:trHeight w:val="300"/>
        </w:trPr>
        <w:tc>
          <w:tcPr>
            <w:tcW w:w="4195" w:type="dxa"/>
            <w:tcBorders>
              <w:top w:val="nil"/>
              <w:left w:val="nil"/>
              <w:bottom w:val="nil"/>
              <w:right w:val="nil"/>
            </w:tcBorders>
            <w:shd w:val="clear" w:color="auto" w:fill="auto"/>
            <w:noWrap/>
            <w:vAlign w:val="center"/>
            <w:hideMark/>
          </w:tcPr>
          <w:p w14:paraId="4207E842" w14:textId="5A7A5A92"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dýchací soustavy</w:t>
            </w:r>
          </w:p>
        </w:tc>
        <w:tc>
          <w:tcPr>
            <w:tcW w:w="907" w:type="dxa"/>
            <w:tcBorders>
              <w:top w:val="nil"/>
              <w:left w:val="single" w:sz="4" w:space="0" w:color="auto"/>
              <w:bottom w:val="nil"/>
              <w:right w:val="nil"/>
            </w:tcBorders>
            <w:shd w:val="clear" w:color="auto" w:fill="auto"/>
            <w:noWrap/>
            <w:vAlign w:val="center"/>
            <w:hideMark/>
          </w:tcPr>
          <w:p w14:paraId="4465FC3A" w14:textId="22A8A863" w:rsidR="000B190B" w:rsidRPr="00D92E20" w:rsidRDefault="000B190B" w:rsidP="000B190B">
            <w:pPr>
              <w:spacing w:after="0" w:line="240" w:lineRule="auto"/>
              <w:jc w:val="right"/>
              <w:rPr>
                <w:rFonts w:cs="Arial"/>
                <w:color w:val="000000"/>
                <w:sz w:val="16"/>
                <w:szCs w:val="16"/>
              </w:rPr>
            </w:pPr>
            <w:r>
              <w:rPr>
                <w:rFonts w:cs="Arial"/>
                <w:color w:val="000000"/>
                <w:sz w:val="16"/>
                <w:szCs w:val="16"/>
              </w:rPr>
              <w:t>231,0</w:t>
            </w:r>
          </w:p>
        </w:tc>
        <w:tc>
          <w:tcPr>
            <w:tcW w:w="907" w:type="dxa"/>
            <w:tcBorders>
              <w:top w:val="nil"/>
              <w:left w:val="nil"/>
              <w:bottom w:val="nil"/>
              <w:right w:val="nil"/>
            </w:tcBorders>
            <w:shd w:val="clear" w:color="auto" w:fill="auto"/>
            <w:noWrap/>
            <w:vAlign w:val="center"/>
            <w:hideMark/>
          </w:tcPr>
          <w:p w14:paraId="178A0527" w14:textId="1F8BEF55" w:rsidR="000B190B" w:rsidRPr="00D92E20" w:rsidRDefault="000B190B" w:rsidP="000B190B">
            <w:pPr>
              <w:spacing w:after="0" w:line="240" w:lineRule="auto"/>
              <w:jc w:val="right"/>
              <w:rPr>
                <w:rFonts w:cs="Arial"/>
                <w:color w:val="000000"/>
                <w:sz w:val="16"/>
                <w:szCs w:val="16"/>
              </w:rPr>
            </w:pPr>
            <w:r>
              <w:rPr>
                <w:rFonts w:cs="Arial"/>
                <w:color w:val="000000"/>
                <w:sz w:val="16"/>
                <w:szCs w:val="16"/>
              </w:rPr>
              <w:t>113,9</w:t>
            </w:r>
          </w:p>
        </w:tc>
        <w:tc>
          <w:tcPr>
            <w:tcW w:w="907" w:type="dxa"/>
            <w:tcBorders>
              <w:top w:val="nil"/>
              <w:left w:val="nil"/>
              <w:bottom w:val="nil"/>
              <w:right w:val="single" w:sz="4" w:space="0" w:color="auto"/>
            </w:tcBorders>
            <w:shd w:val="clear" w:color="auto" w:fill="auto"/>
            <w:noWrap/>
            <w:vAlign w:val="center"/>
            <w:hideMark/>
          </w:tcPr>
          <w:p w14:paraId="24F478F8" w14:textId="2390FA76" w:rsidR="000B190B" w:rsidRPr="00D92E20" w:rsidRDefault="000B190B" w:rsidP="000B190B">
            <w:pPr>
              <w:spacing w:after="0" w:line="240" w:lineRule="auto"/>
              <w:jc w:val="right"/>
              <w:rPr>
                <w:rFonts w:cs="Arial"/>
                <w:color w:val="000000"/>
                <w:sz w:val="16"/>
                <w:szCs w:val="16"/>
              </w:rPr>
            </w:pPr>
            <w:r>
              <w:rPr>
                <w:rFonts w:cs="Arial"/>
                <w:color w:val="000000"/>
                <w:sz w:val="16"/>
                <w:szCs w:val="16"/>
              </w:rPr>
              <w:t>117,1</w:t>
            </w:r>
          </w:p>
        </w:tc>
        <w:tc>
          <w:tcPr>
            <w:tcW w:w="907" w:type="dxa"/>
            <w:tcBorders>
              <w:top w:val="nil"/>
              <w:left w:val="nil"/>
              <w:bottom w:val="nil"/>
              <w:right w:val="nil"/>
            </w:tcBorders>
            <w:shd w:val="clear" w:color="auto" w:fill="auto"/>
            <w:noWrap/>
            <w:vAlign w:val="center"/>
            <w:hideMark/>
          </w:tcPr>
          <w:p w14:paraId="51D186BA" w14:textId="736F01A1" w:rsidR="000B190B" w:rsidRPr="00D92E20" w:rsidRDefault="000B190B" w:rsidP="000B190B">
            <w:pPr>
              <w:spacing w:after="0" w:line="240" w:lineRule="auto"/>
              <w:jc w:val="right"/>
              <w:rPr>
                <w:rFonts w:cs="Arial"/>
                <w:color w:val="000000"/>
                <w:sz w:val="16"/>
                <w:szCs w:val="16"/>
              </w:rPr>
            </w:pPr>
            <w:r>
              <w:rPr>
                <w:rFonts w:cs="Arial"/>
                <w:color w:val="000000"/>
                <w:sz w:val="16"/>
                <w:szCs w:val="16"/>
              </w:rPr>
              <w:t>19,5</w:t>
            </w:r>
          </w:p>
        </w:tc>
        <w:tc>
          <w:tcPr>
            <w:tcW w:w="907" w:type="dxa"/>
            <w:tcBorders>
              <w:top w:val="nil"/>
              <w:left w:val="nil"/>
              <w:bottom w:val="nil"/>
              <w:right w:val="nil"/>
            </w:tcBorders>
            <w:shd w:val="clear" w:color="auto" w:fill="auto"/>
            <w:noWrap/>
            <w:vAlign w:val="center"/>
            <w:hideMark/>
          </w:tcPr>
          <w:p w14:paraId="6E2A7618" w14:textId="4D51B79B" w:rsidR="000B190B" w:rsidRPr="00D92E20" w:rsidRDefault="000B190B" w:rsidP="000B190B">
            <w:pPr>
              <w:spacing w:after="0" w:line="240" w:lineRule="auto"/>
              <w:jc w:val="right"/>
              <w:rPr>
                <w:rFonts w:cs="Arial"/>
                <w:color w:val="000000"/>
                <w:sz w:val="16"/>
                <w:szCs w:val="16"/>
              </w:rPr>
            </w:pPr>
            <w:r>
              <w:rPr>
                <w:rFonts w:cs="Arial"/>
                <w:color w:val="000000"/>
                <w:sz w:val="16"/>
                <w:szCs w:val="16"/>
              </w:rPr>
              <w:t>18,9</w:t>
            </w:r>
          </w:p>
        </w:tc>
        <w:tc>
          <w:tcPr>
            <w:tcW w:w="907" w:type="dxa"/>
            <w:tcBorders>
              <w:top w:val="nil"/>
              <w:left w:val="nil"/>
              <w:bottom w:val="nil"/>
              <w:right w:val="nil"/>
            </w:tcBorders>
            <w:shd w:val="clear" w:color="auto" w:fill="auto"/>
            <w:noWrap/>
            <w:vAlign w:val="center"/>
            <w:hideMark/>
          </w:tcPr>
          <w:p w14:paraId="6E015F77" w14:textId="63302492" w:rsidR="000B190B" w:rsidRPr="00D92E20" w:rsidRDefault="000B190B" w:rsidP="000B190B">
            <w:pPr>
              <w:spacing w:after="0" w:line="240" w:lineRule="auto"/>
              <w:jc w:val="right"/>
              <w:rPr>
                <w:rFonts w:cs="Arial"/>
                <w:color w:val="000000"/>
                <w:sz w:val="16"/>
                <w:szCs w:val="16"/>
              </w:rPr>
            </w:pPr>
            <w:r>
              <w:rPr>
                <w:rFonts w:cs="Arial"/>
                <w:color w:val="000000"/>
                <w:sz w:val="16"/>
                <w:szCs w:val="16"/>
              </w:rPr>
              <w:t>20,0</w:t>
            </w:r>
          </w:p>
        </w:tc>
      </w:tr>
      <w:tr w:rsidR="00E371CF" w:rsidRPr="00D92E20" w14:paraId="40A1FDA0" w14:textId="77777777" w:rsidTr="00E371CF">
        <w:trPr>
          <w:trHeight w:val="300"/>
        </w:trPr>
        <w:tc>
          <w:tcPr>
            <w:tcW w:w="4195" w:type="dxa"/>
            <w:tcBorders>
              <w:top w:val="nil"/>
              <w:left w:val="nil"/>
              <w:bottom w:val="nil"/>
              <w:right w:val="nil"/>
            </w:tcBorders>
            <w:shd w:val="clear" w:color="auto" w:fill="auto"/>
            <w:noWrap/>
            <w:vAlign w:val="center"/>
            <w:hideMark/>
          </w:tcPr>
          <w:p w14:paraId="4BC97036" w14:textId="69CA913D"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akutní infekce dýchacích cest</w:t>
            </w:r>
          </w:p>
        </w:tc>
        <w:tc>
          <w:tcPr>
            <w:tcW w:w="907" w:type="dxa"/>
            <w:tcBorders>
              <w:top w:val="nil"/>
              <w:left w:val="single" w:sz="4" w:space="0" w:color="auto"/>
              <w:bottom w:val="nil"/>
              <w:right w:val="nil"/>
            </w:tcBorders>
            <w:shd w:val="clear" w:color="auto" w:fill="auto"/>
            <w:noWrap/>
            <w:vAlign w:val="center"/>
            <w:hideMark/>
          </w:tcPr>
          <w:p w14:paraId="09E29266" w14:textId="0582E663" w:rsidR="000B190B" w:rsidRPr="00D92E20" w:rsidRDefault="000B190B" w:rsidP="000B190B">
            <w:pPr>
              <w:spacing w:after="0" w:line="240" w:lineRule="auto"/>
              <w:jc w:val="right"/>
              <w:rPr>
                <w:rFonts w:cs="Arial"/>
                <w:color w:val="000000"/>
                <w:sz w:val="16"/>
                <w:szCs w:val="16"/>
              </w:rPr>
            </w:pPr>
            <w:r>
              <w:rPr>
                <w:rFonts w:cs="Arial"/>
                <w:color w:val="000000"/>
                <w:sz w:val="16"/>
                <w:szCs w:val="16"/>
              </w:rPr>
              <w:t>197,3</w:t>
            </w:r>
          </w:p>
        </w:tc>
        <w:tc>
          <w:tcPr>
            <w:tcW w:w="907" w:type="dxa"/>
            <w:tcBorders>
              <w:top w:val="nil"/>
              <w:left w:val="nil"/>
              <w:bottom w:val="nil"/>
              <w:right w:val="nil"/>
            </w:tcBorders>
            <w:shd w:val="clear" w:color="auto" w:fill="auto"/>
            <w:noWrap/>
            <w:vAlign w:val="center"/>
            <w:hideMark/>
          </w:tcPr>
          <w:p w14:paraId="5417112B" w14:textId="1B3D04E8" w:rsidR="000B190B" w:rsidRPr="00D92E20" w:rsidRDefault="000B190B" w:rsidP="000B190B">
            <w:pPr>
              <w:spacing w:after="0" w:line="240" w:lineRule="auto"/>
              <w:jc w:val="right"/>
              <w:rPr>
                <w:rFonts w:cs="Arial"/>
                <w:color w:val="000000"/>
                <w:sz w:val="16"/>
                <w:szCs w:val="16"/>
              </w:rPr>
            </w:pPr>
            <w:r>
              <w:rPr>
                <w:rFonts w:cs="Arial"/>
                <w:color w:val="000000"/>
                <w:sz w:val="16"/>
                <w:szCs w:val="16"/>
              </w:rPr>
              <w:t>96,1</w:t>
            </w:r>
          </w:p>
        </w:tc>
        <w:tc>
          <w:tcPr>
            <w:tcW w:w="907" w:type="dxa"/>
            <w:tcBorders>
              <w:top w:val="nil"/>
              <w:left w:val="nil"/>
              <w:bottom w:val="nil"/>
              <w:right w:val="single" w:sz="4" w:space="0" w:color="auto"/>
            </w:tcBorders>
            <w:shd w:val="clear" w:color="auto" w:fill="auto"/>
            <w:noWrap/>
            <w:vAlign w:val="center"/>
            <w:hideMark/>
          </w:tcPr>
          <w:p w14:paraId="13FA8EB8" w14:textId="7577BA68" w:rsidR="000B190B" w:rsidRPr="00D92E20" w:rsidRDefault="000B190B" w:rsidP="000B190B">
            <w:pPr>
              <w:spacing w:after="0" w:line="240" w:lineRule="auto"/>
              <w:jc w:val="right"/>
              <w:rPr>
                <w:rFonts w:cs="Arial"/>
                <w:color w:val="000000"/>
                <w:sz w:val="16"/>
                <w:szCs w:val="16"/>
              </w:rPr>
            </w:pPr>
            <w:r>
              <w:rPr>
                <w:rFonts w:cs="Arial"/>
                <w:color w:val="000000"/>
                <w:sz w:val="16"/>
                <w:szCs w:val="16"/>
              </w:rPr>
              <w:t>101,2</w:t>
            </w:r>
          </w:p>
        </w:tc>
        <w:tc>
          <w:tcPr>
            <w:tcW w:w="907" w:type="dxa"/>
            <w:tcBorders>
              <w:top w:val="nil"/>
              <w:left w:val="nil"/>
              <w:bottom w:val="nil"/>
              <w:right w:val="nil"/>
            </w:tcBorders>
            <w:shd w:val="clear" w:color="auto" w:fill="auto"/>
            <w:noWrap/>
            <w:vAlign w:val="center"/>
            <w:hideMark/>
          </w:tcPr>
          <w:p w14:paraId="0E41D222" w14:textId="18E31643" w:rsidR="000B190B" w:rsidRPr="00D92E20" w:rsidRDefault="000B190B" w:rsidP="000B190B">
            <w:pPr>
              <w:spacing w:after="0" w:line="240" w:lineRule="auto"/>
              <w:jc w:val="right"/>
              <w:rPr>
                <w:rFonts w:cs="Arial"/>
                <w:color w:val="000000"/>
                <w:sz w:val="16"/>
                <w:szCs w:val="16"/>
              </w:rPr>
            </w:pPr>
            <w:r>
              <w:rPr>
                <w:rFonts w:cs="Arial"/>
                <w:color w:val="000000"/>
                <w:sz w:val="16"/>
                <w:szCs w:val="16"/>
              </w:rPr>
              <w:t>17,3</w:t>
            </w:r>
          </w:p>
        </w:tc>
        <w:tc>
          <w:tcPr>
            <w:tcW w:w="907" w:type="dxa"/>
            <w:tcBorders>
              <w:top w:val="nil"/>
              <w:left w:val="nil"/>
              <w:bottom w:val="nil"/>
              <w:right w:val="nil"/>
            </w:tcBorders>
            <w:shd w:val="clear" w:color="auto" w:fill="auto"/>
            <w:noWrap/>
            <w:vAlign w:val="center"/>
            <w:hideMark/>
          </w:tcPr>
          <w:p w14:paraId="0E27190D" w14:textId="72260322" w:rsidR="000B190B" w:rsidRPr="00D92E20" w:rsidRDefault="000B190B" w:rsidP="000B190B">
            <w:pPr>
              <w:spacing w:after="0" w:line="240" w:lineRule="auto"/>
              <w:jc w:val="right"/>
              <w:rPr>
                <w:rFonts w:cs="Arial"/>
                <w:color w:val="000000"/>
                <w:sz w:val="16"/>
                <w:szCs w:val="16"/>
              </w:rPr>
            </w:pPr>
            <w:r>
              <w:rPr>
                <w:rFonts w:cs="Arial"/>
                <w:color w:val="000000"/>
                <w:sz w:val="16"/>
                <w:szCs w:val="16"/>
              </w:rPr>
              <w:t>16,4</w:t>
            </w:r>
          </w:p>
        </w:tc>
        <w:tc>
          <w:tcPr>
            <w:tcW w:w="907" w:type="dxa"/>
            <w:tcBorders>
              <w:top w:val="nil"/>
              <w:left w:val="nil"/>
              <w:bottom w:val="nil"/>
              <w:right w:val="nil"/>
            </w:tcBorders>
            <w:shd w:val="clear" w:color="auto" w:fill="auto"/>
            <w:noWrap/>
            <w:vAlign w:val="center"/>
            <w:hideMark/>
          </w:tcPr>
          <w:p w14:paraId="0CF8D221" w14:textId="0AD3291A" w:rsidR="000B190B" w:rsidRPr="00D92E20" w:rsidRDefault="000B190B" w:rsidP="000B190B">
            <w:pPr>
              <w:spacing w:after="0" w:line="240" w:lineRule="auto"/>
              <w:jc w:val="right"/>
              <w:rPr>
                <w:rFonts w:cs="Arial"/>
                <w:color w:val="000000"/>
                <w:sz w:val="16"/>
                <w:szCs w:val="16"/>
              </w:rPr>
            </w:pPr>
            <w:r>
              <w:rPr>
                <w:rFonts w:cs="Arial"/>
                <w:color w:val="000000"/>
                <w:sz w:val="16"/>
                <w:szCs w:val="16"/>
              </w:rPr>
              <w:t>18,1</w:t>
            </w:r>
          </w:p>
        </w:tc>
      </w:tr>
      <w:tr w:rsidR="00E371CF" w:rsidRPr="00D92E20" w14:paraId="5BE36E0D" w14:textId="77777777" w:rsidTr="00E371CF">
        <w:trPr>
          <w:trHeight w:val="300"/>
        </w:trPr>
        <w:tc>
          <w:tcPr>
            <w:tcW w:w="4195" w:type="dxa"/>
            <w:tcBorders>
              <w:top w:val="nil"/>
              <w:left w:val="nil"/>
              <w:bottom w:val="nil"/>
              <w:right w:val="nil"/>
            </w:tcBorders>
            <w:shd w:val="clear" w:color="auto" w:fill="auto"/>
            <w:noWrap/>
            <w:vAlign w:val="center"/>
            <w:hideMark/>
          </w:tcPr>
          <w:p w14:paraId="218BC176" w14:textId="62843C28"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chřipka</w:t>
            </w:r>
          </w:p>
        </w:tc>
        <w:tc>
          <w:tcPr>
            <w:tcW w:w="907" w:type="dxa"/>
            <w:tcBorders>
              <w:top w:val="nil"/>
              <w:left w:val="single" w:sz="4" w:space="0" w:color="auto"/>
              <w:bottom w:val="nil"/>
              <w:right w:val="nil"/>
            </w:tcBorders>
            <w:shd w:val="clear" w:color="auto" w:fill="auto"/>
            <w:noWrap/>
            <w:vAlign w:val="center"/>
            <w:hideMark/>
          </w:tcPr>
          <w:p w14:paraId="098999A5" w14:textId="7BBAFB53" w:rsidR="000B190B" w:rsidRPr="00D92E20" w:rsidRDefault="000B190B" w:rsidP="000B190B">
            <w:pPr>
              <w:spacing w:after="0" w:line="240" w:lineRule="auto"/>
              <w:jc w:val="right"/>
              <w:rPr>
                <w:rFonts w:cs="Arial"/>
                <w:color w:val="000000"/>
                <w:sz w:val="16"/>
                <w:szCs w:val="16"/>
              </w:rPr>
            </w:pPr>
            <w:r>
              <w:rPr>
                <w:rFonts w:cs="Arial"/>
                <w:color w:val="000000"/>
                <w:sz w:val="16"/>
                <w:szCs w:val="16"/>
              </w:rPr>
              <w:t>26,0</w:t>
            </w:r>
          </w:p>
        </w:tc>
        <w:tc>
          <w:tcPr>
            <w:tcW w:w="907" w:type="dxa"/>
            <w:tcBorders>
              <w:top w:val="nil"/>
              <w:left w:val="nil"/>
              <w:bottom w:val="nil"/>
              <w:right w:val="nil"/>
            </w:tcBorders>
            <w:shd w:val="clear" w:color="auto" w:fill="auto"/>
            <w:noWrap/>
            <w:vAlign w:val="center"/>
            <w:hideMark/>
          </w:tcPr>
          <w:p w14:paraId="7ED8173E" w14:textId="31C8445A" w:rsidR="000B190B" w:rsidRPr="00D92E20" w:rsidRDefault="000B190B" w:rsidP="000B190B">
            <w:pPr>
              <w:spacing w:after="0" w:line="240" w:lineRule="auto"/>
              <w:jc w:val="right"/>
              <w:rPr>
                <w:rFonts w:cs="Arial"/>
                <w:color w:val="000000"/>
                <w:sz w:val="16"/>
                <w:szCs w:val="16"/>
              </w:rPr>
            </w:pPr>
            <w:r>
              <w:rPr>
                <w:rFonts w:cs="Arial"/>
                <w:color w:val="000000"/>
                <w:sz w:val="16"/>
                <w:szCs w:val="16"/>
              </w:rPr>
              <w:t>14,0</w:t>
            </w:r>
          </w:p>
        </w:tc>
        <w:tc>
          <w:tcPr>
            <w:tcW w:w="907" w:type="dxa"/>
            <w:tcBorders>
              <w:top w:val="nil"/>
              <w:left w:val="nil"/>
              <w:bottom w:val="nil"/>
              <w:right w:val="single" w:sz="4" w:space="0" w:color="auto"/>
            </w:tcBorders>
            <w:shd w:val="clear" w:color="auto" w:fill="auto"/>
            <w:noWrap/>
            <w:vAlign w:val="center"/>
            <w:hideMark/>
          </w:tcPr>
          <w:p w14:paraId="4300B097" w14:textId="09A892C8" w:rsidR="000B190B" w:rsidRPr="00D92E20" w:rsidRDefault="000B190B" w:rsidP="000B190B">
            <w:pPr>
              <w:spacing w:after="0" w:line="240" w:lineRule="auto"/>
              <w:jc w:val="right"/>
              <w:rPr>
                <w:rFonts w:cs="Arial"/>
                <w:color w:val="000000"/>
                <w:sz w:val="16"/>
                <w:szCs w:val="16"/>
              </w:rPr>
            </w:pPr>
            <w:r>
              <w:rPr>
                <w:rFonts w:cs="Arial"/>
                <w:color w:val="000000"/>
                <w:sz w:val="16"/>
                <w:szCs w:val="16"/>
              </w:rPr>
              <w:t>12,0</w:t>
            </w:r>
          </w:p>
        </w:tc>
        <w:tc>
          <w:tcPr>
            <w:tcW w:w="907" w:type="dxa"/>
            <w:tcBorders>
              <w:top w:val="nil"/>
              <w:left w:val="nil"/>
              <w:bottom w:val="nil"/>
              <w:right w:val="nil"/>
            </w:tcBorders>
            <w:shd w:val="clear" w:color="auto" w:fill="auto"/>
            <w:noWrap/>
            <w:vAlign w:val="center"/>
            <w:hideMark/>
          </w:tcPr>
          <w:p w14:paraId="0C836F7E" w14:textId="450E55BB" w:rsidR="000B190B" w:rsidRPr="00D92E20" w:rsidRDefault="000B190B" w:rsidP="000B190B">
            <w:pPr>
              <w:spacing w:after="0" w:line="240" w:lineRule="auto"/>
              <w:jc w:val="right"/>
              <w:rPr>
                <w:rFonts w:cs="Arial"/>
                <w:color w:val="000000"/>
                <w:sz w:val="16"/>
                <w:szCs w:val="16"/>
              </w:rPr>
            </w:pPr>
            <w:r>
              <w:rPr>
                <w:rFonts w:cs="Arial"/>
                <w:color w:val="000000"/>
                <w:sz w:val="16"/>
                <w:szCs w:val="16"/>
              </w:rPr>
              <w:t>25,5</w:t>
            </w:r>
          </w:p>
        </w:tc>
        <w:tc>
          <w:tcPr>
            <w:tcW w:w="907" w:type="dxa"/>
            <w:tcBorders>
              <w:top w:val="nil"/>
              <w:left w:val="nil"/>
              <w:bottom w:val="nil"/>
              <w:right w:val="nil"/>
            </w:tcBorders>
            <w:shd w:val="clear" w:color="auto" w:fill="auto"/>
            <w:noWrap/>
            <w:vAlign w:val="center"/>
            <w:hideMark/>
          </w:tcPr>
          <w:p w14:paraId="2958F810" w14:textId="444724C5" w:rsidR="000B190B" w:rsidRPr="00D92E20" w:rsidRDefault="000B190B" w:rsidP="000B190B">
            <w:pPr>
              <w:spacing w:after="0" w:line="240" w:lineRule="auto"/>
              <w:jc w:val="right"/>
              <w:rPr>
                <w:rFonts w:cs="Arial"/>
                <w:color w:val="000000"/>
                <w:sz w:val="16"/>
                <w:szCs w:val="16"/>
              </w:rPr>
            </w:pPr>
            <w:r>
              <w:rPr>
                <w:rFonts w:cs="Arial"/>
                <w:color w:val="000000"/>
                <w:sz w:val="16"/>
                <w:szCs w:val="16"/>
              </w:rPr>
              <w:t>25,7</w:t>
            </w:r>
          </w:p>
        </w:tc>
        <w:tc>
          <w:tcPr>
            <w:tcW w:w="907" w:type="dxa"/>
            <w:tcBorders>
              <w:top w:val="nil"/>
              <w:left w:val="nil"/>
              <w:bottom w:val="nil"/>
              <w:right w:val="nil"/>
            </w:tcBorders>
            <w:shd w:val="clear" w:color="auto" w:fill="auto"/>
            <w:noWrap/>
            <w:vAlign w:val="center"/>
            <w:hideMark/>
          </w:tcPr>
          <w:p w14:paraId="553135A2" w14:textId="4320D666" w:rsidR="000B190B" w:rsidRPr="00D92E20" w:rsidRDefault="000B190B" w:rsidP="000B190B">
            <w:pPr>
              <w:spacing w:after="0" w:line="240" w:lineRule="auto"/>
              <w:jc w:val="right"/>
              <w:rPr>
                <w:rFonts w:cs="Arial"/>
                <w:color w:val="000000"/>
                <w:sz w:val="16"/>
                <w:szCs w:val="16"/>
              </w:rPr>
            </w:pPr>
            <w:r>
              <w:rPr>
                <w:rFonts w:cs="Arial"/>
                <w:color w:val="000000"/>
                <w:sz w:val="16"/>
                <w:szCs w:val="16"/>
              </w:rPr>
              <w:t>25,2</w:t>
            </w:r>
          </w:p>
        </w:tc>
      </w:tr>
      <w:tr w:rsidR="00E371CF" w:rsidRPr="00D92E20" w14:paraId="67B8BE53" w14:textId="77777777" w:rsidTr="00E371CF">
        <w:trPr>
          <w:trHeight w:val="300"/>
        </w:trPr>
        <w:tc>
          <w:tcPr>
            <w:tcW w:w="4195" w:type="dxa"/>
            <w:tcBorders>
              <w:top w:val="nil"/>
              <w:left w:val="nil"/>
              <w:bottom w:val="nil"/>
              <w:right w:val="nil"/>
            </w:tcBorders>
            <w:shd w:val="clear" w:color="auto" w:fill="auto"/>
            <w:noWrap/>
            <w:vAlign w:val="center"/>
            <w:hideMark/>
          </w:tcPr>
          <w:p w14:paraId="45ED2DCE" w14:textId="0C4B182B"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chr</w:t>
            </w:r>
            <w:r w:rsidR="00E371CF">
              <w:rPr>
                <w:rFonts w:cs="Arial"/>
                <w:sz w:val="16"/>
                <w:szCs w:val="16"/>
              </w:rPr>
              <w:t xml:space="preserve">onické nemoci dolních </w:t>
            </w:r>
            <w:r>
              <w:rPr>
                <w:rFonts w:cs="Arial"/>
                <w:sz w:val="16"/>
                <w:szCs w:val="16"/>
              </w:rPr>
              <w:t>dýchacích cest</w:t>
            </w:r>
          </w:p>
        </w:tc>
        <w:tc>
          <w:tcPr>
            <w:tcW w:w="907" w:type="dxa"/>
            <w:tcBorders>
              <w:top w:val="nil"/>
              <w:left w:val="single" w:sz="4" w:space="0" w:color="auto"/>
              <w:bottom w:val="nil"/>
              <w:right w:val="nil"/>
            </w:tcBorders>
            <w:shd w:val="clear" w:color="auto" w:fill="auto"/>
            <w:noWrap/>
            <w:vAlign w:val="center"/>
            <w:hideMark/>
          </w:tcPr>
          <w:p w14:paraId="37031D84" w14:textId="28D5C8E3" w:rsidR="000B190B" w:rsidRPr="00D92E20" w:rsidRDefault="000B190B" w:rsidP="000B190B">
            <w:pPr>
              <w:spacing w:after="0" w:line="240" w:lineRule="auto"/>
              <w:jc w:val="right"/>
              <w:rPr>
                <w:rFonts w:cs="Arial"/>
                <w:color w:val="000000"/>
                <w:sz w:val="16"/>
                <w:szCs w:val="16"/>
              </w:rPr>
            </w:pPr>
            <w:r>
              <w:rPr>
                <w:rFonts w:cs="Arial"/>
                <w:color w:val="000000"/>
                <w:sz w:val="16"/>
                <w:szCs w:val="16"/>
              </w:rPr>
              <w:t>4,4</w:t>
            </w:r>
          </w:p>
        </w:tc>
        <w:tc>
          <w:tcPr>
            <w:tcW w:w="907" w:type="dxa"/>
            <w:tcBorders>
              <w:top w:val="nil"/>
              <w:left w:val="nil"/>
              <w:bottom w:val="nil"/>
              <w:right w:val="nil"/>
            </w:tcBorders>
            <w:shd w:val="clear" w:color="auto" w:fill="auto"/>
            <w:noWrap/>
            <w:vAlign w:val="center"/>
            <w:hideMark/>
          </w:tcPr>
          <w:p w14:paraId="0D901717" w14:textId="085C60A3" w:rsidR="000B190B" w:rsidRPr="00D92E20" w:rsidRDefault="000B190B" w:rsidP="000B190B">
            <w:pPr>
              <w:spacing w:after="0" w:line="240" w:lineRule="auto"/>
              <w:jc w:val="right"/>
              <w:rPr>
                <w:rFonts w:cs="Arial"/>
                <w:color w:val="000000"/>
                <w:sz w:val="16"/>
                <w:szCs w:val="16"/>
              </w:rPr>
            </w:pPr>
            <w:r>
              <w:rPr>
                <w:rFonts w:cs="Arial"/>
                <w:color w:val="000000"/>
                <w:sz w:val="16"/>
                <w:szCs w:val="16"/>
              </w:rPr>
              <w:t>2,0</w:t>
            </w:r>
          </w:p>
        </w:tc>
        <w:tc>
          <w:tcPr>
            <w:tcW w:w="907" w:type="dxa"/>
            <w:tcBorders>
              <w:top w:val="nil"/>
              <w:left w:val="nil"/>
              <w:bottom w:val="nil"/>
              <w:right w:val="single" w:sz="4" w:space="0" w:color="auto"/>
            </w:tcBorders>
            <w:shd w:val="clear" w:color="auto" w:fill="auto"/>
            <w:noWrap/>
            <w:vAlign w:val="center"/>
            <w:hideMark/>
          </w:tcPr>
          <w:p w14:paraId="6BD2816E" w14:textId="5FF8FEE2" w:rsidR="000B190B" w:rsidRPr="00D92E20" w:rsidRDefault="000B190B" w:rsidP="000B190B">
            <w:pPr>
              <w:spacing w:after="0" w:line="240" w:lineRule="auto"/>
              <w:jc w:val="right"/>
              <w:rPr>
                <w:rFonts w:cs="Arial"/>
                <w:color w:val="000000"/>
                <w:sz w:val="16"/>
                <w:szCs w:val="16"/>
              </w:rPr>
            </w:pPr>
            <w:r>
              <w:rPr>
                <w:rFonts w:cs="Arial"/>
                <w:color w:val="000000"/>
                <w:sz w:val="16"/>
                <w:szCs w:val="16"/>
              </w:rPr>
              <w:t>2,4</w:t>
            </w:r>
          </w:p>
        </w:tc>
        <w:tc>
          <w:tcPr>
            <w:tcW w:w="907" w:type="dxa"/>
            <w:tcBorders>
              <w:top w:val="nil"/>
              <w:left w:val="nil"/>
              <w:bottom w:val="nil"/>
              <w:right w:val="nil"/>
            </w:tcBorders>
            <w:shd w:val="clear" w:color="auto" w:fill="auto"/>
            <w:noWrap/>
            <w:vAlign w:val="center"/>
            <w:hideMark/>
          </w:tcPr>
          <w:p w14:paraId="05BC3C05" w14:textId="1B334E65" w:rsidR="000B190B" w:rsidRPr="00D92E20" w:rsidRDefault="000B190B" w:rsidP="000B190B">
            <w:pPr>
              <w:spacing w:after="0" w:line="240" w:lineRule="auto"/>
              <w:jc w:val="right"/>
              <w:rPr>
                <w:rFonts w:cs="Arial"/>
                <w:color w:val="000000"/>
                <w:sz w:val="16"/>
                <w:szCs w:val="16"/>
              </w:rPr>
            </w:pPr>
            <w:r>
              <w:rPr>
                <w:rFonts w:cs="Arial"/>
                <w:color w:val="000000"/>
                <w:sz w:val="16"/>
                <w:szCs w:val="16"/>
              </w:rPr>
              <w:t>70,0</w:t>
            </w:r>
          </w:p>
        </w:tc>
        <w:tc>
          <w:tcPr>
            <w:tcW w:w="907" w:type="dxa"/>
            <w:tcBorders>
              <w:top w:val="nil"/>
              <w:left w:val="nil"/>
              <w:bottom w:val="nil"/>
              <w:right w:val="nil"/>
            </w:tcBorders>
            <w:shd w:val="clear" w:color="auto" w:fill="auto"/>
            <w:noWrap/>
            <w:vAlign w:val="center"/>
            <w:hideMark/>
          </w:tcPr>
          <w:p w14:paraId="21574464" w14:textId="08950876" w:rsidR="000B190B" w:rsidRPr="00D92E20" w:rsidRDefault="000B190B" w:rsidP="000B190B">
            <w:pPr>
              <w:spacing w:after="0" w:line="240" w:lineRule="auto"/>
              <w:jc w:val="right"/>
              <w:rPr>
                <w:rFonts w:cs="Arial"/>
                <w:color w:val="000000"/>
                <w:sz w:val="16"/>
                <w:szCs w:val="16"/>
              </w:rPr>
            </w:pPr>
            <w:r>
              <w:rPr>
                <w:rFonts w:cs="Arial"/>
                <w:color w:val="000000"/>
                <w:sz w:val="16"/>
                <w:szCs w:val="16"/>
              </w:rPr>
              <w:t>72,2</w:t>
            </w:r>
          </w:p>
        </w:tc>
        <w:tc>
          <w:tcPr>
            <w:tcW w:w="907" w:type="dxa"/>
            <w:tcBorders>
              <w:top w:val="nil"/>
              <w:left w:val="nil"/>
              <w:bottom w:val="nil"/>
              <w:right w:val="nil"/>
            </w:tcBorders>
            <w:shd w:val="clear" w:color="auto" w:fill="auto"/>
            <w:noWrap/>
            <w:vAlign w:val="center"/>
            <w:hideMark/>
          </w:tcPr>
          <w:p w14:paraId="2BE76920" w14:textId="3624866A" w:rsidR="000B190B" w:rsidRPr="00D92E20" w:rsidRDefault="000B190B" w:rsidP="000B190B">
            <w:pPr>
              <w:spacing w:after="0" w:line="240" w:lineRule="auto"/>
              <w:jc w:val="right"/>
              <w:rPr>
                <w:rFonts w:cs="Arial"/>
                <w:color w:val="000000"/>
                <w:sz w:val="16"/>
                <w:szCs w:val="16"/>
              </w:rPr>
            </w:pPr>
            <w:r>
              <w:rPr>
                <w:rFonts w:cs="Arial"/>
                <w:color w:val="000000"/>
                <w:sz w:val="16"/>
                <w:szCs w:val="16"/>
              </w:rPr>
              <w:t>68,1</w:t>
            </w:r>
          </w:p>
        </w:tc>
      </w:tr>
      <w:tr w:rsidR="00E371CF" w:rsidRPr="00D92E20" w14:paraId="75AC1603" w14:textId="77777777" w:rsidTr="00E371CF">
        <w:trPr>
          <w:trHeight w:val="300"/>
        </w:trPr>
        <w:tc>
          <w:tcPr>
            <w:tcW w:w="4195" w:type="dxa"/>
            <w:tcBorders>
              <w:top w:val="nil"/>
              <w:left w:val="nil"/>
              <w:bottom w:val="nil"/>
              <w:right w:val="nil"/>
            </w:tcBorders>
            <w:shd w:val="clear" w:color="auto" w:fill="auto"/>
            <w:noWrap/>
            <w:vAlign w:val="center"/>
            <w:hideMark/>
          </w:tcPr>
          <w:p w14:paraId="356A5DDB" w14:textId="2A643D25"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jiné nemoci dýchacích cest</w:t>
            </w:r>
          </w:p>
        </w:tc>
        <w:tc>
          <w:tcPr>
            <w:tcW w:w="907" w:type="dxa"/>
            <w:tcBorders>
              <w:top w:val="nil"/>
              <w:left w:val="single" w:sz="4" w:space="0" w:color="auto"/>
              <w:bottom w:val="nil"/>
              <w:right w:val="nil"/>
            </w:tcBorders>
            <w:shd w:val="clear" w:color="auto" w:fill="auto"/>
            <w:noWrap/>
            <w:vAlign w:val="center"/>
            <w:hideMark/>
          </w:tcPr>
          <w:p w14:paraId="4C9F5D05" w14:textId="77DA7953" w:rsidR="000B190B" w:rsidRPr="00D92E20" w:rsidRDefault="000B190B" w:rsidP="000B190B">
            <w:pPr>
              <w:spacing w:after="0" w:line="240" w:lineRule="auto"/>
              <w:jc w:val="right"/>
              <w:rPr>
                <w:rFonts w:cs="Arial"/>
                <w:color w:val="000000"/>
                <w:sz w:val="16"/>
                <w:szCs w:val="16"/>
              </w:rPr>
            </w:pPr>
            <w:r>
              <w:rPr>
                <w:rFonts w:cs="Arial"/>
                <w:color w:val="000000"/>
                <w:sz w:val="16"/>
                <w:szCs w:val="16"/>
              </w:rPr>
              <w:t>3,3</w:t>
            </w:r>
          </w:p>
        </w:tc>
        <w:tc>
          <w:tcPr>
            <w:tcW w:w="907" w:type="dxa"/>
            <w:tcBorders>
              <w:top w:val="nil"/>
              <w:left w:val="nil"/>
              <w:bottom w:val="nil"/>
              <w:right w:val="nil"/>
            </w:tcBorders>
            <w:shd w:val="clear" w:color="auto" w:fill="auto"/>
            <w:noWrap/>
            <w:vAlign w:val="center"/>
            <w:hideMark/>
          </w:tcPr>
          <w:p w14:paraId="18C06714" w14:textId="68181752" w:rsidR="000B190B" w:rsidRPr="00D92E20" w:rsidRDefault="000B190B" w:rsidP="000B190B">
            <w:pPr>
              <w:spacing w:after="0" w:line="240" w:lineRule="auto"/>
              <w:jc w:val="right"/>
              <w:rPr>
                <w:rFonts w:cs="Arial"/>
                <w:color w:val="000000"/>
                <w:sz w:val="16"/>
                <w:szCs w:val="16"/>
              </w:rPr>
            </w:pPr>
            <w:r>
              <w:rPr>
                <w:rFonts w:cs="Arial"/>
                <w:color w:val="000000"/>
                <w:sz w:val="16"/>
                <w:szCs w:val="16"/>
              </w:rPr>
              <w:t>1,9</w:t>
            </w:r>
          </w:p>
        </w:tc>
        <w:tc>
          <w:tcPr>
            <w:tcW w:w="907" w:type="dxa"/>
            <w:tcBorders>
              <w:top w:val="nil"/>
              <w:left w:val="nil"/>
              <w:bottom w:val="nil"/>
              <w:right w:val="single" w:sz="4" w:space="0" w:color="auto"/>
            </w:tcBorders>
            <w:shd w:val="clear" w:color="auto" w:fill="auto"/>
            <w:noWrap/>
            <w:vAlign w:val="center"/>
            <w:hideMark/>
          </w:tcPr>
          <w:p w14:paraId="283F3113" w14:textId="5C29CEFA" w:rsidR="000B190B" w:rsidRPr="00D92E20" w:rsidRDefault="000B190B" w:rsidP="000B190B">
            <w:pPr>
              <w:spacing w:after="0" w:line="240" w:lineRule="auto"/>
              <w:jc w:val="right"/>
              <w:rPr>
                <w:rFonts w:cs="Arial"/>
                <w:color w:val="000000"/>
                <w:sz w:val="16"/>
                <w:szCs w:val="16"/>
              </w:rPr>
            </w:pPr>
            <w:r>
              <w:rPr>
                <w:rFonts w:cs="Arial"/>
                <w:color w:val="000000"/>
                <w:sz w:val="16"/>
                <w:szCs w:val="16"/>
              </w:rPr>
              <w:t>1,4</w:t>
            </w:r>
          </w:p>
        </w:tc>
        <w:tc>
          <w:tcPr>
            <w:tcW w:w="907" w:type="dxa"/>
            <w:tcBorders>
              <w:top w:val="nil"/>
              <w:left w:val="nil"/>
              <w:bottom w:val="nil"/>
              <w:right w:val="nil"/>
            </w:tcBorders>
            <w:shd w:val="clear" w:color="auto" w:fill="auto"/>
            <w:noWrap/>
            <w:vAlign w:val="center"/>
            <w:hideMark/>
          </w:tcPr>
          <w:p w14:paraId="1B4A7255" w14:textId="624C9B03" w:rsidR="000B190B" w:rsidRPr="00D92E20" w:rsidRDefault="000B190B" w:rsidP="000B190B">
            <w:pPr>
              <w:spacing w:after="0" w:line="240" w:lineRule="auto"/>
              <w:jc w:val="right"/>
              <w:rPr>
                <w:rFonts w:cs="Arial"/>
                <w:color w:val="000000"/>
                <w:sz w:val="16"/>
                <w:szCs w:val="16"/>
              </w:rPr>
            </w:pPr>
            <w:r>
              <w:rPr>
                <w:rFonts w:cs="Arial"/>
                <w:color w:val="000000"/>
                <w:sz w:val="16"/>
                <w:szCs w:val="16"/>
              </w:rPr>
              <w:t>39,6</w:t>
            </w:r>
          </w:p>
        </w:tc>
        <w:tc>
          <w:tcPr>
            <w:tcW w:w="907" w:type="dxa"/>
            <w:tcBorders>
              <w:top w:val="nil"/>
              <w:left w:val="nil"/>
              <w:bottom w:val="nil"/>
              <w:right w:val="nil"/>
            </w:tcBorders>
            <w:shd w:val="clear" w:color="auto" w:fill="auto"/>
            <w:noWrap/>
            <w:vAlign w:val="center"/>
            <w:hideMark/>
          </w:tcPr>
          <w:p w14:paraId="1210E4D9" w14:textId="49ED4A9D" w:rsidR="000B190B" w:rsidRPr="00D92E20" w:rsidRDefault="000B190B" w:rsidP="000B190B">
            <w:pPr>
              <w:spacing w:after="0" w:line="240" w:lineRule="auto"/>
              <w:jc w:val="right"/>
              <w:rPr>
                <w:rFonts w:cs="Arial"/>
                <w:color w:val="000000"/>
                <w:sz w:val="16"/>
                <w:szCs w:val="16"/>
              </w:rPr>
            </w:pPr>
            <w:r>
              <w:rPr>
                <w:rFonts w:cs="Arial"/>
                <w:color w:val="000000"/>
                <w:sz w:val="16"/>
                <w:szCs w:val="16"/>
              </w:rPr>
              <w:t>41,9</w:t>
            </w:r>
          </w:p>
        </w:tc>
        <w:tc>
          <w:tcPr>
            <w:tcW w:w="907" w:type="dxa"/>
            <w:tcBorders>
              <w:top w:val="nil"/>
              <w:left w:val="nil"/>
              <w:bottom w:val="nil"/>
              <w:right w:val="nil"/>
            </w:tcBorders>
            <w:shd w:val="clear" w:color="auto" w:fill="auto"/>
            <w:noWrap/>
            <w:vAlign w:val="center"/>
            <w:hideMark/>
          </w:tcPr>
          <w:p w14:paraId="2D2814A0" w14:textId="51CC780F" w:rsidR="000B190B" w:rsidRPr="00D92E20" w:rsidRDefault="000B190B" w:rsidP="000B190B">
            <w:pPr>
              <w:spacing w:after="0" w:line="240" w:lineRule="auto"/>
              <w:jc w:val="right"/>
              <w:rPr>
                <w:rFonts w:cs="Arial"/>
                <w:color w:val="000000"/>
                <w:sz w:val="16"/>
                <w:szCs w:val="16"/>
              </w:rPr>
            </w:pPr>
            <w:r>
              <w:rPr>
                <w:rFonts w:cs="Arial"/>
                <w:color w:val="000000"/>
                <w:sz w:val="16"/>
                <w:szCs w:val="16"/>
              </w:rPr>
              <w:t>36,5</w:t>
            </w:r>
          </w:p>
        </w:tc>
      </w:tr>
      <w:tr w:rsidR="00E371CF" w:rsidRPr="00D92E20" w14:paraId="67EDE805" w14:textId="77777777" w:rsidTr="00E371CF">
        <w:trPr>
          <w:trHeight w:val="300"/>
        </w:trPr>
        <w:tc>
          <w:tcPr>
            <w:tcW w:w="4195" w:type="dxa"/>
            <w:tcBorders>
              <w:top w:val="nil"/>
              <w:left w:val="nil"/>
              <w:bottom w:val="nil"/>
              <w:right w:val="nil"/>
            </w:tcBorders>
            <w:shd w:val="clear" w:color="auto" w:fill="auto"/>
            <w:noWrap/>
            <w:vAlign w:val="center"/>
            <w:hideMark/>
          </w:tcPr>
          <w:p w14:paraId="65D573C3" w14:textId="64F323F7"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trávicí soustavy</w:t>
            </w:r>
          </w:p>
        </w:tc>
        <w:tc>
          <w:tcPr>
            <w:tcW w:w="907" w:type="dxa"/>
            <w:tcBorders>
              <w:top w:val="nil"/>
              <w:left w:val="single" w:sz="4" w:space="0" w:color="auto"/>
              <w:bottom w:val="nil"/>
              <w:right w:val="nil"/>
            </w:tcBorders>
            <w:shd w:val="clear" w:color="auto" w:fill="auto"/>
            <w:noWrap/>
            <w:vAlign w:val="center"/>
            <w:hideMark/>
          </w:tcPr>
          <w:p w14:paraId="48C6F7A6" w14:textId="45F91D9F" w:rsidR="000B190B" w:rsidRPr="00D92E20" w:rsidRDefault="000B190B" w:rsidP="000B190B">
            <w:pPr>
              <w:spacing w:after="0" w:line="240" w:lineRule="auto"/>
              <w:jc w:val="right"/>
              <w:rPr>
                <w:rFonts w:cs="Arial"/>
                <w:color w:val="000000"/>
                <w:sz w:val="16"/>
                <w:szCs w:val="16"/>
              </w:rPr>
            </w:pPr>
            <w:r>
              <w:rPr>
                <w:rFonts w:cs="Arial"/>
                <w:color w:val="000000"/>
                <w:sz w:val="16"/>
                <w:szCs w:val="16"/>
              </w:rPr>
              <w:t>59,0</w:t>
            </w:r>
          </w:p>
        </w:tc>
        <w:tc>
          <w:tcPr>
            <w:tcW w:w="907" w:type="dxa"/>
            <w:tcBorders>
              <w:top w:val="nil"/>
              <w:left w:val="nil"/>
              <w:bottom w:val="nil"/>
              <w:right w:val="nil"/>
            </w:tcBorders>
            <w:shd w:val="clear" w:color="auto" w:fill="auto"/>
            <w:noWrap/>
            <w:vAlign w:val="center"/>
            <w:hideMark/>
          </w:tcPr>
          <w:p w14:paraId="14178628" w14:textId="67FFF9C9" w:rsidR="000B190B" w:rsidRPr="00D92E20" w:rsidRDefault="000B190B" w:rsidP="000B190B">
            <w:pPr>
              <w:spacing w:after="0" w:line="240" w:lineRule="auto"/>
              <w:jc w:val="right"/>
              <w:rPr>
                <w:rFonts w:cs="Arial"/>
                <w:color w:val="000000"/>
                <w:sz w:val="16"/>
                <w:szCs w:val="16"/>
              </w:rPr>
            </w:pPr>
            <w:r>
              <w:rPr>
                <w:rFonts w:cs="Arial"/>
                <w:color w:val="000000"/>
                <w:sz w:val="16"/>
                <w:szCs w:val="16"/>
              </w:rPr>
              <w:t>32,5</w:t>
            </w:r>
          </w:p>
        </w:tc>
        <w:tc>
          <w:tcPr>
            <w:tcW w:w="907" w:type="dxa"/>
            <w:tcBorders>
              <w:top w:val="nil"/>
              <w:left w:val="nil"/>
              <w:bottom w:val="nil"/>
              <w:right w:val="single" w:sz="4" w:space="0" w:color="auto"/>
            </w:tcBorders>
            <w:shd w:val="clear" w:color="auto" w:fill="auto"/>
            <w:noWrap/>
            <w:vAlign w:val="center"/>
            <w:hideMark/>
          </w:tcPr>
          <w:p w14:paraId="658260C1" w14:textId="4926777B" w:rsidR="000B190B" w:rsidRPr="00D92E20" w:rsidRDefault="000B190B" w:rsidP="000B190B">
            <w:pPr>
              <w:spacing w:after="0" w:line="240" w:lineRule="auto"/>
              <w:jc w:val="right"/>
              <w:rPr>
                <w:rFonts w:cs="Arial"/>
                <w:color w:val="000000"/>
                <w:sz w:val="16"/>
                <w:szCs w:val="16"/>
              </w:rPr>
            </w:pPr>
            <w:r>
              <w:rPr>
                <w:rFonts w:cs="Arial"/>
                <w:color w:val="000000"/>
                <w:sz w:val="16"/>
                <w:szCs w:val="16"/>
              </w:rPr>
              <w:t>26,5</w:t>
            </w:r>
          </w:p>
        </w:tc>
        <w:tc>
          <w:tcPr>
            <w:tcW w:w="907" w:type="dxa"/>
            <w:tcBorders>
              <w:top w:val="nil"/>
              <w:left w:val="nil"/>
              <w:bottom w:val="nil"/>
              <w:right w:val="nil"/>
            </w:tcBorders>
            <w:shd w:val="clear" w:color="auto" w:fill="auto"/>
            <w:noWrap/>
            <w:vAlign w:val="center"/>
            <w:hideMark/>
          </w:tcPr>
          <w:p w14:paraId="55C6BD1B" w14:textId="3ACEBFBD" w:rsidR="000B190B" w:rsidRPr="00D92E20" w:rsidRDefault="000B190B" w:rsidP="000B190B">
            <w:pPr>
              <w:spacing w:after="0" w:line="240" w:lineRule="auto"/>
              <w:jc w:val="right"/>
              <w:rPr>
                <w:rFonts w:cs="Arial"/>
                <w:color w:val="000000"/>
                <w:sz w:val="16"/>
                <w:szCs w:val="16"/>
              </w:rPr>
            </w:pPr>
            <w:r>
              <w:rPr>
                <w:rFonts w:cs="Arial"/>
                <w:color w:val="000000"/>
                <w:sz w:val="16"/>
                <w:szCs w:val="16"/>
              </w:rPr>
              <w:t>30,9</w:t>
            </w:r>
          </w:p>
        </w:tc>
        <w:tc>
          <w:tcPr>
            <w:tcW w:w="907" w:type="dxa"/>
            <w:tcBorders>
              <w:top w:val="nil"/>
              <w:left w:val="nil"/>
              <w:bottom w:val="nil"/>
              <w:right w:val="nil"/>
            </w:tcBorders>
            <w:shd w:val="clear" w:color="auto" w:fill="auto"/>
            <w:noWrap/>
            <w:vAlign w:val="center"/>
            <w:hideMark/>
          </w:tcPr>
          <w:p w14:paraId="44518B5A" w14:textId="62703BA6" w:rsidR="000B190B" w:rsidRPr="00D92E20" w:rsidRDefault="000B190B" w:rsidP="000B190B">
            <w:pPr>
              <w:spacing w:after="0" w:line="240" w:lineRule="auto"/>
              <w:jc w:val="right"/>
              <w:rPr>
                <w:rFonts w:cs="Arial"/>
                <w:color w:val="000000"/>
                <w:sz w:val="16"/>
                <w:szCs w:val="16"/>
              </w:rPr>
            </w:pPr>
            <w:r>
              <w:rPr>
                <w:rFonts w:cs="Arial"/>
                <w:color w:val="000000"/>
                <w:sz w:val="16"/>
                <w:szCs w:val="16"/>
              </w:rPr>
              <w:t>30,9</w:t>
            </w:r>
          </w:p>
        </w:tc>
        <w:tc>
          <w:tcPr>
            <w:tcW w:w="907" w:type="dxa"/>
            <w:tcBorders>
              <w:top w:val="nil"/>
              <w:left w:val="nil"/>
              <w:bottom w:val="nil"/>
              <w:right w:val="nil"/>
            </w:tcBorders>
            <w:shd w:val="clear" w:color="auto" w:fill="auto"/>
            <w:noWrap/>
            <w:vAlign w:val="center"/>
            <w:hideMark/>
          </w:tcPr>
          <w:p w14:paraId="075BCDAC" w14:textId="3F93F9A2" w:rsidR="000B190B" w:rsidRPr="00D92E20" w:rsidRDefault="000B190B" w:rsidP="000B190B">
            <w:pPr>
              <w:spacing w:after="0" w:line="240" w:lineRule="auto"/>
              <w:jc w:val="right"/>
              <w:rPr>
                <w:rFonts w:cs="Arial"/>
                <w:color w:val="000000"/>
                <w:sz w:val="16"/>
                <w:szCs w:val="16"/>
              </w:rPr>
            </w:pPr>
            <w:r>
              <w:rPr>
                <w:rFonts w:cs="Arial"/>
                <w:color w:val="000000"/>
                <w:sz w:val="16"/>
                <w:szCs w:val="16"/>
              </w:rPr>
              <w:t>31,0</w:t>
            </w:r>
          </w:p>
        </w:tc>
      </w:tr>
      <w:tr w:rsidR="00E371CF" w:rsidRPr="00D92E20" w14:paraId="6C3B12A6" w14:textId="77777777" w:rsidTr="00E371CF">
        <w:trPr>
          <w:trHeight w:val="300"/>
        </w:trPr>
        <w:tc>
          <w:tcPr>
            <w:tcW w:w="4195" w:type="dxa"/>
            <w:tcBorders>
              <w:top w:val="nil"/>
              <w:left w:val="nil"/>
              <w:bottom w:val="nil"/>
              <w:right w:val="nil"/>
            </w:tcBorders>
            <w:shd w:val="clear" w:color="auto" w:fill="auto"/>
            <w:noWrap/>
            <w:vAlign w:val="center"/>
            <w:hideMark/>
          </w:tcPr>
          <w:p w14:paraId="2CEAEBEC" w14:textId="6D8100C9"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kůže</w:t>
            </w:r>
          </w:p>
        </w:tc>
        <w:tc>
          <w:tcPr>
            <w:tcW w:w="907" w:type="dxa"/>
            <w:tcBorders>
              <w:top w:val="nil"/>
              <w:left w:val="single" w:sz="4" w:space="0" w:color="auto"/>
              <w:bottom w:val="nil"/>
              <w:right w:val="nil"/>
            </w:tcBorders>
            <w:shd w:val="clear" w:color="auto" w:fill="auto"/>
            <w:noWrap/>
            <w:vAlign w:val="center"/>
            <w:hideMark/>
          </w:tcPr>
          <w:p w14:paraId="4B6989FC" w14:textId="171005FA" w:rsidR="000B190B" w:rsidRPr="00D92E20" w:rsidRDefault="000B190B" w:rsidP="000B190B">
            <w:pPr>
              <w:spacing w:after="0" w:line="240" w:lineRule="auto"/>
              <w:jc w:val="right"/>
              <w:rPr>
                <w:rFonts w:cs="Arial"/>
                <w:color w:val="000000"/>
                <w:sz w:val="16"/>
                <w:szCs w:val="16"/>
              </w:rPr>
            </w:pPr>
            <w:r>
              <w:rPr>
                <w:rFonts w:cs="Arial"/>
                <w:color w:val="000000"/>
                <w:sz w:val="16"/>
                <w:szCs w:val="16"/>
              </w:rPr>
              <w:t>14,0</w:t>
            </w:r>
          </w:p>
        </w:tc>
        <w:tc>
          <w:tcPr>
            <w:tcW w:w="907" w:type="dxa"/>
            <w:tcBorders>
              <w:top w:val="nil"/>
              <w:left w:val="nil"/>
              <w:bottom w:val="nil"/>
              <w:right w:val="nil"/>
            </w:tcBorders>
            <w:shd w:val="clear" w:color="auto" w:fill="auto"/>
            <w:noWrap/>
            <w:vAlign w:val="center"/>
            <w:hideMark/>
          </w:tcPr>
          <w:p w14:paraId="2ADF6CCD" w14:textId="1B816560" w:rsidR="000B190B" w:rsidRPr="00D92E20" w:rsidRDefault="000B190B" w:rsidP="000B190B">
            <w:pPr>
              <w:spacing w:after="0" w:line="240" w:lineRule="auto"/>
              <w:jc w:val="right"/>
              <w:rPr>
                <w:rFonts w:cs="Arial"/>
                <w:color w:val="000000"/>
                <w:sz w:val="16"/>
                <w:szCs w:val="16"/>
              </w:rPr>
            </w:pPr>
            <w:r>
              <w:rPr>
                <w:rFonts w:cs="Arial"/>
                <w:color w:val="000000"/>
                <w:sz w:val="16"/>
                <w:szCs w:val="16"/>
              </w:rPr>
              <w:t>8,1</w:t>
            </w:r>
          </w:p>
        </w:tc>
        <w:tc>
          <w:tcPr>
            <w:tcW w:w="907" w:type="dxa"/>
            <w:tcBorders>
              <w:top w:val="nil"/>
              <w:left w:val="nil"/>
              <w:bottom w:val="nil"/>
              <w:right w:val="single" w:sz="4" w:space="0" w:color="auto"/>
            </w:tcBorders>
            <w:shd w:val="clear" w:color="auto" w:fill="auto"/>
            <w:noWrap/>
            <w:vAlign w:val="center"/>
            <w:hideMark/>
          </w:tcPr>
          <w:p w14:paraId="585DCFA9" w14:textId="762D648B" w:rsidR="000B190B" w:rsidRPr="00D92E20" w:rsidRDefault="000B190B" w:rsidP="000B190B">
            <w:pPr>
              <w:spacing w:after="0" w:line="240" w:lineRule="auto"/>
              <w:jc w:val="right"/>
              <w:rPr>
                <w:rFonts w:cs="Arial"/>
                <w:color w:val="000000"/>
                <w:sz w:val="16"/>
                <w:szCs w:val="16"/>
              </w:rPr>
            </w:pPr>
            <w:r>
              <w:rPr>
                <w:rFonts w:cs="Arial"/>
                <w:color w:val="000000"/>
                <w:sz w:val="16"/>
                <w:szCs w:val="16"/>
              </w:rPr>
              <w:t>5,9</w:t>
            </w:r>
          </w:p>
        </w:tc>
        <w:tc>
          <w:tcPr>
            <w:tcW w:w="907" w:type="dxa"/>
            <w:tcBorders>
              <w:top w:val="nil"/>
              <w:left w:val="nil"/>
              <w:bottom w:val="nil"/>
              <w:right w:val="nil"/>
            </w:tcBorders>
            <w:shd w:val="clear" w:color="auto" w:fill="auto"/>
            <w:noWrap/>
            <w:vAlign w:val="center"/>
            <w:hideMark/>
          </w:tcPr>
          <w:p w14:paraId="21F46269" w14:textId="629DE127" w:rsidR="000B190B" w:rsidRPr="00D92E20" w:rsidRDefault="000B190B" w:rsidP="000B190B">
            <w:pPr>
              <w:spacing w:after="0" w:line="240" w:lineRule="auto"/>
              <w:jc w:val="right"/>
              <w:rPr>
                <w:rFonts w:cs="Arial"/>
                <w:color w:val="000000"/>
                <w:sz w:val="16"/>
                <w:szCs w:val="16"/>
              </w:rPr>
            </w:pPr>
            <w:r>
              <w:rPr>
                <w:rFonts w:cs="Arial"/>
                <w:color w:val="000000"/>
                <w:sz w:val="16"/>
                <w:szCs w:val="16"/>
              </w:rPr>
              <w:t>35,9</w:t>
            </w:r>
          </w:p>
        </w:tc>
        <w:tc>
          <w:tcPr>
            <w:tcW w:w="907" w:type="dxa"/>
            <w:tcBorders>
              <w:top w:val="nil"/>
              <w:left w:val="nil"/>
              <w:bottom w:val="nil"/>
              <w:right w:val="nil"/>
            </w:tcBorders>
            <w:shd w:val="clear" w:color="auto" w:fill="auto"/>
            <w:noWrap/>
            <w:vAlign w:val="center"/>
            <w:hideMark/>
          </w:tcPr>
          <w:p w14:paraId="37700BB8" w14:textId="1495830C" w:rsidR="000B190B" w:rsidRPr="00D92E20" w:rsidRDefault="000B190B" w:rsidP="000B190B">
            <w:pPr>
              <w:spacing w:after="0" w:line="240" w:lineRule="auto"/>
              <w:jc w:val="right"/>
              <w:rPr>
                <w:rFonts w:cs="Arial"/>
                <w:color w:val="000000"/>
                <w:sz w:val="16"/>
                <w:szCs w:val="16"/>
              </w:rPr>
            </w:pPr>
            <w:r>
              <w:rPr>
                <w:rFonts w:cs="Arial"/>
                <w:color w:val="000000"/>
                <w:sz w:val="16"/>
                <w:szCs w:val="16"/>
              </w:rPr>
              <w:t>35,7</w:t>
            </w:r>
          </w:p>
        </w:tc>
        <w:tc>
          <w:tcPr>
            <w:tcW w:w="907" w:type="dxa"/>
            <w:tcBorders>
              <w:top w:val="nil"/>
              <w:left w:val="nil"/>
              <w:bottom w:val="nil"/>
              <w:right w:val="nil"/>
            </w:tcBorders>
            <w:shd w:val="clear" w:color="auto" w:fill="auto"/>
            <w:noWrap/>
            <w:vAlign w:val="center"/>
            <w:hideMark/>
          </w:tcPr>
          <w:p w14:paraId="607E66D0" w14:textId="5EC4BD25" w:rsidR="000B190B" w:rsidRPr="00D92E20" w:rsidRDefault="000B190B" w:rsidP="000B190B">
            <w:pPr>
              <w:spacing w:after="0" w:line="240" w:lineRule="auto"/>
              <w:jc w:val="right"/>
              <w:rPr>
                <w:rFonts w:cs="Arial"/>
                <w:color w:val="000000"/>
                <w:sz w:val="16"/>
                <w:szCs w:val="16"/>
              </w:rPr>
            </w:pPr>
            <w:r>
              <w:rPr>
                <w:rFonts w:cs="Arial"/>
                <w:color w:val="000000"/>
                <w:sz w:val="16"/>
                <w:szCs w:val="16"/>
              </w:rPr>
              <w:t>36,1</w:t>
            </w:r>
          </w:p>
        </w:tc>
      </w:tr>
      <w:tr w:rsidR="00E371CF" w:rsidRPr="00D92E20" w14:paraId="1BC1C619" w14:textId="77777777" w:rsidTr="00E371CF">
        <w:trPr>
          <w:trHeight w:val="300"/>
        </w:trPr>
        <w:tc>
          <w:tcPr>
            <w:tcW w:w="4195" w:type="dxa"/>
            <w:tcBorders>
              <w:top w:val="nil"/>
              <w:left w:val="nil"/>
              <w:bottom w:val="nil"/>
              <w:right w:val="nil"/>
            </w:tcBorders>
            <w:shd w:val="clear" w:color="auto" w:fill="auto"/>
            <w:noWrap/>
            <w:vAlign w:val="center"/>
            <w:hideMark/>
          </w:tcPr>
          <w:p w14:paraId="31476962" w14:textId="59523478"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pohybové soustavy</w:t>
            </w:r>
          </w:p>
        </w:tc>
        <w:tc>
          <w:tcPr>
            <w:tcW w:w="907" w:type="dxa"/>
            <w:tcBorders>
              <w:top w:val="nil"/>
              <w:left w:val="single" w:sz="4" w:space="0" w:color="auto"/>
              <w:bottom w:val="nil"/>
              <w:right w:val="nil"/>
            </w:tcBorders>
            <w:shd w:val="clear" w:color="auto" w:fill="auto"/>
            <w:noWrap/>
            <w:vAlign w:val="center"/>
            <w:hideMark/>
          </w:tcPr>
          <w:p w14:paraId="1BA2B0D7" w14:textId="2A55E109" w:rsidR="000B190B" w:rsidRPr="00D92E20" w:rsidRDefault="000B190B" w:rsidP="000B190B">
            <w:pPr>
              <w:spacing w:after="0" w:line="240" w:lineRule="auto"/>
              <w:jc w:val="right"/>
              <w:rPr>
                <w:rFonts w:cs="Arial"/>
                <w:color w:val="000000"/>
                <w:sz w:val="16"/>
                <w:szCs w:val="16"/>
              </w:rPr>
            </w:pPr>
            <w:r>
              <w:rPr>
                <w:rFonts w:cs="Arial"/>
                <w:color w:val="000000"/>
                <w:sz w:val="16"/>
                <w:szCs w:val="16"/>
              </w:rPr>
              <w:t>198,7</w:t>
            </w:r>
          </w:p>
        </w:tc>
        <w:tc>
          <w:tcPr>
            <w:tcW w:w="907" w:type="dxa"/>
            <w:tcBorders>
              <w:top w:val="nil"/>
              <w:left w:val="nil"/>
              <w:bottom w:val="nil"/>
              <w:right w:val="nil"/>
            </w:tcBorders>
            <w:shd w:val="clear" w:color="auto" w:fill="auto"/>
            <w:noWrap/>
            <w:vAlign w:val="center"/>
            <w:hideMark/>
          </w:tcPr>
          <w:p w14:paraId="4B66F295" w14:textId="0D28616D" w:rsidR="000B190B" w:rsidRPr="00D92E20" w:rsidRDefault="000B190B" w:rsidP="000B190B">
            <w:pPr>
              <w:spacing w:after="0" w:line="240" w:lineRule="auto"/>
              <w:jc w:val="right"/>
              <w:rPr>
                <w:rFonts w:cs="Arial"/>
                <w:color w:val="000000"/>
                <w:sz w:val="16"/>
                <w:szCs w:val="16"/>
              </w:rPr>
            </w:pPr>
            <w:r>
              <w:rPr>
                <w:rFonts w:cs="Arial"/>
                <w:color w:val="000000"/>
                <w:sz w:val="16"/>
                <w:szCs w:val="16"/>
              </w:rPr>
              <w:t>103,1</w:t>
            </w:r>
          </w:p>
        </w:tc>
        <w:tc>
          <w:tcPr>
            <w:tcW w:w="907" w:type="dxa"/>
            <w:tcBorders>
              <w:top w:val="nil"/>
              <w:left w:val="nil"/>
              <w:bottom w:val="nil"/>
              <w:right w:val="single" w:sz="4" w:space="0" w:color="auto"/>
            </w:tcBorders>
            <w:shd w:val="clear" w:color="auto" w:fill="auto"/>
            <w:noWrap/>
            <w:vAlign w:val="center"/>
            <w:hideMark/>
          </w:tcPr>
          <w:p w14:paraId="47752D19" w14:textId="48CCE6DB" w:rsidR="000B190B" w:rsidRPr="00D92E20" w:rsidRDefault="000B190B" w:rsidP="000B190B">
            <w:pPr>
              <w:spacing w:after="0" w:line="240" w:lineRule="auto"/>
              <w:jc w:val="right"/>
              <w:rPr>
                <w:rFonts w:cs="Arial"/>
                <w:color w:val="000000"/>
                <w:sz w:val="16"/>
                <w:szCs w:val="16"/>
              </w:rPr>
            </w:pPr>
            <w:r>
              <w:rPr>
                <w:rFonts w:cs="Arial"/>
                <w:color w:val="000000"/>
                <w:sz w:val="16"/>
                <w:szCs w:val="16"/>
              </w:rPr>
              <w:t>95,5</w:t>
            </w:r>
          </w:p>
        </w:tc>
        <w:tc>
          <w:tcPr>
            <w:tcW w:w="907" w:type="dxa"/>
            <w:tcBorders>
              <w:top w:val="nil"/>
              <w:left w:val="nil"/>
              <w:bottom w:val="nil"/>
              <w:right w:val="nil"/>
            </w:tcBorders>
            <w:shd w:val="clear" w:color="auto" w:fill="auto"/>
            <w:noWrap/>
            <w:vAlign w:val="center"/>
            <w:hideMark/>
          </w:tcPr>
          <w:p w14:paraId="754FF24B" w14:textId="4C535DC0" w:rsidR="000B190B" w:rsidRPr="00D92E20" w:rsidRDefault="000B190B" w:rsidP="000B190B">
            <w:pPr>
              <w:spacing w:after="0" w:line="240" w:lineRule="auto"/>
              <w:jc w:val="right"/>
              <w:rPr>
                <w:rFonts w:cs="Arial"/>
                <w:color w:val="000000"/>
                <w:sz w:val="16"/>
                <w:szCs w:val="16"/>
              </w:rPr>
            </w:pPr>
            <w:r>
              <w:rPr>
                <w:rFonts w:cs="Arial"/>
                <w:color w:val="000000"/>
                <w:sz w:val="16"/>
                <w:szCs w:val="16"/>
              </w:rPr>
              <w:t>74,3</w:t>
            </w:r>
          </w:p>
        </w:tc>
        <w:tc>
          <w:tcPr>
            <w:tcW w:w="907" w:type="dxa"/>
            <w:tcBorders>
              <w:top w:val="nil"/>
              <w:left w:val="nil"/>
              <w:bottom w:val="nil"/>
              <w:right w:val="nil"/>
            </w:tcBorders>
            <w:shd w:val="clear" w:color="auto" w:fill="auto"/>
            <w:noWrap/>
            <w:vAlign w:val="center"/>
            <w:hideMark/>
          </w:tcPr>
          <w:p w14:paraId="170F1BC3" w14:textId="034F76A7" w:rsidR="000B190B" w:rsidRPr="00D92E20" w:rsidRDefault="000B190B" w:rsidP="000B190B">
            <w:pPr>
              <w:spacing w:after="0" w:line="240" w:lineRule="auto"/>
              <w:jc w:val="right"/>
              <w:rPr>
                <w:rFonts w:cs="Arial"/>
                <w:color w:val="000000"/>
                <w:sz w:val="16"/>
                <w:szCs w:val="16"/>
              </w:rPr>
            </w:pPr>
            <w:r>
              <w:rPr>
                <w:rFonts w:cs="Arial"/>
                <w:color w:val="000000"/>
                <w:sz w:val="16"/>
                <w:szCs w:val="16"/>
              </w:rPr>
              <w:t>67,7</w:t>
            </w:r>
          </w:p>
        </w:tc>
        <w:tc>
          <w:tcPr>
            <w:tcW w:w="907" w:type="dxa"/>
            <w:tcBorders>
              <w:top w:val="nil"/>
              <w:left w:val="nil"/>
              <w:bottom w:val="nil"/>
              <w:right w:val="nil"/>
            </w:tcBorders>
            <w:shd w:val="clear" w:color="auto" w:fill="auto"/>
            <w:noWrap/>
            <w:vAlign w:val="center"/>
            <w:hideMark/>
          </w:tcPr>
          <w:p w14:paraId="39A8CCB3" w14:textId="5D8BA4A2" w:rsidR="000B190B" w:rsidRPr="00D92E20" w:rsidRDefault="000B190B" w:rsidP="000B190B">
            <w:pPr>
              <w:spacing w:after="0" w:line="240" w:lineRule="auto"/>
              <w:jc w:val="right"/>
              <w:rPr>
                <w:rFonts w:cs="Arial"/>
                <w:color w:val="000000"/>
                <w:sz w:val="16"/>
                <w:szCs w:val="16"/>
              </w:rPr>
            </w:pPr>
            <w:r>
              <w:rPr>
                <w:rFonts w:cs="Arial"/>
                <w:color w:val="000000"/>
                <w:sz w:val="16"/>
                <w:szCs w:val="16"/>
              </w:rPr>
              <w:t>81,4</w:t>
            </w:r>
          </w:p>
        </w:tc>
      </w:tr>
      <w:tr w:rsidR="00E371CF" w:rsidRPr="00D92E20" w14:paraId="1CC708E5" w14:textId="77777777" w:rsidTr="00E371CF">
        <w:trPr>
          <w:trHeight w:val="300"/>
        </w:trPr>
        <w:tc>
          <w:tcPr>
            <w:tcW w:w="4195" w:type="dxa"/>
            <w:tcBorders>
              <w:top w:val="nil"/>
              <w:left w:val="nil"/>
              <w:bottom w:val="nil"/>
              <w:right w:val="nil"/>
            </w:tcBorders>
            <w:shd w:val="clear" w:color="auto" w:fill="auto"/>
            <w:noWrap/>
            <w:vAlign w:val="center"/>
            <w:hideMark/>
          </w:tcPr>
          <w:p w14:paraId="73D9631A" w14:textId="63DBFC49"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nemoci páteře</w:t>
            </w:r>
          </w:p>
        </w:tc>
        <w:tc>
          <w:tcPr>
            <w:tcW w:w="907" w:type="dxa"/>
            <w:tcBorders>
              <w:top w:val="nil"/>
              <w:left w:val="single" w:sz="4" w:space="0" w:color="auto"/>
              <w:bottom w:val="nil"/>
              <w:right w:val="nil"/>
            </w:tcBorders>
            <w:shd w:val="clear" w:color="auto" w:fill="auto"/>
            <w:noWrap/>
            <w:vAlign w:val="center"/>
            <w:hideMark/>
          </w:tcPr>
          <w:p w14:paraId="75BBDB39" w14:textId="5359CCBC" w:rsidR="000B190B" w:rsidRPr="00D92E20" w:rsidRDefault="000B190B" w:rsidP="000B190B">
            <w:pPr>
              <w:spacing w:after="0" w:line="240" w:lineRule="auto"/>
              <w:jc w:val="right"/>
              <w:rPr>
                <w:rFonts w:cs="Arial"/>
                <w:color w:val="000000"/>
                <w:sz w:val="16"/>
                <w:szCs w:val="16"/>
              </w:rPr>
            </w:pPr>
            <w:r>
              <w:rPr>
                <w:rFonts w:cs="Arial"/>
                <w:color w:val="000000"/>
                <w:sz w:val="16"/>
                <w:szCs w:val="16"/>
              </w:rPr>
              <w:t>137,0</w:t>
            </w:r>
          </w:p>
        </w:tc>
        <w:tc>
          <w:tcPr>
            <w:tcW w:w="907" w:type="dxa"/>
            <w:tcBorders>
              <w:top w:val="nil"/>
              <w:left w:val="nil"/>
              <w:bottom w:val="nil"/>
              <w:right w:val="nil"/>
            </w:tcBorders>
            <w:shd w:val="clear" w:color="auto" w:fill="auto"/>
            <w:noWrap/>
            <w:vAlign w:val="center"/>
            <w:hideMark/>
          </w:tcPr>
          <w:p w14:paraId="42D6006F" w14:textId="01CC40F3" w:rsidR="000B190B" w:rsidRPr="00D92E20" w:rsidRDefault="000B190B" w:rsidP="000B190B">
            <w:pPr>
              <w:spacing w:after="0" w:line="240" w:lineRule="auto"/>
              <w:jc w:val="right"/>
              <w:rPr>
                <w:rFonts w:cs="Arial"/>
                <w:color w:val="000000"/>
                <w:sz w:val="16"/>
                <w:szCs w:val="16"/>
              </w:rPr>
            </w:pPr>
            <w:r>
              <w:rPr>
                <w:rFonts w:cs="Arial"/>
                <w:color w:val="000000"/>
                <w:sz w:val="16"/>
                <w:szCs w:val="16"/>
              </w:rPr>
              <w:t>70,8</w:t>
            </w:r>
          </w:p>
        </w:tc>
        <w:tc>
          <w:tcPr>
            <w:tcW w:w="907" w:type="dxa"/>
            <w:tcBorders>
              <w:top w:val="nil"/>
              <w:left w:val="nil"/>
              <w:bottom w:val="nil"/>
              <w:right w:val="single" w:sz="4" w:space="0" w:color="auto"/>
            </w:tcBorders>
            <w:shd w:val="clear" w:color="auto" w:fill="auto"/>
            <w:noWrap/>
            <w:vAlign w:val="center"/>
            <w:hideMark/>
          </w:tcPr>
          <w:p w14:paraId="26DB7D5D" w14:textId="3BC51D17" w:rsidR="000B190B" w:rsidRPr="00D92E20" w:rsidRDefault="000B190B" w:rsidP="000B190B">
            <w:pPr>
              <w:spacing w:after="0" w:line="240" w:lineRule="auto"/>
              <w:jc w:val="right"/>
              <w:rPr>
                <w:rFonts w:cs="Arial"/>
                <w:color w:val="000000"/>
                <w:sz w:val="16"/>
                <w:szCs w:val="16"/>
              </w:rPr>
            </w:pPr>
            <w:r>
              <w:rPr>
                <w:rFonts w:cs="Arial"/>
                <w:color w:val="000000"/>
                <w:sz w:val="16"/>
                <w:szCs w:val="16"/>
              </w:rPr>
              <w:t>66,2</w:t>
            </w:r>
          </w:p>
        </w:tc>
        <w:tc>
          <w:tcPr>
            <w:tcW w:w="907" w:type="dxa"/>
            <w:tcBorders>
              <w:top w:val="nil"/>
              <w:left w:val="nil"/>
              <w:bottom w:val="nil"/>
              <w:right w:val="nil"/>
            </w:tcBorders>
            <w:shd w:val="clear" w:color="auto" w:fill="auto"/>
            <w:noWrap/>
            <w:vAlign w:val="center"/>
            <w:hideMark/>
          </w:tcPr>
          <w:p w14:paraId="4D6526DC" w14:textId="6FC2CFDF" w:rsidR="000B190B" w:rsidRPr="00D92E20" w:rsidRDefault="000B190B" w:rsidP="000B190B">
            <w:pPr>
              <w:spacing w:after="0" w:line="240" w:lineRule="auto"/>
              <w:jc w:val="right"/>
              <w:rPr>
                <w:rFonts w:cs="Arial"/>
                <w:color w:val="000000"/>
                <w:sz w:val="16"/>
                <w:szCs w:val="16"/>
              </w:rPr>
            </w:pPr>
            <w:r>
              <w:rPr>
                <w:rFonts w:cs="Arial"/>
                <w:color w:val="000000"/>
                <w:sz w:val="16"/>
                <w:szCs w:val="16"/>
              </w:rPr>
              <w:t>70,1</w:t>
            </w:r>
          </w:p>
        </w:tc>
        <w:tc>
          <w:tcPr>
            <w:tcW w:w="907" w:type="dxa"/>
            <w:tcBorders>
              <w:top w:val="nil"/>
              <w:left w:val="nil"/>
              <w:bottom w:val="nil"/>
              <w:right w:val="nil"/>
            </w:tcBorders>
            <w:shd w:val="clear" w:color="auto" w:fill="auto"/>
            <w:noWrap/>
            <w:vAlign w:val="center"/>
            <w:hideMark/>
          </w:tcPr>
          <w:p w14:paraId="3C90AA1A" w14:textId="614844FC" w:rsidR="000B190B" w:rsidRPr="00D92E20" w:rsidRDefault="000B190B" w:rsidP="000B190B">
            <w:pPr>
              <w:spacing w:after="0" w:line="240" w:lineRule="auto"/>
              <w:jc w:val="right"/>
              <w:rPr>
                <w:rFonts w:cs="Arial"/>
                <w:color w:val="000000"/>
                <w:sz w:val="16"/>
                <w:szCs w:val="16"/>
              </w:rPr>
            </w:pPr>
            <w:r>
              <w:rPr>
                <w:rFonts w:cs="Arial"/>
                <w:color w:val="000000"/>
                <w:sz w:val="16"/>
                <w:szCs w:val="16"/>
              </w:rPr>
              <w:t>63,2</w:t>
            </w:r>
          </w:p>
        </w:tc>
        <w:tc>
          <w:tcPr>
            <w:tcW w:w="907" w:type="dxa"/>
            <w:tcBorders>
              <w:top w:val="nil"/>
              <w:left w:val="nil"/>
              <w:bottom w:val="nil"/>
              <w:right w:val="nil"/>
            </w:tcBorders>
            <w:shd w:val="clear" w:color="auto" w:fill="auto"/>
            <w:noWrap/>
            <w:vAlign w:val="center"/>
            <w:hideMark/>
          </w:tcPr>
          <w:p w14:paraId="14DA7BAB" w14:textId="7C9ABCA3" w:rsidR="000B190B" w:rsidRPr="00D92E20" w:rsidRDefault="000B190B" w:rsidP="000B190B">
            <w:pPr>
              <w:spacing w:after="0" w:line="240" w:lineRule="auto"/>
              <w:jc w:val="right"/>
              <w:rPr>
                <w:rFonts w:cs="Arial"/>
                <w:color w:val="000000"/>
                <w:sz w:val="16"/>
                <w:szCs w:val="16"/>
              </w:rPr>
            </w:pPr>
            <w:r>
              <w:rPr>
                <w:rFonts w:cs="Arial"/>
                <w:color w:val="000000"/>
                <w:sz w:val="16"/>
                <w:szCs w:val="16"/>
              </w:rPr>
              <w:t>77,4</w:t>
            </w:r>
          </w:p>
        </w:tc>
      </w:tr>
      <w:tr w:rsidR="00E371CF" w:rsidRPr="00D92E20" w14:paraId="5E10E5AA" w14:textId="77777777" w:rsidTr="00E371CF">
        <w:trPr>
          <w:trHeight w:val="300"/>
        </w:trPr>
        <w:tc>
          <w:tcPr>
            <w:tcW w:w="4195" w:type="dxa"/>
            <w:tcBorders>
              <w:top w:val="nil"/>
              <w:left w:val="nil"/>
              <w:bottom w:val="nil"/>
              <w:right w:val="nil"/>
            </w:tcBorders>
            <w:shd w:val="clear" w:color="auto" w:fill="auto"/>
            <w:noWrap/>
            <w:vAlign w:val="center"/>
            <w:hideMark/>
          </w:tcPr>
          <w:p w14:paraId="1AACEE65" w14:textId="5927D27B" w:rsidR="000B190B" w:rsidRPr="00D92E20" w:rsidRDefault="000B190B" w:rsidP="000B190B">
            <w:pPr>
              <w:spacing w:after="0" w:line="240" w:lineRule="auto"/>
              <w:ind w:firstLineChars="200" w:firstLine="320"/>
              <w:rPr>
                <w:rFonts w:cs="Arial"/>
                <w:color w:val="000000"/>
                <w:sz w:val="16"/>
                <w:szCs w:val="16"/>
              </w:rPr>
            </w:pPr>
            <w:r>
              <w:rPr>
                <w:rFonts w:cs="Arial"/>
                <w:sz w:val="16"/>
                <w:szCs w:val="16"/>
              </w:rPr>
              <w:t xml:space="preserve">      – jiné nemoci pohybové soustavy</w:t>
            </w:r>
          </w:p>
        </w:tc>
        <w:tc>
          <w:tcPr>
            <w:tcW w:w="907" w:type="dxa"/>
            <w:tcBorders>
              <w:top w:val="nil"/>
              <w:left w:val="single" w:sz="4" w:space="0" w:color="auto"/>
              <w:bottom w:val="nil"/>
              <w:right w:val="nil"/>
            </w:tcBorders>
            <w:shd w:val="clear" w:color="auto" w:fill="auto"/>
            <w:noWrap/>
            <w:vAlign w:val="center"/>
            <w:hideMark/>
          </w:tcPr>
          <w:p w14:paraId="77424AD1" w14:textId="2FE8FFEE" w:rsidR="000B190B" w:rsidRPr="00D92E20" w:rsidRDefault="000B190B" w:rsidP="000B190B">
            <w:pPr>
              <w:spacing w:after="0" w:line="240" w:lineRule="auto"/>
              <w:jc w:val="right"/>
              <w:rPr>
                <w:rFonts w:cs="Arial"/>
                <w:color w:val="000000"/>
                <w:sz w:val="16"/>
                <w:szCs w:val="16"/>
              </w:rPr>
            </w:pPr>
            <w:r>
              <w:rPr>
                <w:rFonts w:cs="Arial"/>
                <w:color w:val="000000"/>
                <w:sz w:val="16"/>
                <w:szCs w:val="16"/>
              </w:rPr>
              <w:t>61,6</w:t>
            </w:r>
          </w:p>
        </w:tc>
        <w:tc>
          <w:tcPr>
            <w:tcW w:w="907" w:type="dxa"/>
            <w:tcBorders>
              <w:top w:val="nil"/>
              <w:left w:val="nil"/>
              <w:bottom w:val="nil"/>
              <w:right w:val="nil"/>
            </w:tcBorders>
            <w:shd w:val="clear" w:color="auto" w:fill="auto"/>
            <w:noWrap/>
            <w:vAlign w:val="center"/>
            <w:hideMark/>
          </w:tcPr>
          <w:p w14:paraId="453D219F" w14:textId="0EC091F9" w:rsidR="000B190B" w:rsidRPr="00D92E20" w:rsidRDefault="000B190B" w:rsidP="000B190B">
            <w:pPr>
              <w:spacing w:after="0" w:line="240" w:lineRule="auto"/>
              <w:jc w:val="right"/>
              <w:rPr>
                <w:rFonts w:cs="Arial"/>
                <w:color w:val="000000"/>
                <w:sz w:val="16"/>
                <w:szCs w:val="16"/>
              </w:rPr>
            </w:pPr>
            <w:r>
              <w:rPr>
                <w:rFonts w:cs="Arial"/>
                <w:color w:val="000000"/>
                <w:sz w:val="16"/>
                <w:szCs w:val="16"/>
              </w:rPr>
              <w:t>32,3</w:t>
            </w:r>
          </w:p>
        </w:tc>
        <w:tc>
          <w:tcPr>
            <w:tcW w:w="907" w:type="dxa"/>
            <w:tcBorders>
              <w:top w:val="nil"/>
              <w:left w:val="nil"/>
              <w:bottom w:val="nil"/>
              <w:right w:val="single" w:sz="4" w:space="0" w:color="auto"/>
            </w:tcBorders>
            <w:shd w:val="clear" w:color="auto" w:fill="auto"/>
            <w:noWrap/>
            <w:vAlign w:val="center"/>
            <w:hideMark/>
          </w:tcPr>
          <w:p w14:paraId="553FA79A" w14:textId="57E7342D" w:rsidR="000B190B" w:rsidRPr="00D92E20" w:rsidRDefault="000B190B" w:rsidP="000B190B">
            <w:pPr>
              <w:spacing w:after="0" w:line="240" w:lineRule="auto"/>
              <w:jc w:val="right"/>
              <w:rPr>
                <w:rFonts w:cs="Arial"/>
                <w:color w:val="000000"/>
                <w:sz w:val="16"/>
                <w:szCs w:val="16"/>
              </w:rPr>
            </w:pPr>
            <w:r>
              <w:rPr>
                <w:rFonts w:cs="Arial"/>
                <w:color w:val="000000"/>
                <w:sz w:val="16"/>
                <w:szCs w:val="16"/>
              </w:rPr>
              <w:t>29,3</w:t>
            </w:r>
          </w:p>
        </w:tc>
        <w:tc>
          <w:tcPr>
            <w:tcW w:w="907" w:type="dxa"/>
            <w:tcBorders>
              <w:top w:val="nil"/>
              <w:left w:val="nil"/>
              <w:bottom w:val="nil"/>
              <w:right w:val="nil"/>
            </w:tcBorders>
            <w:shd w:val="clear" w:color="auto" w:fill="auto"/>
            <w:noWrap/>
            <w:vAlign w:val="center"/>
            <w:hideMark/>
          </w:tcPr>
          <w:p w14:paraId="060DACCB" w14:textId="5DE455A1" w:rsidR="000B190B" w:rsidRPr="00D92E20" w:rsidRDefault="000B190B" w:rsidP="000B190B">
            <w:pPr>
              <w:spacing w:after="0" w:line="240" w:lineRule="auto"/>
              <w:jc w:val="right"/>
              <w:rPr>
                <w:rFonts w:cs="Arial"/>
                <w:color w:val="000000"/>
                <w:sz w:val="16"/>
                <w:szCs w:val="16"/>
              </w:rPr>
            </w:pPr>
            <w:r>
              <w:rPr>
                <w:rFonts w:cs="Arial"/>
                <w:color w:val="000000"/>
                <w:sz w:val="16"/>
                <w:szCs w:val="16"/>
              </w:rPr>
              <w:t>83,6</w:t>
            </w:r>
          </w:p>
        </w:tc>
        <w:tc>
          <w:tcPr>
            <w:tcW w:w="907" w:type="dxa"/>
            <w:tcBorders>
              <w:top w:val="nil"/>
              <w:left w:val="nil"/>
              <w:bottom w:val="nil"/>
              <w:right w:val="nil"/>
            </w:tcBorders>
            <w:shd w:val="clear" w:color="auto" w:fill="auto"/>
            <w:noWrap/>
            <w:vAlign w:val="center"/>
            <w:hideMark/>
          </w:tcPr>
          <w:p w14:paraId="55AAA629" w14:textId="2F6BE07C" w:rsidR="000B190B" w:rsidRPr="00D92E20" w:rsidRDefault="000B190B" w:rsidP="000B190B">
            <w:pPr>
              <w:spacing w:after="0" w:line="240" w:lineRule="auto"/>
              <w:jc w:val="right"/>
              <w:rPr>
                <w:rFonts w:cs="Arial"/>
                <w:color w:val="000000"/>
                <w:sz w:val="16"/>
                <w:szCs w:val="16"/>
              </w:rPr>
            </w:pPr>
            <w:r>
              <w:rPr>
                <w:rFonts w:cs="Arial"/>
                <w:color w:val="000000"/>
                <w:sz w:val="16"/>
                <w:szCs w:val="16"/>
              </w:rPr>
              <w:t>77,6</w:t>
            </w:r>
          </w:p>
        </w:tc>
        <w:tc>
          <w:tcPr>
            <w:tcW w:w="907" w:type="dxa"/>
            <w:tcBorders>
              <w:top w:val="nil"/>
              <w:left w:val="nil"/>
              <w:bottom w:val="nil"/>
              <w:right w:val="nil"/>
            </w:tcBorders>
            <w:shd w:val="clear" w:color="auto" w:fill="auto"/>
            <w:noWrap/>
            <w:vAlign w:val="center"/>
            <w:hideMark/>
          </w:tcPr>
          <w:p w14:paraId="0EB55880" w14:textId="1D68AA03" w:rsidR="000B190B" w:rsidRPr="00D92E20" w:rsidRDefault="000B190B" w:rsidP="000B190B">
            <w:pPr>
              <w:spacing w:after="0" w:line="240" w:lineRule="auto"/>
              <w:jc w:val="right"/>
              <w:rPr>
                <w:rFonts w:cs="Arial"/>
                <w:color w:val="000000"/>
                <w:sz w:val="16"/>
                <w:szCs w:val="16"/>
              </w:rPr>
            </w:pPr>
            <w:r>
              <w:rPr>
                <w:rFonts w:cs="Arial"/>
                <w:color w:val="000000"/>
                <w:sz w:val="16"/>
                <w:szCs w:val="16"/>
              </w:rPr>
              <w:t>90,3</w:t>
            </w:r>
          </w:p>
        </w:tc>
      </w:tr>
      <w:tr w:rsidR="00E371CF" w:rsidRPr="00D92E20" w14:paraId="3514D31D" w14:textId="77777777" w:rsidTr="00E371CF">
        <w:trPr>
          <w:trHeight w:val="300"/>
        </w:trPr>
        <w:tc>
          <w:tcPr>
            <w:tcW w:w="4195" w:type="dxa"/>
            <w:tcBorders>
              <w:top w:val="nil"/>
              <w:left w:val="nil"/>
              <w:bottom w:val="nil"/>
              <w:right w:val="nil"/>
            </w:tcBorders>
            <w:shd w:val="clear" w:color="auto" w:fill="auto"/>
            <w:noWrap/>
            <w:vAlign w:val="center"/>
            <w:hideMark/>
          </w:tcPr>
          <w:p w14:paraId="49478951" w14:textId="19DA3F33"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močové a pohlavní soustavy</w:t>
            </w:r>
          </w:p>
        </w:tc>
        <w:tc>
          <w:tcPr>
            <w:tcW w:w="907" w:type="dxa"/>
            <w:tcBorders>
              <w:top w:val="nil"/>
              <w:left w:val="single" w:sz="4" w:space="0" w:color="auto"/>
              <w:bottom w:val="nil"/>
              <w:right w:val="nil"/>
            </w:tcBorders>
            <w:shd w:val="clear" w:color="auto" w:fill="auto"/>
            <w:noWrap/>
            <w:vAlign w:val="center"/>
            <w:hideMark/>
          </w:tcPr>
          <w:p w14:paraId="586BCB1B" w14:textId="6370D1C4" w:rsidR="000B190B" w:rsidRPr="00D92E20" w:rsidRDefault="000B190B" w:rsidP="000B190B">
            <w:pPr>
              <w:spacing w:after="0" w:line="240" w:lineRule="auto"/>
              <w:jc w:val="right"/>
              <w:rPr>
                <w:rFonts w:cs="Arial"/>
                <w:color w:val="000000"/>
                <w:sz w:val="16"/>
                <w:szCs w:val="16"/>
              </w:rPr>
            </w:pPr>
            <w:r>
              <w:rPr>
                <w:rFonts w:cs="Arial"/>
                <w:color w:val="000000"/>
                <w:sz w:val="16"/>
                <w:szCs w:val="16"/>
              </w:rPr>
              <w:t>34,2</w:t>
            </w:r>
          </w:p>
        </w:tc>
        <w:tc>
          <w:tcPr>
            <w:tcW w:w="907" w:type="dxa"/>
            <w:tcBorders>
              <w:top w:val="nil"/>
              <w:left w:val="nil"/>
              <w:bottom w:val="nil"/>
              <w:right w:val="nil"/>
            </w:tcBorders>
            <w:shd w:val="clear" w:color="auto" w:fill="auto"/>
            <w:noWrap/>
            <w:vAlign w:val="center"/>
            <w:hideMark/>
          </w:tcPr>
          <w:p w14:paraId="3A5BAD1D" w14:textId="0FEF29CB" w:rsidR="000B190B" w:rsidRPr="00D92E20" w:rsidRDefault="000B190B" w:rsidP="000B190B">
            <w:pPr>
              <w:spacing w:after="0" w:line="240" w:lineRule="auto"/>
              <w:jc w:val="right"/>
              <w:rPr>
                <w:rFonts w:cs="Arial"/>
                <w:color w:val="000000"/>
                <w:sz w:val="16"/>
                <w:szCs w:val="16"/>
              </w:rPr>
            </w:pPr>
            <w:r>
              <w:rPr>
                <w:rFonts w:cs="Arial"/>
                <w:color w:val="000000"/>
                <w:sz w:val="16"/>
                <w:szCs w:val="16"/>
              </w:rPr>
              <w:t>7,6</w:t>
            </w:r>
          </w:p>
        </w:tc>
        <w:tc>
          <w:tcPr>
            <w:tcW w:w="907" w:type="dxa"/>
            <w:tcBorders>
              <w:top w:val="nil"/>
              <w:left w:val="nil"/>
              <w:bottom w:val="nil"/>
              <w:right w:val="single" w:sz="4" w:space="0" w:color="auto"/>
            </w:tcBorders>
            <w:shd w:val="clear" w:color="auto" w:fill="auto"/>
            <w:noWrap/>
            <w:vAlign w:val="center"/>
            <w:hideMark/>
          </w:tcPr>
          <w:p w14:paraId="6A0D175C" w14:textId="0CDB7F92" w:rsidR="000B190B" w:rsidRPr="00D92E20" w:rsidRDefault="000B190B" w:rsidP="000B190B">
            <w:pPr>
              <w:spacing w:after="0" w:line="240" w:lineRule="auto"/>
              <w:jc w:val="right"/>
              <w:rPr>
                <w:rFonts w:cs="Arial"/>
                <w:color w:val="000000"/>
                <w:sz w:val="16"/>
                <w:szCs w:val="16"/>
              </w:rPr>
            </w:pPr>
            <w:r>
              <w:rPr>
                <w:rFonts w:cs="Arial"/>
                <w:color w:val="000000"/>
                <w:sz w:val="16"/>
                <w:szCs w:val="16"/>
              </w:rPr>
              <w:t>26,5</w:t>
            </w:r>
          </w:p>
        </w:tc>
        <w:tc>
          <w:tcPr>
            <w:tcW w:w="907" w:type="dxa"/>
            <w:tcBorders>
              <w:top w:val="nil"/>
              <w:left w:val="nil"/>
              <w:bottom w:val="nil"/>
              <w:right w:val="nil"/>
            </w:tcBorders>
            <w:shd w:val="clear" w:color="auto" w:fill="auto"/>
            <w:noWrap/>
            <w:vAlign w:val="center"/>
            <w:hideMark/>
          </w:tcPr>
          <w:p w14:paraId="13461EDC" w14:textId="7EE49312" w:rsidR="000B190B" w:rsidRPr="00D92E20" w:rsidRDefault="000B190B" w:rsidP="000B190B">
            <w:pPr>
              <w:spacing w:after="0" w:line="240" w:lineRule="auto"/>
              <w:jc w:val="right"/>
              <w:rPr>
                <w:rFonts w:cs="Arial"/>
                <w:color w:val="000000"/>
                <w:sz w:val="16"/>
                <w:szCs w:val="16"/>
              </w:rPr>
            </w:pPr>
            <w:r>
              <w:rPr>
                <w:rFonts w:cs="Arial"/>
                <w:color w:val="000000"/>
                <w:sz w:val="16"/>
                <w:szCs w:val="16"/>
              </w:rPr>
              <w:t>35,6</w:t>
            </w:r>
          </w:p>
        </w:tc>
        <w:tc>
          <w:tcPr>
            <w:tcW w:w="907" w:type="dxa"/>
            <w:tcBorders>
              <w:top w:val="nil"/>
              <w:left w:val="nil"/>
              <w:bottom w:val="nil"/>
              <w:right w:val="nil"/>
            </w:tcBorders>
            <w:shd w:val="clear" w:color="auto" w:fill="auto"/>
            <w:noWrap/>
            <w:vAlign w:val="center"/>
            <w:hideMark/>
          </w:tcPr>
          <w:p w14:paraId="041A89C2" w14:textId="518CB3B0" w:rsidR="000B190B" w:rsidRPr="00D92E20" w:rsidRDefault="000B190B" w:rsidP="000B190B">
            <w:pPr>
              <w:spacing w:after="0" w:line="240" w:lineRule="auto"/>
              <w:jc w:val="right"/>
              <w:rPr>
                <w:rFonts w:cs="Arial"/>
                <w:color w:val="000000"/>
                <w:sz w:val="16"/>
                <w:szCs w:val="16"/>
              </w:rPr>
            </w:pPr>
            <w:r>
              <w:rPr>
                <w:rFonts w:cs="Arial"/>
                <w:color w:val="000000"/>
                <w:sz w:val="16"/>
                <w:szCs w:val="16"/>
              </w:rPr>
              <w:t>39,4</w:t>
            </w:r>
          </w:p>
        </w:tc>
        <w:tc>
          <w:tcPr>
            <w:tcW w:w="907" w:type="dxa"/>
            <w:tcBorders>
              <w:top w:val="nil"/>
              <w:left w:val="nil"/>
              <w:bottom w:val="nil"/>
              <w:right w:val="nil"/>
            </w:tcBorders>
            <w:shd w:val="clear" w:color="auto" w:fill="auto"/>
            <w:noWrap/>
            <w:vAlign w:val="center"/>
            <w:hideMark/>
          </w:tcPr>
          <w:p w14:paraId="092394EC" w14:textId="3DD956FA" w:rsidR="000B190B" w:rsidRPr="00D92E20" w:rsidRDefault="000B190B" w:rsidP="000B190B">
            <w:pPr>
              <w:spacing w:after="0" w:line="240" w:lineRule="auto"/>
              <w:jc w:val="right"/>
              <w:rPr>
                <w:rFonts w:cs="Arial"/>
                <w:color w:val="000000"/>
                <w:sz w:val="16"/>
                <w:szCs w:val="16"/>
              </w:rPr>
            </w:pPr>
            <w:r>
              <w:rPr>
                <w:rFonts w:cs="Arial"/>
                <w:color w:val="000000"/>
                <w:sz w:val="16"/>
                <w:szCs w:val="16"/>
              </w:rPr>
              <w:t>34,5</w:t>
            </w:r>
          </w:p>
        </w:tc>
      </w:tr>
      <w:tr w:rsidR="00E371CF" w:rsidRPr="00D92E20" w14:paraId="32B14331" w14:textId="77777777" w:rsidTr="00E371CF">
        <w:trPr>
          <w:trHeight w:val="300"/>
        </w:trPr>
        <w:tc>
          <w:tcPr>
            <w:tcW w:w="4195" w:type="dxa"/>
            <w:tcBorders>
              <w:top w:val="nil"/>
              <w:left w:val="nil"/>
              <w:bottom w:val="nil"/>
              <w:right w:val="nil"/>
            </w:tcBorders>
            <w:shd w:val="clear" w:color="auto" w:fill="auto"/>
            <w:noWrap/>
            <w:vAlign w:val="center"/>
            <w:hideMark/>
          </w:tcPr>
          <w:p w14:paraId="7AF3CDE8" w14:textId="212AE9AF"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Těhotenství, porod, šestinedělí</w:t>
            </w:r>
          </w:p>
        </w:tc>
        <w:tc>
          <w:tcPr>
            <w:tcW w:w="907" w:type="dxa"/>
            <w:tcBorders>
              <w:top w:val="nil"/>
              <w:left w:val="single" w:sz="4" w:space="0" w:color="auto"/>
              <w:bottom w:val="nil"/>
              <w:right w:val="nil"/>
            </w:tcBorders>
            <w:shd w:val="clear" w:color="auto" w:fill="auto"/>
            <w:noWrap/>
            <w:vAlign w:val="center"/>
            <w:hideMark/>
          </w:tcPr>
          <w:p w14:paraId="762F3D55" w14:textId="4FD1A5FD" w:rsidR="000B190B" w:rsidRPr="00D92E20" w:rsidRDefault="000B190B" w:rsidP="000B190B">
            <w:pPr>
              <w:spacing w:after="0" w:line="240" w:lineRule="auto"/>
              <w:jc w:val="right"/>
              <w:rPr>
                <w:rFonts w:cs="Arial"/>
                <w:color w:val="000000"/>
                <w:sz w:val="16"/>
                <w:szCs w:val="16"/>
              </w:rPr>
            </w:pPr>
            <w:r>
              <w:rPr>
                <w:rFonts w:cs="Arial"/>
                <w:color w:val="000000"/>
                <w:sz w:val="16"/>
                <w:szCs w:val="16"/>
              </w:rPr>
              <w:t>15,2</w:t>
            </w:r>
          </w:p>
        </w:tc>
        <w:tc>
          <w:tcPr>
            <w:tcW w:w="907" w:type="dxa"/>
            <w:tcBorders>
              <w:top w:val="nil"/>
              <w:left w:val="nil"/>
              <w:bottom w:val="nil"/>
              <w:right w:val="nil"/>
            </w:tcBorders>
            <w:shd w:val="clear" w:color="auto" w:fill="auto"/>
            <w:noWrap/>
            <w:vAlign w:val="center"/>
            <w:hideMark/>
          </w:tcPr>
          <w:p w14:paraId="0D50D00E" w14:textId="13009B09" w:rsidR="000B190B" w:rsidRPr="00D92E20" w:rsidRDefault="000B190B" w:rsidP="000B190B">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single" w:sz="4" w:space="0" w:color="auto"/>
            </w:tcBorders>
            <w:shd w:val="clear" w:color="auto" w:fill="auto"/>
            <w:noWrap/>
            <w:vAlign w:val="center"/>
            <w:hideMark/>
          </w:tcPr>
          <w:p w14:paraId="704A6B65" w14:textId="0BC8B3F6" w:rsidR="000B190B" w:rsidRPr="00D92E20" w:rsidRDefault="000B190B" w:rsidP="000B190B">
            <w:pPr>
              <w:spacing w:after="0" w:line="240" w:lineRule="auto"/>
              <w:jc w:val="right"/>
              <w:rPr>
                <w:rFonts w:cs="Arial"/>
                <w:color w:val="000000"/>
                <w:sz w:val="16"/>
                <w:szCs w:val="16"/>
              </w:rPr>
            </w:pPr>
            <w:r>
              <w:rPr>
                <w:rFonts w:cs="Arial"/>
                <w:color w:val="000000"/>
                <w:sz w:val="16"/>
                <w:szCs w:val="16"/>
              </w:rPr>
              <w:t>15,2</w:t>
            </w:r>
          </w:p>
        </w:tc>
        <w:tc>
          <w:tcPr>
            <w:tcW w:w="907" w:type="dxa"/>
            <w:tcBorders>
              <w:top w:val="nil"/>
              <w:left w:val="nil"/>
              <w:bottom w:val="nil"/>
              <w:right w:val="nil"/>
            </w:tcBorders>
            <w:shd w:val="clear" w:color="auto" w:fill="auto"/>
            <w:noWrap/>
            <w:vAlign w:val="center"/>
            <w:hideMark/>
          </w:tcPr>
          <w:p w14:paraId="7206F860" w14:textId="53581379" w:rsidR="000B190B" w:rsidRPr="00D92E20" w:rsidRDefault="000B190B" w:rsidP="000B190B">
            <w:pPr>
              <w:spacing w:after="0" w:line="240" w:lineRule="auto"/>
              <w:jc w:val="right"/>
              <w:rPr>
                <w:rFonts w:cs="Arial"/>
                <w:color w:val="000000"/>
                <w:sz w:val="16"/>
                <w:szCs w:val="16"/>
              </w:rPr>
            </w:pPr>
            <w:r>
              <w:rPr>
                <w:rFonts w:cs="Arial"/>
                <w:color w:val="000000"/>
                <w:sz w:val="16"/>
                <w:szCs w:val="16"/>
              </w:rPr>
              <w:t>105,4</w:t>
            </w:r>
          </w:p>
        </w:tc>
        <w:tc>
          <w:tcPr>
            <w:tcW w:w="907" w:type="dxa"/>
            <w:tcBorders>
              <w:top w:val="nil"/>
              <w:left w:val="nil"/>
              <w:bottom w:val="nil"/>
              <w:right w:val="nil"/>
            </w:tcBorders>
            <w:shd w:val="clear" w:color="auto" w:fill="auto"/>
            <w:noWrap/>
            <w:vAlign w:val="center"/>
            <w:hideMark/>
          </w:tcPr>
          <w:p w14:paraId="1073704A" w14:textId="33C247ED" w:rsidR="000B190B" w:rsidRPr="00D92E20" w:rsidRDefault="000B190B" w:rsidP="000B190B">
            <w:pPr>
              <w:spacing w:after="0" w:line="240" w:lineRule="auto"/>
              <w:jc w:val="right"/>
              <w:rPr>
                <w:rFonts w:ascii="Calibri" w:hAnsi="Calibri" w:cs="Calibri"/>
                <w:color w:val="000000"/>
                <w:sz w:val="16"/>
                <w:szCs w:val="16"/>
              </w:rPr>
            </w:pPr>
            <w:r>
              <w:rPr>
                <w:rFonts w:cs="Arial"/>
                <w:sz w:val="16"/>
                <w:szCs w:val="16"/>
              </w:rPr>
              <w:t>x</w:t>
            </w:r>
          </w:p>
        </w:tc>
        <w:tc>
          <w:tcPr>
            <w:tcW w:w="907" w:type="dxa"/>
            <w:tcBorders>
              <w:top w:val="nil"/>
              <w:left w:val="nil"/>
              <w:bottom w:val="nil"/>
              <w:right w:val="nil"/>
            </w:tcBorders>
            <w:shd w:val="clear" w:color="auto" w:fill="auto"/>
            <w:noWrap/>
            <w:vAlign w:val="center"/>
            <w:hideMark/>
          </w:tcPr>
          <w:p w14:paraId="37A792A3" w14:textId="3393DBB9" w:rsidR="000B190B" w:rsidRPr="00D92E20" w:rsidRDefault="000B190B" w:rsidP="000B190B">
            <w:pPr>
              <w:spacing w:after="0" w:line="240" w:lineRule="auto"/>
              <w:jc w:val="right"/>
              <w:rPr>
                <w:rFonts w:cs="Arial"/>
                <w:color w:val="000000"/>
                <w:sz w:val="16"/>
                <w:szCs w:val="16"/>
              </w:rPr>
            </w:pPr>
            <w:r>
              <w:rPr>
                <w:rFonts w:cs="Arial"/>
                <w:color w:val="000000"/>
                <w:sz w:val="16"/>
                <w:szCs w:val="16"/>
              </w:rPr>
              <w:t>105,4</w:t>
            </w:r>
          </w:p>
        </w:tc>
      </w:tr>
      <w:tr w:rsidR="00E371CF" w:rsidRPr="00D92E20" w14:paraId="37471E0A" w14:textId="77777777" w:rsidTr="00E371CF">
        <w:trPr>
          <w:trHeight w:val="300"/>
        </w:trPr>
        <w:tc>
          <w:tcPr>
            <w:tcW w:w="4195" w:type="dxa"/>
            <w:tcBorders>
              <w:top w:val="nil"/>
              <w:left w:val="nil"/>
              <w:bottom w:val="nil"/>
              <w:right w:val="nil"/>
            </w:tcBorders>
            <w:shd w:val="clear" w:color="auto" w:fill="auto"/>
            <w:noWrap/>
            <w:vAlign w:val="center"/>
            <w:hideMark/>
          </w:tcPr>
          <w:p w14:paraId="556B8FAF" w14:textId="0B753742"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Úrazy, otravy</w:t>
            </w:r>
          </w:p>
        </w:tc>
        <w:tc>
          <w:tcPr>
            <w:tcW w:w="907" w:type="dxa"/>
            <w:tcBorders>
              <w:top w:val="nil"/>
              <w:left w:val="single" w:sz="4" w:space="0" w:color="auto"/>
              <w:bottom w:val="nil"/>
              <w:right w:val="nil"/>
            </w:tcBorders>
            <w:shd w:val="clear" w:color="auto" w:fill="auto"/>
            <w:noWrap/>
            <w:vAlign w:val="center"/>
            <w:hideMark/>
          </w:tcPr>
          <w:p w14:paraId="1A740119" w14:textId="605A270D" w:rsidR="000B190B" w:rsidRPr="00D92E20" w:rsidRDefault="000B190B" w:rsidP="000B190B">
            <w:pPr>
              <w:spacing w:after="0" w:line="240" w:lineRule="auto"/>
              <w:jc w:val="right"/>
              <w:rPr>
                <w:rFonts w:cs="Arial"/>
                <w:color w:val="000000"/>
                <w:sz w:val="16"/>
                <w:szCs w:val="16"/>
              </w:rPr>
            </w:pPr>
            <w:r>
              <w:rPr>
                <w:rFonts w:cs="Arial"/>
                <w:color w:val="000000"/>
                <w:sz w:val="16"/>
                <w:szCs w:val="16"/>
              </w:rPr>
              <w:t>90,0</w:t>
            </w:r>
          </w:p>
        </w:tc>
        <w:tc>
          <w:tcPr>
            <w:tcW w:w="907" w:type="dxa"/>
            <w:tcBorders>
              <w:top w:val="nil"/>
              <w:left w:val="nil"/>
              <w:bottom w:val="nil"/>
              <w:right w:val="nil"/>
            </w:tcBorders>
            <w:shd w:val="clear" w:color="auto" w:fill="auto"/>
            <w:noWrap/>
            <w:vAlign w:val="center"/>
            <w:hideMark/>
          </w:tcPr>
          <w:p w14:paraId="6F5ACB5C" w14:textId="70D6DB8D" w:rsidR="000B190B" w:rsidRPr="00D92E20" w:rsidRDefault="000B190B" w:rsidP="000B190B">
            <w:pPr>
              <w:spacing w:after="0" w:line="240" w:lineRule="auto"/>
              <w:jc w:val="right"/>
              <w:rPr>
                <w:rFonts w:cs="Arial"/>
                <w:color w:val="000000"/>
                <w:sz w:val="16"/>
                <w:szCs w:val="16"/>
              </w:rPr>
            </w:pPr>
            <w:r>
              <w:rPr>
                <w:rFonts w:cs="Arial"/>
                <w:color w:val="000000"/>
                <w:sz w:val="16"/>
                <w:szCs w:val="16"/>
              </w:rPr>
              <w:t>56,2</w:t>
            </w:r>
          </w:p>
        </w:tc>
        <w:tc>
          <w:tcPr>
            <w:tcW w:w="907" w:type="dxa"/>
            <w:tcBorders>
              <w:top w:val="nil"/>
              <w:left w:val="nil"/>
              <w:bottom w:val="nil"/>
              <w:right w:val="single" w:sz="4" w:space="0" w:color="auto"/>
            </w:tcBorders>
            <w:shd w:val="clear" w:color="auto" w:fill="auto"/>
            <w:noWrap/>
            <w:vAlign w:val="center"/>
            <w:hideMark/>
          </w:tcPr>
          <w:p w14:paraId="093879DE" w14:textId="21C7BA02" w:rsidR="000B190B" w:rsidRPr="00D92E20" w:rsidRDefault="000B190B" w:rsidP="000B190B">
            <w:pPr>
              <w:spacing w:after="0" w:line="240" w:lineRule="auto"/>
              <w:jc w:val="right"/>
              <w:rPr>
                <w:rFonts w:cs="Arial"/>
                <w:color w:val="000000"/>
                <w:sz w:val="16"/>
                <w:szCs w:val="16"/>
              </w:rPr>
            </w:pPr>
            <w:r>
              <w:rPr>
                <w:rFonts w:cs="Arial"/>
                <w:color w:val="000000"/>
                <w:sz w:val="16"/>
                <w:szCs w:val="16"/>
              </w:rPr>
              <w:t>33,8</w:t>
            </w:r>
          </w:p>
        </w:tc>
        <w:tc>
          <w:tcPr>
            <w:tcW w:w="907" w:type="dxa"/>
            <w:tcBorders>
              <w:top w:val="nil"/>
              <w:left w:val="nil"/>
              <w:bottom w:val="nil"/>
              <w:right w:val="nil"/>
            </w:tcBorders>
            <w:shd w:val="clear" w:color="auto" w:fill="auto"/>
            <w:noWrap/>
            <w:vAlign w:val="center"/>
            <w:hideMark/>
          </w:tcPr>
          <w:p w14:paraId="56A7ED6C" w14:textId="1CB72927" w:rsidR="000B190B" w:rsidRPr="00D92E20" w:rsidRDefault="000B190B" w:rsidP="000B190B">
            <w:pPr>
              <w:spacing w:after="0" w:line="240" w:lineRule="auto"/>
              <w:jc w:val="right"/>
              <w:rPr>
                <w:rFonts w:cs="Arial"/>
                <w:color w:val="000000"/>
                <w:sz w:val="16"/>
                <w:szCs w:val="16"/>
              </w:rPr>
            </w:pPr>
            <w:r>
              <w:rPr>
                <w:rFonts w:cs="Arial"/>
                <w:color w:val="000000"/>
                <w:sz w:val="16"/>
                <w:szCs w:val="16"/>
              </w:rPr>
              <w:t>57,6</w:t>
            </w:r>
          </w:p>
        </w:tc>
        <w:tc>
          <w:tcPr>
            <w:tcW w:w="907" w:type="dxa"/>
            <w:tcBorders>
              <w:top w:val="nil"/>
              <w:left w:val="nil"/>
              <w:bottom w:val="nil"/>
              <w:right w:val="nil"/>
            </w:tcBorders>
            <w:shd w:val="clear" w:color="auto" w:fill="auto"/>
            <w:noWrap/>
            <w:vAlign w:val="center"/>
            <w:hideMark/>
          </w:tcPr>
          <w:p w14:paraId="034C35C9" w14:textId="0E617290" w:rsidR="000B190B" w:rsidRPr="00D92E20" w:rsidRDefault="000B190B" w:rsidP="000B190B">
            <w:pPr>
              <w:spacing w:after="0" w:line="240" w:lineRule="auto"/>
              <w:jc w:val="right"/>
              <w:rPr>
                <w:rFonts w:cs="Arial"/>
                <w:color w:val="000000"/>
                <w:sz w:val="16"/>
                <w:szCs w:val="16"/>
              </w:rPr>
            </w:pPr>
            <w:r>
              <w:rPr>
                <w:rFonts w:cs="Arial"/>
                <w:color w:val="000000"/>
                <w:sz w:val="16"/>
                <w:szCs w:val="16"/>
              </w:rPr>
              <w:t>56,4</w:t>
            </w:r>
          </w:p>
        </w:tc>
        <w:tc>
          <w:tcPr>
            <w:tcW w:w="907" w:type="dxa"/>
            <w:tcBorders>
              <w:top w:val="nil"/>
              <w:left w:val="nil"/>
              <w:bottom w:val="nil"/>
              <w:right w:val="nil"/>
            </w:tcBorders>
            <w:shd w:val="clear" w:color="auto" w:fill="auto"/>
            <w:noWrap/>
            <w:vAlign w:val="center"/>
            <w:hideMark/>
          </w:tcPr>
          <w:p w14:paraId="1DB80290" w14:textId="59874504" w:rsidR="000B190B" w:rsidRPr="00D92E20" w:rsidRDefault="000B190B" w:rsidP="000B190B">
            <w:pPr>
              <w:spacing w:after="0" w:line="240" w:lineRule="auto"/>
              <w:jc w:val="right"/>
              <w:rPr>
                <w:rFonts w:cs="Arial"/>
                <w:color w:val="000000"/>
                <w:sz w:val="16"/>
                <w:szCs w:val="16"/>
              </w:rPr>
            </w:pPr>
            <w:r>
              <w:rPr>
                <w:rFonts w:cs="Arial"/>
                <w:color w:val="000000"/>
                <w:sz w:val="16"/>
                <w:szCs w:val="16"/>
              </w:rPr>
              <w:t>59,7</w:t>
            </w:r>
          </w:p>
        </w:tc>
      </w:tr>
      <w:tr w:rsidR="00E371CF" w:rsidRPr="00D92E20" w14:paraId="18566DD8" w14:textId="77777777" w:rsidTr="00E371CF">
        <w:trPr>
          <w:trHeight w:val="300"/>
        </w:trPr>
        <w:tc>
          <w:tcPr>
            <w:tcW w:w="4195" w:type="dxa"/>
            <w:tcBorders>
              <w:top w:val="nil"/>
              <w:left w:val="nil"/>
              <w:bottom w:val="nil"/>
              <w:right w:val="nil"/>
            </w:tcBorders>
            <w:shd w:val="clear" w:color="auto" w:fill="auto"/>
            <w:noWrap/>
            <w:vAlign w:val="center"/>
            <w:hideMark/>
          </w:tcPr>
          <w:p w14:paraId="3E583A4D" w14:textId="1363B536" w:rsidR="000B190B" w:rsidRPr="00D92E20" w:rsidRDefault="000B190B" w:rsidP="000B190B">
            <w:pPr>
              <w:spacing w:after="0" w:line="240" w:lineRule="auto"/>
              <w:ind w:firstLineChars="100" w:firstLine="160"/>
              <w:rPr>
                <w:rFonts w:cs="Arial"/>
                <w:color w:val="000000"/>
                <w:sz w:val="16"/>
                <w:szCs w:val="16"/>
              </w:rPr>
            </w:pPr>
            <w:r>
              <w:rPr>
                <w:rFonts w:cs="Arial"/>
                <w:sz w:val="16"/>
                <w:szCs w:val="16"/>
              </w:rPr>
              <w:t xml:space="preserve">   Nemoci ostatní</w:t>
            </w:r>
          </w:p>
        </w:tc>
        <w:tc>
          <w:tcPr>
            <w:tcW w:w="907" w:type="dxa"/>
            <w:tcBorders>
              <w:top w:val="nil"/>
              <w:left w:val="single" w:sz="4" w:space="0" w:color="auto"/>
              <w:bottom w:val="nil"/>
              <w:right w:val="nil"/>
            </w:tcBorders>
            <w:shd w:val="clear" w:color="auto" w:fill="auto"/>
            <w:noWrap/>
            <w:vAlign w:val="center"/>
            <w:hideMark/>
          </w:tcPr>
          <w:p w14:paraId="59C17F8D" w14:textId="6C1F9E8E" w:rsidR="000B190B" w:rsidRPr="00D92E20" w:rsidRDefault="000B190B" w:rsidP="000B190B">
            <w:pPr>
              <w:spacing w:after="0" w:line="240" w:lineRule="auto"/>
              <w:jc w:val="right"/>
              <w:rPr>
                <w:rFonts w:cs="Arial"/>
                <w:color w:val="000000"/>
                <w:sz w:val="16"/>
                <w:szCs w:val="16"/>
              </w:rPr>
            </w:pPr>
            <w:r>
              <w:rPr>
                <w:rFonts w:cs="Arial"/>
                <w:color w:val="000000"/>
                <w:sz w:val="16"/>
                <w:szCs w:val="16"/>
              </w:rPr>
              <w:t>705,4</w:t>
            </w:r>
          </w:p>
        </w:tc>
        <w:tc>
          <w:tcPr>
            <w:tcW w:w="907" w:type="dxa"/>
            <w:tcBorders>
              <w:top w:val="nil"/>
              <w:left w:val="nil"/>
              <w:bottom w:val="nil"/>
              <w:right w:val="nil"/>
            </w:tcBorders>
            <w:shd w:val="clear" w:color="auto" w:fill="auto"/>
            <w:noWrap/>
            <w:vAlign w:val="center"/>
            <w:hideMark/>
          </w:tcPr>
          <w:p w14:paraId="6F472D6B" w14:textId="2B17F657" w:rsidR="000B190B" w:rsidRPr="00D92E20" w:rsidRDefault="000B190B" w:rsidP="000B190B">
            <w:pPr>
              <w:spacing w:after="0" w:line="240" w:lineRule="auto"/>
              <w:jc w:val="right"/>
              <w:rPr>
                <w:rFonts w:cs="Arial"/>
                <w:color w:val="000000"/>
                <w:sz w:val="16"/>
                <w:szCs w:val="16"/>
              </w:rPr>
            </w:pPr>
            <w:r>
              <w:rPr>
                <w:rFonts w:cs="Arial"/>
                <w:color w:val="000000"/>
                <w:sz w:val="16"/>
                <w:szCs w:val="16"/>
              </w:rPr>
              <w:t>353,1</w:t>
            </w:r>
          </w:p>
        </w:tc>
        <w:tc>
          <w:tcPr>
            <w:tcW w:w="907" w:type="dxa"/>
            <w:tcBorders>
              <w:top w:val="nil"/>
              <w:left w:val="nil"/>
              <w:bottom w:val="nil"/>
              <w:right w:val="single" w:sz="4" w:space="0" w:color="auto"/>
            </w:tcBorders>
            <w:shd w:val="clear" w:color="auto" w:fill="auto"/>
            <w:noWrap/>
            <w:vAlign w:val="center"/>
            <w:hideMark/>
          </w:tcPr>
          <w:p w14:paraId="18A662FA" w14:textId="57C5D0B4" w:rsidR="000B190B" w:rsidRPr="00D92E20" w:rsidRDefault="000B190B" w:rsidP="000B190B">
            <w:pPr>
              <w:spacing w:after="0" w:line="240" w:lineRule="auto"/>
              <w:jc w:val="right"/>
              <w:rPr>
                <w:rFonts w:cs="Arial"/>
                <w:color w:val="000000"/>
                <w:sz w:val="16"/>
                <w:szCs w:val="16"/>
              </w:rPr>
            </w:pPr>
            <w:r>
              <w:rPr>
                <w:rFonts w:cs="Arial"/>
                <w:color w:val="000000"/>
                <w:sz w:val="16"/>
                <w:szCs w:val="16"/>
              </w:rPr>
              <w:t>352,4</w:t>
            </w:r>
          </w:p>
        </w:tc>
        <w:tc>
          <w:tcPr>
            <w:tcW w:w="907" w:type="dxa"/>
            <w:tcBorders>
              <w:top w:val="nil"/>
              <w:left w:val="nil"/>
              <w:bottom w:val="nil"/>
              <w:right w:val="nil"/>
            </w:tcBorders>
            <w:shd w:val="clear" w:color="auto" w:fill="auto"/>
            <w:noWrap/>
            <w:vAlign w:val="center"/>
            <w:hideMark/>
          </w:tcPr>
          <w:p w14:paraId="422FC319" w14:textId="07077CE0" w:rsidR="000B190B" w:rsidRPr="00D92E20" w:rsidRDefault="000B190B" w:rsidP="000B190B">
            <w:pPr>
              <w:spacing w:after="0" w:line="240" w:lineRule="auto"/>
              <w:jc w:val="right"/>
              <w:rPr>
                <w:rFonts w:cs="Arial"/>
                <w:color w:val="000000"/>
                <w:sz w:val="16"/>
                <w:szCs w:val="16"/>
              </w:rPr>
            </w:pPr>
            <w:r>
              <w:rPr>
                <w:rFonts w:cs="Arial"/>
                <w:color w:val="000000"/>
                <w:sz w:val="16"/>
                <w:szCs w:val="16"/>
              </w:rPr>
              <w:t>20,3</w:t>
            </w:r>
          </w:p>
        </w:tc>
        <w:tc>
          <w:tcPr>
            <w:tcW w:w="907" w:type="dxa"/>
            <w:tcBorders>
              <w:top w:val="nil"/>
              <w:left w:val="nil"/>
              <w:bottom w:val="nil"/>
              <w:right w:val="nil"/>
            </w:tcBorders>
            <w:shd w:val="clear" w:color="auto" w:fill="auto"/>
            <w:noWrap/>
            <w:vAlign w:val="center"/>
            <w:hideMark/>
          </w:tcPr>
          <w:p w14:paraId="3D5C6B5A" w14:textId="6A3E18D2" w:rsidR="000B190B" w:rsidRPr="00D92E20" w:rsidRDefault="000B190B" w:rsidP="000B190B">
            <w:pPr>
              <w:spacing w:after="0" w:line="240" w:lineRule="auto"/>
              <w:jc w:val="right"/>
              <w:rPr>
                <w:rFonts w:cs="Arial"/>
                <w:color w:val="000000"/>
                <w:sz w:val="16"/>
                <w:szCs w:val="16"/>
              </w:rPr>
            </w:pPr>
            <w:r>
              <w:rPr>
                <w:rFonts w:cs="Arial"/>
                <w:color w:val="000000"/>
                <w:sz w:val="16"/>
                <w:szCs w:val="16"/>
              </w:rPr>
              <w:t>18,8</w:t>
            </w:r>
          </w:p>
        </w:tc>
        <w:tc>
          <w:tcPr>
            <w:tcW w:w="907" w:type="dxa"/>
            <w:tcBorders>
              <w:top w:val="nil"/>
              <w:left w:val="nil"/>
              <w:bottom w:val="nil"/>
              <w:right w:val="nil"/>
            </w:tcBorders>
            <w:shd w:val="clear" w:color="auto" w:fill="auto"/>
            <w:noWrap/>
            <w:vAlign w:val="center"/>
            <w:hideMark/>
          </w:tcPr>
          <w:p w14:paraId="1D8F2A4C" w14:textId="3AC1AF4A" w:rsidR="000B190B" w:rsidRPr="00D92E20" w:rsidRDefault="000B190B" w:rsidP="000B190B">
            <w:pPr>
              <w:spacing w:after="0" w:line="240" w:lineRule="auto"/>
              <w:jc w:val="right"/>
              <w:rPr>
                <w:rFonts w:cs="Arial"/>
                <w:color w:val="000000"/>
                <w:sz w:val="16"/>
                <w:szCs w:val="16"/>
              </w:rPr>
            </w:pPr>
            <w:r>
              <w:rPr>
                <w:rFonts w:cs="Arial"/>
                <w:color w:val="000000"/>
                <w:sz w:val="16"/>
                <w:szCs w:val="16"/>
              </w:rPr>
              <w:t>21,9</w:t>
            </w:r>
          </w:p>
        </w:tc>
      </w:tr>
    </w:tbl>
    <w:p w14:paraId="46C0AED7" w14:textId="54994A80" w:rsidR="005A63A4" w:rsidRPr="00D92E20" w:rsidRDefault="0070383F" w:rsidP="00000A90">
      <w:pPr>
        <w:spacing w:before="120" w:after="120"/>
        <w:rPr>
          <w:sz w:val="16"/>
        </w:rPr>
      </w:pPr>
      <w:r w:rsidRPr="00D92E20">
        <w:rPr>
          <w:sz w:val="16"/>
        </w:rPr>
        <w:t>Zdroj: ČSSZ</w:t>
      </w:r>
    </w:p>
    <w:p w14:paraId="49C60461" w14:textId="77777777" w:rsidR="00D72727" w:rsidRDefault="00D72727">
      <w:pPr>
        <w:spacing w:after="0" w:line="240" w:lineRule="auto"/>
        <w:rPr>
          <w:b/>
          <w:spacing w:val="-4"/>
        </w:rPr>
      </w:pPr>
      <w:r>
        <w:rPr>
          <w:b/>
          <w:spacing w:val="-4"/>
        </w:rPr>
        <w:br w:type="page"/>
      </w:r>
    </w:p>
    <w:p w14:paraId="08108188" w14:textId="0974329A" w:rsidR="005A63A4" w:rsidRPr="00D92E20" w:rsidRDefault="005A63A4" w:rsidP="000B190B">
      <w:pPr>
        <w:spacing w:after="0"/>
        <w:jc w:val="both"/>
        <w:rPr>
          <w:sz w:val="16"/>
        </w:rPr>
      </w:pPr>
      <w:r w:rsidRPr="000B190B">
        <w:rPr>
          <w:b/>
          <w:spacing w:val="-4"/>
        </w:rPr>
        <w:lastRenderedPageBreak/>
        <w:t xml:space="preserve">Graf 3.1: Struktura ukončených případů dočasné pracovní neschopnosti podle skupin diagnóz, </w:t>
      </w:r>
      <w:r w:rsidR="000B190B" w:rsidRPr="000B190B">
        <w:rPr>
          <w:b/>
          <w:spacing w:val="-4"/>
        </w:rPr>
        <w:t>1. pol. 2021</w:t>
      </w:r>
      <w:r w:rsidR="000B190B" w:rsidRPr="000B190B">
        <w:rPr>
          <w:b/>
        </w:rPr>
        <w:t xml:space="preserve"> </w:t>
      </w:r>
    </w:p>
    <w:p w14:paraId="2645095E" w14:textId="0597008D" w:rsidR="005A63A4" w:rsidRPr="00D92E20" w:rsidRDefault="00D72727" w:rsidP="005A63A4">
      <w:pPr>
        <w:spacing w:before="120" w:after="120"/>
        <w:rPr>
          <w:sz w:val="16"/>
        </w:rPr>
      </w:pPr>
      <w:r>
        <w:rPr>
          <w:noProof/>
        </w:rPr>
        <w:drawing>
          <wp:inline distT="0" distB="0" distL="0" distR="0" wp14:anchorId="0CFCC81D" wp14:editId="5895BE6D">
            <wp:extent cx="6116400" cy="3308400"/>
            <wp:effectExtent l="0" t="0" r="17780" b="635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B190B" w:rsidRPr="00D92E20">
        <w:rPr>
          <w:sz w:val="16"/>
        </w:rPr>
        <w:t xml:space="preserve"> </w:t>
      </w:r>
      <w:r w:rsidR="005A63A4" w:rsidRPr="00D92E20">
        <w:rPr>
          <w:sz w:val="16"/>
        </w:rPr>
        <w:t>Zdroj: ČSSZ</w:t>
      </w:r>
    </w:p>
    <w:p w14:paraId="690050DC" w14:textId="0E685645" w:rsidR="009F0B87" w:rsidRPr="00D92E20" w:rsidRDefault="009F0B87" w:rsidP="00000A90">
      <w:pPr>
        <w:pStyle w:val="Nadpis3"/>
        <w:numPr>
          <w:ilvl w:val="1"/>
          <w:numId w:val="5"/>
        </w:numPr>
        <w:spacing w:after="120"/>
        <w:ind w:left="426" w:hanging="403"/>
      </w:pPr>
      <w:bookmarkStart w:id="24" w:name="_Toc54262804"/>
      <w:bookmarkStart w:id="25" w:name="_Toc86233482"/>
      <w:r w:rsidRPr="00D92E20">
        <w:t xml:space="preserve">Výdaje na </w:t>
      </w:r>
      <w:r w:rsidR="0062225A">
        <w:t xml:space="preserve">dávky </w:t>
      </w:r>
      <w:r w:rsidRPr="00D92E20">
        <w:t>nemocenské</w:t>
      </w:r>
      <w:bookmarkEnd w:id="24"/>
      <w:r w:rsidR="0062225A">
        <w:t>ho pojištění</w:t>
      </w:r>
      <w:bookmarkEnd w:id="25"/>
    </w:p>
    <w:p w14:paraId="4C2AF132" w14:textId="77777777" w:rsidR="009F0B87" w:rsidRPr="00DD0824" w:rsidRDefault="009F0B87" w:rsidP="00000A90">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2673ECDF" w14:textId="77777777" w:rsidR="009F0B87" w:rsidRPr="00DD0824" w:rsidRDefault="009F0B87" w:rsidP="00000A90">
      <w:pPr>
        <w:spacing w:after="60"/>
        <w:jc w:val="both"/>
      </w:pPr>
      <w:r w:rsidRPr="00DD0824">
        <w:t>Z nemocenského pojištění se poskytuje 6 peněžitých dávek, a to:</w:t>
      </w:r>
    </w:p>
    <w:p w14:paraId="4852FB75" w14:textId="77777777" w:rsidR="009F0B87" w:rsidRPr="00DD0824" w:rsidRDefault="009F0B87" w:rsidP="00277304">
      <w:pPr>
        <w:pStyle w:val="Odstavecseseznamem"/>
        <w:numPr>
          <w:ilvl w:val="0"/>
          <w:numId w:val="15"/>
        </w:numPr>
        <w:spacing w:after="0"/>
        <w:jc w:val="both"/>
      </w:pPr>
      <w:r w:rsidRPr="00DD0824">
        <w:t>Nemocenské,</w:t>
      </w:r>
    </w:p>
    <w:p w14:paraId="3285862E" w14:textId="77777777" w:rsidR="009F0B87" w:rsidRPr="00DD0824" w:rsidRDefault="009F0B87" w:rsidP="00277304">
      <w:pPr>
        <w:pStyle w:val="Odstavecseseznamem"/>
        <w:numPr>
          <w:ilvl w:val="0"/>
          <w:numId w:val="15"/>
        </w:numPr>
        <w:spacing w:after="0"/>
        <w:jc w:val="both"/>
      </w:pPr>
      <w:r w:rsidRPr="00DD0824">
        <w:t>Peněžitá pomoc v mateřství,</w:t>
      </w:r>
    </w:p>
    <w:p w14:paraId="477961E9" w14:textId="77777777" w:rsidR="009F0B87" w:rsidRPr="00DD0824" w:rsidRDefault="009F0B87" w:rsidP="00277304">
      <w:pPr>
        <w:pStyle w:val="Odstavecseseznamem"/>
        <w:numPr>
          <w:ilvl w:val="0"/>
          <w:numId w:val="15"/>
        </w:numPr>
        <w:spacing w:after="0"/>
        <w:jc w:val="both"/>
      </w:pPr>
      <w:r w:rsidRPr="00DD0824">
        <w:t>Ošetřovné,</w:t>
      </w:r>
    </w:p>
    <w:p w14:paraId="16AE0143" w14:textId="77777777" w:rsidR="009F0B87" w:rsidRPr="00DD0824" w:rsidRDefault="009F0B87" w:rsidP="00277304">
      <w:pPr>
        <w:pStyle w:val="Odstavecseseznamem"/>
        <w:numPr>
          <w:ilvl w:val="0"/>
          <w:numId w:val="15"/>
        </w:numPr>
        <w:spacing w:after="0"/>
        <w:jc w:val="both"/>
      </w:pPr>
      <w:r w:rsidRPr="00DD0824">
        <w:t>Vyrovnávací příspěvek v těhotenství a mateřství,</w:t>
      </w:r>
    </w:p>
    <w:p w14:paraId="2C73241C" w14:textId="77777777" w:rsidR="009F0B87" w:rsidRPr="00DD0824" w:rsidRDefault="009F0B87" w:rsidP="00277304">
      <w:pPr>
        <w:pStyle w:val="Odstavecseseznamem"/>
        <w:numPr>
          <w:ilvl w:val="0"/>
          <w:numId w:val="15"/>
        </w:numPr>
        <w:spacing w:after="0"/>
        <w:jc w:val="both"/>
      </w:pPr>
      <w:r w:rsidRPr="00DD0824">
        <w:t>Dávka otcovské poporodní péče (tzv. otcovská),</w:t>
      </w:r>
    </w:p>
    <w:p w14:paraId="583D058F" w14:textId="77777777" w:rsidR="009F0B87" w:rsidRPr="00DD0824" w:rsidRDefault="009F0B87" w:rsidP="00000A90">
      <w:pPr>
        <w:pStyle w:val="Odstavecseseznamem"/>
        <w:numPr>
          <w:ilvl w:val="0"/>
          <w:numId w:val="15"/>
        </w:numPr>
        <w:spacing w:after="60"/>
        <w:ind w:left="714" w:hanging="357"/>
        <w:contextualSpacing w:val="0"/>
        <w:jc w:val="both"/>
      </w:pPr>
      <w:r w:rsidRPr="00DD0824">
        <w:t>Dlouhodobé ošetřovné.</w:t>
      </w:r>
    </w:p>
    <w:p w14:paraId="380B326A" w14:textId="1EB7149B" w:rsidR="009F0B87" w:rsidRPr="00DD0824" w:rsidRDefault="009F0B87" w:rsidP="00000A90">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rsidR="00CD63E8">
        <w:t> </w:t>
      </w:r>
      <w:r w:rsidRPr="00DD0824">
        <w:t>jednotlivé dávky.</w:t>
      </w:r>
    </w:p>
    <w:p w14:paraId="2099E2D4" w14:textId="77777777" w:rsidR="009F0B87" w:rsidRPr="00DD0824" w:rsidRDefault="009F0B87" w:rsidP="00000A90">
      <w:pPr>
        <w:spacing w:before="120" w:after="120"/>
        <w:jc w:val="both"/>
      </w:pPr>
      <w:r w:rsidRPr="00DD0824">
        <w:t>Všechny dávky nemocenského pojištění vyplácí okresní správa sociálního zabezpečení a hradí se ze státního rozpočtu (z příjmů z pojistného). Dávky nemocenského pojištění se vyplácejí za kalendářní dny.</w:t>
      </w:r>
    </w:p>
    <w:p w14:paraId="4A9F9C15" w14:textId="77777777" w:rsidR="009F0B87" w:rsidRPr="00DD0824" w:rsidRDefault="009F0B87" w:rsidP="00000A90">
      <w:pPr>
        <w:pStyle w:val="Box1"/>
        <w:spacing w:before="120" w:after="120"/>
        <w:ind w:left="0"/>
        <w:contextualSpacing w:val="0"/>
        <w:jc w:val="both"/>
        <w:rPr>
          <w:i/>
        </w:rPr>
      </w:pPr>
      <w:r w:rsidRPr="00DD0824">
        <w:rPr>
          <w:b/>
          <w:i/>
        </w:rPr>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6833ACE4" w14:textId="5358E761" w:rsidR="003B04F2" w:rsidRPr="002203FD" w:rsidRDefault="009F0B87" w:rsidP="00000A90">
      <w:pPr>
        <w:pStyle w:val="Default"/>
        <w:spacing w:before="120" w:after="120" w:line="288" w:lineRule="auto"/>
        <w:jc w:val="both"/>
        <w:rPr>
          <w:rFonts w:eastAsia="Times New Roman" w:cs="Times New Roman"/>
          <w:color w:val="auto"/>
          <w:sz w:val="20"/>
          <w:highlight w:val="yellow"/>
          <w:lang w:eastAsia="cs-CZ"/>
        </w:rPr>
      </w:pPr>
      <w:r w:rsidRPr="00DD0824">
        <w:rPr>
          <w:rFonts w:eastAsia="Times New Roman" w:cs="Times New Roman"/>
          <w:b/>
          <w:color w:val="auto"/>
          <w:sz w:val="20"/>
          <w:lang w:eastAsia="cs-CZ"/>
        </w:rPr>
        <w:t>Výdaje na dávky nemocenského</w:t>
      </w:r>
      <w:r w:rsidRPr="00DD0824">
        <w:rPr>
          <w:rFonts w:eastAsia="Times New Roman" w:cs="Times New Roman"/>
          <w:color w:val="auto"/>
          <w:sz w:val="20"/>
          <w:lang w:eastAsia="cs-CZ"/>
        </w:rPr>
        <w:t xml:space="preserve"> </w:t>
      </w:r>
      <w:r w:rsidRPr="00DD0824">
        <w:rPr>
          <w:rFonts w:eastAsia="Times New Roman" w:cs="Times New Roman"/>
          <w:b/>
          <w:color w:val="auto"/>
          <w:sz w:val="20"/>
          <w:lang w:eastAsia="cs-CZ"/>
        </w:rPr>
        <w:t>pojištění</w:t>
      </w:r>
      <w:r w:rsidRPr="00DD0824">
        <w:rPr>
          <w:rFonts w:eastAsia="Times New Roman" w:cs="Times New Roman"/>
          <w:color w:val="auto"/>
          <w:sz w:val="20"/>
          <w:lang w:eastAsia="cs-CZ"/>
        </w:rPr>
        <w:t xml:space="preserve"> za </w:t>
      </w:r>
      <w:r w:rsidR="00DD0824" w:rsidRPr="00DD0824">
        <w:rPr>
          <w:rFonts w:eastAsia="Times New Roman" w:cs="Times New Roman"/>
          <w:color w:val="auto"/>
          <w:sz w:val="20"/>
          <w:lang w:eastAsia="cs-CZ"/>
        </w:rPr>
        <w:t>1. pol. 2021</w:t>
      </w:r>
      <w:r w:rsidRPr="00DD0824">
        <w:rPr>
          <w:rFonts w:eastAsia="Times New Roman" w:cs="Times New Roman"/>
          <w:color w:val="auto"/>
          <w:sz w:val="20"/>
          <w:lang w:eastAsia="cs-CZ"/>
        </w:rPr>
        <w:t xml:space="preserve"> činily </w:t>
      </w:r>
      <w:r w:rsidR="00DD0824" w:rsidRPr="00DD0824">
        <w:rPr>
          <w:rFonts w:eastAsia="Times New Roman" w:cs="Times New Roman"/>
          <w:color w:val="auto"/>
          <w:sz w:val="20"/>
          <w:lang w:eastAsia="cs-CZ"/>
        </w:rPr>
        <w:t>28,5</w:t>
      </w:r>
      <w:r w:rsidRPr="00DD0824">
        <w:rPr>
          <w:rFonts w:eastAsia="Times New Roman" w:cs="Times New Roman"/>
          <w:color w:val="auto"/>
          <w:sz w:val="20"/>
          <w:lang w:eastAsia="cs-CZ"/>
        </w:rPr>
        <w:t xml:space="preserve"> mld. Kč, tedy o </w:t>
      </w:r>
      <w:r w:rsidR="00DD0824" w:rsidRPr="00DD0824">
        <w:rPr>
          <w:rFonts w:eastAsia="Times New Roman" w:cs="Times New Roman"/>
          <w:color w:val="auto"/>
          <w:sz w:val="20"/>
          <w:lang w:eastAsia="cs-CZ"/>
        </w:rPr>
        <w:t>1,5</w:t>
      </w:r>
      <w:r w:rsidRPr="00DD0824">
        <w:rPr>
          <w:rFonts w:eastAsia="Times New Roman" w:cs="Times New Roman"/>
          <w:color w:val="auto"/>
          <w:sz w:val="20"/>
          <w:lang w:eastAsia="cs-CZ"/>
        </w:rPr>
        <w:t xml:space="preserve"> mld. Kč </w:t>
      </w:r>
      <w:r w:rsidR="00DD0824" w:rsidRPr="00DD0824">
        <w:rPr>
          <w:rFonts w:eastAsia="Times New Roman" w:cs="Times New Roman"/>
          <w:color w:val="auto"/>
          <w:sz w:val="20"/>
          <w:lang w:eastAsia="cs-CZ"/>
        </w:rPr>
        <w:t>méně</w:t>
      </w:r>
      <w:r w:rsidRPr="00DD0824">
        <w:rPr>
          <w:rFonts w:eastAsia="Times New Roman" w:cs="Times New Roman"/>
          <w:color w:val="auto"/>
          <w:sz w:val="20"/>
          <w:lang w:eastAsia="cs-CZ"/>
        </w:rPr>
        <w:t xml:space="preserve"> než </w:t>
      </w:r>
      <w:r w:rsidR="00DD0824" w:rsidRPr="00DD0824">
        <w:rPr>
          <w:rFonts w:eastAsia="Times New Roman" w:cs="Times New Roman"/>
          <w:color w:val="auto"/>
          <w:sz w:val="20"/>
          <w:lang w:eastAsia="cs-CZ"/>
        </w:rPr>
        <w:t xml:space="preserve">za stejné období </w:t>
      </w:r>
      <w:r w:rsidRPr="00DD0824">
        <w:rPr>
          <w:rFonts w:eastAsia="Times New Roman" w:cs="Times New Roman"/>
          <w:color w:val="auto"/>
          <w:sz w:val="20"/>
          <w:lang w:eastAsia="cs-CZ"/>
        </w:rPr>
        <w:t xml:space="preserve">před rokem. </w:t>
      </w:r>
      <w:r w:rsidRPr="00DD0824">
        <w:rPr>
          <w:rFonts w:eastAsia="Times New Roman" w:cs="Times New Roman"/>
          <w:b/>
          <w:color w:val="auto"/>
          <w:sz w:val="20"/>
          <w:lang w:eastAsia="cs-CZ"/>
        </w:rPr>
        <w:t xml:space="preserve">Výdaje </w:t>
      </w:r>
      <w:r w:rsidRPr="00DD0824">
        <w:rPr>
          <w:rFonts w:eastAsia="Times New Roman" w:cs="Times New Roman"/>
          <w:color w:val="auto"/>
          <w:sz w:val="20"/>
          <w:lang w:eastAsia="cs-CZ"/>
        </w:rPr>
        <w:t xml:space="preserve">na objemově </w:t>
      </w:r>
      <w:r w:rsidRPr="00DD0824">
        <w:rPr>
          <w:rFonts w:eastAsia="Times New Roman" w:cs="Times New Roman"/>
          <w:b/>
          <w:color w:val="auto"/>
          <w:sz w:val="20"/>
          <w:lang w:eastAsia="cs-CZ"/>
        </w:rPr>
        <w:t>nejvýznamnější dávku</w:t>
      </w:r>
      <w:r w:rsidRPr="00DD0824">
        <w:rPr>
          <w:rFonts w:eastAsia="Times New Roman" w:cs="Times New Roman"/>
          <w:color w:val="auto"/>
          <w:sz w:val="20"/>
          <w:lang w:eastAsia="cs-CZ"/>
        </w:rPr>
        <w:t xml:space="preserve"> – </w:t>
      </w:r>
      <w:r w:rsidRPr="00DD0824">
        <w:rPr>
          <w:rFonts w:eastAsia="Times New Roman" w:cs="Times New Roman"/>
          <w:b/>
          <w:color w:val="auto"/>
          <w:sz w:val="20"/>
          <w:lang w:eastAsia="cs-CZ"/>
        </w:rPr>
        <w:t>nemocenské</w:t>
      </w:r>
      <w:r w:rsidRPr="00DD0824">
        <w:rPr>
          <w:rFonts w:eastAsia="Times New Roman" w:cs="Times New Roman"/>
          <w:color w:val="auto"/>
          <w:sz w:val="20"/>
          <w:lang w:eastAsia="cs-CZ"/>
        </w:rPr>
        <w:t xml:space="preserve"> – meziročně vzrostly o </w:t>
      </w:r>
      <w:r w:rsidR="00DD0824" w:rsidRPr="00DD0824">
        <w:rPr>
          <w:rFonts w:eastAsia="Times New Roman" w:cs="Times New Roman"/>
          <w:color w:val="auto"/>
          <w:sz w:val="20"/>
          <w:lang w:eastAsia="cs-CZ"/>
        </w:rPr>
        <w:t>1,4</w:t>
      </w:r>
      <w:r w:rsidRPr="00DD0824">
        <w:rPr>
          <w:rFonts w:eastAsia="Times New Roman" w:cs="Times New Roman"/>
          <w:color w:val="auto"/>
          <w:sz w:val="20"/>
          <w:lang w:eastAsia="cs-CZ"/>
        </w:rPr>
        <w:t xml:space="preserve"> mld. Kč, tj.</w:t>
      </w:r>
      <w:r w:rsidR="00C02C40" w:rsidRPr="00DD0824">
        <w:rPr>
          <w:rFonts w:eastAsia="Times New Roman" w:cs="Times New Roman"/>
          <w:color w:val="auto"/>
          <w:sz w:val="20"/>
          <w:lang w:eastAsia="cs-CZ"/>
        </w:rPr>
        <w:t> </w:t>
      </w:r>
      <w:r w:rsidRPr="00DD0824">
        <w:rPr>
          <w:rFonts w:eastAsia="Times New Roman" w:cs="Times New Roman"/>
          <w:color w:val="auto"/>
          <w:sz w:val="20"/>
          <w:lang w:eastAsia="cs-CZ"/>
        </w:rPr>
        <w:t>o</w:t>
      </w:r>
      <w:r w:rsidR="00C02C40" w:rsidRPr="00DD0824">
        <w:rPr>
          <w:rFonts w:eastAsia="Times New Roman" w:cs="Times New Roman"/>
          <w:color w:val="auto"/>
          <w:sz w:val="20"/>
          <w:lang w:eastAsia="cs-CZ"/>
        </w:rPr>
        <w:t> </w:t>
      </w:r>
      <w:r w:rsidR="00DD0824" w:rsidRPr="00DD0824">
        <w:rPr>
          <w:rFonts w:eastAsia="Times New Roman" w:cs="Times New Roman"/>
          <w:color w:val="auto"/>
          <w:sz w:val="20"/>
          <w:lang w:eastAsia="cs-CZ"/>
        </w:rPr>
        <w:t>8</w:t>
      </w:r>
      <w:r w:rsidR="00C02C40" w:rsidRPr="00DD0824">
        <w:rPr>
          <w:rFonts w:eastAsia="Times New Roman" w:cs="Times New Roman"/>
          <w:color w:val="auto"/>
          <w:sz w:val="20"/>
          <w:lang w:eastAsia="cs-CZ"/>
        </w:rPr>
        <w:t> </w:t>
      </w:r>
      <w:r w:rsidR="00DD0824" w:rsidRPr="00DD0824">
        <w:rPr>
          <w:rFonts w:eastAsia="Times New Roman" w:cs="Times New Roman"/>
          <w:color w:val="auto"/>
          <w:sz w:val="20"/>
          <w:lang w:eastAsia="cs-CZ"/>
        </w:rPr>
        <w:t>%. Činily</w:t>
      </w:r>
      <w:r w:rsidRPr="00DD0824">
        <w:rPr>
          <w:rFonts w:eastAsia="Times New Roman" w:cs="Times New Roman"/>
          <w:color w:val="auto"/>
          <w:sz w:val="20"/>
          <w:lang w:eastAsia="cs-CZ"/>
        </w:rPr>
        <w:t xml:space="preserve"> </w:t>
      </w:r>
      <w:r w:rsidR="00DD0824" w:rsidRPr="00DD0824">
        <w:rPr>
          <w:rFonts w:eastAsia="Times New Roman" w:cs="Times New Roman"/>
          <w:color w:val="auto"/>
          <w:sz w:val="20"/>
          <w:lang w:eastAsia="cs-CZ"/>
        </w:rPr>
        <w:t>18</w:t>
      </w:r>
      <w:r w:rsidRPr="00DD0824">
        <w:rPr>
          <w:rFonts w:eastAsia="Times New Roman" w:cs="Times New Roman"/>
          <w:color w:val="auto"/>
          <w:sz w:val="20"/>
          <w:lang w:eastAsia="cs-CZ"/>
        </w:rPr>
        <w:t xml:space="preserve"> mld. Kč. </w:t>
      </w:r>
      <w:r w:rsidR="00FF302A" w:rsidRPr="005D57CF">
        <w:rPr>
          <w:rFonts w:eastAsia="Times New Roman" w:cs="Times New Roman"/>
          <w:color w:val="auto"/>
          <w:sz w:val="20"/>
          <w:lang w:eastAsia="cs-CZ"/>
        </w:rPr>
        <w:t>Meziroční zvýšení výdajů na nemocenské bylo způsobeno</w:t>
      </w:r>
      <w:r w:rsidRPr="005D57CF">
        <w:rPr>
          <w:rFonts w:eastAsia="Times New Roman" w:cs="Times New Roman"/>
          <w:color w:val="auto"/>
          <w:sz w:val="20"/>
          <w:lang w:eastAsia="cs-CZ"/>
        </w:rPr>
        <w:t xml:space="preserve"> zejména </w:t>
      </w:r>
      <w:r w:rsidR="00FF302A" w:rsidRPr="005D57CF">
        <w:rPr>
          <w:rFonts w:eastAsia="Times New Roman" w:cs="Times New Roman"/>
          <w:color w:val="auto"/>
          <w:sz w:val="20"/>
          <w:lang w:eastAsia="cs-CZ"/>
        </w:rPr>
        <w:t>nárůstem počtu</w:t>
      </w:r>
      <w:r w:rsidRPr="005D57CF">
        <w:rPr>
          <w:rFonts w:eastAsia="Times New Roman" w:cs="Times New Roman"/>
          <w:color w:val="auto"/>
          <w:sz w:val="20"/>
          <w:lang w:eastAsia="cs-CZ"/>
        </w:rPr>
        <w:t xml:space="preserve"> proplacených dnů. Výše průměrné denní dávky nemocenského v</w:t>
      </w:r>
      <w:r w:rsidR="005D57CF" w:rsidRPr="005D57CF">
        <w:rPr>
          <w:rFonts w:eastAsia="Times New Roman" w:cs="Times New Roman"/>
          <w:color w:val="auto"/>
          <w:sz w:val="20"/>
          <w:lang w:eastAsia="cs-CZ"/>
        </w:rPr>
        <w:t> 1. pol. 2021</w:t>
      </w:r>
      <w:r w:rsidRPr="005D57CF">
        <w:rPr>
          <w:rFonts w:eastAsia="Times New Roman" w:cs="Times New Roman"/>
          <w:color w:val="auto"/>
          <w:sz w:val="20"/>
          <w:lang w:eastAsia="cs-CZ"/>
        </w:rPr>
        <w:t xml:space="preserve"> činila 5</w:t>
      </w:r>
      <w:r w:rsidR="005D57CF" w:rsidRPr="005D57CF">
        <w:rPr>
          <w:rFonts w:eastAsia="Times New Roman" w:cs="Times New Roman"/>
          <w:color w:val="auto"/>
          <w:sz w:val="20"/>
          <w:lang w:eastAsia="cs-CZ"/>
        </w:rPr>
        <w:t>40</w:t>
      </w:r>
      <w:r w:rsidRPr="005D57CF">
        <w:rPr>
          <w:rFonts w:eastAsia="Times New Roman" w:cs="Times New Roman"/>
          <w:color w:val="auto"/>
          <w:sz w:val="20"/>
          <w:lang w:eastAsia="cs-CZ"/>
        </w:rPr>
        <w:t xml:space="preserve"> Kč. </w:t>
      </w:r>
      <w:r w:rsidR="005D57CF" w:rsidRPr="005D57CF">
        <w:rPr>
          <w:rFonts w:eastAsia="Times New Roman" w:cs="Times New Roman"/>
          <w:color w:val="auto"/>
          <w:sz w:val="20"/>
          <w:lang w:eastAsia="cs-CZ"/>
        </w:rPr>
        <w:t>V 1. pol. 202</w:t>
      </w:r>
      <w:r w:rsidR="002B643E">
        <w:rPr>
          <w:rFonts w:eastAsia="Times New Roman" w:cs="Times New Roman"/>
          <w:color w:val="auto"/>
          <w:sz w:val="20"/>
          <w:lang w:eastAsia="cs-CZ"/>
        </w:rPr>
        <w:t>0</w:t>
      </w:r>
      <w:r w:rsidRPr="005D57CF">
        <w:rPr>
          <w:rFonts w:eastAsia="Times New Roman" w:cs="Times New Roman"/>
          <w:color w:val="auto"/>
          <w:sz w:val="20"/>
          <w:lang w:eastAsia="cs-CZ"/>
        </w:rPr>
        <w:t xml:space="preserve"> byla průměrná denní dávka nemocenského ve výši </w:t>
      </w:r>
      <w:r w:rsidR="005D57CF" w:rsidRPr="005D57CF">
        <w:rPr>
          <w:rFonts w:eastAsia="Times New Roman" w:cs="Times New Roman"/>
          <w:color w:val="auto"/>
          <w:sz w:val="20"/>
          <w:lang w:eastAsia="cs-CZ"/>
        </w:rPr>
        <w:t>515</w:t>
      </w:r>
      <w:r w:rsidRPr="005D57CF">
        <w:rPr>
          <w:rFonts w:eastAsia="Times New Roman" w:cs="Times New Roman"/>
          <w:color w:val="auto"/>
          <w:sz w:val="20"/>
          <w:lang w:eastAsia="cs-CZ"/>
        </w:rPr>
        <w:t xml:space="preserve"> Kč, což je o </w:t>
      </w:r>
      <w:r w:rsidR="005D57CF" w:rsidRPr="005D57CF">
        <w:rPr>
          <w:rFonts w:eastAsia="Times New Roman" w:cs="Times New Roman"/>
          <w:color w:val="auto"/>
          <w:sz w:val="20"/>
          <w:lang w:eastAsia="cs-CZ"/>
        </w:rPr>
        <w:t>5</w:t>
      </w:r>
      <w:r w:rsidRPr="005D57CF">
        <w:rPr>
          <w:rFonts w:eastAsia="Times New Roman" w:cs="Times New Roman"/>
          <w:color w:val="auto"/>
          <w:sz w:val="20"/>
          <w:lang w:eastAsia="cs-CZ"/>
        </w:rPr>
        <w:t xml:space="preserve"> % méně.</w:t>
      </w:r>
      <w:r w:rsidR="008B7D64" w:rsidRPr="005D57CF">
        <w:rPr>
          <w:rFonts w:eastAsia="Times New Roman" w:cs="Times New Roman"/>
          <w:color w:val="auto"/>
          <w:sz w:val="20"/>
          <w:lang w:eastAsia="cs-CZ"/>
        </w:rPr>
        <w:t xml:space="preserve"> </w:t>
      </w:r>
      <w:r w:rsidR="008B7D64" w:rsidRPr="00DD0824">
        <w:rPr>
          <w:rFonts w:eastAsia="Times New Roman" w:cs="Times New Roman"/>
          <w:color w:val="auto"/>
          <w:sz w:val="20"/>
          <w:lang w:eastAsia="cs-CZ"/>
        </w:rPr>
        <w:t xml:space="preserve">Výdaje na nemocenské v přepočtu na jednoho pojištěnce se </w:t>
      </w:r>
      <w:r w:rsidR="00DD0824" w:rsidRPr="00DD0824">
        <w:rPr>
          <w:rFonts w:eastAsia="Times New Roman" w:cs="Times New Roman"/>
          <w:color w:val="auto"/>
          <w:sz w:val="20"/>
          <w:lang w:eastAsia="cs-CZ"/>
        </w:rPr>
        <w:t>v 1. pol. 2021</w:t>
      </w:r>
      <w:r w:rsidR="008B7D64" w:rsidRPr="00DD0824">
        <w:rPr>
          <w:rFonts w:eastAsia="Times New Roman" w:cs="Times New Roman"/>
          <w:color w:val="auto"/>
          <w:sz w:val="20"/>
          <w:lang w:eastAsia="cs-CZ"/>
        </w:rPr>
        <w:t xml:space="preserve"> blížily </w:t>
      </w:r>
      <w:r w:rsidR="00DD0824" w:rsidRPr="00DD0824">
        <w:rPr>
          <w:rFonts w:eastAsia="Times New Roman" w:cs="Times New Roman"/>
          <w:color w:val="auto"/>
          <w:sz w:val="20"/>
          <w:lang w:eastAsia="cs-CZ"/>
        </w:rPr>
        <w:t>4</w:t>
      </w:r>
      <w:r w:rsidR="008B7D64" w:rsidRPr="00DD0824">
        <w:rPr>
          <w:rFonts w:eastAsia="Times New Roman" w:cs="Times New Roman"/>
          <w:color w:val="auto"/>
          <w:sz w:val="20"/>
          <w:lang w:eastAsia="cs-CZ"/>
        </w:rPr>
        <w:t xml:space="preserve"> tis. Kč.</w:t>
      </w:r>
    </w:p>
    <w:p w14:paraId="399FDF0E" w14:textId="77777777" w:rsidR="00D91258" w:rsidRDefault="00591005" w:rsidP="00000A90">
      <w:pPr>
        <w:spacing w:before="120" w:after="120"/>
        <w:jc w:val="both"/>
      </w:pPr>
      <w:r w:rsidRPr="00591005">
        <w:lastRenderedPageBreak/>
        <w:t>Je zřejmé, že za enormní nárůst výdajů na dávky nemocenského pojištění mezi prvními pololetími 2019 a</w:t>
      </w:r>
      <w:r>
        <w:t> </w:t>
      </w:r>
      <w:r w:rsidRPr="00591005">
        <w:t xml:space="preserve">2020, resp. 2021 mohou </w:t>
      </w:r>
      <w:r w:rsidRPr="00D91258">
        <w:rPr>
          <w:b/>
        </w:rPr>
        <w:t xml:space="preserve">finanční kompenzace </w:t>
      </w:r>
      <w:r w:rsidRPr="00591005">
        <w:t xml:space="preserve">vyplacené v souvislosti </w:t>
      </w:r>
      <w:r w:rsidRPr="00D91258">
        <w:rPr>
          <w:b/>
        </w:rPr>
        <w:t>s</w:t>
      </w:r>
      <w:r w:rsidRPr="00591005">
        <w:t> </w:t>
      </w:r>
      <w:r w:rsidRPr="00D91258">
        <w:rPr>
          <w:b/>
        </w:rPr>
        <w:t>onemocněním</w:t>
      </w:r>
      <w:r w:rsidRPr="00591005">
        <w:t xml:space="preserve"> </w:t>
      </w:r>
      <w:r w:rsidRPr="00D91258">
        <w:rPr>
          <w:b/>
        </w:rPr>
        <w:t>covid-19</w:t>
      </w:r>
      <w:r w:rsidRPr="00591005">
        <w:t xml:space="preserve">. Ať už jde o nemocenské nebo ošetřovné. </w:t>
      </w:r>
    </w:p>
    <w:p w14:paraId="217C89D0" w14:textId="24FEB8C7" w:rsidR="003B04F2" w:rsidRPr="00591005" w:rsidRDefault="00591005" w:rsidP="00000A90">
      <w:pPr>
        <w:spacing w:before="120" w:after="120"/>
        <w:jc w:val="both"/>
      </w:pPr>
      <w:r w:rsidRPr="00591005">
        <w:t xml:space="preserve">K významnému zvýšení však došlo i v 1. pol. 2018. </w:t>
      </w:r>
      <w:r w:rsidR="003B04F2" w:rsidRPr="00591005">
        <w:t xml:space="preserve">V roce 2017 </w:t>
      </w:r>
      <w:r w:rsidR="003B04F2" w:rsidRPr="00591005">
        <w:rPr>
          <w:b/>
        </w:rPr>
        <w:t xml:space="preserve">bylo </w:t>
      </w:r>
      <w:r w:rsidRPr="00591005">
        <w:t xml:space="preserve">totiž </w:t>
      </w:r>
      <w:r w:rsidR="003B04F2" w:rsidRPr="00591005">
        <w:rPr>
          <w:b/>
        </w:rPr>
        <w:t>přijato několik významných legislativních opatření</w:t>
      </w:r>
      <w:r w:rsidR="003B04F2" w:rsidRPr="00591005">
        <w:t xml:space="preserve"> v oblasti nemocenského pojištění, </w:t>
      </w:r>
      <w:r w:rsidR="003B04F2" w:rsidRPr="00591005">
        <w:rPr>
          <w:b/>
        </w:rPr>
        <w:t>s účinností od roku 2018</w:t>
      </w:r>
      <w:r w:rsidR="003B04F2" w:rsidRPr="00591005">
        <w:t xml:space="preserve">, která zásadním způsobem ovlivnila jeho finanční bilanci. Jednalo se o </w:t>
      </w:r>
      <w:r w:rsidR="003B04F2" w:rsidRPr="00591005">
        <w:rPr>
          <w:b/>
        </w:rPr>
        <w:t>zvýšení nemocenského od 31. kalendářního dne DPN</w:t>
      </w:r>
      <w:r w:rsidR="003657FA" w:rsidRPr="00591005">
        <w:t xml:space="preserve"> </w:t>
      </w:r>
      <w:r w:rsidR="003B04F2" w:rsidRPr="00591005">
        <w:t>nebo karantény z 60 % na 66 % redukovaného denního vyměřovacího základu a od</w:t>
      </w:r>
      <w:r w:rsidR="003B04F2" w:rsidRPr="00591005">
        <w:rPr>
          <w:b/>
        </w:rPr>
        <w:t xml:space="preserve"> 61. kalendářního dne DPN</w:t>
      </w:r>
      <w:r w:rsidR="003B04F2" w:rsidRPr="00591005">
        <w:t xml:space="preserve"> nebo karantény z 60 % na 72 % redukovaného denního vyměřovacího základu </w:t>
      </w:r>
      <w:r w:rsidR="003657FA" w:rsidRPr="00591005">
        <w:t>s účinností od</w:t>
      </w:r>
      <w:r w:rsidR="00CD63E8">
        <w:t> </w:t>
      </w:r>
      <w:r w:rsidR="003657FA" w:rsidRPr="00591005">
        <w:t>1.</w:t>
      </w:r>
      <w:r w:rsidR="00CD63E8">
        <w:t> </w:t>
      </w:r>
      <w:r w:rsidR="003657FA" w:rsidRPr="00591005">
        <w:t xml:space="preserve">ledna 2018. </w:t>
      </w:r>
      <w:r w:rsidR="00D91258">
        <w:t xml:space="preserve">Kromě toho, ovšem s jen nepatrným vlivem na celkovou výši výdajů nemocenského pojištění, </w:t>
      </w:r>
      <w:r w:rsidR="003657FA" w:rsidRPr="00591005">
        <w:t>byl rozšířen</w:t>
      </w:r>
      <w:r w:rsidR="003B04F2" w:rsidRPr="00591005">
        <w:t xml:space="preserve"> okru</w:t>
      </w:r>
      <w:r w:rsidR="003657FA" w:rsidRPr="00591005">
        <w:t>h</w:t>
      </w:r>
      <w:r w:rsidR="003B04F2" w:rsidRPr="00591005">
        <w:t xml:space="preserve"> dávek poskytovaných z</w:t>
      </w:r>
      <w:r w:rsidR="00C02C40" w:rsidRPr="00591005">
        <w:t> </w:t>
      </w:r>
      <w:r w:rsidR="003B04F2" w:rsidRPr="00591005">
        <w:t>nemocenského pojištění o novou dávku otcovské poporodní péče (tzv. „otcovská“) s účinností od 1. února 2018 a dávku dlouhodobého ošetřovného s účinností od 1. června 2018.</w:t>
      </w:r>
    </w:p>
    <w:p w14:paraId="41BFA204" w14:textId="36F1BA9E" w:rsidR="003B04F2" w:rsidRPr="00D92E20" w:rsidRDefault="00591005" w:rsidP="00000A90">
      <w:pPr>
        <w:spacing w:before="120" w:after="120"/>
        <w:jc w:val="both"/>
      </w:pPr>
      <w:r w:rsidRPr="00591005">
        <w:t>Pokud půjdeme ještě dále do historie, zjistíme, že k</w:t>
      </w:r>
      <w:r w:rsidR="003B04F2" w:rsidRPr="00591005">
        <w:t> zásadním změnám v úrovni výdajů na nemocenské došlo v roce 2009 v souvislosti s</w:t>
      </w:r>
      <w:r w:rsidR="00D91258">
        <w:t xml:space="preserve"> komplexní </w:t>
      </w:r>
      <w:r w:rsidR="003B04F2" w:rsidRPr="00591005">
        <w:t>legislativní úpravou nemocenského pojištění. Nový zákon o</w:t>
      </w:r>
      <w:r w:rsidR="00CD63E8">
        <w:t> </w:t>
      </w:r>
      <w:r w:rsidR="003B04F2" w:rsidRPr="00591005">
        <w:t>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t> </w:t>
      </w:r>
      <w:r w:rsidR="003B04F2" w:rsidRPr="00591005">
        <w:t xml:space="preserve">na 21 dnů pracovní neschopnosti. V důsledku těchto legislativních změn došlo k rapidnímu poklesu </w:t>
      </w:r>
      <w:r w:rsidR="00D91258">
        <w:t>pracovní neschopnosti</w:t>
      </w:r>
      <w:r w:rsidR="003B04F2" w:rsidRPr="00591005">
        <w:t xml:space="preserve">, což rovněž mělo vliv na pokles výdajů na nemocenské. Oproti </w:t>
      </w:r>
      <w:r w:rsidRPr="00591005">
        <w:t>1. pol. 2012</w:t>
      </w:r>
      <w:r w:rsidR="003B04F2" w:rsidRPr="00591005">
        <w:t xml:space="preserve"> byly </w:t>
      </w:r>
      <w:r w:rsidR="0062225A">
        <w:t xml:space="preserve">tudíž </w:t>
      </w:r>
      <w:r w:rsidR="003B04F2" w:rsidRPr="00591005">
        <w:t>výdaje na nemocenské v</w:t>
      </w:r>
      <w:r w:rsidRPr="00591005">
        <w:t> 1. pol. 2021</w:t>
      </w:r>
      <w:r w:rsidR="003B04F2" w:rsidRPr="00591005">
        <w:t xml:space="preserve"> </w:t>
      </w:r>
      <w:r w:rsidR="0028392B" w:rsidRPr="00591005">
        <w:t>téměř trojnásobné</w:t>
      </w:r>
      <w:r w:rsidR="003B04F2" w:rsidRPr="00591005">
        <w:t>.</w:t>
      </w:r>
    </w:p>
    <w:p w14:paraId="65708FAD" w14:textId="482DA855" w:rsidR="00FB50FB" w:rsidRPr="00D92E20" w:rsidRDefault="009F0B87" w:rsidP="00000A90">
      <w:pPr>
        <w:spacing w:after="0"/>
        <w:rPr>
          <w:b/>
        </w:rPr>
      </w:pPr>
      <w:r w:rsidRPr="00D92E20">
        <w:rPr>
          <w:b/>
        </w:rPr>
        <w:t xml:space="preserve">Tab. 4.1: Výdaje na dávky nemocenského pojištění, </w:t>
      </w:r>
      <w:r w:rsidR="00004237" w:rsidRPr="00004237">
        <w:rPr>
          <w:b/>
        </w:rPr>
        <w:t xml:space="preserve">1. pol. 2011–1. pol. 2021 </w:t>
      </w:r>
      <w:r w:rsidRPr="00D92E20">
        <w:rPr>
          <w:b/>
        </w:rPr>
        <w:t>(v mld. Kč)</w:t>
      </w:r>
    </w:p>
    <w:tbl>
      <w:tblPr>
        <w:tblW w:w="9736"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3"/>
      </w:tblGrid>
      <w:tr w:rsidR="00004237" w:rsidRPr="00D92E20" w14:paraId="1322F35D" w14:textId="77777777" w:rsidTr="009F0B87">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2A44CA79" w14:textId="77777777" w:rsidR="00004237" w:rsidRPr="00D92E20" w:rsidRDefault="00004237" w:rsidP="00004237">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2C1849A4" w14:textId="3D2A1700"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2011</w:t>
            </w:r>
          </w:p>
        </w:tc>
        <w:tc>
          <w:tcPr>
            <w:tcW w:w="673" w:type="dxa"/>
            <w:tcBorders>
              <w:top w:val="single" w:sz="4" w:space="0" w:color="auto"/>
              <w:left w:val="nil"/>
              <w:bottom w:val="single" w:sz="8" w:space="0" w:color="auto"/>
              <w:right w:val="nil"/>
            </w:tcBorders>
            <w:shd w:val="clear" w:color="000000" w:fill="F5DADD"/>
            <w:noWrap/>
            <w:vAlign w:val="center"/>
            <w:hideMark/>
          </w:tcPr>
          <w:p w14:paraId="3ACDEF92" w14:textId="15C4F3EE"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096C8976" w14:textId="797FCFFB"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23E22A0B" w14:textId="3052AAA6"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3673A7FC" w14:textId="5E8797BA"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0E004D09" w14:textId="010C0949"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3C98079E" w14:textId="607DD708"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2F691ED4" w14:textId="1D998241" w:rsidR="00004237" w:rsidRPr="00D92E20" w:rsidRDefault="00004237" w:rsidP="00004237">
            <w:pPr>
              <w:spacing w:after="0" w:line="240" w:lineRule="auto"/>
              <w:jc w:val="center"/>
              <w:rPr>
                <w:rFonts w:cs="Arial"/>
                <w:sz w:val="16"/>
                <w:szCs w:val="16"/>
              </w:rPr>
            </w:pPr>
            <w:r>
              <w:rPr>
                <w:rFonts w:cs="Arial"/>
                <w:sz w:val="16"/>
                <w:szCs w:val="16"/>
              </w:rPr>
              <w:t xml:space="preserve">1. pol. </w:t>
            </w:r>
            <w:r>
              <w:rPr>
                <w:rFonts w:cs="Arial"/>
                <w:sz w:val="16"/>
                <w:szCs w:val="16"/>
              </w:rPr>
              <w:b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6ED06A1A" w14:textId="575344F7" w:rsidR="00004237" w:rsidRPr="00D92E20" w:rsidRDefault="00004237" w:rsidP="00004237">
            <w:pPr>
              <w:spacing w:after="0" w:line="240" w:lineRule="auto"/>
              <w:jc w:val="center"/>
              <w:rPr>
                <w:rFonts w:cs="Arial"/>
                <w:sz w:val="16"/>
                <w:szCs w:val="16"/>
              </w:rPr>
            </w:pPr>
            <w:r>
              <w:rPr>
                <w:rFonts w:cs="Arial"/>
                <w:sz w:val="16"/>
                <w:szCs w:val="16"/>
              </w:rPr>
              <w:t>1. pol. 2019</w:t>
            </w:r>
          </w:p>
        </w:tc>
        <w:tc>
          <w:tcPr>
            <w:tcW w:w="673" w:type="dxa"/>
            <w:tcBorders>
              <w:top w:val="single" w:sz="4" w:space="0" w:color="auto"/>
              <w:left w:val="nil"/>
              <w:bottom w:val="single" w:sz="8" w:space="0" w:color="auto"/>
              <w:right w:val="nil"/>
            </w:tcBorders>
            <w:shd w:val="clear" w:color="000000" w:fill="F5DADD"/>
            <w:noWrap/>
            <w:vAlign w:val="center"/>
            <w:hideMark/>
          </w:tcPr>
          <w:p w14:paraId="4C836566" w14:textId="2C14D802" w:rsidR="00004237" w:rsidRPr="00D92E20" w:rsidRDefault="00004237" w:rsidP="00004237">
            <w:pPr>
              <w:spacing w:after="0" w:line="240" w:lineRule="auto"/>
              <w:jc w:val="center"/>
              <w:rPr>
                <w:rFonts w:cs="Arial"/>
                <w:sz w:val="16"/>
                <w:szCs w:val="16"/>
              </w:rPr>
            </w:pPr>
            <w:r>
              <w:rPr>
                <w:rFonts w:cs="Arial"/>
                <w:sz w:val="16"/>
                <w:szCs w:val="16"/>
              </w:rPr>
              <w:t>1. pol. 2020</w:t>
            </w:r>
          </w:p>
        </w:tc>
        <w:tc>
          <w:tcPr>
            <w:tcW w:w="673" w:type="dxa"/>
            <w:tcBorders>
              <w:top w:val="single" w:sz="4" w:space="0" w:color="auto"/>
              <w:left w:val="nil"/>
              <w:bottom w:val="single" w:sz="8" w:space="0" w:color="auto"/>
              <w:right w:val="nil"/>
            </w:tcBorders>
            <w:shd w:val="clear" w:color="000000" w:fill="F5DADD"/>
            <w:noWrap/>
            <w:vAlign w:val="center"/>
            <w:hideMark/>
          </w:tcPr>
          <w:p w14:paraId="67D5E0EE" w14:textId="0A7151B4" w:rsidR="00004237" w:rsidRPr="00D92E20" w:rsidRDefault="00004237" w:rsidP="00004237">
            <w:pPr>
              <w:spacing w:after="0" w:line="240" w:lineRule="auto"/>
              <w:jc w:val="center"/>
              <w:rPr>
                <w:rFonts w:cs="Arial"/>
                <w:sz w:val="16"/>
                <w:szCs w:val="16"/>
              </w:rPr>
            </w:pPr>
            <w:r>
              <w:rPr>
                <w:rFonts w:cs="Arial"/>
                <w:sz w:val="16"/>
                <w:szCs w:val="16"/>
              </w:rPr>
              <w:t>1. pol. 2021</w:t>
            </w:r>
          </w:p>
        </w:tc>
      </w:tr>
      <w:tr w:rsidR="00004237" w:rsidRPr="00D92E20" w14:paraId="5663CD02"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3EDEF5A7" w14:textId="77777777" w:rsidR="00004237" w:rsidRPr="00D92E20" w:rsidRDefault="00004237" w:rsidP="00004237">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0A82CA5C" w14:textId="297D2D73" w:rsidR="00004237" w:rsidRPr="00D92E20" w:rsidRDefault="00004237" w:rsidP="00004237">
            <w:pPr>
              <w:spacing w:after="0" w:line="240" w:lineRule="auto"/>
              <w:jc w:val="right"/>
              <w:rPr>
                <w:rFonts w:cs="Arial"/>
                <w:b/>
                <w:bCs/>
                <w:sz w:val="16"/>
                <w:szCs w:val="16"/>
              </w:rPr>
            </w:pPr>
            <w:r>
              <w:rPr>
                <w:rFonts w:cs="Arial"/>
                <w:b/>
                <w:bCs/>
                <w:sz w:val="16"/>
                <w:szCs w:val="16"/>
              </w:rPr>
              <w:t>11,66</w:t>
            </w:r>
          </w:p>
        </w:tc>
        <w:tc>
          <w:tcPr>
            <w:tcW w:w="673" w:type="dxa"/>
            <w:tcBorders>
              <w:top w:val="nil"/>
              <w:left w:val="nil"/>
              <w:bottom w:val="nil"/>
              <w:right w:val="nil"/>
            </w:tcBorders>
            <w:shd w:val="clear" w:color="auto" w:fill="auto"/>
            <w:noWrap/>
            <w:vAlign w:val="center"/>
            <w:hideMark/>
          </w:tcPr>
          <w:p w14:paraId="5699D1DC" w14:textId="77F18BC6" w:rsidR="00004237" w:rsidRPr="00D92E20" w:rsidRDefault="00004237" w:rsidP="00004237">
            <w:pPr>
              <w:spacing w:after="0" w:line="240" w:lineRule="auto"/>
              <w:jc w:val="right"/>
              <w:rPr>
                <w:rFonts w:cs="Arial"/>
                <w:b/>
                <w:bCs/>
                <w:sz w:val="16"/>
                <w:szCs w:val="16"/>
              </w:rPr>
            </w:pPr>
            <w:r>
              <w:rPr>
                <w:rFonts w:cs="Arial"/>
                <w:b/>
                <w:bCs/>
                <w:sz w:val="16"/>
                <w:szCs w:val="16"/>
              </w:rPr>
              <w:t>10,13</w:t>
            </w:r>
          </w:p>
        </w:tc>
        <w:tc>
          <w:tcPr>
            <w:tcW w:w="673" w:type="dxa"/>
            <w:tcBorders>
              <w:top w:val="nil"/>
              <w:left w:val="nil"/>
              <w:bottom w:val="nil"/>
              <w:right w:val="nil"/>
            </w:tcBorders>
            <w:shd w:val="clear" w:color="auto" w:fill="auto"/>
            <w:noWrap/>
            <w:vAlign w:val="center"/>
            <w:hideMark/>
          </w:tcPr>
          <w:p w14:paraId="6614C5BA" w14:textId="01154F12" w:rsidR="00004237" w:rsidRPr="00D92E20" w:rsidRDefault="00004237" w:rsidP="00004237">
            <w:pPr>
              <w:spacing w:after="0" w:line="240" w:lineRule="auto"/>
              <w:jc w:val="right"/>
              <w:rPr>
                <w:rFonts w:cs="Arial"/>
                <w:b/>
                <w:bCs/>
                <w:sz w:val="16"/>
                <w:szCs w:val="16"/>
              </w:rPr>
            </w:pPr>
            <w:r>
              <w:rPr>
                <w:rFonts w:cs="Arial"/>
                <w:b/>
                <w:bCs/>
                <w:sz w:val="16"/>
                <w:szCs w:val="16"/>
              </w:rPr>
              <w:t>10,50</w:t>
            </w:r>
          </w:p>
        </w:tc>
        <w:tc>
          <w:tcPr>
            <w:tcW w:w="673" w:type="dxa"/>
            <w:tcBorders>
              <w:top w:val="nil"/>
              <w:left w:val="nil"/>
              <w:bottom w:val="nil"/>
              <w:right w:val="nil"/>
            </w:tcBorders>
            <w:shd w:val="clear" w:color="auto" w:fill="auto"/>
            <w:noWrap/>
            <w:vAlign w:val="center"/>
            <w:hideMark/>
          </w:tcPr>
          <w:p w14:paraId="45F2647C" w14:textId="3DD7ABA3" w:rsidR="00004237" w:rsidRPr="00D92E20" w:rsidRDefault="00004237" w:rsidP="00004237">
            <w:pPr>
              <w:spacing w:after="0" w:line="240" w:lineRule="auto"/>
              <w:jc w:val="right"/>
              <w:rPr>
                <w:rFonts w:cs="Arial"/>
                <w:b/>
                <w:bCs/>
                <w:sz w:val="16"/>
                <w:szCs w:val="16"/>
              </w:rPr>
            </w:pPr>
            <w:r>
              <w:rPr>
                <w:rFonts w:cs="Arial"/>
                <w:b/>
                <w:bCs/>
                <w:sz w:val="16"/>
                <w:szCs w:val="16"/>
              </w:rPr>
              <w:t>11,10</w:t>
            </w:r>
          </w:p>
        </w:tc>
        <w:tc>
          <w:tcPr>
            <w:tcW w:w="673" w:type="dxa"/>
            <w:tcBorders>
              <w:top w:val="nil"/>
              <w:left w:val="nil"/>
              <w:bottom w:val="nil"/>
              <w:right w:val="nil"/>
            </w:tcBorders>
            <w:shd w:val="clear" w:color="auto" w:fill="auto"/>
            <w:noWrap/>
            <w:vAlign w:val="center"/>
            <w:hideMark/>
          </w:tcPr>
          <w:p w14:paraId="7F05C2CF" w14:textId="5BD932BE" w:rsidR="00004237" w:rsidRPr="00D92E20" w:rsidRDefault="00004237" w:rsidP="00004237">
            <w:pPr>
              <w:spacing w:after="0" w:line="240" w:lineRule="auto"/>
              <w:jc w:val="right"/>
              <w:rPr>
                <w:rFonts w:cs="Arial"/>
                <w:b/>
                <w:bCs/>
                <w:sz w:val="16"/>
                <w:szCs w:val="16"/>
              </w:rPr>
            </w:pPr>
            <w:r>
              <w:rPr>
                <w:rFonts w:cs="Arial"/>
                <w:b/>
                <w:bCs/>
                <w:sz w:val="16"/>
                <w:szCs w:val="16"/>
              </w:rPr>
              <w:t>12,32</w:t>
            </w:r>
          </w:p>
        </w:tc>
        <w:tc>
          <w:tcPr>
            <w:tcW w:w="673" w:type="dxa"/>
            <w:tcBorders>
              <w:top w:val="nil"/>
              <w:left w:val="nil"/>
              <w:bottom w:val="nil"/>
              <w:right w:val="nil"/>
            </w:tcBorders>
            <w:shd w:val="clear" w:color="auto" w:fill="auto"/>
            <w:noWrap/>
            <w:vAlign w:val="center"/>
            <w:hideMark/>
          </w:tcPr>
          <w:p w14:paraId="1B0F7045" w14:textId="6216AD36" w:rsidR="00004237" w:rsidRPr="00D92E20" w:rsidRDefault="00004237" w:rsidP="00004237">
            <w:pPr>
              <w:spacing w:after="0" w:line="240" w:lineRule="auto"/>
              <w:jc w:val="right"/>
              <w:rPr>
                <w:rFonts w:cs="Arial"/>
                <w:b/>
                <w:bCs/>
                <w:sz w:val="16"/>
                <w:szCs w:val="16"/>
              </w:rPr>
            </w:pPr>
            <w:r>
              <w:rPr>
                <w:rFonts w:cs="Arial"/>
                <w:b/>
                <w:bCs/>
                <w:sz w:val="16"/>
                <w:szCs w:val="16"/>
              </w:rPr>
              <w:t>13,46</w:t>
            </w:r>
          </w:p>
        </w:tc>
        <w:tc>
          <w:tcPr>
            <w:tcW w:w="673" w:type="dxa"/>
            <w:tcBorders>
              <w:top w:val="nil"/>
              <w:left w:val="nil"/>
              <w:bottom w:val="nil"/>
              <w:right w:val="nil"/>
            </w:tcBorders>
            <w:shd w:val="clear" w:color="auto" w:fill="auto"/>
            <w:noWrap/>
            <w:vAlign w:val="center"/>
            <w:hideMark/>
          </w:tcPr>
          <w:p w14:paraId="3A52BE4A" w14:textId="664B0B08" w:rsidR="00004237" w:rsidRPr="00D92E20" w:rsidRDefault="00004237" w:rsidP="00004237">
            <w:pPr>
              <w:spacing w:after="0" w:line="240" w:lineRule="auto"/>
              <w:jc w:val="right"/>
              <w:rPr>
                <w:rFonts w:cs="Arial"/>
                <w:b/>
                <w:bCs/>
                <w:sz w:val="16"/>
                <w:szCs w:val="16"/>
              </w:rPr>
            </w:pPr>
            <w:r>
              <w:rPr>
                <w:rFonts w:cs="Arial"/>
                <w:b/>
                <w:bCs/>
                <w:sz w:val="16"/>
                <w:szCs w:val="16"/>
              </w:rPr>
              <w:t>14,63</w:t>
            </w:r>
          </w:p>
        </w:tc>
        <w:tc>
          <w:tcPr>
            <w:tcW w:w="673" w:type="dxa"/>
            <w:tcBorders>
              <w:top w:val="nil"/>
              <w:left w:val="nil"/>
              <w:bottom w:val="nil"/>
              <w:right w:val="nil"/>
            </w:tcBorders>
            <w:shd w:val="clear" w:color="auto" w:fill="auto"/>
            <w:noWrap/>
            <w:vAlign w:val="center"/>
            <w:hideMark/>
          </w:tcPr>
          <w:p w14:paraId="135AF1B4" w14:textId="730DA4EF" w:rsidR="00004237" w:rsidRPr="00D92E20" w:rsidRDefault="00004237" w:rsidP="00004237">
            <w:pPr>
              <w:spacing w:after="0" w:line="240" w:lineRule="auto"/>
              <w:jc w:val="right"/>
              <w:rPr>
                <w:rFonts w:cs="Arial"/>
                <w:b/>
                <w:bCs/>
                <w:sz w:val="16"/>
                <w:szCs w:val="16"/>
              </w:rPr>
            </w:pPr>
            <w:r>
              <w:rPr>
                <w:rFonts w:cs="Arial"/>
                <w:b/>
                <w:bCs/>
                <w:sz w:val="16"/>
                <w:szCs w:val="16"/>
              </w:rPr>
              <w:t>17,18</w:t>
            </w:r>
          </w:p>
        </w:tc>
        <w:tc>
          <w:tcPr>
            <w:tcW w:w="673" w:type="dxa"/>
            <w:tcBorders>
              <w:top w:val="nil"/>
              <w:left w:val="nil"/>
              <w:bottom w:val="nil"/>
              <w:right w:val="nil"/>
            </w:tcBorders>
            <w:shd w:val="clear" w:color="auto" w:fill="auto"/>
            <w:noWrap/>
            <w:vAlign w:val="center"/>
            <w:hideMark/>
          </w:tcPr>
          <w:p w14:paraId="22F7518C" w14:textId="7D299FD7" w:rsidR="00004237" w:rsidRPr="00D92E20" w:rsidRDefault="00004237" w:rsidP="00004237">
            <w:pPr>
              <w:spacing w:after="0" w:line="240" w:lineRule="auto"/>
              <w:jc w:val="right"/>
              <w:rPr>
                <w:rFonts w:cs="Arial"/>
                <w:b/>
                <w:bCs/>
                <w:sz w:val="16"/>
                <w:szCs w:val="16"/>
              </w:rPr>
            </w:pPr>
            <w:r>
              <w:rPr>
                <w:rFonts w:cs="Arial"/>
                <w:b/>
                <w:bCs/>
                <w:sz w:val="16"/>
                <w:szCs w:val="16"/>
              </w:rPr>
              <w:t>19,81</w:t>
            </w:r>
          </w:p>
        </w:tc>
        <w:tc>
          <w:tcPr>
            <w:tcW w:w="673" w:type="dxa"/>
            <w:tcBorders>
              <w:top w:val="nil"/>
              <w:left w:val="nil"/>
              <w:bottom w:val="nil"/>
              <w:right w:val="nil"/>
            </w:tcBorders>
            <w:shd w:val="clear" w:color="auto" w:fill="auto"/>
            <w:noWrap/>
            <w:vAlign w:val="center"/>
            <w:hideMark/>
          </w:tcPr>
          <w:p w14:paraId="05002275" w14:textId="5173DC9E" w:rsidR="00004237" w:rsidRPr="00D92E20" w:rsidRDefault="00004237" w:rsidP="00004237">
            <w:pPr>
              <w:spacing w:after="0" w:line="240" w:lineRule="auto"/>
              <w:jc w:val="right"/>
              <w:rPr>
                <w:rFonts w:cs="Arial"/>
                <w:b/>
                <w:bCs/>
                <w:sz w:val="16"/>
                <w:szCs w:val="16"/>
              </w:rPr>
            </w:pPr>
            <w:r>
              <w:rPr>
                <w:rFonts w:cs="Arial"/>
                <w:b/>
                <w:bCs/>
                <w:sz w:val="16"/>
                <w:szCs w:val="16"/>
              </w:rPr>
              <w:t>30,00</w:t>
            </w:r>
          </w:p>
        </w:tc>
        <w:tc>
          <w:tcPr>
            <w:tcW w:w="673" w:type="dxa"/>
            <w:tcBorders>
              <w:top w:val="nil"/>
              <w:left w:val="nil"/>
              <w:bottom w:val="nil"/>
              <w:right w:val="nil"/>
            </w:tcBorders>
            <w:shd w:val="clear" w:color="auto" w:fill="auto"/>
            <w:noWrap/>
            <w:vAlign w:val="center"/>
            <w:hideMark/>
          </w:tcPr>
          <w:p w14:paraId="713697A0" w14:textId="0777BDED" w:rsidR="00004237" w:rsidRPr="00D92E20" w:rsidRDefault="00004237" w:rsidP="00004237">
            <w:pPr>
              <w:spacing w:after="0" w:line="240" w:lineRule="auto"/>
              <w:jc w:val="right"/>
              <w:rPr>
                <w:rFonts w:cs="Arial"/>
                <w:b/>
                <w:bCs/>
                <w:sz w:val="16"/>
                <w:szCs w:val="16"/>
              </w:rPr>
            </w:pPr>
            <w:r>
              <w:rPr>
                <w:rFonts w:cs="Arial"/>
                <w:b/>
                <w:bCs/>
                <w:sz w:val="16"/>
                <w:szCs w:val="16"/>
              </w:rPr>
              <w:t>28,50</w:t>
            </w:r>
          </w:p>
        </w:tc>
      </w:tr>
      <w:tr w:rsidR="00004237" w:rsidRPr="00D92E20" w14:paraId="5FE51748" w14:textId="77777777" w:rsidTr="009F0B87">
        <w:trPr>
          <w:trHeight w:val="300"/>
        </w:trPr>
        <w:tc>
          <w:tcPr>
            <w:tcW w:w="2333" w:type="dxa"/>
            <w:tcBorders>
              <w:top w:val="nil"/>
              <w:left w:val="nil"/>
              <w:bottom w:val="nil"/>
              <w:right w:val="single" w:sz="4" w:space="0" w:color="auto"/>
            </w:tcBorders>
            <w:shd w:val="clear" w:color="000000" w:fill="F5DADD"/>
            <w:vAlign w:val="center"/>
            <w:hideMark/>
          </w:tcPr>
          <w:p w14:paraId="4DBCB78B" w14:textId="77777777" w:rsidR="00004237" w:rsidRPr="00D92E20" w:rsidRDefault="00004237" w:rsidP="00004237">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BDA25F6" w14:textId="6C2C0440" w:rsidR="00004237" w:rsidRPr="00D92E20" w:rsidRDefault="00004237" w:rsidP="00004237">
            <w:pPr>
              <w:spacing w:after="0" w:line="240" w:lineRule="auto"/>
              <w:jc w:val="right"/>
              <w:rPr>
                <w:rFonts w:cs="Arial"/>
                <w:sz w:val="16"/>
                <w:szCs w:val="16"/>
              </w:rPr>
            </w:pPr>
            <w:r>
              <w:rPr>
                <w:rFonts w:cs="Arial"/>
                <w:sz w:val="16"/>
                <w:szCs w:val="16"/>
              </w:rPr>
              <w:t>7,58</w:t>
            </w:r>
          </w:p>
        </w:tc>
        <w:tc>
          <w:tcPr>
            <w:tcW w:w="673" w:type="dxa"/>
            <w:tcBorders>
              <w:top w:val="nil"/>
              <w:left w:val="nil"/>
              <w:bottom w:val="nil"/>
              <w:right w:val="nil"/>
            </w:tcBorders>
            <w:shd w:val="clear" w:color="000000" w:fill="F5DADD"/>
            <w:noWrap/>
            <w:vAlign w:val="center"/>
            <w:hideMark/>
          </w:tcPr>
          <w:p w14:paraId="5AEF3FBB" w14:textId="347CE744" w:rsidR="00004237" w:rsidRPr="00D92E20" w:rsidRDefault="00004237" w:rsidP="00004237">
            <w:pPr>
              <w:spacing w:after="0" w:line="240" w:lineRule="auto"/>
              <w:jc w:val="right"/>
              <w:rPr>
                <w:rFonts w:cs="Arial"/>
                <w:sz w:val="16"/>
                <w:szCs w:val="16"/>
              </w:rPr>
            </w:pPr>
            <w:r>
              <w:rPr>
                <w:rFonts w:cs="Arial"/>
                <w:sz w:val="16"/>
                <w:szCs w:val="16"/>
              </w:rPr>
              <w:t>6,21</w:t>
            </w:r>
          </w:p>
        </w:tc>
        <w:tc>
          <w:tcPr>
            <w:tcW w:w="673" w:type="dxa"/>
            <w:tcBorders>
              <w:top w:val="nil"/>
              <w:left w:val="nil"/>
              <w:bottom w:val="nil"/>
              <w:right w:val="nil"/>
            </w:tcBorders>
            <w:shd w:val="clear" w:color="000000" w:fill="F5DADD"/>
            <w:noWrap/>
            <w:vAlign w:val="center"/>
            <w:hideMark/>
          </w:tcPr>
          <w:p w14:paraId="276CE252" w14:textId="24DA98AF" w:rsidR="00004237" w:rsidRPr="00D92E20" w:rsidRDefault="00004237" w:rsidP="00004237">
            <w:pPr>
              <w:spacing w:after="0" w:line="240" w:lineRule="auto"/>
              <w:jc w:val="right"/>
              <w:rPr>
                <w:rFonts w:cs="Arial"/>
                <w:sz w:val="16"/>
                <w:szCs w:val="16"/>
              </w:rPr>
            </w:pPr>
            <w:r>
              <w:rPr>
                <w:rFonts w:cs="Arial"/>
                <w:sz w:val="16"/>
                <w:szCs w:val="16"/>
              </w:rPr>
              <w:t>6,45</w:t>
            </w:r>
          </w:p>
        </w:tc>
        <w:tc>
          <w:tcPr>
            <w:tcW w:w="673" w:type="dxa"/>
            <w:tcBorders>
              <w:top w:val="nil"/>
              <w:left w:val="nil"/>
              <w:bottom w:val="nil"/>
              <w:right w:val="nil"/>
            </w:tcBorders>
            <w:shd w:val="clear" w:color="000000" w:fill="F5DADD"/>
            <w:noWrap/>
            <w:vAlign w:val="center"/>
            <w:hideMark/>
          </w:tcPr>
          <w:p w14:paraId="17332128" w14:textId="7EBAB605" w:rsidR="00004237" w:rsidRPr="00D92E20" w:rsidRDefault="00004237" w:rsidP="00004237">
            <w:pPr>
              <w:spacing w:after="0" w:line="240" w:lineRule="auto"/>
              <w:jc w:val="right"/>
              <w:rPr>
                <w:rFonts w:cs="Arial"/>
                <w:sz w:val="16"/>
                <w:szCs w:val="16"/>
              </w:rPr>
            </w:pPr>
            <w:r>
              <w:rPr>
                <w:rFonts w:cs="Arial"/>
                <w:sz w:val="16"/>
                <w:szCs w:val="16"/>
              </w:rPr>
              <w:t>7,10</w:t>
            </w:r>
          </w:p>
        </w:tc>
        <w:tc>
          <w:tcPr>
            <w:tcW w:w="673" w:type="dxa"/>
            <w:tcBorders>
              <w:top w:val="nil"/>
              <w:left w:val="nil"/>
              <w:bottom w:val="nil"/>
              <w:right w:val="nil"/>
            </w:tcBorders>
            <w:shd w:val="clear" w:color="000000" w:fill="F5DADD"/>
            <w:noWrap/>
            <w:vAlign w:val="center"/>
            <w:hideMark/>
          </w:tcPr>
          <w:p w14:paraId="1F8BCC4E" w14:textId="1E88A049" w:rsidR="00004237" w:rsidRPr="00D92E20" w:rsidRDefault="00004237" w:rsidP="00004237">
            <w:pPr>
              <w:spacing w:after="0" w:line="240" w:lineRule="auto"/>
              <w:jc w:val="right"/>
              <w:rPr>
                <w:rFonts w:cs="Arial"/>
                <w:sz w:val="16"/>
                <w:szCs w:val="16"/>
              </w:rPr>
            </w:pPr>
            <w:r>
              <w:rPr>
                <w:rFonts w:cs="Arial"/>
                <w:sz w:val="16"/>
                <w:szCs w:val="16"/>
              </w:rPr>
              <w:t>8,02</w:t>
            </w:r>
          </w:p>
        </w:tc>
        <w:tc>
          <w:tcPr>
            <w:tcW w:w="673" w:type="dxa"/>
            <w:tcBorders>
              <w:top w:val="nil"/>
              <w:left w:val="nil"/>
              <w:bottom w:val="nil"/>
              <w:right w:val="nil"/>
            </w:tcBorders>
            <w:shd w:val="clear" w:color="000000" w:fill="F5DADD"/>
            <w:noWrap/>
            <w:vAlign w:val="center"/>
            <w:hideMark/>
          </w:tcPr>
          <w:p w14:paraId="51299ED5" w14:textId="312C4816" w:rsidR="00004237" w:rsidRPr="00D92E20" w:rsidRDefault="00004237" w:rsidP="00004237">
            <w:pPr>
              <w:spacing w:after="0" w:line="240" w:lineRule="auto"/>
              <w:jc w:val="right"/>
              <w:rPr>
                <w:rFonts w:cs="Arial"/>
                <w:sz w:val="16"/>
                <w:szCs w:val="16"/>
              </w:rPr>
            </w:pPr>
            <w:r>
              <w:rPr>
                <w:rFonts w:cs="Arial"/>
                <w:sz w:val="16"/>
                <w:szCs w:val="16"/>
              </w:rPr>
              <w:t>8,85</w:t>
            </w:r>
          </w:p>
        </w:tc>
        <w:tc>
          <w:tcPr>
            <w:tcW w:w="673" w:type="dxa"/>
            <w:tcBorders>
              <w:top w:val="nil"/>
              <w:left w:val="nil"/>
              <w:bottom w:val="nil"/>
              <w:right w:val="nil"/>
            </w:tcBorders>
            <w:shd w:val="clear" w:color="000000" w:fill="F5DADD"/>
            <w:noWrap/>
            <w:vAlign w:val="center"/>
            <w:hideMark/>
          </w:tcPr>
          <w:p w14:paraId="44BF2AB2" w14:textId="5B26EE08" w:rsidR="00004237" w:rsidRPr="00D92E20" w:rsidRDefault="00004237" w:rsidP="00004237">
            <w:pPr>
              <w:spacing w:after="0" w:line="240" w:lineRule="auto"/>
              <w:jc w:val="right"/>
              <w:rPr>
                <w:rFonts w:cs="Arial"/>
                <w:sz w:val="16"/>
                <w:szCs w:val="16"/>
              </w:rPr>
            </w:pPr>
            <w:r>
              <w:rPr>
                <w:rFonts w:cs="Arial"/>
                <w:sz w:val="16"/>
                <w:szCs w:val="16"/>
              </w:rPr>
              <w:t>9,68</w:t>
            </w:r>
          </w:p>
        </w:tc>
        <w:tc>
          <w:tcPr>
            <w:tcW w:w="673" w:type="dxa"/>
            <w:tcBorders>
              <w:top w:val="nil"/>
              <w:left w:val="nil"/>
              <w:bottom w:val="nil"/>
              <w:right w:val="nil"/>
            </w:tcBorders>
            <w:shd w:val="clear" w:color="000000" w:fill="F5DADD"/>
            <w:noWrap/>
            <w:vAlign w:val="center"/>
            <w:hideMark/>
          </w:tcPr>
          <w:p w14:paraId="74D5B5EB" w14:textId="68359554" w:rsidR="00004237" w:rsidRPr="00D92E20" w:rsidRDefault="00004237" w:rsidP="00004237">
            <w:pPr>
              <w:spacing w:after="0" w:line="240" w:lineRule="auto"/>
              <w:jc w:val="right"/>
              <w:rPr>
                <w:rFonts w:cs="Arial"/>
                <w:color w:val="000000"/>
                <w:sz w:val="16"/>
                <w:szCs w:val="16"/>
              </w:rPr>
            </w:pPr>
            <w:r>
              <w:rPr>
                <w:rFonts w:cs="Arial"/>
                <w:sz w:val="16"/>
                <w:szCs w:val="16"/>
              </w:rPr>
              <w:t>11,60</w:t>
            </w:r>
          </w:p>
        </w:tc>
        <w:tc>
          <w:tcPr>
            <w:tcW w:w="673" w:type="dxa"/>
            <w:tcBorders>
              <w:top w:val="nil"/>
              <w:left w:val="nil"/>
              <w:bottom w:val="nil"/>
              <w:right w:val="nil"/>
            </w:tcBorders>
            <w:shd w:val="clear" w:color="000000" w:fill="F5DADD"/>
            <w:noWrap/>
            <w:vAlign w:val="center"/>
            <w:hideMark/>
          </w:tcPr>
          <w:p w14:paraId="45B0EE9C" w14:textId="4B7A6323" w:rsidR="00004237" w:rsidRPr="00D92E20" w:rsidRDefault="00004237" w:rsidP="00004237">
            <w:pPr>
              <w:spacing w:after="0" w:line="240" w:lineRule="auto"/>
              <w:jc w:val="right"/>
              <w:rPr>
                <w:rFonts w:cs="Arial"/>
                <w:color w:val="000000"/>
                <w:sz w:val="16"/>
                <w:szCs w:val="16"/>
              </w:rPr>
            </w:pPr>
            <w:r>
              <w:rPr>
                <w:rFonts w:cs="Arial"/>
                <w:sz w:val="16"/>
                <w:szCs w:val="16"/>
              </w:rPr>
              <w:t>13,78</w:t>
            </w:r>
          </w:p>
        </w:tc>
        <w:tc>
          <w:tcPr>
            <w:tcW w:w="673" w:type="dxa"/>
            <w:tcBorders>
              <w:top w:val="nil"/>
              <w:left w:val="nil"/>
              <w:bottom w:val="nil"/>
              <w:right w:val="nil"/>
            </w:tcBorders>
            <w:shd w:val="clear" w:color="000000" w:fill="F5DADD"/>
            <w:noWrap/>
            <w:vAlign w:val="center"/>
            <w:hideMark/>
          </w:tcPr>
          <w:p w14:paraId="2FBEA26D" w14:textId="1B6DCC85" w:rsidR="00004237" w:rsidRPr="00D92E20" w:rsidRDefault="00004237" w:rsidP="00004237">
            <w:pPr>
              <w:spacing w:after="0" w:line="240" w:lineRule="auto"/>
              <w:jc w:val="right"/>
              <w:rPr>
                <w:rFonts w:cs="Arial"/>
                <w:color w:val="000000"/>
                <w:sz w:val="16"/>
                <w:szCs w:val="16"/>
              </w:rPr>
            </w:pPr>
            <w:r>
              <w:rPr>
                <w:rFonts w:cs="Arial"/>
                <w:sz w:val="16"/>
                <w:szCs w:val="16"/>
              </w:rPr>
              <w:t>17,03</w:t>
            </w:r>
          </w:p>
        </w:tc>
        <w:tc>
          <w:tcPr>
            <w:tcW w:w="673" w:type="dxa"/>
            <w:tcBorders>
              <w:top w:val="nil"/>
              <w:left w:val="nil"/>
              <w:bottom w:val="nil"/>
              <w:right w:val="nil"/>
            </w:tcBorders>
            <w:shd w:val="clear" w:color="000000" w:fill="F5DADD"/>
            <w:noWrap/>
            <w:vAlign w:val="center"/>
            <w:hideMark/>
          </w:tcPr>
          <w:p w14:paraId="3F69FB93" w14:textId="1BE7D8F8" w:rsidR="00004237" w:rsidRPr="00D92E20" w:rsidRDefault="00004237" w:rsidP="00004237">
            <w:pPr>
              <w:spacing w:after="0" w:line="240" w:lineRule="auto"/>
              <w:jc w:val="right"/>
              <w:rPr>
                <w:rFonts w:cs="Arial"/>
                <w:color w:val="000000"/>
                <w:sz w:val="16"/>
                <w:szCs w:val="16"/>
              </w:rPr>
            </w:pPr>
            <w:r>
              <w:rPr>
                <w:rFonts w:cs="Arial"/>
                <w:sz w:val="16"/>
                <w:szCs w:val="16"/>
              </w:rPr>
              <w:t>18,39</w:t>
            </w:r>
          </w:p>
        </w:tc>
      </w:tr>
      <w:tr w:rsidR="00004237" w:rsidRPr="00D92E20" w14:paraId="70608900"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72BB2009" w14:textId="77777777" w:rsidR="00004237" w:rsidRPr="002B643E" w:rsidRDefault="00004237" w:rsidP="00004237">
            <w:pPr>
              <w:spacing w:after="0" w:line="240" w:lineRule="auto"/>
              <w:ind w:firstLineChars="100" w:firstLine="160"/>
              <w:rPr>
                <w:rFonts w:cs="Arial"/>
                <w:sz w:val="16"/>
                <w:szCs w:val="16"/>
              </w:rPr>
            </w:pPr>
            <w:r w:rsidRPr="002B643E">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FC8F547" w14:textId="23401DA8" w:rsidR="00004237" w:rsidRPr="00D92E20" w:rsidRDefault="00004237" w:rsidP="00004237">
            <w:pPr>
              <w:spacing w:after="0" w:line="240" w:lineRule="auto"/>
              <w:jc w:val="right"/>
              <w:rPr>
                <w:rFonts w:cs="Arial"/>
                <w:b/>
                <w:sz w:val="16"/>
                <w:szCs w:val="16"/>
              </w:rPr>
            </w:pPr>
            <w:r>
              <w:rPr>
                <w:rFonts w:cs="Arial"/>
                <w:sz w:val="16"/>
                <w:szCs w:val="16"/>
              </w:rPr>
              <w:t>0,39</w:t>
            </w:r>
          </w:p>
        </w:tc>
        <w:tc>
          <w:tcPr>
            <w:tcW w:w="673" w:type="dxa"/>
            <w:tcBorders>
              <w:top w:val="nil"/>
              <w:left w:val="nil"/>
              <w:bottom w:val="nil"/>
              <w:right w:val="nil"/>
            </w:tcBorders>
            <w:shd w:val="clear" w:color="auto" w:fill="auto"/>
            <w:noWrap/>
            <w:vAlign w:val="center"/>
            <w:hideMark/>
          </w:tcPr>
          <w:p w14:paraId="2B766FF3" w14:textId="3D60EC35" w:rsidR="00004237" w:rsidRPr="00D92E20" w:rsidRDefault="00004237" w:rsidP="00004237">
            <w:pPr>
              <w:spacing w:after="0" w:line="240" w:lineRule="auto"/>
              <w:jc w:val="right"/>
              <w:rPr>
                <w:rFonts w:cs="Arial"/>
                <w:b/>
                <w:sz w:val="16"/>
                <w:szCs w:val="16"/>
              </w:rPr>
            </w:pPr>
            <w:r>
              <w:rPr>
                <w:rFonts w:cs="Arial"/>
                <w:sz w:val="16"/>
                <w:szCs w:val="16"/>
              </w:rPr>
              <w:t>0,41</w:t>
            </w:r>
          </w:p>
        </w:tc>
        <w:tc>
          <w:tcPr>
            <w:tcW w:w="673" w:type="dxa"/>
            <w:tcBorders>
              <w:top w:val="nil"/>
              <w:left w:val="nil"/>
              <w:bottom w:val="nil"/>
              <w:right w:val="nil"/>
            </w:tcBorders>
            <w:shd w:val="clear" w:color="auto" w:fill="auto"/>
            <w:noWrap/>
            <w:vAlign w:val="center"/>
            <w:hideMark/>
          </w:tcPr>
          <w:p w14:paraId="79B177DE" w14:textId="5C9C63CD" w:rsidR="00004237" w:rsidRPr="00D92E20" w:rsidRDefault="00004237" w:rsidP="00004237">
            <w:pPr>
              <w:spacing w:after="0" w:line="240" w:lineRule="auto"/>
              <w:jc w:val="right"/>
              <w:rPr>
                <w:rFonts w:cs="Arial"/>
                <w:b/>
                <w:sz w:val="16"/>
                <w:szCs w:val="16"/>
              </w:rPr>
            </w:pPr>
            <w:r>
              <w:rPr>
                <w:rFonts w:cs="Arial"/>
                <w:sz w:val="16"/>
                <w:szCs w:val="16"/>
              </w:rPr>
              <w:t>0,50</w:t>
            </w:r>
          </w:p>
        </w:tc>
        <w:tc>
          <w:tcPr>
            <w:tcW w:w="673" w:type="dxa"/>
            <w:tcBorders>
              <w:top w:val="nil"/>
              <w:left w:val="nil"/>
              <w:bottom w:val="nil"/>
              <w:right w:val="nil"/>
            </w:tcBorders>
            <w:shd w:val="clear" w:color="auto" w:fill="auto"/>
            <w:noWrap/>
            <w:vAlign w:val="center"/>
            <w:hideMark/>
          </w:tcPr>
          <w:p w14:paraId="28508180" w14:textId="7CA73AA4" w:rsidR="00004237" w:rsidRPr="00D92E20" w:rsidRDefault="00004237" w:rsidP="00004237">
            <w:pPr>
              <w:spacing w:after="0" w:line="240" w:lineRule="auto"/>
              <w:jc w:val="right"/>
              <w:rPr>
                <w:rFonts w:cs="Arial"/>
                <w:b/>
                <w:sz w:val="16"/>
                <w:szCs w:val="16"/>
              </w:rPr>
            </w:pPr>
            <w:r>
              <w:rPr>
                <w:rFonts w:cs="Arial"/>
                <w:sz w:val="16"/>
                <w:szCs w:val="16"/>
              </w:rPr>
              <w:t>0,46</w:t>
            </w:r>
          </w:p>
        </w:tc>
        <w:tc>
          <w:tcPr>
            <w:tcW w:w="673" w:type="dxa"/>
            <w:tcBorders>
              <w:top w:val="nil"/>
              <w:left w:val="nil"/>
              <w:bottom w:val="nil"/>
              <w:right w:val="nil"/>
            </w:tcBorders>
            <w:shd w:val="clear" w:color="auto" w:fill="auto"/>
            <w:noWrap/>
            <w:vAlign w:val="center"/>
            <w:hideMark/>
          </w:tcPr>
          <w:p w14:paraId="3384DD19" w14:textId="279C3193" w:rsidR="00004237" w:rsidRPr="00D92E20" w:rsidRDefault="00004237" w:rsidP="00004237">
            <w:pPr>
              <w:spacing w:after="0" w:line="240" w:lineRule="auto"/>
              <w:jc w:val="right"/>
              <w:rPr>
                <w:rFonts w:cs="Arial"/>
                <w:b/>
                <w:sz w:val="16"/>
                <w:szCs w:val="16"/>
              </w:rPr>
            </w:pPr>
            <w:r>
              <w:rPr>
                <w:rFonts w:cs="Arial"/>
                <w:sz w:val="16"/>
                <w:szCs w:val="16"/>
              </w:rPr>
              <w:t>0,63</w:t>
            </w:r>
          </w:p>
        </w:tc>
        <w:tc>
          <w:tcPr>
            <w:tcW w:w="673" w:type="dxa"/>
            <w:tcBorders>
              <w:top w:val="nil"/>
              <w:left w:val="nil"/>
              <w:bottom w:val="nil"/>
              <w:right w:val="nil"/>
            </w:tcBorders>
            <w:shd w:val="clear" w:color="auto" w:fill="auto"/>
            <w:noWrap/>
            <w:vAlign w:val="center"/>
            <w:hideMark/>
          </w:tcPr>
          <w:p w14:paraId="0B22DA82" w14:textId="1CFFF1CF" w:rsidR="00004237" w:rsidRPr="00D92E20" w:rsidRDefault="00004237" w:rsidP="00004237">
            <w:pPr>
              <w:spacing w:after="0" w:line="240" w:lineRule="auto"/>
              <w:jc w:val="right"/>
              <w:rPr>
                <w:rFonts w:cs="Arial"/>
                <w:b/>
                <w:sz w:val="16"/>
                <w:szCs w:val="16"/>
              </w:rPr>
            </w:pPr>
            <w:r>
              <w:rPr>
                <w:rFonts w:cs="Arial"/>
                <w:sz w:val="16"/>
                <w:szCs w:val="16"/>
              </w:rPr>
              <w:t>0,71</w:t>
            </w:r>
          </w:p>
        </w:tc>
        <w:tc>
          <w:tcPr>
            <w:tcW w:w="673" w:type="dxa"/>
            <w:tcBorders>
              <w:top w:val="nil"/>
              <w:left w:val="nil"/>
              <w:bottom w:val="nil"/>
              <w:right w:val="nil"/>
            </w:tcBorders>
            <w:shd w:val="clear" w:color="auto" w:fill="auto"/>
            <w:noWrap/>
            <w:vAlign w:val="center"/>
            <w:hideMark/>
          </w:tcPr>
          <w:p w14:paraId="53255935" w14:textId="040E036C" w:rsidR="00004237" w:rsidRPr="00D92E20" w:rsidRDefault="00004237" w:rsidP="00004237">
            <w:pPr>
              <w:spacing w:after="0" w:line="240" w:lineRule="auto"/>
              <w:jc w:val="right"/>
              <w:rPr>
                <w:rFonts w:cs="Arial"/>
                <w:b/>
                <w:sz w:val="16"/>
                <w:szCs w:val="16"/>
              </w:rPr>
            </w:pPr>
            <w:r>
              <w:rPr>
                <w:rFonts w:cs="Arial"/>
                <w:sz w:val="16"/>
                <w:szCs w:val="16"/>
              </w:rPr>
              <w:t>0,84</w:t>
            </w:r>
          </w:p>
        </w:tc>
        <w:tc>
          <w:tcPr>
            <w:tcW w:w="673" w:type="dxa"/>
            <w:tcBorders>
              <w:top w:val="nil"/>
              <w:left w:val="nil"/>
              <w:bottom w:val="nil"/>
              <w:right w:val="nil"/>
            </w:tcBorders>
            <w:shd w:val="clear" w:color="auto" w:fill="auto"/>
            <w:noWrap/>
            <w:vAlign w:val="center"/>
            <w:hideMark/>
          </w:tcPr>
          <w:p w14:paraId="5ADC37FE" w14:textId="04779520" w:rsidR="00004237" w:rsidRPr="00D92E20" w:rsidRDefault="00004237" w:rsidP="00004237">
            <w:pPr>
              <w:spacing w:after="0" w:line="240" w:lineRule="auto"/>
              <w:jc w:val="right"/>
              <w:rPr>
                <w:rFonts w:cs="Arial"/>
                <w:b/>
                <w:sz w:val="16"/>
                <w:szCs w:val="16"/>
              </w:rPr>
            </w:pPr>
            <w:r>
              <w:rPr>
                <w:rFonts w:cs="Arial"/>
                <w:sz w:val="16"/>
                <w:szCs w:val="16"/>
              </w:rPr>
              <w:t>0,99</w:t>
            </w:r>
          </w:p>
        </w:tc>
        <w:tc>
          <w:tcPr>
            <w:tcW w:w="673" w:type="dxa"/>
            <w:tcBorders>
              <w:top w:val="nil"/>
              <w:left w:val="nil"/>
              <w:bottom w:val="nil"/>
              <w:right w:val="nil"/>
            </w:tcBorders>
            <w:shd w:val="clear" w:color="auto" w:fill="auto"/>
            <w:noWrap/>
            <w:vAlign w:val="center"/>
            <w:hideMark/>
          </w:tcPr>
          <w:p w14:paraId="4D5D0123" w14:textId="0110A144" w:rsidR="00004237" w:rsidRPr="00D92E20" w:rsidRDefault="00004237" w:rsidP="00004237">
            <w:pPr>
              <w:spacing w:after="0" w:line="240" w:lineRule="auto"/>
              <w:jc w:val="right"/>
              <w:rPr>
                <w:rFonts w:cs="Arial"/>
                <w:b/>
                <w:sz w:val="16"/>
                <w:szCs w:val="16"/>
              </w:rPr>
            </w:pPr>
            <w:r>
              <w:rPr>
                <w:rFonts w:cs="Arial"/>
                <w:sz w:val="16"/>
                <w:szCs w:val="16"/>
              </w:rPr>
              <w:t>1,02</w:t>
            </w:r>
          </w:p>
        </w:tc>
        <w:tc>
          <w:tcPr>
            <w:tcW w:w="673" w:type="dxa"/>
            <w:tcBorders>
              <w:top w:val="nil"/>
              <w:left w:val="nil"/>
              <w:bottom w:val="nil"/>
              <w:right w:val="nil"/>
            </w:tcBorders>
            <w:shd w:val="clear" w:color="auto" w:fill="auto"/>
            <w:noWrap/>
            <w:vAlign w:val="center"/>
            <w:hideMark/>
          </w:tcPr>
          <w:p w14:paraId="04016AD8" w14:textId="13367E40" w:rsidR="00004237" w:rsidRPr="00D92E20" w:rsidRDefault="00004237" w:rsidP="00004237">
            <w:pPr>
              <w:spacing w:after="0" w:line="240" w:lineRule="auto"/>
              <w:jc w:val="right"/>
              <w:rPr>
                <w:rFonts w:cs="Arial"/>
                <w:b/>
                <w:sz w:val="16"/>
                <w:szCs w:val="16"/>
              </w:rPr>
            </w:pPr>
            <w:r>
              <w:rPr>
                <w:rFonts w:cs="Arial"/>
                <w:sz w:val="16"/>
                <w:szCs w:val="16"/>
              </w:rPr>
              <w:t>7,68</w:t>
            </w:r>
          </w:p>
        </w:tc>
        <w:tc>
          <w:tcPr>
            <w:tcW w:w="673" w:type="dxa"/>
            <w:tcBorders>
              <w:top w:val="nil"/>
              <w:left w:val="nil"/>
              <w:bottom w:val="nil"/>
              <w:right w:val="nil"/>
            </w:tcBorders>
            <w:shd w:val="clear" w:color="auto" w:fill="auto"/>
            <w:noWrap/>
            <w:vAlign w:val="center"/>
            <w:hideMark/>
          </w:tcPr>
          <w:p w14:paraId="456C8CC0" w14:textId="15D86C8E" w:rsidR="00004237" w:rsidRPr="00D92E20" w:rsidRDefault="00004237" w:rsidP="00004237">
            <w:pPr>
              <w:spacing w:after="0" w:line="240" w:lineRule="auto"/>
              <w:jc w:val="right"/>
              <w:rPr>
                <w:rFonts w:cs="Arial"/>
                <w:b/>
                <w:sz w:val="16"/>
                <w:szCs w:val="16"/>
              </w:rPr>
            </w:pPr>
            <w:r>
              <w:rPr>
                <w:rFonts w:cs="Arial"/>
                <w:sz w:val="16"/>
                <w:szCs w:val="16"/>
              </w:rPr>
              <w:t>4,47</w:t>
            </w:r>
          </w:p>
        </w:tc>
      </w:tr>
      <w:tr w:rsidR="00004237" w:rsidRPr="00D92E20" w14:paraId="72559DC3" w14:textId="77777777" w:rsidTr="000974A8">
        <w:trPr>
          <w:trHeight w:val="300"/>
        </w:trPr>
        <w:tc>
          <w:tcPr>
            <w:tcW w:w="2333" w:type="dxa"/>
            <w:tcBorders>
              <w:top w:val="nil"/>
              <w:left w:val="nil"/>
              <w:bottom w:val="nil"/>
              <w:right w:val="single" w:sz="4" w:space="0" w:color="auto"/>
            </w:tcBorders>
            <w:shd w:val="clear" w:color="auto" w:fill="auto"/>
            <w:vAlign w:val="center"/>
            <w:hideMark/>
          </w:tcPr>
          <w:p w14:paraId="10B91BF0" w14:textId="3A899D3C" w:rsidR="00004237" w:rsidRPr="00D92E20" w:rsidRDefault="00004237" w:rsidP="00004237">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287191B8" w14:textId="032CFFAE" w:rsidR="00004237" w:rsidRPr="00D92E20" w:rsidRDefault="00004237" w:rsidP="00004237">
            <w:pPr>
              <w:spacing w:after="0" w:line="240" w:lineRule="auto"/>
              <w:jc w:val="right"/>
              <w:rPr>
                <w:rFonts w:cs="Arial"/>
                <w:sz w:val="16"/>
                <w:szCs w:val="16"/>
              </w:rPr>
            </w:pPr>
            <w:r>
              <w:rPr>
                <w:rFonts w:cs="Arial"/>
                <w:sz w:val="16"/>
                <w:szCs w:val="16"/>
              </w:rPr>
              <w:t>3,69</w:t>
            </w:r>
          </w:p>
        </w:tc>
        <w:tc>
          <w:tcPr>
            <w:tcW w:w="673" w:type="dxa"/>
            <w:tcBorders>
              <w:top w:val="nil"/>
              <w:left w:val="nil"/>
              <w:bottom w:val="nil"/>
              <w:right w:val="nil"/>
            </w:tcBorders>
            <w:shd w:val="clear" w:color="auto" w:fill="auto"/>
            <w:noWrap/>
            <w:vAlign w:val="center"/>
            <w:hideMark/>
          </w:tcPr>
          <w:p w14:paraId="27EFF6EB" w14:textId="30E7DA3C" w:rsidR="00004237" w:rsidRPr="00D92E20" w:rsidRDefault="00004237" w:rsidP="00004237">
            <w:pPr>
              <w:spacing w:after="0" w:line="240" w:lineRule="auto"/>
              <w:jc w:val="right"/>
              <w:rPr>
                <w:rFonts w:cs="Arial"/>
                <w:sz w:val="16"/>
                <w:szCs w:val="16"/>
              </w:rPr>
            </w:pPr>
            <w:r>
              <w:rPr>
                <w:rFonts w:cs="Arial"/>
                <w:sz w:val="16"/>
                <w:szCs w:val="16"/>
              </w:rPr>
              <w:t>3,51</w:t>
            </w:r>
          </w:p>
        </w:tc>
        <w:tc>
          <w:tcPr>
            <w:tcW w:w="673" w:type="dxa"/>
            <w:tcBorders>
              <w:top w:val="nil"/>
              <w:left w:val="nil"/>
              <w:bottom w:val="nil"/>
              <w:right w:val="nil"/>
            </w:tcBorders>
            <w:shd w:val="clear" w:color="auto" w:fill="auto"/>
            <w:noWrap/>
            <w:vAlign w:val="center"/>
            <w:hideMark/>
          </w:tcPr>
          <w:p w14:paraId="3BE05C41" w14:textId="65AA5E87" w:rsidR="00004237" w:rsidRPr="00D92E20" w:rsidRDefault="00004237" w:rsidP="00004237">
            <w:pPr>
              <w:spacing w:after="0" w:line="240" w:lineRule="auto"/>
              <w:jc w:val="right"/>
              <w:rPr>
                <w:rFonts w:cs="Arial"/>
                <w:sz w:val="16"/>
                <w:szCs w:val="16"/>
              </w:rPr>
            </w:pPr>
            <w:r>
              <w:rPr>
                <w:rFonts w:cs="Arial"/>
                <w:sz w:val="16"/>
                <w:szCs w:val="16"/>
              </w:rPr>
              <w:t>3,55</w:t>
            </w:r>
          </w:p>
        </w:tc>
        <w:tc>
          <w:tcPr>
            <w:tcW w:w="673" w:type="dxa"/>
            <w:tcBorders>
              <w:top w:val="nil"/>
              <w:left w:val="nil"/>
              <w:bottom w:val="nil"/>
              <w:right w:val="nil"/>
            </w:tcBorders>
            <w:shd w:val="clear" w:color="auto" w:fill="auto"/>
            <w:noWrap/>
            <w:vAlign w:val="center"/>
            <w:hideMark/>
          </w:tcPr>
          <w:p w14:paraId="293FFD03" w14:textId="1C013A04" w:rsidR="00004237" w:rsidRPr="00D92E20" w:rsidRDefault="00004237" w:rsidP="00004237">
            <w:pPr>
              <w:spacing w:after="0" w:line="240" w:lineRule="auto"/>
              <w:jc w:val="right"/>
              <w:rPr>
                <w:rFonts w:cs="Arial"/>
                <w:sz w:val="16"/>
                <w:szCs w:val="16"/>
              </w:rPr>
            </w:pPr>
            <w:r>
              <w:rPr>
                <w:rFonts w:cs="Arial"/>
                <w:sz w:val="16"/>
                <w:szCs w:val="16"/>
              </w:rPr>
              <w:t>3,53</w:t>
            </w:r>
          </w:p>
        </w:tc>
        <w:tc>
          <w:tcPr>
            <w:tcW w:w="673" w:type="dxa"/>
            <w:tcBorders>
              <w:top w:val="nil"/>
              <w:left w:val="nil"/>
              <w:bottom w:val="nil"/>
              <w:right w:val="nil"/>
            </w:tcBorders>
            <w:shd w:val="clear" w:color="auto" w:fill="auto"/>
            <w:noWrap/>
            <w:vAlign w:val="center"/>
            <w:hideMark/>
          </w:tcPr>
          <w:p w14:paraId="16DA15F0" w14:textId="1634BE2F" w:rsidR="00004237" w:rsidRPr="00D92E20" w:rsidRDefault="00004237" w:rsidP="00004237">
            <w:pPr>
              <w:spacing w:after="0" w:line="240" w:lineRule="auto"/>
              <w:jc w:val="right"/>
              <w:rPr>
                <w:rFonts w:cs="Arial"/>
                <w:sz w:val="16"/>
                <w:szCs w:val="16"/>
              </w:rPr>
            </w:pPr>
            <w:r>
              <w:rPr>
                <w:rFonts w:cs="Arial"/>
                <w:sz w:val="16"/>
                <w:szCs w:val="16"/>
              </w:rPr>
              <w:t>3,66</w:t>
            </w:r>
          </w:p>
        </w:tc>
        <w:tc>
          <w:tcPr>
            <w:tcW w:w="673" w:type="dxa"/>
            <w:tcBorders>
              <w:top w:val="nil"/>
              <w:left w:val="nil"/>
              <w:bottom w:val="nil"/>
              <w:right w:val="nil"/>
            </w:tcBorders>
            <w:shd w:val="clear" w:color="auto" w:fill="auto"/>
            <w:noWrap/>
            <w:vAlign w:val="center"/>
            <w:hideMark/>
          </w:tcPr>
          <w:p w14:paraId="4788545B" w14:textId="01E91E9F" w:rsidR="00004237" w:rsidRPr="00D92E20" w:rsidRDefault="00004237" w:rsidP="00004237">
            <w:pPr>
              <w:spacing w:after="0" w:line="240" w:lineRule="auto"/>
              <w:jc w:val="right"/>
              <w:rPr>
                <w:rFonts w:cs="Arial"/>
                <w:sz w:val="16"/>
                <w:szCs w:val="16"/>
              </w:rPr>
            </w:pPr>
            <w:r>
              <w:rPr>
                <w:rFonts w:cs="Arial"/>
                <w:sz w:val="16"/>
                <w:szCs w:val="16"/>
              </w:rPr>
              <w:t>3,90</w:t>
            </w:r>
          </w:p>
        </w:tc>
        <w:tc>
          <w:tcPr>
            <w:tcW w:w="673" w:type="dxa"/>
            <w:tcBorders>
              <w:top w:val="nil"/>
              <w:left w:val="nil"/>
              <w:bottom w:val="nil"/>
              <w:right w:val="nil"/>
            </w:tcBorders>
            <w:shd w:val="clear" w:color="auto" w:fill="auto"/>
            <w:noWrap/>
            <w:vAlign w:val="center"/>
            <w:hideMark/>
          </w:tcPr>
          <w:p w14:paraId="5418FB6D" w14:textId="613A52D4" w:rsidR="00004237" w:rsidRPr="00D92E20" w:rsidRDefault="00004237" w:rsidP="00004237">
            <w:pPr>
              <w:spacing w:after="0" w:line="240" w:lineRule="auto"/>
              <w:jc w:val="right"/>
              <w:rPr>
                <w:rFonts w:cs="Arial"/>
                <w:sz w:val="16"/>
                <w:szCs w:val="16"/>
              </w:rPr>
            </w:pPr>
            <w:r>
              <w:rPr>
                <w:rFonts w:cs="Arial"/>
                <w:sz w:val="16"/>
                <w:szCs w:val="16"/>
              </w:rPr>
              <w:t>4,11</w:t>
            </w:r>
          </w:p>
        </w:tc>
        <w:tc>
          <w:tcPr>
            <w:tcW w:w="673" w:type="dxa"/>
            <w:tcBorders>
              <w:top w:val="nil"/>
              <w:left w:val="nil"/>
              <w:bottom w:val="nil"/>
              <w:right w:val="nil"/>
            </w:tcBorders>
            <w:shd w:val="clear" w:color="auto" w:fill="auto"/>
            <w:noWrap/>
            <w:vAlign w:val="center"/>
            <w:hideMark/>
          </w:tcPr>
          <w:p w14:paraId="5D7272AA" w14:textId="3047A769" w:rsidR="00004237" w:rsidRPr="00D92E20" w:rsidRDefault="00004237" w:rsidP="00004237">
            <w:pPr>
              <w:spacing w:after="0" w:line="240" w:lineRule="auto"/>
              <w:jc w:val="right"/>
              <w:rPr>
                <w:rFonts w:cs="Arial"/>
                <w:color w:val="000000"/>
                <w:sz w:val="16"/>
                <w:szCs w:val="16"/>
              </w:rPr>
            </w:pPr>
            <w:r>
              <w:rPr>
                <w:rFonts w:cs="Arial"/>
                <w:sz w:val="16"/>
                <w:szCs w:val="16"/>
              </w:rPr>
              <w:t>4,49</w:t>
            </w:r>
          </w:p>
        </w:tc>
        <w:tc>
          <w:tcPr>
            <w:tcW w:w="673" w:type="dxa"/>
            <w:tcBorders>
              <w:top w:val="nil"/>
              <w:left w:val="nil"/>
              <w:bottom w:val="nil"/>
              <w:right w:val="nil"/>
            </w:tcBorders>
            <w:shd w:val="clear" w:color="auto" w:fill="auto"/>
            <w:noWrap/>
            <w:vAlign w:val="center"/>
            <w:hideMark/>
          </w:tcPr>
          <w:p w14:paraId="0AA5DD72" w14:textId="15D6280C" w:rsidR="00004237" w:rsidRPr="00D92E20" w:rsidRDefault="00004237" w:rsidP="00004237">
            <w:pPr>
              <w:spacing w:after="0" w:line="240" w:lineRule="auto"/>
              <w:jc w:val="right"/>
              <w:rPr>
                <w:rFonts w:cs="Arial"/>
                <w:color w:val="000000"/>
                <w:sz w:val="16"/>
                <w:szCs w:val="16"/>
              </w:rPr>
            </w:pPr>
            <w:r>
              <w:rPr>
                <w:rFonts w:cs="Arial"/>
                <w:sz w:val="16"/>
                <w:szCs w:val="16"/>
              </w:rPr>
              <w:t>4,83</w:t>
            </w:r>
          </w:p>
        </w:tc>
        <w:tc>
          <w:tcPr>
            <w:tcW w:w="673" w:type="dxa"/>
            <w:tcBorders>
              <w:top w:val="nil"/>
              <w:left w:val="nil"/>
              <w:bottom w:val="nil"/>
              <w:right w:val="nil"/>
            </w:tcBorders>
            <w:shd w:val="clear" w:color="auto" w:fill="auto"/>
            <w:noWrap/>
            <w:vAlign w:val="center"/>
            <w:hideMark/>
          </w:tcPr>
          <w:p w14:paraId="182D114B" w14:textId="302640D6" w:rsidR="00004237" w:rsidRPr="00D92E20" w:rsidRDefault="00004237" w:rsidP="00004237">
            <w:pPr>
              <w:spacing w:after="0" w:line="240" w:lineRule="auto"/>
              <w:jc w:val="right"/>
              <w:rPr>
                <w:rFonts w:cs="Arial"/>
                <w:color w:val="000000"/>
                <w:sz w:val="16"/>
                <w:szCs w:val="16"/>
              </w:rPr>
            </w:pPr>
            <w:r>
              <w:rPr>
                <w:rFonts w:cs="Arial"/>
                <w:sz w:val="16"/>
                <w:szCs w:val="16"/>
              </w:rPr>
              <w:t>5,09</w:t>
            </w:r>
          </w:p>
        </w:tc>
        <w:tc>
          <w:tcPr>
            <w:tcW w:w="673" w:type="dxa"/>
            <w:tcBorders>
              <w:top w:val="nil"/>
              <w:left w:val="nil"/>
              <w:bottom w:val="nil"/>
              <w:right w:val="nil"/>
            </w:tcBorders>
            <w:shd w:val="clear" w:color="auto" w:fill="auto"/>
            <w:noWrap/>
            <w:vAlign w:val="center"/>
            <w:hideMark/>
          </w:tcPr>
          <w:p w14:paraId="13FD2A8A" w14:textId="6EF27811" w:rsidR="00004237" w:rsidRPr="00D92E20" w:rsidRDefault="00004237" w:rsidP="00004237">
            <w:pPr>
              <w:spacing w:after="0" w:line="240" w:lineRule="auto"/>
              <w:jc w:val="right"/>
              <w:rPr>
                <w:rFonts w:cs="Arial"/>
                <w:color w:val="000000"/>
                <w:sz w:val="16"/>
                <w:szCs w:val="16"/>
              </w:rPr>
            </w:pPr>
            <w:r>
              <w:rPr>
                <w:rFonts w:cs="Arial"/>
                <w:sz w:val="16"/>
                <w:szCs w:val="16"/>
              </w:rPr>
              <w:t>5,42</w:t>
            </w:r>
          </w:p>
        </w:tc>
      </w:tr>
      <w:tr w:rsidR="00004237" w:rsidRPr="00D92E20" w14:paraId="1FC8DBA1" w14:textId="77777777" w:rsidTr="009F0B87">
        <w:trPr>
          <w:trHeight w:val="480"/>
        </w:trPr>
        <w:tc>
          <w:tcPr>
            <w:tcW w:w="2333" w:type="dxa"/>
            <w:tcBorders>
              <w:top w:val="nil"/>
              <w:left w:val="nil"/>
              <w:bottom w:val="nil"/>
              <w:right w:val="single" w:sz="4" w:space="0" w:color="auto"/>
            </w:tcBorders>
            <w:shd w:val="clear" w:color="auto" w:fill="auto"/>
            <w:vAlign w:val="center"/>
            <w:hideMark/>
          </w:tcPr>
          <w:p w14:paraId="5992336E" w14:textId="77777777" w:rsidR="00004237" w:rsidRPr="00D92E20" w:rsidRDefault="00004237" w:rsidP="00004237">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58CBEAE3" w14:textId="6578CF4C" w:rsidR="00004237" w:rsidRPr="00D92E20" w:rsidRDefault="00004237" w:rsidP="00004237">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21FEDDD5" w14:textId="5B70C8E3" w:rsidR="00004237" w:rsidRPr="00D92E20" w:rsidRDefault="00004237" w:rsidP="00004237">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49910646" w14:textId="36C11616" w:rsidR="00004237" w:rsidRPr="00D92E20" w:rsidRDefault="00004237" w:rsidP="00004237">
            <w:pPr>
              <w:spacing w:after="0" w:line="240" w:lineRule="auto"/>
              <w:jc w:val="right"/>
              <w:rPr>
                <w:rFonts w:cs="Arial"/>
                <w:sz w:val="16"/>
                <w:szCs w:val="16"/>
              </w:rPr>
            </w:pPr>
            <w:r>
              <w:rPr>
                <w:rFonts w:cs="Arial"/>
                <w:sz w:val="16"/>
                <w:szCs w:val="16"/>
              </w:rPr>
              <w:t>0,003</w:t>
            </w:r>
          </w:p>
        </w:tc>
        <w:tc>
          <w:tcPr>
            <w:tcW w:w="673" w:type="dxa"/>
            <w:tcBorders>
              <w:top w:val="nil"/>
              <w:left w:val="nil"/>
              <w:bottom w:val="nil"/>
              <w:right w:val="nil"/>
            </w:tcBorders>
            <w:shd w:val="clear" w:color="auto" w:fill="auto"/>
            <w:noWrap/>
            <w:vAlign w:val="center"/>
            <w:hideMark/>
          </w:tcPr>
          <w:p w14:paraId="5BAA99B9" w14:textId="4A971198" w:rsidR="00004237" w:rsidRPr="00D92E20" w:rsidRDefault="00004237" w:rsidP="00004237">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3AD8366F" w14:textId="07C24A9E" w:rsidR="00004237" w:rsidRPr="00D92E20" w:rsidRDefault="00004237" w:rsidP="00004237">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13AD0D34" w14:textId="1B2F846C" w:rsidR="00004237" w:rsidRPr="00D92E20" w:rsidRDefault="00004237" w:rsidP="00004237">
            <w:pPr>
              <w:spacing w:after="0" w:line="240" w:lineRule="auto"/>
              <w:jc w:val="right"/>
              <w:rPr>
                <w:rFonts w:cs="Arial"/>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70E0454D" w14:textId="2798AE6B" w:rsidR="00004237" w:rsidRPr="00D92E20" w:rsidRDefault="00004237" w:rsidP="00004237">
            <w:pPr>
              <w:spacing w:after="0" w:line="240" w:lineRule="auto"/>
              <w:jc w:val="right"/>
              <w:rPr>
                <w:rFonts w:cs="Arial"/>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66CF8AC3" w14:textId="5EC278B6" w:rsidR="00004237" w:rsidRPr="00D92E20" w:rsidRDefault="00004237" w:rsidP="00004237">
            <w:pPr>
              <w:spacing w:after="0" w:line="240" w:lineRule="auto"/>
              <w:jc w:val="right"/>
              <w:rPr>
                <w:rFonts w:cs="Arial"/>
                <w:color w:val="000000"/>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430B5B58" w14:textId="70F44929" w:rsidR="00004237" w:rsidRPr="00D92E20" w:rsidRDefault="00004237" w:rsidP="00004237">
            <w:pPr>
              <w:spacing w:after="0" w:line="240" w:lineRule="auto"/>
              <w:jc w:val="right"/>
              <w:rPr>
                <w:rFonts w:cs="Arial"/>
                <w:color w:val="000000"/>
                <w:sz w:val="16"/>
                <w:szCs w:val="16"/>
              </w:rPr>
            </w:pPr>
            <w:r>
              <w:rPr>
                <w:rFonts w:cs="Arial"/>
                <w:sz w:val="16"/>
                <w:szCs w:val="16"/>
              </w:rPr>
              <w:t>0,005</w:t>
            </w:r>
          </w:p>
        </w:tc>
        <w:tc>
          <w:tcPr>
            <w:tcW w:w="673" w:type="dxa"/>
            <w:tcBorders>
              <w:top w:val="nil"/>
              <w:left w:val="nil"/>
              <w:bottom w:val="nil"/>
              <w:right w:val="nil"/>
            </w:tcBorders>
            <w:shd w:val="clear" w:color="auto" w:fill="auto"/>
            <w:noWrap/>
            <w:vAlign w:val="center"/>
            <w:hideMark/>
          </w:tcPr>
          <w:p w14:paraId="25BC0627" w14:textId="4904751A" w:rsidR="00004237" w:rsidRPr="00D92E20" w:rsidRDefault="00004237" w:rsidP="00004237">
            <w:pPr>
              <w:spacing w:after="0" w:line="240" w:lineRule="auto"/>
              <w:jc w:val="right"/>
              <w:rPr>
                <w:rFonts w:cs="Arial"/>
                <w:color w:val="000000"/>
                <w:sz w:val="16"/>
                <w:szCs w:val="16"/>
              </w:rPr>
            </w:pPr>
            <w:r>
              <w:rPr>
                <w:rFonts w:cs="Arial"/>
                <w:sz w:val="16"/>
                <w:szCs w:val="16"/>
              </w:rPr>
              <w:t>0,004</w:t>
            </w:r>
          </w:p>
        </w:tc>
        <w:tc>
          <w:tcPr>
            <w:tcW w:w="673" w:type="dxa"/>
            <w:tcBorders>
              <w:top w:val="nil"/>
              <w:left w:val="nil"/>
              <w:bottom w:val="nil"/>
              <w:right w:val="nil"/>
            </w:tcBorders>
            <w:shd w:val="clear" w:color="auto" w:fill="auto"/>
            <w:noWrap/>
            <w:vAlign w:val="center"/>
            <w:hideMark/>
          </w:tcPr>
          <w:p w14:paraId="3944CF13" w14:textId="576D966C" w:rsidR="00004237" w:rsidRPr="00D92E20" w:rsidRDefault="00004237" w:rsidP="00004237">
            <w:pPr>
              <w:spacing w:after="0" w:line="240" w:lineRule="auto"/>
              <w:jc w:val="right"/>
              <w:rPr>
                <w:rFonts w:cs="Arial"/>
                <w:color w:val="000000"/>
                <w:sz w:val="16"/>
                <w:szCs w:val="16"/>
              </w:rPr>
            </w:pPr>
            <w:r>
              <w:rPr>
                <w:rFonts w:cs="Arial"/>
                <w:sz w:val="16"/>
                <w:szCs w:val="16"/>
              </w:rPr>
              <w:t>0,003</w:t>
            </w:r>
          </w:p>
        </w:tc>
      </w:tr>
      <w:tr w:rsidR="00004237" w:rsidRPr="00D92E20" w14:paraId="46EEA8E2"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779E6D27" w14:textId="77777777" w:rsidR="00004237" w:rsidRPr="00D92E20" w:rsidRDefault="00004237" w:rsidP="00004237">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center"/>
            <w:hideMark/>
          </w:tcPr>
          <w:p w14:paraId="13CE5DD1" w14:textId="3BF4077A"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EF1DD16" w14:textId="0ACDDD14"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FBB7DBE" w14:textId="1CEF7266"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D3B976" w14:textId="2BC6BF96"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37EE318" w14:textId="4BAAA0C6"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5DAF9E5" w14:textId="09A088B0"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0CB1886E" w14:textId="4E3D7E14"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1CBAD52" w14:textId="22450A3D"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0,091</w:t>
            </w:r>
          </w:p>
        </w:tc>
        <w:tc>
          <w:tcPr>
            <w:tcW w:w="673" w:type="dxa"/>
            <w:tcBorders>
              <w:top w:val="nil"/>
              <w:left w:val="nil"/>
              <w:bottom w:val="nil"/>
              <w:right w:val="nil"/>
            </w:tcBorders>
            <w:shd w:val="clear" w:color="auto" w:fill="auto"/>
            <w:noWrap/>
            <w:vAlign w:val="center"/>
            <w:hideMark/>
          </w:tcPr>
          <w:p w14:paraId="4DC4CF98" w14:textId="09865202" w:rsidR="00004237" w:rsidRPr="00D92E20" w:rsidRDefault="00004237" w:rsidP="00004237">
            <w:pPr>
              <w:spacing w:after="0" w:line="240" w:lineRule="auto"/>
              <w:jc w:val="right"/>
              <w:rPr>
                <w:rFonts w:cs="Arial"/>
                <w:color w:val="000000"/>
                <w:sz w:val="16"/>
                <w:szCs w:val="16"/>
              </w:rPr>
            </w:pPr>
            <w:r>
              <w:rPr>
                <w:rFonts w:cs="Arial"/>
                <w:sz w:val="16"/>
                <w:szCs w:val="16"/>
              </w:rPr>
              <w:t>0,129</w:t>
            </w:r>
          </w:p>
        </w:tc>
        <w:tc>
          <w:tcPr>
            <w:tcW w:w="673" w:type="dxa"/>
            <w:tcBorders>
              <w:top w:val="nil"/>
              <w:left w:val="nil"/>
              <w:bottom w:val="nil"/>
              <w:right w:val="nil"/>
            </w:tcBorders>
            <w:shd w:val="clear" w:color="auto" w:fill="auto"/>
            <w:noWrap/>
            <w:vAlign w:val="center"/>
            <w:hideMark/>
          </w:tcPr>
          <w:p w14:paraId="125CEBE3" w14:textId="2EE808E9" w:rsidR="00004237" w:rsidRPr="00D92E20" w:rsidRDefault="00004237" w:rsidP="00004237">
            <w:pPr>
              <w:spacing w:after="0" w:line="240" w:lineRule="auto"/>
              <w:jc w:val="right"/>
              <w:rPr>
                <w:rFonts w:cs="Arial"/>
                <w:color w:val="000000"/>
                <w:sz w:val="16"/>
                <w:szCs w:val="16"/>
              </w:rPr>
            </w:pPr>
            <w:r>
              <w:rPr>
                <w:rFonts w:cs="Arial"/>
                <w:sz w:val="16"/>
                <w:szCs w:val="16"/>
              </w:rPr>
              <w:t>0,128</w:t>
            </w:r>
          </w:p>
        </w:tc>
        <w:tc>
          <w:tcPr>
            <w:tcW w:w="673" w:type="dxa"/>
            <w:tcBorders>
              <w:top w:val="nil"/>
              <w:left w:val="nil"/>
              <w:bottom w:val="nil"/>
              <w:right w:val="nil"/>
            </w:tcBorders>
            <w:shd w:val="clear" w:color="auto" w:fill="auto"/>
            <w:noWrap/>
            <w:vAlign w:val="center"/>
            <w:hideMark/>
          </w:tcPr>
          <w:p w14:paraId="11D22C00" w14:textId="2A40C9E6" w:rsidR="00004237" w:rsidRPr="00D92E20" w:rsidRDefault="00004237" w:rsidP="00004237">
            <w:pPr>
              <w:spacing w:after="0" w:line="240" w:lineRule="auto"/>
              <w:jc w:val="right"/>
              <w:rPr>
                <w:rFonts w:cs="Arial"/>
                <w:color w:val="000000"/>
                <w:sz w:val="16"/>
                <w:szCs w:val="16"/>
              </w:rPr>
            </w:pPr>
            <w:r>
              <w:rPr>
                <w:rFonts w:cs="Arial"/>
                <w:sz w:val="16"/>
                <w:szCs w:val="16"/>
              </w:rPr>
              <w:t>0,138</w:t>
            </w:r>
          </w:p>
        </w:tc>
      </w:tr>
      <w:tr w:rsidR="00004237" w:rsidRPr="00D92E20" w14:paraId="2CD89E10" w14:textId="77777777" w:rsidTr="00951947">
        <w:trPr>
          <w:trHeight w:val="300"/>
        </w:trPr>
        <w:tc>
          <w:tcPr>
            <w:tcW w:w="2333" w:type="dxa"/>
            <w:tcBorders>
              <w:top w:val="nil"/>
              <w:left w:val="nil"/>
              <w:bottom w:val="nil"/>
              <w:right w:val="single" w:sz="4" w:space="0" w:color="auto"/>
            </w:tcBorders>
            <w:shd w:val="clear" w:color="auto" w:fill="auto"/>
            <w:vAlign w:val="center"/>
            <w:hideMark/>
          </w:tcPr>
          <w:p w14:paraId="4CD1B85F" w14:textId="77777777" w:rsidR="00004237" w:rsidRPr="00D92E20" w:rsidRDefault="00004237" w:rsidP="00004237">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center"/>
            <w:hideMark/>
          </w:tcPr>
          <w:p w14:paraId="249AFF49" w14:textId="75E4ECD8"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9406723" w14:textId="5C45E913"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66C19ED3" w14:textId="2E6AE095"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2CF7012F" w14:textId="241A5802"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1AF53D92" w14:textId="544EA834"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4D47C72E" w14:textId="1E9C2A2B"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55B111F1" w14:textId="72F9920D"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 xml:space="preserve"> –     </w:t>
            </w:r>
          </w:p>
        </w:tc>
        <w:tc>
          <w:tcPr>
            <w:tcW w:w="673" w:type="dxa"/>
            <w:tcBorders>
              <w:top w:val="nil"/>
              <w:left w:val="nil"/>
              <w:bottom w:val="nil"/>
              <w:right w:val="nil"/>
            </w:tcBorders>
            <w:shd w:val="clear" w:color="auto" w:fill="auto"/>
            <w:noWrap/>
            <w:vAlign w:val="center"/>
            <w:hideMark/>
          </w:tcPr>
          <w:p w14:paraId="050A296A" w14:textId="1BE3464C" w:rsidR="00004237" w:rsidRPr="00D92E20" w:rsidRDefault="00004237" w:rsidP="00004237">
            <w:pPr>
              <w:spacing w:after="0" w:line="240" w:lineRule="auto"/>
              <w:jc w:val="right"/>
              <w:rPr>
                <w:rFonts w:ascii="Calibri" w:hAnsi="Calibri" w:cs="Calibri"/>
                <w:color w:val="000000"/>
                <w:sz w:val="22"/>
                <w:szCs w:val="22"/>
              </w:rPr>
            </w:pPr>
            <w:r>
              <w:rPr>
                <w:rFonts w:cs="Arial"/>
                <w:sz w:val="16"/>
                <w:szCs w:val="16"/>
              </w:rPr>
              <w:t>0,000</w:t>
            </w:r>
          </w:p>
        </w:tc>
        <w:tc>
          <w:tcPr>
            <w:tcW w:w="673" w:type="dxa"/>
            <w:tcBorders>
              <w:top w:val="nil"/>
              <w:left w:val="nil"/>
              <w:bottom w:val="nil"/>
              <w:right w:val="nil"/>
            </w:tcBorders>
            <w:shd w:val="clear" w:color="auto" w:fill="auto"/>
            <w:noWrap/>
            <w:vAlign w:val="center"/>
            <w:hideMark/>
          </w:tcPr>
          <w:p w14:paraId="71E37955" w14:textId="74AA3D00" w:rsidR="00004237" w:rsidRPr="00D92E20" w:rsidRDefault="00004237" w:rsidP="00004237">
            <w:pPr>
              <w:spacing w:after="0" w:line="240" w:lineRule="auto"/>
              <w:jc w:val="right"/>
              <w:rPr>
                <w:rFonts w:cs="Arial"/>
                <w:color w:val="000000"/>
                <w:sz w:val="16"/>
                <w:szCs w:val="16"/>
              </w:rPr>
            </w:pPr>
            <w:r>
              <w:rPr>
                <w:rFonts w:cs="Arial"/>
                <w:sz w:val="16"/>
                <w:szCs w:val="16"/>
              </w:rPr>
              <w:t>0,051</w:t>
            </w:r>
          </w:p>
        </w:tc>
        <w:tc>
          <w:tcPr>
            <w:tcW w:w="673" w:type="dxa"/>
            <w:tcBorders>
              <w:top w:val="nil"/>
              <w:left w:val="nil"/>
              <w:bottom w:val="nil"/>
              <w:right w:val="nil"/>
            </w:tcBorders>
            <w:shd w:val="clear" w:color="auto" w:fill="auto"/>
            <w:noWrap/>
            <w:vAlign w:val="center"/>
            <w:hideMark/>
          </w:tcPr>
          <w:p w14:paraId="3EB2AA10" w14:textId="270512B6" w:rsidR="00004237" w:rsidRPr="00D92E20" w:rsidRDefault="00004237" w:rsidP="00004237">
            <w:pPr>
              <w:spacing w:after="0" w:line="240" w:lineRule="auto"/>
              <w:jc w:val="right"/>
              <w:rPr>
                <w:rFonts w:cs="Arial"/>
                <w:color w:val="000000"/>
                <w:sz w:val="16"/>
                <w:szCs w:val="16"/>
              </w:rPr>
            </w:pPr>
            <w:r>
              <w:rPr>
                <w:rFonts w:cs="Arial"/>
                <w:sz w:val="16"/>
                <w:szCs w:val="16"/>
              </w:rPr>
              <w:t>0,067</w:t>
            </w:r>
          </w:p>
        </w:tc>
        <w:tc>
          <w:tcPr>
            <w:tcW w:w="673" w:type="dxa"/>
            <w:tcBorders>
              <w:top w:val="nil"/>
              <w:left w:val="nil"/>
              <w:bottom w:val="nil"/>
              <w:right w:val="nil"/>
            </w:tcBorders>
            <w:shd w:val="clear" w:color="auto" w:fill="auto"/>
            <w:noWrap/>
            <w:vAlign w:val="center"/>
            <w:hideMark/>
          </w:tcPr>
          <w:p w14:paraId="67330F23" w14:textId="38E6B8BE" w:rsidR="00004237" w:rsidRPr="00D92E20" w:rsidRDefault="00004237" w:rsidP="00004237">
            <w:pPr>
              <w:spacing w:after="0" w:line="240" w:lineRule="auto"/>
              <w:jc w:val="right"/>
              <w:rPr>
                <w:rFonts w:cs="Arial"/>
                <w:color w:val="000000"/>
                <w:sz w:val="16"/>
                <w:szCs w:val="16"/>
              </w:rPr>
            </w:pPr>
            <w:r>
              <w:rPr>
                <w:rFonts w:cs="Arial"/>
                <w:sz w:val="16"/>
                <w:szCs w:val="16"/>
              </w:rPr>
              <w:t>0,077</w:t>
            </w:r>
          </w:p>
        </w:tc>
      </w:tr>
    </w:tbl>
    <w:p w14:paraId="0D349851" w14:textId="77777777" w:rsidR="009F0B87" w:rsidRPr="00D92E20" w:rsidRDefault="009F0B87" w:rsidP="009F0B87">
      <w:pPr>
        <w:spacing w:after="0"/>
        <w:jc w:val="both"/>
        <w:rPr>
          <w:rFonts w:cs="Arial"/>
          <w:color w:val="000000"/>
          <w:sz w:val="16"/>
          <w:szCs w:val="16"/>
          <w:vertAlign w:val="superscript"/>
        </w:rPr>
      </w:pPr>
    </w:p>
    <w:p w14:paraId="35C4205C" w14:textId="77777777" w:rsidR="00FB50FB" w:rsidRPr="00D92E20" w:rsidRDefault="009F0B87" w:rsidP="009F0B87">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401A4775" w14:textId="77777777" w:rsidR="00415731" w:rsidRPr="00D92E20" w:rsidRDefault="009F0B87" w:rsidP="00000A90">
      <w:pPr>
        <w:spacing w:after="120"/>
        <w:jc w:val="both"/>
      </w:pPr>
      <w:r w:rsidRPr="00D92E20">
        <w:rPr>
          <w:rFonts w:cs="Arial"/>
          <w:sz w:val="16"/>
          <w:szCs w:val="16"/>
        </w:rPr>
        <w:t>– pomlčka značí, že se jev nevyskytoval</w:t>
      </w:r>
    </w:p>
    <w:p w14:paraId="4B342BC5" w14:textId="6DB6388A" w:rsidR="009F0B87" w:rsidRDefault="009F0B87" w:rsidP="00000A90">
      <w:pPr>
        <w:spacing w:before="120" w:after="120"/>
        <w:rPr>
          <w:sz w:val="16"/>
        </w:rPr>
      </w:pPr>
      <w:r w:rsidRPr="00D92E20">
        <w:rPr>
          <w:sz w:val="16"/>
        </w:rPr>
        <w:t>Zdroj: ČSSZ</w:t>
      </w:r>
    </w:p>
    <w:p w14:paraId="594D4FB4" w14:textId="5DD00095" w:rsidR="00350B58" w:rsidRPr="002203FD" w:rsidRDefault="00350B58" w:rsidP="00350B58">
      <w:pPr>
        <w:spacing w:before="120" w:after="120"/>
        <w:jc w:val="both"/>
        <w:rPr>
          <w:rFonts w:cs="Arial"/>
          <w:szCs w:val="16"/>
          <w:highlight w:val="yellow"/>
        </w:rPr>
      </w:pPr>
      <w:r w:rsidRPr="00CE53E0">
        <w:rPr>
          <w:rFonts w:cs="Arial"/>
          <w:szCs w:val="16"/>
        </w:rPr>
        <w:t>Již od 1. pol. 2008 postupně klesal</w:t>
      </w:r>
      <w:r w:rsidR="0062225A">
        <w:rPr>
          <w:rFonts w:cs="Arial"/>
          <w:szCs w:val="16"/>
        </w:rPr>
        <w:t>y</w:t>
      </w:r>
      <w:r w:rsidRPr="00CE53E0">
        <w:rPr>
          <w:rFonts w:cs="Arial"/>
          <w:szCs w:val="16"/>
        </w:rPr>
        <w:t xml:space="preserve"> </w:t>
      </w:r>
      <w:r w:rsidR="00D91258">
        <w:rPr>
          <w:rFonts w:cs="Arial"/>
          <w:szCs w:val="16"/>
        </w:rPr>
        <w:t xml:space="preserve">výdaje </w:t>
      </w:r>
      <w:r w:rsidR="0062225A">
        <w:rPr>
          <w:rFonts w:cs="Arial"/>
          <w:szCs w:val="16"/>
        </w:rPr>
        <w:t xml:space="preserve">na </w:t>
      </w:r>
      <w:r w:rsidRPr="00CE53E0">
        <w:rPr>
          <w:rFonts w:cs="Arial"/>
          <w:szCs w:val="16"/>
        </w:rPr>
        <w:t>dávk</w:t>
      </w:r>
      <w:r w:rsidR="0062225A">
        <w:rPr>
          <w:rFonts w:cs="Arial"/>
          <w:szCs w:val="16"/>
        </w:rPr>
        <w:t>y</w:t>
      </w:r>
      <w:r w:rsidRPr="00CE53E0">
        <w:rPr>
          <w:rFonts w:cs="Arial"/>
          <w:szCs w:val="16"/>
        </w:rPr>
        <w:t xml:space="preserve"> nemocenského, a sice z 13,1 mld. Kč téměř na polovinu v 1. pol. 2012 (pokles o 6,9 mld. Kč). </w:t>
      </w:r>
      <w:r w:rsidRPr="00680390">
        <w:rPr>
          <w:rFonts w:cs="Arial"/>
          <w:szCs w:val="16"/>
        </w:rPr>
        <w:t>V posledních třech letech dochází k poměrně výraznému nárůstu výdajů za nemocenské. Oproti období před pandemií (1. pol. 2019) se výdaje v 1. pol. 2021 zvýšily o</w:t>
      </w:r>
      <w:r>
        <w:rPr>
          <w:rFonts w:cs="Arial"/>
          <w:szCs w:val="16"/>
        </w:rPr>
        <w:t> </w:t>
      </w:r>
      <w:r w:rsidRPr="00680390">
        <w:rPr>
          <w:rFonts w:cs="Arial"/>
          <w:szCs w:val="16"/>
        </w:rPr>
        <w:t>4,6 mld. Kč, tj.</w:t>
      </w:r>
      <w:r w:rsidR="00CD63E8">
        <w:rPr>
          <w:rFonts w:cs="Arial"/>
          <w:szCs w:val="16"/>
        </w:rPr>
        <w:t> </w:t>
      </w:r>
      <w:r w:rsidRPr="00680390">
        <w:rPr>
          <w:rFonts w:cs="Arial"/>
          <w:szCs w:val="16"/>
        </w:rPr>
        <w:t>o</w:t>
      </w:r>
      <w:r w:rsidR="00CD63E8">
        <w:rPr>
          <w:rFonts w:cs="Arial"/>
          <w:szCs w:val="16"/>
        </w:rPr>
        <w:t> </w:t>
      </w:r>
      <w:r w:rsidRPr="00680390">
        <w:rPr>
          <w:rFonts w:cs="Arial"/>
          <w:szCs w:val="16"/>
        </w:rPr>
        <w:t>třetinu.</w:t>
      </w:r>
    </w:p>
    <w:p w14:paraId="05F79811" w14:textId="50A3053C" w:rsidR="00350B58" w:rsidRPr="00D92E20" w:rsidRDefault="00350B58" w:rsidP="00350B58">
      <w:pPr>
        <w:spacing w:before="120" w:after="120"/>
        <w:jc w:val="both"/>
      </w:pPr>
      <w:r w:rsidRPr="00680390">
        <w:t xml:space="preserve">Podrobnější informace k výdajům na nemocenské a dalším dávkám, které jsou poskytovány ze systému nemocenského pojištění, naleznete na internetových stránkách MPSV v  </w:t>
      </w:r>
      <w:hyperlink r:id="rId29" w:history="1">
        <w:r w:rsidR="00D91258">
          <w:rPr>
            <w:rStyle w:val="Hypertextovodkaz"/>
          </w:rPr>
          <w:t>Analýze vývoje nemocenského pojištění</w:t>
        </w:r>
      </w:hyperlink>
      <w:r w:rsidR="009E707F">
        <w:t>.</w:t>
      </w:r>
    </w:p>
    <w:p w14:paraId="02A3F8A1" w14:textId="77777777" w:rsidR="00350B58" w:rsidRPr="00D92E20" w:rsidRDefault="00350B58" w:rsidP="00000A90">
      <w:pPr>
        <w:spacing w:before="120" w:after="120"/>
        <w:rPr>
          <w:sz w:val="16"/>
        </w:rPr>
      </w:pPr>
    </w:p>
    <w:p w14:paraId="436EE68D" w14:textId="77777777" w:rsidR="00350B58" w:rsidRDefault="00350B58">
      <w:pPr>
        <w:spacing w:after="0" w:line="240" w:lineRule="auto"/>
        <w:rPr>
          <w:b/>
        </w:rPr>
      </w:pPr>
      <w:r>
        <w:rPr>
          <w:b/>
        </w:rPr>
        <w:br w:type="page"/>
      </w:r>
    </w:p>
    <w:p w14:paraId="68276F43" w14:textId="557879AA" w:rsidR="0094191B" w:rsidRPr="00D92E20" w:rsidRDefault="003B04F2" w:rsidP="00004237">
      <w:pPr>
        <w:spacing w:after="0"/>
        <w:jc w:val="both"/>
      </w:pPr>
      <w:r w:rsidRPr="00D92E20">
        <w:rPr>
          <w:b/>
        </w:rPr>
        <w:lastRenderedPageBreak/>
        <w:t xml:space="preserve">Graf 4.1: </w:t>
      </w:r>
      <w:r w:rsidR="00D91258">
        <w:rPr>
          <w:b/>
        </w:rPr>
        <w:t>V</w:t>
      </w:r>
      <w:r w:rsidRPr="00D92E20">
        <w:rPr>
          <w:b/>
        </w:rPr>
        <w:t xml:space="preserve">ýdaje na nemocenské </w:t>
      </w:r>
      <w:r w:rsidR="00D91258">
        <w:rPr>
          <w:b/>
        </w:rPr>
        <w:t xml:space="preserve">v mld. Kč </w:t>
      </w:r>
      <w:r w:rsidRPr="00D92E20">
        <w:rPr>
          <w:b/>
        </w:rPr>
        <w:t xml:space="preserve">a </w:t>
      </w:r>
      <w:r w:rsidR="008B7D64" w:rsidRPr="00D92E20">
        <w:rPr>
          <w:b/>
        </w:rPr>
        <w:t>v přepočtu na 1 pojištěnce</w:t>
      </w:r>
      <w:r w:rsidRPr="00D92E20">
        <w:rPr>
          <w:b/>
        </w:rPr>
        <w:t xml:space="preserve">, </w:t>
      </w:r>
      <w:r w:rsidR="00004237" w:rsidRPr="00004237">
        <w:rPr>
          <w:b/>
        </w:rPr>
        <w:t xml:space="preserve">1. pol. 2011–1. pol. 2021 </w:t>
      </w:r>
    </w:p>
    <w:p w14:paraId="799257C7" w14:textId="321B078A" w:rsidR="009E707F" w:rsidRDefault="00D91258" w:rsidP="00000A90">
      <w:pPr>
        <w:spacing w:after="120"/>
        <w:jc w:val="both"/>
        <w:rPr>
          <w:sz w:val="16"/>
        </w:rPr>
      </w:pPr>
      <w:r>
        <w:rPr>
          <w:noProof/>
        </w:rPr>
        <w:drawing>
          <wp:inline distT="0" distB="0" distL="0" distR="0" wp14:anchorId="51FCFBD1" wp14:editId="01679611">
            <wp:extent cx="6116400" cy="2772000"/>
            <wp:effectExtent l="0" t="0" r="17780" b="9525"/>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E44A0F" w14:textId="0BA2A4A0" w:rsidR="003B04F2" w:rsidRPr="00D92E20" w:rsidRDefault="00004237" w:rsidP="00000A90">
      <w:pPr>
        <w:spacing w:after="120"/>
        <w:jc w:val="both"/>
        <w:rPr>
          <w:sz w:val="16"/>
        </w:rPr>
      </w:pPr>
      <w:r w:rsidRPr="00D92E20">
        <w:rPr>
          <w:sz w:val="16"/>
        </w:rPr>
        <w:t xml:space="preserve"> </w:t>
      </w:r>
      <w:r w:rsidR="003B04F2" w:rsidRPr="00D92E20">
        <w:rPr>
          <w:sz w:val="16"/>
        </w:rPr>
        <w:t>Zdroj: ČSSZ, ČSÚ</w:t>
      </w:r>
    </w:p>
    <w:p w14:paraId="07631271" w14:textId="2458DC6A" w:rsidR="00D93ABC" w:rsidRPr="00D92E20" w:rsidRDefault="00D93ABC" w:rsidP="00000A90">
      <w:pPr>
        <w:pStyle w:val="Nadpis3"/>
        <w:numPr>
          <w:ilvl w:val="2"/>
          <w:numId w:val="5"/>
        </w:numPr>
        <w:spacing w:after="120"/>
        <w:ind w:left="709"/>
      </w:pPr>
      <w:bookmarkStart w:id="26" w:name="_Toc86233483"/>
      <w:r w:rsidRPr="00D92E20">
        <w:t xml:space="preserve">Vliv pandemie </w:t>
      </w:r>
      <w:r w:rsidR="00060225">
        <w:t>c</w:t>
      </w:r>
      <w:r w:rsidRPr="00D92E20">
        <w:t>ovid-19 na dávky nemocenského pojištění</w:t>
      </w:r>
      <w:bookmarkEnd w:id="26"/>
    </w:p>
    <w:p w14:paraId="555416CE" w14:textId="77639631" w:rsidR="008C65CE" w:rsidRPr="008C65CE" w:rsidRDefault="00AF2FBF" w:rsidP="00000A90">
      <w:pPr>
        <w:pStyle w:val="Default"/>
        <w:spacing w:before="120" w:after="120" w:line="288" w:lineRule="auto"/>
        <w:jc w:val="both"/>
        <w:rPr>
          <w:rFonts w:eastAsia="Times New Roman" w:cs="Times New Roman"/>
          <w:color w:val="auto"/>
          <w:sz w:val="20"/>
          <w:lang w:eastAsia="cs-CZ"/>
        </w:rPr>
      </w:pPr>
      <w:r w:rsidRPr="008C65CE">
        <w:rPr>
          <w:rFonts w:eastAsia="Times New Roman" w:cs="Times New Roman"/>
          <w:color w:val="auto"/>
          <w:sz w:val="20"/>
          <w:lang w:eastAsia="cs-CZ"/>
        </w:rPr>
        <w:t>Zatímco do března roku 2020 bylo vyplácení dávky nemocenské</w:t>
      </w:r>
      <w:r w:rsidR="00C56C80" w:rsidRPr="008C65CE">
        <w:rPr>
          <w:rFonts w:eastAsia="Times New Roman" w:cs="Times New Roman"/>
          <w:color w:val="auto"/>
          <w:sz w:val="20"/>
          <w:lang w:eastAsia="cs-CZ"/>
        </w:rPr>
        <w:t>ho</w:t>
      </w:r>
      <w:r w:rsidRPr="008C65CE">
        <w:rPr>
          <w:rFonts w:eastAsia="Times New Roman" w:cs="Times New Roman"/>
          <w:color w:val="auto"/>
          <w:sz w:val="20"/>
          <w:lang w:eastAsia="cs-CZ"/>
        </w:rPr>
        <w:t xml:space="preserve"> pro případ karantény</w:t>
      </w:r>
      <w:r w:rsidRPr="008C65CE">
        <w:rPr>
          <w:rStyle w:val="Znakapoznpodarou"/>
          <w:rFonts w:eastAsia="Times New Roman" w:cs="Times New Roman"/>
          <w:color w:val="auto"/>
          <w:sz w:val="20"/>
          <w:lang w:eastAsia="cs-CZ"/>
        </w:rPr>
        <w:footnoteReference w:id="4"/>
      </w:r>
      <w:r w:rsidRPr="008C65CE">
        <w:rPr>
          <w:rFonts w:eastAsia="Times New Roman" w:cs="Times New Roman"/>
          <w:color w:val="auto"/>
          <w:sz w:val="20"/>
          <w:lang w:eastAsia="cs-CZ"/>
        </w:rPr>
        <w:t xml:space="preserve"> spíše teoretickým nárokem, kvůli vyhlášení nouzového stavu 12. 3. 2020 se stalo </w:t>
      </w:r>
      <w:r w:rsidR="00D91258">
        <w:rPr>
          <w:rFonts w:eastAsia="Times New Roman" w:cs="Times New Roman"/>
          <w:color w:val="auto"/>
          <w:sz w:val="20"/>
          <w:lang w:eastAsia="cs-CZ"/>
        </w:rPr>
        <w:t>běžnou praxí</w:t>
      </w:r>
      <w:r w:rsidRPr="008C65CE">
        <w:rPr>
          <w:rFonts w:eastAsia="Times New Roman" w:cs="Times New Roman"/>
          <w:color w:val="auto"/>
          <w:sz w:val="20"/>
          <w:lang w:eastAsia="cs-CZ"/>
        </w:rPr>
        <w:t xml:space="preserve">. </w:t>
      </w:r>
      <w:r w:rsidR="008C65CE" w:rsidRPr="008C65CE">
        <w:rPr>
          <w:rFonts w:eastAsia="Times New Roman" w:cs="Times New Roman"/>
          <w:color w:val="auto"/>
          <w:sz w:val="20"/>
          <w:lang w:eastAsia="cs-CZ"/>
        </w:rPr>
        <w:t>Od té doby do konce roku 2020 bylo vydáno celkem 480 tis. neschopenek pro karanténu či izolaci</w:t>
      </w:r>
      <w:r w:rsidR="008C65CE" w:rsidRPr="008C65CE">
        <w:rPr>
          <w:rStyle w:val="Znakapoznpodarou"/>
          <w:rFonts w:eastAsia="Times New Roman" w:cs="Times New Roman"/>
          <w:color w:val="auto"/>
          <w:sz w:val="20"/>
          <w:lang w:eastAsia="cs-CZ"/>
        </w:rPr>
        <w:footnoteReference w:id="5"/>
      </w:r>
      <w:r w:rsidR="008C65CE" w:rsidRPr="008C65CE">
        <w:rPr>
          <w:rFonts w:eastAsia="Times New Roman" w:cs="Times New Roman"/>
          <w:color w:val="auto"/>
          <w:sz w:val="20"/>
          <w:lang w:eastAsia="cs-CZ"/>
        </w:rPr>
        <w:t>. Za první pololetí roku 2021</w:t>
      </w:r>
      <w:r w:rsidR="00D91258">
        <w:rPr>
          <w:rFonts w:eastAsia="Times New Roman" w:cs="Times New Roman"/>
          <w:color w:val="auto"/>
          <w:sz w:val="20"/>
          <w:lang w:eastAsia="cs-CZ"/>
        </w:rPr>
        <w:t xml:space="preserve"> obdržela</w:t>
      </w:r>
      <w:r w:rsidR="008C65CE" w:rsidRPr="008C65CE">
        <w:rPr>
          <w:rFonts w:eastAsia="Times New Roman" w:cs="Times New Roman"/>
          <w:color w:val="auto"/>
          <w:sz w:val="20"/>
          <w:lang w:eastAsia="cs-CZ"/>
        </w:rPr>
        <w:t xml:space="preserve"> ČSSZ ze stejného důvodu 555 tis. neschopností. Představovaly více než třetinu (37 %) nově vydaných neschopenek</w:t>
      </w:r>
      <w:r w:rsidR="00B15EBE">
        <w:rPr>
          <w:rStyle w:val="Znakapoznpodarou"/>
          <w:rFonts w:eastAsia="Times New Roman" w:cs="Times New Roman"/>
          <w:color w:val="auto"/>
          <w:sz w:val="20"/>
          <w:lang w:eastAsia="cs-CZ"/>
        </w:rPr>
        <w:footnoteReference w:id="6"/>
      </w:r>
      <w:r w:rsidR="00D91258">
        <w:rPr>
          <w:rFonts w:eastAsia="Times New Roman" w:cs="Times New Roman"/>
          <w:color w:val="auto"/>
          <w:sz w:val="20"/>
          <w:lang w:eastAsia="cs-CZ"/>
        </w:rPr>
        <w:t>. Vrchol nastal </w:t>
      </w:r>
      <w:r w:rsidR="008C65CE" w:rsidRPr="008C65CE">
        <w:rPr>
          <w:rFonts w:eastAsia="Times New Roman" w:cs="Times New Roman"/>
          <w:color w:val="auto"/>
          <w:sz w:val="20"/>
          <w:lang w:eastAsia="cs-CZ"/>
        </w:rPr>
        <w:t>v</w:t>
      </w:r>
      <w:r w:rsidR="005C496F">
        <w:rPr>
          <w:rFonts w:eastAsia="Times New Roman" w:cs="Times New Roman"/>
          <w:color w:val="auto"/>
          <w:sz w:val="20"/>
          <w:lang w:eastAsia="cs-CZ"/>
        </w:rPr>
        <w:t> </w:t>
      </w:r>
      <w:r w:rsidR="008C65CE" w:rsidRPr="008C65CE">
        <w:rPr>
          <w:rFonts w:eastAsia="Times New Roman" w:cs="Times New Roman"/>
          <w:color w:val="auto"/>
          <w:sz w:val="20"/>
          <w:lang w:eastAsia="cs-CZ"/>
        </w:rPr>
        <w:t>březnu</w:t>
      </w:r>
      <w:r w:rsidR="005C496F">
        <w:rPr>
          <w:rFonts w:eastAsia="Times New Roman" w:cs="Times New Roman"/>
          <w:color w:val="auto"/>
          <w:sz w:val="20"/>
          <w:lang w:eastAsia="cs-CZ"/>
        </w:rPr>
        <w:t xml:space="preserve"> 2021</w:t>
      </w:r>
      <w:r w:rsidR="008C65CE" w:rsidRPr="008C65CE">
        <w:rPr>
          <w:rFonts w:eastAsia="Times New Roman" w:cs="Times New Roman"/>
          <w:color w:val="auto"/>
          <w:sz w:val="20"/>
          <w:lang w:eastAsia="cs-CZ"/>
        </w:rPr>
        <w:t xml:space="preserve">, kdy každá druhá neschopenka kompenzovala ztrátu příjmu </w:t>
      </w:r>
      <w:r w:rsidR="008C65CE">
        <w:rPr>
          <w:rFonts w:eastAsia="Times New Roman" w:cs="Times New Roman"/>
          <w:color w:val="auto"/>
          <w:sz w:val="20"/>
          <w:lang w:eastAsia="cs-CZ"/>
        </w:rPr>
        <w:t xml:space="preserve">kvůli </w:t>
      </w:r>
      <w:r w:rsidR="008C65CE" w:rsidRPr="008C65CE">
        <w:rPr>
          <w:rFonts w:eastAsia="Times New Roman" w:cs="Times New Roman"/>
          <w:color w:val="auto"/>
          <w:sz w:val="20"/>
          <w:lang w:eastAsia="cs-CZ"/>
        </w:rPr>
        <w:t>karantén</w:t>
      </w:r>
      <w:r w:rsidR="008C65CE">
        <w:rPr>
          <w:rFonts w:eastAsia="Times New Roman" w:cs="Times New Roman"/>
          <w:color w:val="auto"/>
          <w:sz w:val="20"/>
          <w:lang w:eastAsia="cs-CZ"/>
        </w:rPr>
        <w:t>ě</w:t>
      </w:r>
      <w:r w:rsidR="008C65CE" w:rsidRPr="008C65CE">
        <w:rPr>
          <w:rFonts w:eastAsia="Times New Roman" w:cs="Times New Roman"/>
          <w:color w:val="auto"/>
          <w:sz w:val="20"/>
          <w:lang w:eastAsia="cs-CZ"/>
        </w:rPr>
        <w:t xml:space="preserve"> či izolac</w:t>
      </w:r>
      <w:r w:rsidR="008C65CE">
        <w:rPr>
          <w:rFonts w:eastAsia="Times New Roman" w:cs="Times New Roman"/>
          <w:color w:val="auto"/>
          <w:sz w:val="20"/>
          <w:lang w:eastAsia="cs-CZ"/>
        </w:rPr>
        <w:t>i.</w:t>
      </w:r>
    </w:p>
    <w:p w14:paraId="2C16AF17" w14:textId="0F448B54" w:rsidR="00AF2FBF" w:rsidRPr="008C65CE" w:rsidRDefault="00AF2FBF" w:rsidP="00000A90">
      <w:pPr>
        <w:pStyle w:val="Default"/>
        <w:spacing w:before="120" w:after="120" w:line="288" w:lineRule="auto"/>
        <w:jc w:val="both"/>
        <w:rPr>
          <w:rFonts w:eastAsia="Times New Roman" w:cs="Times New Roman"/>
          <w:color w:val="auto"/>
          <w:sz w:val="20"/>
          <w:lang w:eastAsia="cs-CZ"/>
        </w:rPr>
      </w:pPr>
      <w:r w:rsidRPr="008C65CE">
        <w:rPr>
          <w:rFonts w:eastAsia="Times New Roman" w:cs="Times New Roman"/>
          <w:color w:val="auto"/>
          <w:sz w:val="20"/>
          <w:lang w:eastAsia="cs-CZ"/>
        </w:rPr>
        <w:t xml:space="preserve">Nutno doplnit, že tato čísla odráží pouze případy pojištěnců, kteří mají na dávku nemocenského nárok a také o ni zažádali. Nerovná se počtu nařízených karantén od krajských hygienických stanic (karanténa může být nařízena i dětem, studentům či </w:t>
      </w:r>
      <w:r w:rsidR="005C496F">
        <w:rPr>
          <w:rFonts w:eastAsia="Times New Roman" w:cs="Times New Roman"/>
          <w:color w:val="auto"/>
          <w:sz w:val="20"/>
          <w:lang w:eastAsia="cs-CZ"/>
        </w:rPr>
        <w:t xml:space="preserve">nepracujícím </w:t>
      </w:r>
      <w:r w:rsidRPr="008C65CE">
        <w:rPr>
          <w:rFonts w:eastAsia="Times New Roman" w:cs="Times New Roman"/>
          <w:color w:val="auto"/>
          <w:sz w:val="20"/>
          <w:lang w:eastAsia="cs-CZ"/>
        </w:rPr>
        <w:t>seniorům). Vzhledem k širším možnostem práce z domova mohly osoby v</w:t>
      </w:r>
      <w:r w:rsidR="00C02C40" w:rsidRPr="008C65CE">
        <w:rPr>
          <w:rFonts w:eastAsia="Times New Roman" w:cs="Times New Roman"/>
          <w:color w:val="auto"/>
          <w:sz w:val="20"/>
          <w:lang w:eastAsia="cs-CZ"/>
        </w:rPr>
        <w:t> </w:t>
      </w:r>
      <w:r w:rsidRPr="008C65CE">
        <w:rPr>
          <w:rFonts w:eastAsia="Times New Roman" w:cs="Times New Roman"/>
          <w:color w:val="auto"/>
          <w:sz w:val="20"/>
          <w:lang w:eastAsia="cs-CZ"/>
        </w:rPr>
        <w:t>nařízené karanténě (pokud to povaha jejich práce dovolovala) i nadále pracovat za plnou mzdu, aniž by porušovaly pravidla karantény.</w:t>
      </w:r>
    </w:p>
    <w:p w14:paraId="11D48AA7" w14:textId="38FD7BD6" w:rsidR="004E34C7" w:rsidRDefault="005A63A4" w:rsidP="005A63A4">
      <w:pPr>
        <w:spacing w:before="120" w:after="120"/>
        <w:jc w:val="both"/>
        <w:rPr>
          <w:rFonts w:cs="Arial"/>
        </w:rPr>
      </w:pPr>
      <w:r w:rsidRPr="00060225">
        <w:t xml:space="preserve">V kapitole 4.2, která analyzovala nově hlášené případy dočasné pracovní neschopnosti vč. délky jejího trvání, byl obzvláště v některých ekonomických sekcích patrný vliv pandemie </w:t>
      </w:r>
      <w:r w:rsidR="00060225" w:rsidRPr="00060225">
        <w:t>c</w:t>
      </w:r>
      <w:r w:rsidRPr="00060225">
        <w:t xml:space="preserve">ovid-19, resp. vládních opatření proti jejímu šíření. </w:t>
      </w:r>
      <w:r w:rsidR="004E34C7" w:rsidRPr="00BF2411">
        <w:rPr>
          <w:rFonts w:cs="Arial"/>
        </w:rPr>
        <w:t>Meziročně vzrostl počet nahlášených případů kromě dvou výjimek ve všech odvětvích. Pokles o</w:t>
      </w:r>
      <w:r w:rsidR="00CD63E8">
        <w:rPr>
          <w:rFonts w:cs="Arial"/>
        </w:rPr>
        <w:t> </w:t>
      </w:r>
      <w:r w:rsidR="004E34C7" w:rsidRPr="00BF2411">
        <w:rPr>
          <w:rFonts w:cs="Arial"/>
        </w:rPr>
        <w:t xml:space="preserve">9 tis. případů (-29 %) zaznamenala sekce Ubytování, stravování a pohostinství a snížení o 500 případů </w:t>
      </w:r>
      <w:r w:rsidR="00CD63E8">
        <w:rPr>
          <w:rFonts w:cs="Arial"/>
        </w:rPr>
        <w:br/>
      </w:r>
      <w:r w:rsidR="004E34C7" w:rsidRPr="00BF2411">
        <w:rPr>
          <w:rFonts w:cs="Arial"/>
        </w:rPr>
        <w:t>(-</w:t>
      </w:r>
      <w:r w:rsidR="00CD63E8">
        <w:rPr>
          <w:rFonts w:cs="Arial"/>
        </w:rPr>
        <w:t>5 </w:t>
      </w:r>
      <w:r w:rsidR="004E34C7" w:rsidRPr="00BF2411">
        <w:rPr>
          <w:rFonts w:cs="Arial"/>
        </w:rPr>
        <w:t>%) sekce Kulturní, zábavní a rekreační činnosti. Jedná se o odvětví, která byla značně postižena covidovým obdobím.</w:t>
      </w:r>
      <w:r w:rsidR="004E34C7">
        <w:rPr>
          <w:rFonts w:cs="Arial"/>
        </w:rPr>
        <w:t xml:space="preserve"> Tím, že byl jejich provoz víceméně přerušen, nebyl důvod pro pracovní neschopnost.</w:t>
      </w:r>
      <w:r w:rsidR="004E34C7" w:rsidRPr="00BF2411">
        <w:rPr>
          <w:rFonts w:cs="Arial"/>
        </w:rPr>
        <w:t xml:space="preserve"> </w:t>
      </w:r>
      <w:r w:rsidR="004E34C7">
        <w:rPr>
          <w:rFonts w:cs="Arial"/>
        </w:rPr>
        <w:t>A</w:t>
      </w:r>
      <w:r w:rsidR="00CD63E8">
        <w:rPr>
          <w:rFonts w:cs="Arial"/>
        </w:rPr>
        <w:t> </w:t>
      </w:r>
      <w:r w:rsidR="004E34C7">
        <w:rPr>
          <w:rFonts w:cs="Arial"/>
        </w:rPr>
        <w:t xml:space="preserve">jelikož </w:t>
      </w:r>
      <w:r w:rsidR="004E34C7" w:rsidRPr="00BF2411">
        <w:rPr>
          <w:rFonts w:cs="Arial"/>
        </w:rPr>
        <w:t xml:space="preserve">velké množství </w:t>
      </w:r>
      <w:r w:rsidR="004E34C7">
        <w:rPr>
          <w:rFonts w:cs="Arial"/>
        </w:rPr>
        <w:t xml:space="preserve">z pracovníků jsou </w:t>
      </w:r>
      <w:r w:rsidR="004E34C7" w:rsidRPr="00BF2411">
        <w:rPr>
          <w:rFonts w:cs="Arial"/>
        </w:rPr>
        <w:t>OSVČ, jejichž nemocenské pojištění je na dobrovolné bázi, na</w:t>
      </w:r>
      <w:r w:rsidR="00CD63E8">
        <w:rPr>
          <w:rFonts w:cs="Arial"/>
        </w:rPr>
        <w:t> </w:t>
      </w:r>
      <w:r w:rsidR="004E34C7" w:rsidRPr="00BF2411">
        <w:rPr>
          <w:rFonts w:cs="Arial"/>
        </w:rPr>
        <w:t>neschopenky z důvodu karantény neměly automatick</w:t>
      </w:r>
      <w:r w:rsidR="00EC4C52">
        <w:rPr>
          <w:rFonts w:cs="Arial"/>
        </w:rPr>
        <w:t>ý</w:t>
      </w:r>
      <w:r w:rsidR="004E34C7" w:rsidRPr="00BF2411">
        <w:rPr>
          <w:rFonts w:cs="Arial"/>
        </w:rPr>
        <w:t xml:space="preserve"> nárok </w:t>
      </w:r>
      <w:r w:rsidR="00EC4C52">
        <w:rPr>
          <w:rFonts w:cs="Arial"/>
        </w:rPr>
        <w:t>ve srovnání s</w:t>
      </w:r>
      <w:r w:rsidR="004E34C7" w:rsidRPr="00BF2411">
        <w:rPr>
          <w:rFonts w:cs="Arial"/>
        </w:rPr>
        <w:t xml:space="preserve"> pojištěnci v zaměstnaneckém poměru.</w:t>
      </w:r>
    </w:p>
    <w:p w14:paraId="0A18822E" w14:textId="33D5ED9D" w:rsidR="005A63A4" w:rsidRPr="00D92E20" w:rsidRDefault="004E34C7" w:rsidP="005A63A4">
      <w:pPr>
        <w:spacing w:before="120" w:after="120"/>
        <w:jc w:val="both"/>
      </w:pPr>
      <w:r>
        <w:rPr>
          <w:rFonts w:cs="Arial"/>
        </w:rPr>
        <w:lastRenderedPageBreak/>
        <w:t>Obecně vzato v</w:t>
      </w:r>
      <w:r w:rsidR="005A63A4" w:rsidRPr="00060225">
        <w:t xml:space="preserve">zrostl počet </w:t>
      </w:r>
      <w:r>
        <w:t xml:space="preserve">neschopenek </w:t>
      </w:r>
      <w:r w:rsidR="005A63A4" w:rsidRPr="00060225">
        <w:t xml:space="preserve">pro nemoc, zvýšil se počet kalendářních dnů v pracovní neschopnosti, naopak průměrná délka trvání </w:t>
      </w:r>
      <w:r>
        <w:t>připadající na 1 neschopenku</w:t>
      </w:r>
      <w:r w:rsidR="005A63A4" w:rsidRPr="00060225">
        <w:t xml:space="preserve"> se snížila. </w:t>
      </w:r>
      <w:r w:rsidR="00060225" w:rsidRPr="00060225">
        <w:t>S</w:t>
      </w:r>
      <w:r w:rsidR="005A63A4" w:rsidRPr="00060225">
        <w:t>ekc</w:t>
      </w:r>
      <w:r w:rsidR="00060225" w:rsidRPr="00060225">
        <w:t>e</w:t>
      </w:r>
      <w:r w:rsidR="005A63A4" w:rsidRPr="00060225">
        <w:t xml:space="preserve"> Ubytování, stravování a pohostinství </w:t>
      </w:r>
      <w:r w:rsidR="00060225" w:rsidRPr="00060225">
        <w:t xml:space="preserve">vykázala v tomto ohledu anomálii. Zatímco v ostatních odvětvových sekcích se průměrná délka trvání dočasné pracovní neschopnosti meziročně značně zkrátila a v 1. pol. 2021 činila maximálně 43,5 dne v sekci Zemědělství, lesnictví a rybářství, u Ubytování se blížila 60 dnům připadajícím v průměru na 1 neschopenku. </w:t>
      </w:r>
      <w:r w:rsidR="005A63A4" w:rsidRPr="00060225">
        <w:t xml:space="preserve">Tato ekonomická sekce byla (a </w:t>
      </w:r>
      <w:r w:rsidR="00060225" w:rsidRPr="00060225">
        <w:t>ve svých důsledcích stále</w:t>
      </w:r>
      <w:r w:rsidR="005A63A4" w:rsidRPr="00060225">
        <w:t xml:space="preserve"> je) jednou z nejpostiženějších </w:t>
      </w:r>
      <w:r w:rsidR="00060225" w:rsidRPr="00060225">
        <w:t>z</w:t>
      </w:r>
      <w:r w:rsidR="00060225">
        <w:t> </w:t>
      </w:r>
      <w:r w:rsidR="00060225" w:rsidRPr="00060225">
        <w:t>důvodu</w:t>
      </w:r>
      <w:r w:rsidR="005A63A4" w:rsidRPr="00060225">
        <w:t xml:space="preserve"> zavedených opatření proti šíření epidemie. Faktem je, že </w:t>
      </w:r>
      <w:r w:rsidR="00C56C80" w:rsidRPr="00060225">
        <w:t>v tomto odvětví</w:t>
      </w:r>
      <w:r w:rsidR="005A63A4" w:rsidRPr="00060225">
        <w:t xml:space="preserve"> pracuje hodně OSVČ, kterých, jak bylo již uveden</w:t>
      </w:r>
      <w:r w:rsidR="00C56C80" w:rsidRPr="00060225">
        <w:t>o dříve, je nemocensky pojištěných</w:t>
      </w:r>
      <w:r w:rsidR="005A63A4" w:rsidRPr="00060225">
        <w:t xml:space="preserve"> </w:t>
      </w:r>
      <w:r w:rsidR="005C496F">
        <w:t xml:space="preserve">jen </w:t>
      </w:r>
      <w:r w:rsidR="005A63A4" w:rsidRPr="00060225">
        <w:t xml:space="preserve">zhruba šestina. Nicméně dle zjištění Státního úřadu inspekce práce </w:t>
      </w:r>
      <w:r w:rsidR="00AB3D6B">
        <w:t xml:space="preserve">se </w:t>
      </w:r>
      <w:r w:rsidR="005A63A4" w:rsidRPr="00060225">
        <w:t xml:space="preserve">mnohdy </w:t>
      </w:r>
      <w:r w:rsidR="00AB3D6B">
        <w:t>stávalo</w:t>
      </w:r>
      <w:r w:rsidR="005A63A4" w:rsidRPr="00060225">
        <w:t>, že zaměstnavatelé v době nuceného omezení či uzavření svých provozoven posílali zaměstnance na nemocenskou. Na druhou stranu mohlo docházet i</w:t>
      </w:r>
      <w:r w:rsidR="00CD63E8">
        <w:t> </w:t>
      </w:r>
      <w:r w:rsidR="00052303">
        <w:t>k případům, kdy na nemocenskou nastupovali</w:t>
      </w:r>
      <w:r w:rsidR="005A63A4" w:rsidRPr="00060225">
        <w:t xml:space="preserve"> zaměstnanci (resp. brigádníci) v době, kdy teprve hrozilo uzavření provozoven. </w:t>
      </w:r>
      <w:r w:rsidR="00060225">
        <w:t>P</w:t>
      </w:r>
      <w:r w:rsidR="005A63A4" w:rsidRPr="00060225">
        <w:t xml:space="preserve">racovní neschopnost v tomto odvětví </w:t>
      </w:r>
      <w:r w:rsidR="00060225">
        <w:t>trvala</w:t>
      </w:r>
      <w:r w:rsidR="005A63A4" w:rsidRPr="00060225">
        <w:t xml:space="preserve"> v</w:t>
      </w:r>
      <w:r w:rsidR="00060225" w:rsidRPr="00060225">
        <w:t> 1.</w:t>
      </w:r>
      <w:r w:rsidR="00060225">
        <w:t> </w:t>
      </w:r>
      <w:r w:rsidR="00060225" w:rsidRPr="00060225">
        <w:t>pol. 2021</w:t>
      </w:r>
      <w:r w:rsidR="005A63A4" w:rsidRPr="00060225">
        <w:t xml:space="preserve"> v průměru o</w:t>
      </w:r>
      <w:r w:rsidR="00060225">
        <w:t> </w:t>
      </w:r>
      <w:r w:rsidR="00060225" w:rsidRPr="00060225">
        <w:t>5</w:t>
      </w:r>
      <w:r w:rsidR="00060225">
        <w:t> </w:t>
      </w:r>
      <w:r w:rsidR="005A63A4" w:rsidRPr="00060225">
        <w:t>dn</w:t>
      </w:r>
      <w:r w:rsidR="00060225" w:rsidRPr="00060225">
        <w:t>ů</w:t>
      </w:r>
      <w:r w:rsidR="005A63A4" w:rsidRPr="00060225">
        <w:t xml:space="preserve"> </w:t>
      </w:r>
      <w:r w:rsidR="00060225">
        <w:t>déle</w:t>
      </w:r>
      <w:r w:rsidR="005A63A4" w:rsidRPr="00060225">
        <w:t xml:space="preserve"> než </w:t>
      </w:r>
      <w:r w:rsidR="00060225" w:rsidRPr="00060225">
        <w:t xml:space="preserve">před pandemií </w:t>
      </w:r>
      <w:r w:rsidR="005A63A4" w:rsidRPr="00060225">
        <w:t>v</w:t>
      </w:r>
      <w:r w:rsidR="00060225" w:rsidRPr="00060225">
        <w:t> 1. pol. 2019</w:t>
      </w:r>
      <w:r w:rsidR="005A63A4" w:rsidRPr="00060225">
        <w:t xml:space="preserve">. </w:t>
      </w:r>
    </w:p>
    <w:p w14:paraId="7D47D287" w14:textId="57A40472" w:rsidR="00B212D5" w:rsidRPr="00D92E20" w:rsidRDefault="003C6B69" w:rsidP="00000A90">
      <w:pPr>
        <w:spacing w:after="0"/>
        <w:jc w:val="both"/>
        <w:rPr>
          <w:b/>
        </w:rPr>
      </w:pPr>
      <w:r w:rsidRPr="00F969DD">
        <w:rPr>
          <w:b/>
        </w:rPr>
        <w:t xml:space="preserve">Graf 4.2: Počet </w:t>
      </w:r>
      <w:r w:rsidR="004D0495" w:rsidRPr="00F969DD">
        <w:rPr>
          <w:b/>
        </w:rPr>
        <w:t>případů pracovní</w:t>
      </w:r>
      <w:r w:rsidRPr="00F969DD">
        <w:rPr>
          <w:b/>
        </w:rPr>
        <w:t xml:space="preserve"> neschopnost</w:t>
      </w:r>
      <w:r w:rsidR="004D0495" w:rsidRPr="00F969DD">
        <w:rPr>
          <w:b/>
        </w:rPr>
        <w:t>i</w:t>
      </w:r>
      <w:r w:rsidRPr="00F969DD">
        <w:rPr>
          <w:b/>
        </w:rPr>
        <w:t xml:space="preserve"> z důvodu karantény </w:t>
      </w:r>
      <w:r w:rsidR="00F969DD" w:rsidRPr="00F969DD">
        <w:rPr>
          <w:b/>
        </w:rPr>
        <w:t xml:space="preserve">či izolace </w:t>
      </w:r>
      <w:r w:rsidRPr="00F969DD">
        <w:rPr>
          <w:b/>
        </w:rPr>
        <w:t xml:space="preserve">a jejich podíl na celkovém počtu vydaných neschopenek, </w:t>
      </w:r>
      <w:r w:rsidR="00F969DD" w:rsidRPr="00F969DD">
        <w:rPr>
          <w:b/>
        </w:rPr>
        <w:t>1. pol. 2021</w:t>
      </w:r>
    </w:p>
    <w:p w14:paraId="476488B1" w14:textId="08AB1183" w:rsidR="003C6B69" w:rsidRPr="00D92E20" w:rsidRDefault="005C496F" w:rsidP="003C6B69">
      <w:pPr>
        <w:jc w:val="both"/>
        <w:rPr>
          <w:b/>
        </w:rPr>
      </w:pPr>
      <w:r>
        <w:rPr>
          <w:noProof/>
        </w:rPr>
        <w:drawing>
          <wp:inline distT="0" distB="0" distL="0" distR="0" wp14:anchorId="25CB9613" wp14:editId="536FF442">
            <wp:extent cx="6116400" cy="2700000"/>
            <wp:effectExtent l="0" t="0" r="17780" b="571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DCCDAE" w14:textId="77777777" w:rsidR="003C6B69" w:rsidRPr="00D92E20" w:rsidRDefault="003C6B69" w:rsidP="00000A90">
      <w:pPr>
        <w:spacing w:after="120"/>
        <w:jc w:val="both"/>
        <w:rPr>
          <w:sz w:val="16"/>
        </w:rPr>
      </w:pPr>
      <w:r w:rsidRPr="00D92E20">
        <w:rPr>
          <w:sz w:val="16"/>
        </w:rPr>
        <w:t>Zdroj: ČSSZ</w:t>
      </w:r>
    </w:p>
    <w:p w14:paraId="678B25FB" w14:textId="010A4B1F" w:rsidR="005C496F" w:rsidRDefault="005C496F" w:rsidP="005C496F">
      <w:pPr>
        <w:pStyle w:val="Textkomente"/>
      </w:pPr>
      <w:r>
        <w:rPr>
          <w:b/>
          <w:bCs/>
        </w:rPr>
        <w:t xml:space="preserve">Graf 4.3: </w:t>
      </w:r>
      <w:r w:rsidRPr="005C496F">
        <w:rPr>
          <w:b/>
        </w:rPr>
        <w:t>Celkové denní součty hlášených případů karantény podle jednotlivých dnů, 1. pol. 2021</w:t>
      </w:r>
    </w:p>
    <w:p w14:paraId="60187164" w14:textId="75DE2DAC" w:rsidR="003C6B69" w:rsidRPr="00D92E20" w:rsidRDefault="00DD0824" w:rsidP="005C496F">
      <w:pPr>
        <w:spacing w:after="0"/>
        <w:jc w:val="both"/>
        <w:rPr>
          <w:b/>
        </w:rPr>
      </w:pPr>
      <w:r>
        <w:rPr>
          <w:noProof/>
        </w:rPr>
        <w:drawing>
          <wp:inline distT="0" distB="0" distL="0" distR="0" wp14:anchorId="0A0344FF" wp14:editId="64C0C0D2">
            <wp:extent cx="6116400" cy="2772000"/>
            <wp:effectExtent l="0" t="0" r="17780" b="952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C30569" w14:textId="77777777" w:rsidR="003C6B69" w:rsidRPr="00D92E20" w:rsidRDefault="003C6B69" w:rsidP="003C6B69">
      <w:pPr>
        <w:spacing w:after="120"/>
        <w:jc w:val="both"/>
        <w:rPr>
          <w:sz w:val="16"/>
        </w:rPr>
      </w:pPr>
      <w:r w:rsidRPr="00D92E20">
        <w:rPr>
          <w:sz w:val="16"/>
        </w:rPr>
        <w:t>Zdroj: ČSSZ</w:t>
      </w:r>
    </w:p>
    <w:p w14:paraId="4457B0AB" w14:textId="0EBEE752" w:rsidR="00000A90" w:rsidRPr="0049149F" w:rsidRDefault="0049149F" w:rsidP="0049149F">
      <w:pPr>
        <w:pStyle w:val="Default"/>
        <w:spacing w:before="120" w:after="120" w:line="288" w:lineRule="auto"/>
        <w:jc w:val="both"/>
        <w:rPr>
          <w:rFonts w:eastAsia="Times New Roman" w:cs="Times New Roman"/>
          <w:color w:val="auto"/>
          <w:sz w:val="20"/>
          <w:lang w:eastAsia="cs-CZ"/>
        </w:rPr>
      </w:pPr>
      <w:bookmarkStart w:id="27" w:name="_Toc54262806"/>
      <w:r w:rsidRPr="0049149F">
        <w:rPr>
          <w:rFonts w:eastAsia="Times New Roman" w:cs="Times New Roman"/>
          <w:color w:val="auto"/>
          <w:sz w:val="20"/>
          <w:lang w:eastAsia="cs-CZ"/>
        </w:rPr>
        <w:lastRenderedPageBreak/>
        <w:t>Pandemie se na výdajové stránce nemocenského pojištění podepsala nejen v dávce nemocenské, ale rovněž ošetřovné. Zatímco do 1. pol. 2019 činil podíl výdajů za ošetřovné maximálně 6 % celkových výdajů na dávky nemocenského pojištění, v 1. pol. 2020 to byla více než čtvrtina. Navýšení nákladů bylo způsobeno jednak vyšším počtem případů, jednak zvýšením částky pro výpočet ošetřovného při epidemii uzákoněné na podzim roku 2020</w:t>
      </w:r>
      <w:r w:rsidR="00AB3D6B">
        <w:rPr>
          <w:rFonts w:eastAsia="Times New Roman" w:cs="Times New Roman"/>
          <w:color w:val="auto"/>
          <w:sz w:val="20"/>
          <w:lang w:eastAsia="cs-CZ"/>
        </w:rPr>
        <w:t xml:space="preserve"> (tzv. krizové ošetřovné</w:t>
      </w:r>
      <w:r w:rsidR="006054AC">
        <w:rPr>
          <w:rStyle w:val="Znakapoznpodarou"/>
          <w:rFonts w:eastAsia="Times New Roman" w:cs="Times New Roman"/>
          <w:color w:val="auto"/>
          <w:sz w:val="20"/>
          <w:lang w:eastAsia="cs-CZ"/>
        </w:rPr>
        <w:footnoteReference w:id="7"/>
      </w:r>
      <w:r w:rsidR="00AB3D6B">
        <w:rPr>
          <w:rFonts w:eastAsia="Times New Roman" w:cs="Times New Roman"/>
          <w:color w:val="auto"/>
          <w:sz w:val="20"/>
          <w:lang w:eastAsia="cs-CZ"/>
        </w:rPr>
        <w:t>)</w:t>
      </w:r>
      <w:r w:rsidRPr="0049149F">
        <w:rPr>
          <w:rFonts w:eastAsia="Times New Roman" w:cs="Times New Roman"/>
          <w:color w:val="auto"/>
          <w:sz w:val="20"/>
          <w:lang w:eastAsia="cs-CZ"/>
        </w:rPr>
        <w:t xml:space="preserve">. Z dosud počítaných 60 % </w:t>
      </w:r>
      <w:r w:rsidR="005C496F">
        <w:rPr>
          <w:rFonts w:eastAsia="Times New Roman" w:cs="Times New Roman"/>
          <w:color w:val="auto"/>
          <w:sz w:val="20"/>
          <w:lang w:eastAsia="cs-CZ"/>
        </w:rPr>
        <w:t xml:space="preserve">byl zvýšen </w:t>
      </w:r>
      <w:r w:rsidRPr="0049149F">
        <w:rPr>
          <w:rFonts w:eastAsia="Times New Roman" w:cs="Times New Roman"/>
          <w:color w:val="auto"/>
          <w:sz w:val="20"/>
          <w:lang w:eastAsia="cs-CZ"/>
        </w:rPr>
        <w:t>na 70 %</w:t>
      </w:r>
      <w:r w:rsidRPr="0049149F">
        <w:rPr>
          <w:rStyle w:val="Znakapoznpodarou"/>
          <w:rFonts w:eastAsia="Times New Roman" w:cs="Times New Roman"/>
          <w:color w:val="auto"/>
          <w:sz w:val="20"/>
          <w:lang w:eastAsia="cs-CZ"/>
        </w:rPr>
        <w:footnoteReference w:id="8"/>
      </w:r>
      <w:r w:rsidRPr="0049149F">
        <w:rPr>
          <w:rFonts w:eastAsia="Times New Roman" w:cs="Times New Roman"/>
          <w:color w:val="auto"/>
          <w:sz w:val="20"/>
          <w:lang w:eastAsia="cs-CZ"/>
        </w:rPr>
        <w:t xml:space="preserve"> redukovaného denního vyměřovacího základu. Zatímco dříve bylo možné čerpat ošetřovné maximálně 9 dnů, při uzavření š</w:t>
      </w:r>
      <w:r w:rsidR="006054AC">
        <w:rPr>
          <w:rFonts w:eastAsia="Times New Roman" w:cs="Times New Roman"/>
          <w:color w:val="auto"/>
          <w:sz w:val="20"/>
          <w:lang w:eastAsia="cs-CZ"/>
        </w:rPr>
        <w:t>kolních a dětských zařízení trvala</w:t>
      </w:r>
      <w:r w:rsidRPr="0049149F">
        <w:rPr>
          <w:rFonts w:eastAsia="Times New Roman" w:cs="Times New Roman"/>
          <w:color w:val="auto"/>
          <w:sz w:val="20"/>
          <w:lang w:eastAsia="cs-CZ"/>
        </w:rPr>
        <w:t xml:space="preserve"> podpůrčí doba po celou dobu mimořádných </w:t>
      </w:r>
      <w:r w:rsidR="00E65904">
        <w:rPr>
          <w:rFonts w:eastAsia="Times New Roman" w:cs="Times New Roman"/>
          <w:color w:val="auto"/>
          <w:sz w:val="20"/>
          <w:lang w:eastAsia="cs-CZ"/>
        </w:rPr>
        <w:t xml:space="preserve">vládních </w:t>
      </w:r>
      <w:r w:rsidRPr="0049149F">
        <w:rPr>
          <w:rFonts w:eastAsia="Times New Roman" w:cs="Times New Roman"/>
          <w:color w:val="auto"/>
          <w:sz w:val="20"/>
          <w:lang w:eastAsia="cs-CZ"/>
        </w:rPr>
        <w:t xml:space="preserve">opatření. Náklady na ošetřovné za 1. pol. 2020 představovaly 7 680 mil. Kč, o </w:t>
      </w:r>
      <w:r w:rsidR="00D07285">
        <w:rPr>
          <w:rFonts w:eastAsia="Times New Roman" w:cs="Times New Roman"/>
          <w:color w:val="auto"/>
          <w:sz w:val="20"/>
          <w:lang w:eastAsia="cs-CZ"/>
        </w:rPr>
        <w:t>6</w:t>
      </w:r>
      <w:r w:rsidRPr="0049149F">
        <w:rPr>
          <w:rFonts w:eastAsia="Times New Roman" w:cs="Times New Roman"/>
          <w:color w:val="auto"/>
          <w:sz w:val="20"/>
          <w:lang w:eastAsia="cs-CZ"/>
        </w:rPr>
        <w:t xml:space="preserve"> mld. více než v</w:t>
      </w:r>
      <w:r w:rsidR="005C496F">
        <w:rPr>
          <w:rFonts w:eastAsia="Times New Roman" w:cs="Times New Roman"/>
          <w:color w:val="auto"/>
          <w:sz w:val="20"/>
          <w:lang w:eastAsia="cs-CZ"/>
        </w:rPr>
        <w:t> celém</w:t>
      </w:r>
      <w:r w:rsidRPr="0049149F">
        <w:rPr>
          <w:rFonts w:eastAsia="Times New Roman" w:cs="Times New Roman"/>
          <w:color w:val="auto"/>
          <w:sz w:val="20"/>
          <w:lang w:eastAsia="cs-CZ"/>
        </w:rPr>
        <w:t xml:space="preserve"> předchozím roce. Výdaje na ošetřovné v 1. pol. 2021 byly nižší. Činily 4 474 mil. Kč a tvořily jednu šestinu výdajů na dávky </w:t>
      </w:r>
      <w:r w:rsidR="006054AC">
        <w:rPr>
          <w:rFonts w:eastAsia="Times New Roman" w:cs="Times New Roman"/>
          <w:color w:val="auto"/>
          <w:sz w:val="20"/>
          <w:lang w:eastAsia="cs-CZ"/>
        </w:rPr>
        <w:t xml:space="preserve">systému </w:t>
      </w:r>
      <w:r w:rsidRPr="0049149F">
        <w:rPr>
          <w:rFonts w:eastAsia="Times New Roman" w:cs="Times New Roman"/>
          <w:color w:val="auto"/>
          <w:sz w:val="20"/>
          <w:lang w:eastAsia="cs-CZ"/>
        </w:rPr>
        <w:t>nemocenského pojištění.</w:t>
      </w:r>
    </w:p>
    <w:p w14:paraId="7321701A" w14:textId="77777777" w:rsidR="004907AB" w:rsidRPr="00D92E20" w:rsidRDefault="004907AB" w:rsidP="00000A90">
      <w:pPr>
        <w:pStyle w:val="Nadpis3"/>
        <w:numPr>
          <w:ilvl w:val="1"/>
          <w:numId w:val="5"/>
        </w:numPr>
        <w:spacing w:after="120"/>
        <w:ind w:left="426" w:hanging="403"/>
      </w:pPr>
      <w:bookmarkStart w:id="28" w:name="_Toc86233484"/>
      <w:r w:rsidRPr="00D92E20">
        <w:t>Pracovní úrazy</w:t>
      </w:r>
      <w:bookmarkEnd w:id="27"/>
      <w:bookmarkEnd w:id="28"/>
    </w:p>
    <w:p w14:paraId="64D6896F" w14:textId="77777777" w:rsidR="004907AB" w:rsidRPr="004E34C7" w:rsidRDefault="004907AB" w:rsidP="00000A90">
      <w:pPr>
        <w:spacing w:after="120"/>
        <w:jc w:val="both"/>
      </w:pPr>
      <w:r w:rsidRPr="004E34C7">
        <w:t>V oblasti pracovní úrazovosti ukládá česká i evropská legislativa zaměstnavatelům řadu povinností související</w:t>
      </w:r>
      <w:r w:rsidR="00EA0F31" w:rsidRPr="004E34C7">
        <w:t>ch</w:t>
      </w:r>
      <w:r w:rsidRPr="004E34C7">
        <w:t xml:space="preserve"> s evidencí, hlášením a objasněním příčin a okolností vzniku každého pracovního úrazu. </w:t>
      </w:r>
    </w:p>
    <w:p w14:paraId="1563480F" w14:textId="77777777" w:rsidR="00F20CF3" w:rsidRPr="004E34C7" w:rsidRDefault="00F20CF3" w:rsidP="00000A90">
      <w:pPr>
        <w:pStyle w:val="Box1"/>
        <w:spacing w:before="120" w:after="120"/>
        <w:ind w:left="0"/>
        <w:contextualSpacing w:val="0"/>
        <w:jc w:val="both"/>
        <w:rPr>
          <w:i/>
        </w:rPr>
      </w:pPr>
      <w:r w:rsidRPr="004E34C7">
        <w:rPr>
          <w:b/>
          <w:i/>
        </w:rPr>
        <w:t xml:space="preserve">Pracovní úraz </w:t>
      </w:r>
      <w:r w:rsidRPr="004E34C7">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1CD02E09" w14:textId="77777777" w:rsidR="00F20CF3" w:rsidRPr="004E34C7" w:rsidRDefault="00F20CF3" w:rsidP="00000A90">
      <w:pPr>
        <w:pStyle w:val="Box1"/>
        <w:spacing w:before="120" w:after="120"/>
        <w:ind w:left="0"/>
        <w:contextualSpacing w:val="0"/>
        <w:jc w:val="both"/>
        <w:rPr>
          <w:b/>
          <w:i/>
        </w:rPr>
      </w:pPr>
      <w:r w:rsidRPr="004E34C7">
        <w:rPr>
          <w:b/>
          <w:i/>
        </w:rPr>
        <w:t>Smrtelný pracovní úraz</w:t>
      </w:r>
      <w:r w:rsidRPr="004E34C7">
        <w:rPr>
          <w:i/>
        </w:rPr>
        <w:t xml:space="preserve"> – je takové poškození zdraví, na jehož následky úrazem postižený zaměstnanec nejpozději do 1 roku zemřel.</w:t>
      </w:r>
    </w:p>
    <w:p w14:paraId="7982C6CA" w14:textId="77777777" w:rsidR="00F20CF3" w:rsidRPr="004E34C7" w:rsidRDefault="00F20CF3" w:rsidP="00000A90">
      <w:pPr>
        <w:pStyle w:val="Box1"/>
        <w:spacing w:before="120" w:after="120"/>
        <w:ind w:left="0"/>
        <w:contextualSpacing w:val="0"/>
        <w:jc w:val="both"/>
        <w:rPr>
          <w:b/>
          <w:i/>
        </w:rPr>
      </w:pPr>
      <w:r w:rsidRPr="004E34C7">
        <w:rPr>
          <w:b/>
          <w:i/>
        </w:rPr>
        <w:t>Závažný pracovní úraz</w:t>
      </w:r>
      <w:r w:rsidRPr="004E34C7">
        <w:rPr>
          <w:i/>
        </w:rPr>
        <w:t xml:space="preserve"> – je takové poškození zdraví, trvá-li hospitalizace úrazem postiženého zaměstnance déle než 5 dnů.</w:t>
      </w:r>
    </w:p>
    <w:p w14:paraId="29112414" w14:textId="77777777" w:rsidR="00F20CF3" w:rsidRPr="004E34C7" w:rsidRDefault="00F20CF3" w:rsidP="00000A90">
      <w:pPr>
        <w:pStyle w:val="Box1"/>
        <w:spacing w:before="120" w:after="120"/>
        <w:ind w:left="0"/>
        <w:contextualSpacing w:val="0"/>
        <w:jc w:val="both"/>
        <w:rPr>
          <w:i/>
        </w:rPr>
      </w:pPr>
      <w:r w:rsidRPr="004E34C7">
        <w:rPr>
          <w:b/>
          <w:i/>
        </w:rPr>
        <w:t xml:space="preserve">Pracovní úraz s pracovní neschopností delší než 3 dny </w:t>
      </w:r>
      <w:r w:rsidRPr="004E34C7">
        <w:rPr>
          <w:i/>
        </w:rPr>
        <w:t>– ukazatel zahrnuje případy pracovních úrazů, které měly za následek dočasnou pracovní neschopnost delší než tři kalendářní dny. Do těchto tří dnů se nezapočítává den, ve kterém k úrazu došlo.</w:t>
      </w:r>
    </w:p>
    <w:p w14:paraId="11A1CDF0" w14:textId="344232E0" w:rsidR="00F20CF3" w:rsidRPr="004E34C7" w:rsidRDefault="00F20CF3" w:rsidP="00000A90">
      <w:pPr>
        <w:spacing w:before="120" w:after="120"/>
        <w:jc w:val="both"/>
      </w:pPr>
      <w:r w:rsidRPr="004E34C7">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w:t>
      </w:r>
      <w:r w:rsidR="00D07285">
        <w:t xml:space="preserve"> i </w:t>
      </w:r>
      <w:r w:rsidRPr="004E34C7">
        <w:t>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07662C49" w14:textId="4D163146" w:rsidR="00F20CF3" w:rsidRDefault="00951947" w:rsidP="00000A90">
      <w:pPr>
        <w:spacing w:before="120" w:after="120"/>
        <w:jc w:val="both"/>
        <w:rPr>
          <w:rFonts w:cs="Arial"/>
        </w:rPr>
      </w:pPr>
      <w:r w:rsidRPr="00951947">
        <w:rPr>
          <w:rFonts w:cs="Arial"/>
        </w:rPr>
        <w:t xml:space="preserve">V 1. pol. 2020 se i vlivem uzavření některých podniků a větší míry práce z domova událo nejméně pracovních úrazů za posledních 10 let. </w:t>
      </w:r>
      <w:r w:rsidR="00F20CF3" w:rsidRPr="00951947">
        <w:rPr>
          <w:bCs/>
        </w:rPr>
        <w:t>Absolutní počet nově hlášených případů dočasné pracovní neschopnosti</w:t>
      </w:r>
      <w:r w:rsidR="00F20CF3" w:rsidRPr="00951947">
        <w:rPr>
          <w:rFonts w:cs="Arial"/>
        </w:rPr>
        <w:t xml:space="preserve"> pro pracovní úraz </w:t>
      </w:r>
      <w:r w:rsidRPr="00951947">
        <w:rPr>
          <w:rFonts w:cs="Arial"/>
        </w:rPr>
        <w:t>po loňském propadu v 1. pol. 2020</w:t>
      </w:r>
      <w:r w:rsidR="00F20CF3" w:rsidRPr="00951947">
        <w:rPr>
          <w:rFonts w:cs="Arial"/>
        </w:rPr>
        <w:t xml:space="preserve"> </w:t>
      </w:r>
      <w:r w:rsidRPr="00951947">
        <w:rPr>
          <w:rFonts w:cs="Arial"/>
        </w:rPr>
        <w:t xml:space="preserve">vzrostl </w:t>
      </w:r>
      <w:r w:rsidR="00F20CF3" w:rsidRPr="00951947">
        <w:rPr>
          <w:rFonts w:cs="Arial"/>
        </w:rPr>
        <w:t>z </w:t>
      </w:r>
      <w:r w:rsidRPr="00951947">
        <w:rPr>
          <w:rFonts w:cs="Arial"/>
        </w:rPr>
        <w:t>20 483</w:t>
      </w:r>
      <w:r w:rsidR="00EA5FF4" w:rsidRPr="00951947">
        <w:rPr>
          <w:rFonts w:cs="Arial"/>
        </w:rPr>
        <w:t> </w:t>
      </w:r>
      <w:r w:rsidR="00F20CF3" w:rsidRPr="00951947">
        <w:rPr>
          <w:rFonts w:cs="Arial"/>
        </w:rPr>
        <w:t xml:space="preserve">případů na </w:t>
      </w:r>
      <w:r w:rsidRPr="00951947">
        <w:rPr>
          <w:rFonts w:cs="Arial"/>
        </w:rPr>
        <w:t>23 326</w:t>
      </w:r>
      <w:r w:rsidR="00F20CF3" w:rsidRPr="00951947">
        <w:rPr>
          <w:rFonts w:cs="Arial"/>
        </w:rPr>
        <w:t xml:space="preserve"> případů v</w:t>
      </w:r>
      <w:r w:rsidRPr="00951947">
        <w:rPr>
          <w:rFonts w:cs="Arial"/>
        </w:rPr>
        <w:t> 1. pol. 2021</w:t>
      </w:r>
      <w:r w:rsidR="00F20CF3" w:rsidRPr="00951947">
        <w:rPr>
          <w:rFonts w:cs="Arial"/>
        </w:rPr>
        <w:t xml:space="preserve"> (tj. o </w:t>
      </w:r>
      <w:r w:rsidRPr="00951947">
        <w:rPr>
          <w:rFonts w:cs="Arial"/>
        </w:rPr>
        <w:t>14</w:t>
      </w:r>
      <w:r>
        <w:rPr>
          <w:rFonts w:cs="Arial"/>
        </w:rPr>
        <w:t xml:space="preserve"> %) a vrátil se tak na hodnoty z období před pandemií. </w:t>
      </w:r>
      <w:r w:rsidR="00F20CF3" w:rsidRPr="00951947">
        <w:rPr>
          <w:rFonts w:cs="Arial"/>
        </w:rPr>
        <w:t>Z</w:t>
      </w:r>
      <w:r w:rsidRPr="00951947">
        <w:rPr>
          <w:rFonts w:cs="Arial"/>
        </w:rPr>
        <w:t> tohoto celkového</w:t>
      </w:r>
      <w:r w:rsidR="00F20CF3" w:rsidRPr="00951947">
        <w:rPr>
          <w:rFonts w:cs="Arial"/>
        </w:rPr>
        <w:t xml:space="preserve"> počtu bylo </w:t>
      </w:r>
      <w:r w:rsidRPr="00951947">
        <w:rPr>
          <w:rFonts w:cs="Arial"/>
        </w:rPr>
        <w:t>22 469</w:t>
      </w:r>
      <w:r w:rsidR="00F20CF3" w:rsidRPr="00951947">
        <w:rPr>
          <w:rFonts w:cs="Arial"/>
        </w:rPr>
        <w:t xml:space="preserve"> případů (9</w:t>
      </w:r>
      <w:r w:rsidRPr="00951947">
        <w:rPr>
          <w:rFonts w:cs="Arial"/>
        </w:rPr>
        <w:t>6</w:t>
      </w:r>
      <w:r w:rsidR="00F20CF3" w:rsidRPr="00951947">
        <w:rPr>
          <w:rFonts w:cs="Arial"/>
        </w:rPr>
        <w:t xml:space="preserve"> %) </w:t>
      </w:r>
      <w:r w:rsidR="00F20CF3" w:rsidRPr="00951947">
        <w:rPr>
          <w:rFonts w:cs="Arial"/>
          <w:b/>
        </w:rPr>
        <w:t>pracovních úrazů s</w:t>
      </w:r>
      <w:r w:rsidR="00C02C40" w:rsidRPr="00951947">
        <w:rPr>
          <w:rFonts w:cs="Arial"/>
          <w:b/>
        </w:rPr>
        <w:t> </w:t>
      </w:r>
      <w:r w:rsidR="00F20CF3" w:rsidRPr="00951947">
        <w:rPr>
          <w:rFonts w:cs="Arial"/>
          <w:b/>
        </w:rPr>
        <w:t>pracovní neschopností delší než 3 kalendářní dny</w:t>
      </w:r>
      <w:r w:rsidR="00F20CF3" w:rsidRPr="00951947">
        <w:rPr>
          <w:rFonts w:cs="Arial"/>
        </w:rPr>
        <w:t xml:space="preserve"> (tedy těch, které podléhají povinnosti vyhotovit záznam o úrazu a</w:t>
      </w:r>
      <w:r w:rsidRPr="00951947">
        <w:rPr>
          <w:rFonts w:cs="Arial"/>
        </w:rPr>
        <w:t> </w:t>
      </w:r>
      <w:r w:rsidR="00F20CF3" w:rsidRPr="00951947">
        <w:rPr>
          <w:rFonts w:cs="Arial"/>
        </w:rPr>
        <w:t>zaslat jej OIP).</w:t>
      </w:r>
    </w:p>
    <w:p w14:paraId="56C39E62" w14:textId="2E3EED0B" w:rsidR="002858F4" w:rsidRDefault="00350B58" w:rsidP="004E28A0">
      <w:pPr>
        <w:spacing w:before="120" w:after="120"/>
        <w:jc w:val="both"/>
        <w:rPr>
          <w:rFonts w:cs="Arial"/>
        </w:rPr>
      </w:pPr>
      <w:r w:rsidRPr="00951947">
        <w:rPr>
          <w:rFonts w:cs="Arial"/>
        </w:rPr>
        <w:t xml:space="preserve">V pracovní úrazovosti je dlouhodobě patrný rozdíl mezi </w:t>
      </w:r>
      <w:r w:rsidRPr="00951947">
        <w:rPr>
          <w:rFonts w:cs="Arial"/>
          <w:b/>
        </w:rPr>
        <w:t>pohlavími</w:t>
      </w:r>
      <w:r w:rsidRPr="00951947">
        <w:rPr>
          <w:rFonts w:cs="Arial"/>
        </w:rPr>
        <w:t xml:space="preserve">, muži zde výrazně dominují. Z celkového počtu pracovních úrazů připadaly v 1. pol. 2021 na muže více než dvě třetiny (69 %), což je </w:t>
      </w:r>
      <w:r w:rsidRPr="00951947">
        <w:rPr>
          <w:rFonts w:cs="Arial"/>
          <w:b/>
        </w:rPr>
        <w:t>dáno</w:t>
      </w:r>
      <w:r w:rsidRPr="00951947">
        <w:rPr>
          <w:rFonts w:cs="Arial"/>
        </w:rPr>
        <w:t xml:space="preserve"> především</w:t>
      </w:r>
      <w:r w:rsidRPr="00951947">
        <w:rPr>
          <w:rFonts w:cs="Arial"/>
          <w:b/>
        </w:rPr>
        <w:t> odlišnou strukturou zaměstnanosti žen a mužů</w:t>
      </w:r>
      <w:r w:rsidRPr="00951947">
        <w:rPr>
          <w:rFonts w:cs="Arial"/>
        </w:rPr>
        <w:t xml:space="preserve">. V odvětvích rizikovějších na pracovní úrazy jako je např. </w:t>
      </w:r>
      <w:r w:rsidRPr="00951947">
        <w:t>T</w:t>
      </w:r>
      <w:r w:rsidRPr="00951947">
        <w:rPr>
          <w:rFonts w:cs="Arial"/>
        </w:rPr>
        <w:t>ěžba a dobývání, Zpracovatelský průmysl, S</w:t>
      </w:r>
      <w:r w:rsidRPr="00951947">
        <w:t xml:space="preserve">tavebnictví, Doprava a skladování </w:t>
      </w:r>
      <w:r w:rsidRPr="00D92E20">
        <w:rPr>
          <w:bCs/>
        </w:rPr>
        <w:t>či Ze</w:t>
      </w:r>
      <w:r>
        <w:rPr>
          <w:bCs/>
        </w:rPr>
        <w:t xml:space="preserve">mědělství, lesnictví, rybářství </w:t>
      </w:r>
      <w:r w:rsidRPr="00951947">
        <w:t xml:space="preserve">mezi zaměstnanci převládají muži. Ještě výraznější rozdíl hodnot mezi pohlavími lze vidět </w:t>
      </w:r>
      <w:r w:rsidRPr="00951947">
        <w:lastRenderedPageBreak/>
        <w:t xml:space="preserve">u smrtelných pracovních úrazů. V 1. pol. 2021 se </w:t>
      </w:r>
      <w:r w:rsidR="00D07285" w:rsidRPr="00951947">
        <w:t>90 %</w:t>
      </w:r>
      <w:r w:rsidR="00D07285">
        <w:t xml:space="preserve"> </w:t>
      </w:r>
      <w:r w:rsidR="00D07285" w:rsidRPr="00951947">
        <w:t xml:space="preserve">smrtelných </w:t>
      </w:r>
      <w:r w:rsidR="00D07285">
        <w:t>pracovních úrazů přihodilo</w:t>
      </w:r>
      <w:r w:rsidR="00D07285" w:rsidRPr="00951947">
        <w:t xml:space="preserve"> </w:t>
      </w:r>
      <w:r w:rsidRPr="00951947">
        <w:t>muž</w:t>
      </w:r>
      <w:r w:rsidR="00D07285">
        <w:t>ům</w:t>
      </w:r>
      <w:r w:rsidRPr="00951947">
        <w:t xml:space="preserve">. Oproti </w:t>
      </w:r>
      <w:r w:rsidR="005C496F">
        <w:t xml:space="preserve">1. pol. </w:t>
      </w:r>
      <w:r w:rsidRPr="00951947">
        <w:t>předchozí</w:t>
      </w:r>
      <w:r w:rsidR="005C496F">
        <w:t>ho</w:t>
      </w:r>
      <w:r w:rsidRPr="00951947">
        <w:t xml:space="preserve"> roku došlo k poklesu smrtelných pracovních úrazů ze 47 na 39, tj. o 17 %. Muži zaznamenali 35 smrtelných pracovních úrazů, což je meziročně o 10 méně.</w:t>
      </w:r>
    </w:p>
    <w:p w14:paraId="75BD938E" w14:textId="02CEE41A" w:rsidR="00BF4256" w:rsidRPr="00D92E20" w:rsidRDefault="00BF4256" w:rsidP="00000A90">
      <w:pPr>
        <w:spacing w:after="0"/>
        <w:jc w:val="both"/>
        <w:rPr>
          <w:rFonts w:cs="Arial"/>
          <w:b/>
        </w:rPr>
      </w:pPr>
      <w:r w:rsidRPr="00D92E20">
        <w:rPr>
          <w:rFonts w:cs="Arial"/>
          <w:b/>
        </w:rPr>
        <w:t xml:space="preserve">Tab. 5.1: Pracovní úrazy podle </w:t>
      </w:r>
      <w:r w:rsidR="0032235A" w:rsidRPr="00D92E20">
        <w:rPr>
          <w:rFonts w:cs="Arial"/>
          <w:b/>
        </w:rPr>
        <w:t>závažnosti a pohlaví</w:t>
      </w:r>
      <w:r w:rsidRPr="00D92E20">
        <w:rPr>
          <w:rFonts w:cs="Arial"/>
          <w:b/>
        </w:rPr>
        <w:t xml:space="preserve">, </w:t>
      </w:r>
      <w:r w:rsidR="004E34C7" w:rsidRPr="004E34C7">
        <w:rPr>
          <w:rFonts w:cs="Arial"/>
          <w:b/>
        </w:rPr>
        <w:t>1. pol. 2011–1. pol. 2021</w:t>
      </w:r>
    </w:p>
    <w:tbl>
      <w:tblPr>
        <w:tblW w:w="9589" w:type="dxa"/>
        <w:tblCellMar>
          <w:left w:w="70" w:type="dxa"/>
          <w:right w:w="70" w:type="dxa"/>
        </w:tblCellMar>
        <w:tblLook w:val="04A0" w:firstRow="1" w:lastRow="0" w:firstColumn="1" w:lastColumn="0" w:noHBand="0" w:noVBand="1"/>
      </w:tblPr>
      <w:tblGrid>
        <w:gridCol w:w="1077"/>
        <w:gridCol w:w="710"/>
        <w:gridCol w:w="709"/>
        <w:gridCol w:w="709"/>
        <w:gridCol w:w="710"/>
        <w:gridCol w:w="709"/>
        <w:gridCol w:w="709"/>
        <w:gridCol w:w="710"/>
        <w:gridCol w:w="709"/>
        <w:gridCol w:w="709"/>
        <w:gridCol w:w="710"/>
        <w:gridCol w:w="709"/>
        <w:gridCol w:w="709"/>
      </w:tblGrid>
      <w:tr w:rsidR="00951947" w:rsidRPr="00D92E20" w14:paraId="2B6AF5B0" w14:textId="38F3105E" w:rsidTr="00951947">
        <w:trPr>
          <w:trHeight w:val="920"/>
        </w:trPr>
        <w:tc>
          <w:tcPr>
            <w:tcW w:w="1077" w:type="dxa"/>
            <w:vMerge w:val="restart"/>
            <w:tcBorders>
              <w:top w:val="single" w:sz="4" w:space="0" w:color="auto"/>
              <w:left w:val="nil"/>
              <w:bottom w:val="single" w:sz="4" w:space="0" w:color="auto"/>
              <w:right w:val="single" w:sz="4" w:space="0" w:color="auto"/>
            </w:tcBorders>
            <w:shd w:val="clear" w:color="000000" w:fill="F5DADD"/>
            <w:vAlign w:val="center"/>
            <w:hideMark/>
          </w:tcPr>
          <w:p w14:paraId="04D2A0C8" w14:textId="29E127FE" w:rsidR="00ED0B23" w:rsidRPr="00D92E20" w:rsidRDefault="00ED0B23" w:rsidP="004E34C7">
            <w:pPr>
              <w:spacing w:after="0" w:line="240" w:lineRule="auto"/>
              <w:jc w:val="center"/>
              <w:rPr>
                <w:rFonts w:cs="Arial"/>
                <w:color w:val="000000"/>
                <w:sz w:val="16"/>
                <w:szCs w:val="16"/>
              </w:rPr>
            </w:pPr>
            <w:r>
              <w:rPr>
                <w:rFonts w:cs="Arial"/>
                <w:color w:val="000000"/>
                <w:sz w:val="16"/>
                <w:szCs w:val="16"/>
              </w:rPr>
              <w:t>Období</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2E8F5656" w14:textId="77777777" w:rsidR="006054AC"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1F6EC53E" w14:textId="336115D5"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s pracovní neschopností </w:t>
            </w:r>
          </w:p>
        </w:tc>
        <w:tc>
          <w:tcPr>
            <w:tcW w:w="2128" w:type="dxa"/>
            <w:gridSpan w:val="3"/>
            <w:tcBorders>
              <w:top w:val="single" w:sz="4" w:space="0" w:color="auto"/>
              <w:left w:val="single" w:sz="4" w:space="0" w:color="auto"/>
              <w:right w:val="single" w:sz="4" w:space="0" w:color="000000"/>
            </w:tcBorders>
            <w:shd w:val="clear" w:color="000000" w:fill="F5DADD"/>
            <w:vAlign w:val="center"/>
            <w:hideMark/>
          </w:tcPr>
          <w:p w14:paraId="4F9C427A" w14:textId="77777777" w:rsidR="00ED0B23" w:rsidRDefault="00ED0B23"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w:t>
            </w:r>
          </w:p>
          <w:p w14:paraId="779191EB" w14:textId="4BBDE8E4"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s pracovní neschopností delší než 3 dny</w:t>
            </w:r>
          </w:p>
        </w:tc>
        <w:tc>
          <w:tcPr>
            <w:tcW w:w="2128" w:type="dxa"/>
            <w:gridSpan w:val="3"/>
            <w:tcBorders>
              <w:top w:val="single" w:sz="4" w:space="0" w:color="auto"/>
              <w:left w:val="single" w:sz="4" w:space="0" w:color="auto"/>
              <w:right w:val="nil"/>
            </w:tcBorders>
            <w:shd w:val="clear" w:color="000000" w:fill="F5DADD"/>
            <w:vAlign w:val="center"/>
            <w:hideMark/>
          </w:tcPr>
          <w:p w14:paraId="2697DFA1" w14:textId="77777777" w:rsidR="00ED0B23" w:rsidRPr="00D92E20" w:rsidRDefault="00ED0B23" w:rsidP="00BF4256">
            <w:pPr>
              <w:spacing w:after="0" w:line="240" w:lineRule="auto"/>
              <w:jc w:val="center"/>
              <w:rPr>
                <w:rFonts w:cs="Arial"/>
                <w:color w:val="000000"/>
                <w:sz w:val="16"/>
                <w:szCs w:val="16"/>
              </w:rPr>
            </w:pPr>
            <w:r w:rsidRPr="00D92E20">
              <w:rPr>
                <w:rFonts w:cs="Arial"/>
                <w:color w:val="000000"/>
                <w:sz w:val="16"/>
                <w:szCs w:val="16"/>
              </w:rPr>
              <w:t>Počet smrtelných pracovních úrazů</w:t>
            </w:r>
          </w:p>
        </w:tc>
        <w:tc>
          <w:tcPr>
            <w:tcW w:w="2128" w:type="dxa"/>
            <w:gridSpan w:val="3"/>
            <w:tcBorders>
              <w:top w:val="single" w:sz="4" w:space="0" w:color="auto"/>
              <w:left w:val="single" w:sz="4" w:space="0" w:color="auto"/>
              <w:right w:val="nil"/>
            </w:tcBorders>
            <w:shd w:val="clear" w:color="000000" w:fill="F5DADD"/>
            <w:vAlign w:val="center"/>
          </w:tcPr>
          <w:p w14:paraId="57CBF637" w14:textId="77777777" w:rsidR="006054AC" w:rsidRDefault="00ED0B23" w:rsidP="00ED0B23">
            <w:pPr>
              <w:spacing w:after="0" w:line="240" w:lineRule="auto"/>
              <w:jc w:val="center"/>
              <w:rPr>
                <w:rFonts w:cs="Arial"/>
                <w:sz w:val="16"/>
                <w:szCs w:val="16"/>
              </w:rPr>
            </w:pPr>
            <w:r>
              <w:rPr>
                <w:rFonts w:cs="Arial"/>
                <w:sz w:val="16"/>
                <w:szCs w:val="16"/>
              </w:rPr>
              <w:t xml:space="preserve">Počet závažných pracovních úrazů </w:t>
            </w:r>
          </w:p>
          <w:p w14:paraId="52F3B2F4" w14:textId="59F99B69" w:rsidR="00ED0B23" w:rsidRDefault="00ED0B23" w:rsidP="00ED0B23">
            <w:pPr>
              <w:spacing w:after="0" w:line="240" w:lineRule="auto"/>
              <w:jc w:val="center"/>
              <w:rPr>
                <w:rFonts w:cs="Arial"/>
                <w:sz w:val="16"/>
                <w:szCs w:val="16"/>
              </w:rPr>
            </w:pPr>
            <w:r>
              <w:rPr>
                <w:rFonts w:cs="Arial"/>
                <w:sz w:val="16"/>
                <w:szCs w:val="16"/>
              </w:rPr>
              <w:t>s hospitalizací nad 5 dnů</w:t>
            </w:r>
          </w:p>
          <w:p w14:paraId="5FC7B9C4" w14:textId="77777777" w:rsidR="00ED0B23" w:rsidRDefault="00ED0B23" w:rsidP="00ED0B23">
            <w:pPr>
              <w:spacing w:after="0" w:line="240" w:lineRule="auto"/>
              <w:jc w:val="center"/>
              <w:rPr>
                <w:rFonts w:cs="Arial"/>
                <w:sz w:val="16"/>
                <w:szCs w:val="16"/>
              </w:rPr>
            </w:pPr>
          </w:p>
        </w:tc>
      </w:tr>
      <w:tr w:rsidR="00951947" w:rsidRPr="00D92E20" w14:paraId="584EC2A5" w14:textId="0C2E8952" w:rsidTr="00951947">
        <w:trPr>
          <w:trHeight w:val="300"/>
        </w:trPr>
        <w:tc>
          <w:tcPr>
            <w:tcW w:w="1077" w:type="dxa"/>
            <w:vMerge/>
            <w:tcBorders>
              <w:top w:val="single" w:sz="4" w:space="0" w:color="auto"/>
              <w:left w:val="nil"/>
              <w:bottom w:val="single" w:sz="4" w:space="0" w:color="auto"/>
              <w:right w:val="single" w:sz="4" w:space="0" w:color="auto"/>
            </w:tcBorders>
            <w:vAlign w:val="center"/>
            <w:hideMark/>
          </w:tcPr>
          <w:p w14:paraId="23098622" w14:textId="77777777" w:rsidR="00951947" w:rsidRPr="00D92E20" w:rsidRDefault="00951947" w:rsidP="00BF4256">
            <w:pPr>
              <w:spacing w:after="0" w:line="240" w:lineRule="auto"/>
              <w:rPr>
                <w:rFonts w:cs="Arial"/>
                <w:color w:val="000000"/>
                <w:sz w:val="16"/>
                <w:szCs w:val="16"/>
              </w:rPr>
            </w:pP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F6B83DE"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AAEBA5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5DADD"/>
            <w:vAlign w:val="center"/>
            <w:hideMark/>
          </w:tcPr>
          <w:p w14:paraId="3C3025AD"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1E2237EA"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hideMark/>
          </w:tcPr>
          <w:p w14:paraId="21C7CC39" w14:textId="77777777" w:rsidR="00951947" w:rsidRPr="00D92E20" w:rsidRDefault="00951947"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5DADD"/>
            <w:vAlign w:val="center"/>
            <w:hideMark/>
          </w:tcPr>
          <w:p w14:paraId="08F273B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710" w:type="dxa"/>
            <w:vMerge w:val="restart"/>
            <w:tcBorders>
              <w:top w:val="single" w:sz="4" w:space="0" w:color="auto"/>
              <w:left w:val="single" w:sz="4" w:space="0" w:color="auto"/>
              <w:right w:val="single" w:sz="4" w:space="0" w:color="auto"/>
            </w:tcBorders>
            <w:shd w:val="clear" w:color="000000" w:fill="F5DADD"/>
            <w:vAlign w:val="center"/>
          </w:tcPr>
          <w:p w14:paraId="78F246A5" w14:textId="6553B083" w:rsidR="00951947" w:rsidRPr="00ED0B23" w:rsidRDefault="00951947" w:rsidP="00ED0B23">
            <w:pPr>
              <w:spacing w:after="0" w:line="240" w:lineRule="auto"/>
              <w:jc w:val="center"/>
              <w:rPr>
                <w:rFonts w:cs="Arial"/>
                <w:b/>
                <w:color w:val="000000"/>
                <w:sz w:val="16"/>
                <w:szCs w:val="16"/>
              </w:rPr>
            </w:pPr>
            <w:r w:rsidRPr="00ED0B23">
              <w:rPr>
                <w:rFonts w:cs="Arial"/>
                <w:b/>
                <w:color w:val="000000"/>
                <w:sz w:val="16"/>
                <w:szCs w:val="16"/>
              </w:rPr>
              <w:t>Celkem</w:t>
            </w:r>
          </w:p>
        </w:tc>
        <w:tc>
          <w:tcPr>
            <w:tcW w:w="1418" w:type="dxa"/>
            <w:gridSpan w:val="2"/>
            <w:tcBorders>
              <w:top w:val="single" w:sz="4" w:space="0" w:color="auto"/>
              <w:left w:val="single" w:sz="4" w:space="0" w:color="auto"/>
              <w:bottom w:val="single" w:sz="4" w:space="0" w:color="auto"/>
            </w:tcBorders>
            <w:shd w:val="clear" w:color="000000" w:fill="F5DADD"/>
            <w:vAlign w:val="center"/>
          </w:tcPr>
          <w:p w14:paraId="7056BE97" w14:textId="02477152" w:rsidR="00951947" w:rsidRDefault="00951947" w:rsidP="00ED0B23">
            <w:pPr>
              <w:spacing w:after="0" w:line="240" w:lineRule="auto"/>
              <w:jc w:val="center"/>
              <w:rPr>
                <w:rFonts w:cs="Arial"/>
                <w:color w:val="000000"/>
                <w:sz w:val="16"/>
                <w:szCs w:val="16"/>
              </w:rPr>
            </w:pPr>
            <w:r>
              <w:rPr>
                <w:rFonts w:cs="Arial"/>
                <w:color w:val="000000"/>
                <w:sz w:val="16"/>
                <w:szCs w:val="16"/>
              </w:rPr>
              <w:t>podle pohlaví</w:t>
            </w:r>
          </w:p>
        </w:tc>
      </w:tr>
      <w:tr w:rsidR="00951947" w:rsidRPr="00D92E20" w14:paraId="7A706A10" w14:textId="4ADAA2B6" w:rsidTr="006054AC">
        <w:trPr>
          <w:trHeight w:val="300"/>
        </w:trPr>
        <w:tc>
          <w:tcPr>
            <w:tcW w:w="1077" w:type="dxa"/>
            <w:vMerge/>
            <w:tcBorders>
              <w:top w:val="single" w:sz="4" w:space="0" w:color="auto"/>
              <w:left w:val="nil"/>
              <w:bottom w:val="single" w:sz="4" w:space="0" w:color="auto"/>
              <w:right w:val="single" w:sz="4" w:space="0" w:color="auto"/>
            </w:tcBorders>
            <w:vAlign w:val="center"/>
            <w:hideMark/>
          </w:tcPr>
          <w:p w14:paraId="608E1B7E" w14:textId="77777777" w:rsidR="00951947" w:rsidRPr="00D92E20" w:rsidRDefault="00951947" w:rsidP="00BF4256">
            <w:pPr>
              <w:spacing w:after="0" w:line="240" w:lineRule="auto"/>
              <w:rPr>
                <w:rFonts w:cs="Arial"/>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6C18BA9"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0A17B8E6"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B1D159D"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5D2FB82"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7A076B09"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09A23D0C"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vAlign w:val="center"/>
            <w:hideMark/>
          </w:tcPr>
          <w:p w14:paraId="300CA3BE" w14:textId="77777777" w:rsidR="00951947" w:rsidRPr="00D92E20" w:rsidRDefault="00951947" w:rsidP="00BF4256">
            <w:pPr>
              <w:spacing w:after="0" w:line="240" w:lineRule="auto"/>
              <w:rPr>
                <w:rFonts w:cs="Arial"/>
                <w:color w:val="000000"/>
                <w:sz w:val="16"/>
                <w:szCs w:val="16"/>
              </w:rPr>
            </w:pPr>
          </w:p>
        </w:tc>
        <w:tc>
          <w:tcPr>
            <w:tcW w:w="709" w:type="dxa"/>
            <w:tcBorders>
              <w:top w:val="nil"/>
              <w:left w:val="nil"/>
              <w:bottom w:val="single" w:sz="4" w:space="0" w:color="auto"/>
              <w:right w:val="single" w:sz="4" w:space="0" w:color="auto"/>
            </w:tcBorders>
            <w:shd w:val="clear" w:color="000000" w:fill="F5DADD"/>
            <w:vAlign w:val="center"/>
            <w:hideMark/>
          </w:tcPr>
          <w:p w14:paraId="6FF2743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muži</w:t>
            </w:r>
          </w:p>
        </w:tc>
        <w:tc>
          <w:tcPr>
            <w:tcW w:w="709" w:type="dxa"/>
            <w:tcBorders>
              <w:top w:val="nil"/>
              <w:left w:val="nil"/>
              <w:bottom w:val="single" w:sz="4" w:space="0" w:color="auto"/>
              <w:right w:val="single" w:sz="4" w:space="0" w:color="auto"/>
            </w:tcBorders>
            <w:shd w:val="clear" w:color="000000" w:fill="F5DADD"/>
            <w:vAlign w:val="center"/>
            <w:hideMark/>
          </w:tcPr>
          <w:p w14:paraId="4360FA55" w14:textId="77777777" w:rsidR="00951947" w:rsidRPr="00D92E20" w:rsidRDefault="00951947" w:rsidP="00BF4256">
            <w:pPr>
              <w:spacing w:after="0" w:line="240" w:lineRule="auto"/>
              <w:jc w:val="center"/>
              <w:rPr>
                <w:rFonts w:cs="Arial"/>
                <w:color w:val="000000"/>
                <w:sz w:val="16"/>
                <w:szCs w:val="16"/>
              </w:rPr>
            </w:pPr>
            <w:r w:rsidRPr="00D92E20">
              <w:rPr>
                <w:rFonts w:cs="Arial"/>
                <w:color w:val="000000"/>
                <w:sz w:val="16"/>
                <w:szCs w:val="16"/>
              </w:rPr>
              <w:t>ženy</w:t>
            </w:r>
          </w:p>
        </w:tc>
        <w:tc>
          <w:tcPr>
            <w:tcW w:w="710" w:type="dxa"/>
            <w:vMerge/>
            <w:tcBorders>
              <w:left w:val="single" w:sz="4" w:space="0" w:color="auto"/>
              <w:bottom w:val="single" w:sz="4" w:space="0" w:color="auto"/>
              <w:right w:val="single" w:sz="4" w:space="0" w:color="auto"/>
            </w:tcBorders>
            <w:shd w:val="clear" w:color="000000" w:fill="F5DADD"/>
          </w:tcPr>
          <w:p w14:paraId="2052594B" w14:textId="77777777" w:rsidR="00951947" w:rsidRPr="00D92E20" w:rsidRDefault="00951947" w:rsidP="00BF4256">
            <w:pPr>
              <w:spacing w:after="0" w:line="240" w:lineRule="auto"/>
              <w:jc w:val="center"/>
              <w:rPr>
                <w:rFonts w:cs="Arial"/>
                <w:color w:val="000000"/>
                <w:sz w:val="16"/>
                <w:szCs w:val="16"/>
              </w:rPr>
            </w:pPr>
          </w:p>
        </w:tc>
        <w:tc>
          <w:tcPr>
            <w:tcW w:w="709" w:type="dxa"/>
            <w:tcBorders>
              <w:top w:val="nil"/>
              <w:left w:val="single" w:sz="4" w:space="0" w:color="auto"/>
              <w:bottom w:val="single" w:sz="4" w:space="0" w:color="auto"/>
              <w:right w:val="nil"/>
            </w:tcBorders>
            <w:shd w:val="clear" w:color="000000" w:fill="F5DADD"/>
          </w:tcPr>
          <w:p w14:paraId="42E2D025" w14:textId="4FE4B6C4" w:rsidR="00951947" w:rsidRPr="00D92E20" w:rsidRDefault="00951947" w:rsidP="00BF4256">
            <w:pPr>
              <w:spacing w:after="0" w:line="240" w:lineRule="auto"/>
              <w:jc w:val="center"/>
              <w:rPr>
                <w:rFonts w:cs="Arial"/>
                <w:color w:val="000000"/>
                <w:sz w:val="16"/>
                <w:szCs w:val="16"/>
              </w:rPr>
            </w:pPr>
            <w:r>
              <w:rPr>
                <w:rFonts w:cs="Arial"/>
                <w:color w:val="000000"/>
                <w:sz w:val="16"/>
                <w:szCs w:val="16"/>
              </w:rPr>
              <w:t>muži</w:t>
            </w:r>
          </w:p>
        </w:tc>
        <w:tc>
          <w:tcPr>
            <w:tcW w:w="709" w:type="dxa"/>
            <w:tcBorders>
              <w:top w:val="nil"/>
              <w:bottom w:val="single" w:sz="4" w:space="0" w:color="auto"/>
              <w:right w:val="nil"/>
            </w:tcBorders>
            <w:shd w:val="clear" w:color="000000" w:fill="F5DADD"/>
          </w:tcPr>
          <w:p w14:paraId="40A103B2" w14:textId="6366DA58" w:rsidR="00951947" w:rsidRPr="00D92E20" w:rsidRDefault="00951947" w:rsidP="00BF4256">
            <w:pPr>
              <w:spacing w:after="0" w:line="240" w:lineRule="auto"/>
              <w:jc w:val="center"/>
              <w:rPr>
                <w:rFonts w:cs="Arial"/>
                <w:color w:val="000000"/>
                <w:sz w:val="16"/>
                <w:szCs w:val="16"/>
              </w:rPr>
            </w:pPr>
            <w:r>
              <w:rPr>
                <w:rFonts w:cs="Arial"/>
                <w:color w:val="000000"/>
                <w:sz w:val="16"/>
                <w:szCs w:val="16"/>
              </w:rPr>
              <w:t>ženy</w:t>
            </w:r>
          </w:p>
        </w:tc>
      </w:tr>
      <w:tr w:rsidR="00951947" w:rsidRPr="00D92E20" w14:paraId="39797E96" w14:textId="7C17ACDC" w:rsidTr="006054AC">
        <w:trPr>
          <w:trHeight w:val="300"/>
        </w:trPr>
        <w:tc>
          <w:tcPr>
            <w:tcW w:w="1077" w:type="dxa"/>
            <w:tcBorders>
              <w:top w:val="nil"/>
              <w:left w:val="nil"/>
              <w:bottom w:val="nil"/>
              <w:right w:val="single" w:sz="4" w:space="0" w:color="auto"/>
            </w:tcBorders>
            <w:shd w:val="clear" w:color="auto" w:fill="auto"/>
            <w:vAlign w:val="center"/>
            <w:hideMark/>
          </w:tcPr>
          <w:p w14:paraId="45A1EA30" w14:textId="77AA71B4" w:rsidR="00951947" w:rsidRPr="00D92E20" w:rsidRDefault="00951947" w:rsidP="00951947">
            <w:pPr>
              <w:spacing w:after="0" w:line="240" w:lineRule="auto"/>
              <w:jc w:val="center"/>
              <w:rPr>
                <w:rFonts w:cs="Arial"/>
                <w:color w:val="000000"/>
                <w:sz w:val="16"/>
                <w:szCs w:val="16"/>
              </w:rPr>
            </w:pPr>
            <w:r>
              <w:rPr>
                <w:rFonts w:cs="Arial"/>
                <w:sz w:val="16"/>
                <w:szCs w:val="16"/>
              </w:rPr>
              <w:t>1. pol. 2011</w:t>
            </w:r>
          </w:p>
        </w:tc>
        <w:tc>
          <w:tcPr>
            <w:tcW w:w="710" w:type="dxa"/>
            <w:tcBorders>
              <w:top w:val="nil"/>
              <w:left w:val="nil"/>
              <w:bottom w:val="nil"/>
              <w:right w:val="nil"/>
            </w:tcBorders>
            <w:shd w:val="clear" w:color="auto" w:fill="auto"/>
            <w:noWrap/>
            <w:vAlign w:val="center"/>
            <w:hideMark/>
          </w:tcPr>
          <w:p w14:paraId="6FA20F5F" w14:textId="40D91A0E" w:rsidR="00951947" w:rsidRPr="00D92E20" w:rsidRDefault="00951947" w:rsidP="00951947">
            <w:pPr>
              <w:spacing w:after="0" w:line="240" w:lineRule="auto"/>
              <w:jc w:val="right"/>
              <w:rPr>
                <w:rFonts w:cs="Arial"/>
                <w:color w:val="000000"/>
                <w:sz w:val="16"/>
                <w:szCs w:val="16"/>
              </w:rPr>
            </w:pPr>
            <w:r>
              <w:rPr>
                <w:rFonts w:cs="Arial"/>
                <w:sz w:val="16"/>
                <w:szCs w:val="16"/>
              </w:rPr>
              <w:t>24 298</w:t>
            </w:r>
          </w:p>
        </w:tc>
        <w:tc>
          <w:tcPr>
            <w:tcW w:w="709" w:type="dxa"/>
            <w:tcBorders>
              <w:top w:val="nil"/>
              <w:left w:val="nil"/>
              <w:bottom w:val="nil"/>
              <w:right w:val="nil"/>
            </w:tcBorders>
            <w:shd w:val="clear" w:color="auto" w:fill="auto"/>
            <w:noWrap/>
            <w:vAlign w:val="center"/>
            <w:hideMark/>
          </w:tcPr>
          <w:p w14:paraId="3734AAD8" w14:textId="400F2B52" w:rsidR="00951947" w:rsidRPr="00D92E20" w:rsidRDefault="00951947" w:rsidP="00951947">
            <w:pPr>
              <w:spacing w:after="0" w:line="240" w:lineRule="auto"/>
              <w:jc w:val="right"/>
              <w:rPr>
                <w:rFonts w:cs="Arial"/>
                <w:color w:val="000000"/>
                <w:sz w:val="16"/>
                <w:szCs w:val="16"/>
              </w:rPr>
            </w:pPr>
            <w:r>
              <w:rPr>
                <w:rFonts w:cs="Arial"/>
                <w:sz w:val="16"/>
                <w:szCs w:val="16"/>
              </w:rPr>
              <w:t>17 168</w:t>
            </w:r>
          </w:p>
        </w:tc>
        <w:tc>
          <w:tcPr>
            <w:tcW w:w="709" w:type="dxa"/>
            <w:tcBorders>
              <w:top w:val="nil"/>
              <w:left w:val="nil"/>
              <w:bottom w:val="nil"/>
              <w:right w:val="single" w:sz="4" w:space="0" w:color="auto"/>
            </w:tcBorders>
            <w:shd w:val="clear" w:color="auto" w:fill="auto"/>
            <w:noWrap/>
            <w:vAlign w:val="center"/>
            <w:hideMark/>
          </w:tcPr>
          <w:p w14:paraId="7A8AF9B5" w14:textId="43B899CC" w:rsidR="00951947" w:rsidRPr="00D92E20" w:rsidRDefault="00951947" w:rsidP="00951947">
            <w:pPr>
              <w:spacing w:after="0" w:line="240" w:lineRule="auto"/>
              <w:jc w:val="right"/>
              <w:rPr>
                <w:rFonts w:cs="Arial"/>
                <w:color w:val="000000"/>
                <w:sz w:val="16"/>
                <w:szCs w:val="16"/>
              </w:rPr>
            </w:pPr>
            <w:r>
              <w:rPr>
                <w:rFonts w:cs="Arial"/>
                <w:sz w:val="16"/>
                <w:szCs w:val="16"/>
              </w:rPr>
              <w:t>7 130</w:t>
            </w:r>
          </w:p>
        </w:tc>
        <w:tc>
          <w:tcPr>
            <w:tcW w:w="710" w:type="dxa"/>
            <w:tcBorders>
              <w:top w:val="nil"/>
              <w:left w:val="nil"/>
              <w:bottom w:val="nil"/>
              <w:right w:val="nil"/>
            </w:tcBorders>
            <w:shd w:val="clear" w:color="auto" w:fill="auto"/>
            <w:noWrap/>
            <w:vAlign w:val="center"/>
            <w:hideMark/>
          </w:tcPr>
          <w:p w14:paraId="409A7B68" w14:textId="06374D8B" w:rsidR="00951947" w:rsidRPr="00D92E20" w:rsidRDefault="00951947" w:rsidP="00951947">
            <w:pPr>
              <w:spacing w:after="0" w:line="240" w:lineRule="auto"/>
              <w:jc w:val="right"/>
              <w:rPr>
                <w:rFonts w:cs="Arial"/>
                <w:color w:val="000000"/>
                <w:sz w:val="16"/>
                <w:szCs w:val="16"/>
              </w:rPr>
            </w:pPr>
            <w:r>
              <w:rPr>
                <w:rFonts w:cs="Arial"/>
                <w:sz w:val="16"/>
                <w:szCs w:val="16"/>
              </w:rPr>
              <w:t>23 388</w:t>
            </w:r>
          </w:p>
        </w:tc>
        <w:tc>
          <w:tcPr>
            <w:tcW w:w="709" w:type="dxa"/>
            <w:tcBorders>
              <w:top w:val="nil"/>
              <w:left w:val="nil"/>
              <w:bottom w:val="nil"/>
              <w:right w:val="nil"/>
            </w:tcBorders>
            <w:shd w:val="clear" w:color="auto" w:fill="auto"/>
            <w:vAlign w:val="center"/>
            <w:hideMark/>
          </w:tcPr>
          <w:p w14:paraId="017D18EE" w14:textId="165E7CC6" w:rsidR="00951947" w:rsidRPr="00D92E20" w:rsidRDefault="00951947" w:rsidP="00951947">
            <w:pPr>
              <w:spacing w:after="0" w:line="240" w:lineRule="auto"/>
              <w:jc w:val="right"/>
              <w:rPr>
                <w:rFonts w:cs="Arial"/>
                <w:color w:val="000000"/>
                <w:sz w:val="16"/>
                <w:szCs w:val="16"/>
              </w:rPr>
            </w:pPr>
            <w:r>
              <w:rPr>
                <w:rFonts w:cs="Arial"/>
                <w:sz w:val="16"/>
                <w:szCs w:val="16"/>
              </w:rPr>
              <w:t>16 473</w:t>
            </w:r>
          </w:p>
        </w:tc>
        <w:tc>
          <w:tcPr>
            <w:tcW w:w="709" w:type="dxa"/>
            <w:tcBorders>
              <w:top w:val="nil"/>
              <w:left w:val="nil"/>
              <w:bottom w:val="nil"/>
              <w:right w:val="single" w:sz="4" w:space="0" w:color="auto"/>
            </w:tcBorders>
            <w:shd w:val="clear" w:color="auto" w:fill="auto"/>
            <w:vAlign w:val="center"/>
            <w:hideMark/>
          </w:tcPr>
          <w:p w14:paraId="37321543" w14:textId="1A02BEB2" w:rsidR="00951947" w:rsidRPr="00D92E20" w:rsidRDefault="00951947" w:rsidP="00951947">
            <w:pPr>
              <w:spacing w:after="0" w:line="240" w:lineRule="auto"/>
              <w:jc w:val="right"/>
              <w:rPr>
                <w:rFonts w:cs="Arial"/>
                <w:color w:val="000000"/>
                <w:sz w:val="16"/>
                <w:szCs w:val="16"/>
              </w:rPr>
            </w:pPr>
            <w:r>
              <w:rPr>
                <w:rFonts w:cs="Arial"/>
                <w:sz w:val="16"/>
                <w:szCs w:val="16"/>
              </w:rPr>
              <w:t>6 915</w:t>
            </w:r>
          </w:p>
        </w:tc>
        <w:tc>
          <w:tcPr>
            <w:tcW w:w="710" w:type="dxa"/>
            <w:tcBorders>
              <w:top w:val="nil"/>
              <w:left w:val="nil"/>
              <w:bottom w:val="nil"/>
              <w:right w:val="nil"/>
            </w:tcBorders>
            <w:shd w:val="clear" w:color="auto" w:fill="auto"/>
            <w:vAlign w:val="center"/>
            <w:hideMark/>
          </w:tcPr>
          <w:p w14:paraId="17668B07" w14:textId="082C60CD" w:rsidR="00951947" w:rsidRPr="00D92E20" w:rsidRDefault="00951947" w:rsidP="00951947">
            <w:pPr>
              <w:spacing w:after="0" w:line="240" w:lineRule="auto"/>
              <w:jc w:val="right"/>
              <w:rPr>
                <w:rFonts w:cs="Arial"/>
                <w:color w:val="000000"/>
                <w:sz w:val="16"/>
                <w:szCs w:val="16"/>
              </w:rPr>
            </w:pPr>
            <w:r>
              <w:rPr>
                <w:rFonts w:cs="Arial"/>
                <w:sz w:val="16"/>
                <w:szCs w:val="16"/>
              </w:rPr>
              <w:t>69</w:t>
            </w:r>
          </w:p>
        </w:tc>
        <w:tc>
          <w:tcPr>
            <w:tcW w:w="709" w:type="dxa"/>
            <w:tcBorders>
              <w:top w:val="nil"/>
              <w:left w:val="nil"/>
              <w:bottom w:val="nil"/>
              <w:right w:val="nil"/>
            </w:tcBorders>
            <w:shd w:val="clear" w:color="auto" w:fill="auto"/>
            <w:vAlign w:val="center"/>
            <w:hideMark/>
          </w:tcPr>
          <w:p w14:paraId="53F048C2" w14:textId="3A4872AC" w:rsidR="00951947" w:rsidRPr="00D92E20" w:rsidRDefault="00951947" w:rsidP="00951947">
            <w:pPr>
              <w:spacing w:after="0" w:line="240" w:lineRule="auto"/>
              <w:jc w:val="right"/>
              <w:rPr>
                <w:rFonts w:cs="Arial"/>
                <w:color w:val="000000"/>
                <w:sz w:val="16"/>
                <w:szCs w:val="16"/>
              </w:rPr>
            </w:pPr>
            <w:r>
              <w:rPr>
                <w:rFonts w:cs="Arial"/>
                <w:sz w:val="16"/>
                <w:szCs w:val="16"/>
              </w:rPr>
              <w:t>65</w:t>
            </w:r>
          </w:p>
        </w:tc>
        <w:tc>
          <w:tcPr>
            <w:tcW w:w="709" w:type="dxa"/>
            <w:tcBorders>
              <w:top w:val="single" w:sz="4" w:space="0" w:color="auto"/>
              <w:left w:val="nil"/>
              <w:bottom w:val="nil"/>
              <w:right w:val="single" w:sz="4" w:space="0" w:color="auto"/>
            </w:tcBorders>
            <w:shd w:val="clear" w:color="auto" w:fill="auto"/>
            <w:vAlign w:val="center"/>
            <w:hideMark/>
          </w:tcPr>
          <w:p w14:paraId="442423AD" w14:textId="01939C54" w:rsidR="00951947" w:rsidRPr="00D92E20" w:rsidRDefault="00951947" w:rsidP="00951947">
            <w:pPr>
              <w:spacing w:after="0" w:line="240" w:lineRule="auto"/>
              <w:jc w:val="right"/>
              <w:rPr>
                <w:rFonts w:cs="Arial"/>
                <w:color w:val="000000"/>
                <w:sz w:val="16"/>
                <w:szCs w:val="16"/>
              </w:rPr>
            </w:pPr>
            <w:r>
              <w:rPr>
                <w:rFonts w:cs="Arial"/>
                <w:sz w:val="16"/>
                <w:szCs w:val="16"/>
              </w:rPr>
              <w:t>4</w:t>
            </w:r>
          </w:p>
        </w:tc>
        <w:tc>
          <w:tcPr>
            <w:tcW w:w="710" w:type="dxa"/>
            <w:tcBorders>
              <w:top w:val="nil"/>
              <w:left w:val="single" w:sz="4" w:space="0" w:color="auto"/>
              <w:bottom w:val="nil"/>
              <w:right w:val="nil"/>
            </w:tcBorders>
            <w:vAlign w:val="center"/>
          </w:tcPr>
          <w:p w14:paraId="157E345F" w14:textId="6413BCF7" w:rsidR="00951947" w:rsidRDefault="00951947" w:rsidP="00951947">
            <w:pPr>
              <w:spacing w:after="0" w:line="240" w:lineRule="auto"/>
              <w:jc w:val="right"/>
              <w:rPr>
                <w:rFonts w:cs="Arial"/>
                <w:sz w:val="16"/>
                <w:szCs w:val="16"/>
              </w:rPr>
            </w:pPr>
            <w:r>
              <w:rPr>
                <w:rFonts w:cs="Arial"/>
                <w:sz w:val="16"/>
                <w:szCs w:val="16"/>
              </w:rPr>
              <w:t>783</w:t>
            </w:r>
          </w:p>
        </w:tc>
        <w:tc>
          <w:tcPr>
            <w:tcW w:w="709" w:type="dxa"/>
            <w:tcBorders>
              <w:top w:val="nil"/>
              <w:left w:val="nil"/>
              <w:bottom w:val="nil"/>
              <w:right w:val="nil"/>
            </w:tcBorders>
            <w:vAlign w:val="center"/>
          </w:tcPr>
          <w:p w14:paraId="52332ACB" w14:textId="6445467D" w:rsidR="00951947" w:rsidRDefault="00951947" w:rsidP="00951947">
            <w:pPr>
              <w:spacing w:after="0" w:line="240" w:lineRule="auto"/>
              <w:jc w:val="right"/>
              <w:rPr>
                <w:rFonts w:cs="Arial"/>
                <w:sz w:val="16"/>
                <w:szCs w:val="16"/>
              </w:rPr>
            </w:pPr>
            <w:r>
              <w:rPr>
                <w:rFonts w:cs="Arial"/>
                <w:sz w:val="16"/>
                <w:szCs w:val="16"/>
              </w:rPr>
              <w:t>647</w:t>
            </w:r>
          </w:p>
        </w:tc>
        <w:tc>
          <w:tcPr>
            <w:tcW w:w="709" w:type="dxa"/>
            <w:tcBorders>
              <w:top w:val="nil"/>
              <w:left w:val="nil"/>
              <w:bottom w:val="nil"/>
              <w:right w:val="nil"/>
            </w:tcBorders>
            <w:vAlign w:val="center"/>
          </w:tcPr>
          <w:p w14:paraId="334F7506" w14:textId="50AE25CA" w:rsidR="00951947" w:rsidRDefault="00951947" w:rsidP="00951947">
            <w:pPr>
              <w:spacing w:after="0" w:line="240" w:lineRule="auto"/>
              <w:jc w:val="right"/>
              <w:rPr>
                <w:rFonts w:cs="Arial"/>
                <w:sz w:val="16"/>
                <w:szCs w:val="16"/>
              </w:rPr>
            </w:pPr>
            <w:r>
              <w:rPr>
                <w:rFonts w:cs="Arial"/>
                <w:sz w:val="16"/>
                <w:szCs w:val="16"/>
              </w:rPr>
              <w:t>136</w:t>
            </w:r>
          </w:p>
        </w:tc>
      </w:tr>
      <w:tr w:rsidR="00951947" w:rsidRPr="00D92E20" w14:paraId="1945DD99" w14:textId="0A493FD3" w:rsidTr="006054AC">
        <w:trPr>
          <w:trHeight w:val="300"/>
        </w:trPr>
        <w:tc>
          <w:tcPr>
            <w:tcW w:w="1077" w:type="dxa"/>
            <w:tcBorders>
              <w:top w:val="nil"/>
              <w:left w:val="nil"/>
              <w:bottom w:val="nil"/>
              <w:right w:val="single" w:sz="4" w:space="0" w:color="auto"/>
            </w:tcBorders>
            <w:shd w:val="clear" w:color="auto" w:fill="auto"/>
            <w:vAlign w:val="center"/>
            <w:hideMark/>
          </w:tcPr>
          <w:p w14:paraId="04FA1910" w14:textId="7D32D12D" w:rsidR="00951947" w:rsidRPr="00D92E20" w:rsidRDefault="00951947" w:rsidP="00951947">
            <w:pPr>
              <w:spacing w:after="0" w:line="240" w:lineRule="auto"/>
              <w:jc w:val="center"/>
              <w:rPr>
                <w:rFonts w:cs="Arial"/>
                <w:color w:val="000000"/>
                <w:sz w:val="16"/>
                <w:szCs w:val="16"/>
              </w:rPr>
            </w:pPr>
            <w:r>
              <w:rPr>
                <w:rFonts w:cs="Arial"/>
                <w:sz w:val="16"/>
                <w:szCs w:val="16"/>
              </w:rPr>
              <w:t>1. pol. 2012</w:t>
            </w:r>
          </w:p>
        </w:tc>
        <w:tc>
          <w:tcPr>
            <w:tcW w:w="710" w:type="dxa"/>
            <w:tcBorders>
              <w:top w:val="nil"/>
              <w:left w:val="nil"/>
              <w:bottom w:val="nil"/>
              <w:right w:val="nil"/>
            </w:tcBorders>
            <w:shd w:val="clear" w:color="auto" w:fill="auto"/>
            <w:noWrap/>
            <w:vAlign w:val="center"/>
            <w:hideMark/>
          </w:tcPr>
          <w:p w14:paraId="09A022C1" w14:textId="4DE572FB" w:rsidR="00951947" w:rsidRPr="00D92E20" w:rsidRDefault="00951947" w:rsidP="00951947">
            <w:pPr>
              <w:spacing w:after="0" w:line="240" w:lineRule="auto"/>
              <w:jc w:val="right"/>
              <w:rPr>
                <w:rFonts w:cs="Arial"/>
                <w:color w:val="000000"/>
                <w:sz w:val="16"/>
                <w:szCs w:val="16"/>
              </w:rPr>
            </w:pPr>
            <w:r>
              <w:rPr>
                <w:rFonts w:cs="Arial"/>
                <w:sz w:val="16"/>
                <w:szCs w:val="16"/>
              </w:rPr>
              <w:t>21 816</w:t>
            </w:r>
          </w:p>
        </w:tc>
        <w:tc>
          <w:tcPr>
            <w:tcW w:w="709" w:type="dxa"/>
            <w:tcBorders>
              <w:top w:val="nil"/>
              <w:left w:val="nil"/>
              <w:bottom w:val="nil"/>
              <w:right w:val="nil"/>
            </w:tcBorders>
            <w:shd w:val="clear" w:color="auto" w:fill="auto"/>
            <w:noWrap/>
            <w:vAlign w:val="center"/>
            <w:hideMark/>
          </w:tcPr>
          <w:p w14:paraId="5F61F278" w14:textId="19DCDC9B" w:rsidR="00951947" w:rsidRPr="00D92E20" w:rsidRDefault="00951947" w:rsidP="00951947">
            <w:pPr>
              <w:spacing w:after="0" w:line="240" w:lineRule="auto"/>
              <w:jc w:val="right"/>
              <w:rPr>
                <w:rFonts w:cs="Arial"/>
                <w:color w:val="000000"/>
                <w:sz w:val="16"/>
                <w:szCs w:val="16"/>
              </w:rPr>
            </w:pPr>
            <w:r>
              <w:rPr>
                <w:rFonts w:cs="Arial"/>
                <w:sz w:val="16"/>
                <w:szCs w:val="16"/>
              </w:rPr>
              <w:t>15 504</w:t>
            </w:r>
          </w:p>
        </w:tc>
        <w:tc>
          <w:tcPr>
            <w:tcW w:w="709" w:type="dxa"/>
            <w:tcBorders>
              <w:top w:val="nil"/>
              <w:left w:val="nil"/>
              <w:bottom w:val="nil"/>
              <w:right w:val="single" w:sz="4" w:space="0" w:color="auto"/>
            </w:tcBorders>
            <w:shd w:val="clear" w:color="auto" w:fill="auto"/>
            <w:noWrap/>
            <w:vAlign w:val="center"/>
            <w:hideMark/>
          </w:tcPr>
          <w:p w14:paraId="4B9FD3D0" w14:textId="50C71CD3" w:rsidR="00951947" w:rsidRPr="00D92E20" w:rsidRDefault="00951947" w:rsidP="00951947">
            <w:pPr>
              <w:spacing w:after="0" w:line="240" w:lineRule="auto"/>
              <w:jc w:val="right"/>
              <w:rPr>
                <w:rFonts w:cs="Arial"/>
                <w:color w:val="000000"/>
                <w:sz w:val="16"/>
                <w:szCs w:val="16"/>
              </w:rPr>
            </w:pPr>
            <w:r>
              <w:rPr>
                <w:rFonts w:cs="Arial"/>
                <w:sz w:val="16"/>
                <w:szCs w:val="16"/>
              </w:rPr>
              <w:t>6 312</w:t>
            </w:r>
          </w:p>
        </w:tc>
        <w:tc>
          <w:tcPr>
            <w:tcW w:w="710" w:type="dxa"/>
            <w:tcBorders>
              <w:top w:val="nil"/>
              <w:left w:val="nil"/>
              <w:bottom w:val="nil"/>
              <w:right w:val="nil"/>
            </w:tcBorders>
            <w:shd w:val="clear" w:color="auto" w:fill="auto"/>
            <w:noWrap/>
            <w:vAlign w:val="center"/>
            <w:hideMark/>
          </w:tcPr>
          <w:p w14:paraId="4D8DB3D2" w14:textId="64578499" w:rsidR="00951947" w:rsidRPr="00D92E20" w:rsidRDefault="00951947" w:rsidP="00951947">
            <w:pPr>
              <w:spacing w:after="0" w:line="240" w:lineRule="auto"/>
              <w:jc w:val="right"/>
              <w:rPr>
                <w:rFonts w:cs="Arial"/>
                <w:color w:val="000000"/>
                <w:sz w:val="16"/>
                <w:szCs w:val="16"/>
              </w:rPr>
            </w:pPr>
            <w:r>
              <w:rPr>
                <w:rFonts w:cs="Arial"/>
                <w:sz w:val="16"/>
                <w:szCs w:val="16"/>
              </w:rPr>
              <w:t>21 356</w:t>
            </w:r>
          </w:p>
        </w:tc>
        <w:tc>
          <w:tcPr>
            <w:tcW w:w="709" w:type="dxa"/>
            <w:tcBorders>
              <w:top w:val="nil"/>
              <w:left w:val="nil"/>
              <w:bottom w:val="nil"/>
              <w:right w:val="nil"/>
            </w:tcBorders>
            <w:shd w:val="clear" w:color="auto" w:fill="auto"/>
            <w:vAlign w:val="center"/>
            <w:hideMark/>
          </w:tcPr>
          <w:p w14:paraId="50385049" w14:textId="2B68D1FD" w:rsidR="00951947" w:rsidRPr="00D92E20" w:rsidRDefault="00951947" w:rsidP="00951947">
            <w:pPr>
              <w:spacing w:after="0" w:line="240" w:lineRule="auto"/>
              <w:jc w:val="right"/>
              <w:rPr>
                <w:rFonts w:cs="Arial"/>
                <w:color w:val="000000"/>
                <w:sz w:val="16"/>
                <w:szCs w:val="16"/>
              </w:rPr>
            </w:pPr>
            <w:r>
              <w:rPr>
                <w:rFonts w:cs="Arial"/>
                <w:sz w:val="16"/>
                <w:szCs w:val="16"/>
              </w:rPr>
              <w:t>15 156</w:t>
            </w:r>
          </w:p>
        </w:tc>
        <w:tc>
          <w:tcPr>
            <w:tcW w:w="709" w:type="dxa"/>
            <w:tcBorders>
              <w:top w:val="nil"/>
              <w:left w:val="nil"/>
              <w:bottom w:val="nil"/>
              <w:right w:val="single" w:sz="4" w:space="0" w:color="auto"/>
            </w:tcBorders>
            <w:shd w:val="clear" w:color="auto" w:fill="auto"/>
            <w:vAlign w:val="center"/>
            <w:hideMark/>
          </w:tcPr>
          <w:p w14:paraId="1B6CE7EC" w14:textId="68B8CEDD" w:rsidR="00951947" w:rsidRPr="00D92E20" w:rsidRDefault="00951947" w:rsidP="00951947">
            <w:pPr>
              <w:spacing w:after="0" w:line="240" w:lineRule="auto"/>
              <w:jc w:val="right"/>
              <w:rPr>
                <w:rFonts w:cs="Arial"/>
                <w:color w:val="000000"/>
                <w:sz w:val="16"/>
                <w:szCs w:val="16"/>
              </w:rPr>
            </w:pPr>
            <w:r>
              <w:rPr>
                <w:rFonts w:cs="Arial"/>
                <w:sz w:val="16"/>
                <w:szCs w:val="16"/>
              </w:rPr>
              <w:t>6 200</w:t>
            </w:r>
          </w:p>
        </w:tc>
        <w:tc>
          <w:tcPr>
            <w:tcW w:w="710" w:type="dxa"/>
            <w:tcBorders>
              <w:top w:val="nil"/>
              <w:left w:val="nil"/>
              <w:bottom w:val="nil"/>
              <w:right w:val="nil"/>
            </w:tcBorders>
            <w:shd w:val="clear" w:color="auto" w:fill="auto"/>
            <w:vAlign w:val="center"/>
            <w:hideMark/>
          </w:tcPr>
          <w:p w14:paraId="3C0A15B0" w14:textId="2D1A0161" w:rsidR="00951947" w:rsidRPr="00D92E20" w:rsidRDefault="00951947" w:rsidP="00951947">
            <w:pPr>
              <w:spacing w:after="0" w:line="240" w:lineRule="auto"/>
              <w:jc w:val="right"/>
              <w:rPr>
                <w:rFonts w:cs="Arial"/>
                <w:color w:val="000000"/>
                <w:sz w:val="16"/>
                <w:szCs w:val="16"/>
              </w:rPr>
            </w:pPr>
            <w:r>
              <w:rPr>
                <w:rFonts w:cs="Arial"/>
                <w:sz w:val="16"/>
                <w:szCs w:val="16"/>
              </w:rPr>
              <w:t>53</w:t>
            </w:r>
          </w:p>
        </w:tc>
        <w:tc>
          <w:tcPr>
            <w:tcW w:w="709" w:type="dxa"/>
            <w:tcBorders>
              <w:top w:val="nil"/>
              <w:left w:val="nil"/>
              <w:bottom w:val="nil"/>
              <w:right w:val="nil"/>
            </w:tcBorders>
            <w:shd w:val="clear" w:color="auto" w:fill="auto"/>
            <w:vAlign w:val="center"/>
            <w:hideMark/>
          </w:tcPr>
          <w:p w14:paraId="69EEC951" w14:textId="5D1F307E" w:rsidR="00951947" w:rsidRPr="00D92E20" w:rsidRDefault="00951947" w:rsidP="00951947">
            <w:pPr>
              <w:spacing w:after="0" w:line="240" w:lineRule="auto"/>
              <w:jc w:val="right"/>
              <w:rPr>
                <w:rFonts w:cs="Arial"/>
                <w:color w:val="000000"/>
                <w:sz w:val="16"/>
                <w:szCs w:val="16"/>
              </w:rPr>
            </w:pPr>
            <w:r>
              <w:rPr>
                <w:rFonts w:cs="Arial"/>
                <w:sz w:val="16"/>
                <w:szCs w:val="16"/>
              </w:rPr>
              <w:t>52</w:t>
            </w:r>
          </w:p>
        </w:tc>
        <w:tc>
          <w:tcPr>
            <w:tcW w:w="709" w:type="dxa"/>
            <w:tcBorders>
              <w:top w:val="nil"/>
              <w:left w:val="nil"/>
              <w:bottom w:val="nil"/>
              <w:right w:val="single" w:sz="4" w:space="0" w:color="auto"/>
            </w:tcBorders>
            <w:shd w:val="clear" w:color="auto" w:fill="auto"/>
            <w:vAlign w:val="center"/>
            <w:hideMark/>
          </w:tcPr>
          <w:p w14:paraId="08AE141A" w14:textId="207F2A85" w:rsidR="00951947" w:rsidRPr="00D92E20" w:rsidRDefault="00951947" w:rsidP="00951947">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4F44AC3C" w14:textId="43ECA44D" w:rsidR="00951947" w:rsidRDefault="00951947" w:rsidP="00951947">
            <w:pPr>
              <w:spacing w:after="0" w:line="240" w:lineRule="auto"/>
              <w:jc w:val="right"/>
              <w:rPr>
                <w:rFonts w:cs="Arial"/>
                <w:sz w:val="16"/>
                <w:szCs w:val="16"/>
              </w:rPr>
            </w:pPr>
            <w:r>
              <w:rPr>
                <w:rFonts w:cs="Arial"/>
                <w:sz w:val="16"/>
                <w:szCs w:val="16"/>
              </w:rPr>
              <w:t>713</w:t>
            </w:r>
          </w:p>
        </w:tc>
        <w:tc>
          <w:tcPr>
            <w:tcW w:w="709" w:type="dxa"/>
            <w:tcBorders>
              <w:top w:val="nil"/>
              <w:left w:val="nil"/>
              <w:bottom w:val="nil"/>
              <w:right w:val="nil"/>
            </w:tcBorders>
            <w:vAlign w:val="center"/>
          </w:tcPr>
          <w:p w14:paraId="0FAB701C" w14:textId="686809B8" w:rsidR="00951947" w:rsidRDefault="00951947" w:rsidP="00951947">
            <w:pPr>
              <w:spacing w:after="0" w:line="240" w:lineRule="auto"/>
              <w:jc w:val="right"/>
              <w:rPr>
                <w:rFonts w:cs="Arial"/>
                <w:sz w:val="16"/>
                <w:szCs w:val="16"/>
              </w:rPr>
            </w:pPr>
            <w:r>
              <w:rPr>
                <w:rFonts w:cs="Arial"/>
                <w:sz w:val="16"/>
                <w:szCs w:val="16"/>
              </w:rPr>
              <w:t>572</w:t>
            </w:r>
          </w:p>
        </w:tc>
        <w:tc>
          <w:tcPr>
            <w:tcW w:w="709" w:type="dxa"/>
            <w:tcBorders>
              <w:top w:val="nil"/>
              <w:left w:val="nil"/>
              <w:bottom w:val="nil"/>
              <w:right w:val="nil"/>
            </w:tcBorders>
            <w:vAlign w:val="center"/>
          </w:tcPr>
          <w:p w14:paraId="3722308F" w14:textId="7A49B952" w:rsidR="00951947" w:rsidRDefault="00951947" w:rsidP="00951947">
            <w:pPr>
              <w:spacing w:after="0" w:line="240" w:lineRule="auto"/>
              <w:jc w:val="right"/>
              <w:rPr>
                <w:rFonts w:cs="Arial"/>
                <w:sz w:val="16"/>
                <w:szCs w:val="16"/>
              </w:rPr>
            </w:pPr>
            <w:r>
              <w:rPr>
                <w:rFonts w:cs="Arial"/>
                <w:sz w:val="16"/>
                <w:szCs w:val="16"/>
              </w:rPr>
              <w:t>141</w:t>
            </w:r>
          </w:p>
        </w:tc>
      </w:tr>
      <w:tr w:rsidR="00951947" w:rsidRPr="00D92E20" w14:paraId="600CB864" w14:textId="35ADAC8D" w:rsidTr="006054AC">
        <w:trPr>
          <w:trHeight w:val="300"/>
        </w:trPr>
        <w:tc>
          <w:tcPr>
            <w:tcW w:w="1077" w:type="dxa"/>
            <w:tcBorders>
              <w:top w:val="nil"/>
              <w:left w:val="nil"/>
              <w:bottom w:val="nil"/>
              <w:right w:val="single" w:sz="4" w:space="0" w:color="auto"/>
            </w:tcBorders>
            <w:shd w:val="clear" w:color="auto" w:fill="auto"/>
            <w:vAlign w:val="center"/>
            <w:hideMark/>
          </w:tcPr>
          <w:p w14:paraId="2852FA3E" w14:textId="205EAA6B" w:rsidR="00951947" w:rsidRPr="00D92E20" w:rsidRDefault="00951947" w:rsidP="00951947">
            <w:pPr>
              <w:spacing w:after="0" w:line="240" w:lineRule="auto"/>
              <w:jc w:val="center"/>
              <w:rPr>
                <w:rFonts w:cs="Arial"/>
                <w:color w:val="000000"/>
                <w:sz w:val="16"/>
                <w:szCs w:val="16"/>
              </w:rPr>
            </w:pPr>
            <w:r>
              <w:rPr>
                <w:rFonts w:cs="Arial"/>
                <w:sz w:val="16"/>
                <w:szCs w:val="16"/>
              </w:rPr>
              <w:t>1. pol. 2013</w:t>
            </w:r>
          </w:p>
        </w:tc>
        <w:tc>
          <w:tcPr>
            <w:tcW w:w="710" w:type="dxa"/>
            <w:tcBorders>
              <w:top w:val="nil"/>
              <w:left w:val="nil"/>
              <w:bottom w:val="nil"/>
              <w:right w:val="nil"/>
            </w:tcBorders>
            <w:shd w:val="clear" w:color="auto" w:fill="auto"/>
            <w:noWrap/>
            <w:vAlign w:val="center"/>
            <w:hideMark/>
          </w:tcPr>
          <w:p w14:paraId="1256F731" w14:textId="09F3B25A" w:rsidR="00951947" w:rsidRPr="00D92E20" w:rsidRDefault="00951947" w:rsidP="00951947">
            <w:pPr>
              <w:spacing w:after="0" w:line="240" w:lineRule="auto"/>
              <w:jc w:val="right"/>
              <w:rPr>
                <w:rFonts w:cs="Arial"/>
                <w:color w:val="000000"/>
                <w:sz w:val="16"/>
                <w:szCs w:val="16"/>
              </w:rPr>
            </w:pPr>
            <w:r>
              <w:rPr>
                <w:rFonts w:cs="Arial"/>
                <w:sz w:val="16"/>
                <w:szCs w:val="16"/>
              </w:rPr>
              <w:t>21 935</w:t>
            </w:r>
          </w:p>
        </w:tc>
        <w:tc>
          <w:tcPr>
            <w:tcW w:w="709" w:type="dxa"/>
            <w:tcBorders>
              <w:top w:val="nil"/>
              <w:left w:val="nil"/>
              <w:bottom w:val="nil"/>
              <w:right w:val="nil"/>
            </w:tcBorders>
            <w:shd w:val="clear" w:color="auto" w:fill="auto"/>
            <w:noWrap/>
            <w:vAlign w:val="center"/>
            <w:hideMark/>
          </w:tcPr>
          <w:p w14:paraId="2D55BE09" w14:textId="610449CF" w:rsidR="00951947" w:rsidRPr="00D92E20" w:rsidRDefault="00951947" w:rsidP="00951947">
            <w:pPr>
              <w:spacing w:after="0" w:line="240" w:lineRule="auto"/>
              <w:jc w:val="right"/>
              <w:rPr>
                <w:rFonts w:cs="Arial"/>
                <w:color w:val="000000"/>
                <w:sz w:val="16"/>
                <w:szCs w:val="16"/>
              </w:rPr>
            </w:pPr>
            <w:r>
              <w:rPr>
                <w:rFonts w:cs="Arial"/>
                <w:sz w:val="16"/>
                <w:szCs w:val="16"/>
              </w:rPr>
              <w:t>15 304</w:t>
            </w:r>
          </w:p>
        </w:tc>
        <w:tc>
          <w:tcPr>
            <w:tcW w:w="709" w:type="dxa"/>
            <w:tcBorders>
              <w:top w:val="nil"/>
              <w:left w:val="nil"/>
              <w:bottom w:val="nil"/>
              <w:right w:val="single" w:sz="4" w:space="0" w:color="auto"/>
            </w:tcBorders>
            <w:shd w:val="clear" w:color="auto" w:fill="auto"/>
            <w:noWrap/>
            <w:vAlign w:val="center"/>
            <w:hideMark/>
          </w:tcPr>
          <w:p w14:paraId="4D6831B1" w14:textId="4B4C1A71" w:rsidR="00951947" w:rsidRPr="00D92E20" w:rsidRDefault="00951947" w:rsidP="00951947">
            <w:pPr>
              <w:spacing w:after="0" w:line="240" w:lineRule="auto"/>
              <w:jc w:val="right"/>
              <w:rPr>
                <w:rFonts w:cs="Arial"/>
                <w:color w:val="000000"/>
                <w:sz w:val="16"/>
                <w:szCs w:val="16"/>
              </w:rPr>
            </w:pPr>
            <w:r>
              <w:rPr>
                <w:rFonts w:cs="Arial"/>
                <w:sz w:val="16"/>
                <w:szCs w:val="16"/>
              </w:rPr>
              <w:t>6 631</w:t>
            </w:r>
          </w:p>
        </w:tc>
        <w:tc>
          <w:tcPr>
            <w:tcW w:w="710" w:type="dxa"/>
            <w:tcBorders>
              <w:top w:val="nil"/>
              <w:left w:val="nil"/>
              <w:bottom w:val="nil"/>
              <w:right w:val="nil"/>
            </w:tcBorders>
            <w:shd w:val="clear" w:color="auto" w:fill="auto"/>
            <w:noWrap/>
            <w:vAlign w:val="center"/>
            <w:hideMark/>
          </w:tcPr>
          <w:p w14:paraId="314725A6" w14:textId="14751092" w:rsidR="00951947" w:rsidRPr="00D92E20" w:rsidRDefault="00951947" w:rsidP="00951947">
            <w:pPr>
              <w:spacing w:after="0" w:line="240" w:lineRule="auto"/>
              <w:jc w:val="right"/>
              <w:rPr>
                <w:rFonts w:cs="Arial"/>
                <w:color w:val="000000"/>
                <w:sz w:val="16"/>
                <w:szCs w:val="16"/>
              </w:rPr>
            </w:pPr>
            <w:r>
              <w:rPr>
                <w:rFonts w:cs="Arial"/>
                <w:sz w:val="16"/>
                <w:szCs w:val="16"/>
              </w:rPr>
              <w:t>21 542</w:t>
            </w:r>
          </w:p>
        </w:tc>
        <w:tc>
          <w:tcPr>
            <w:tcW w:w="709" w:type="dxa"/>
            <w:tcBorders>
              <w:top w:val="nil"/>
              <w:left w:val="nil"/>
              <w:bottom w:val="nil"/>
              <w:right w:val="nil"/>
            </w:tcBorders>
            <w:shd w:val="clear" w:color="auto" w:fill="auto"/>
            <w:vAlign w:val="center"/>
            <w:hideMark/>
          </w:tcPr>
          <w:p w14:paraId="117C1CB0" w14:textId="09727ED0" w:rsidR="00951947" w:rsidRPr="00D92E20" w:rsidRDefault="00951947" w:rsidP="00951947">
            <w:pPr>
              <w:spacing w:after="0" w:line="240" w:lineRule="auto"/>
              <w:jc w:val="right"/>
              <w:rPr>
                <w:rFonts w:cs="Arial"/>
                <w:color w:val="000000"/>
                <w:sz w:val="16"/>
                <w:szCs w:val="16"/>
              </w:rPr>
            </w:pPr>
            <w:r>
              <w:rPr>
                <w:rFonts w:cs="Arial"/>
                <w:sz w:val="16"/>
                <w:szCs w:val="16"/>
              </w:rPr>
              <w:t>15 007</w:t>
            </w:r>
          </w:p>
        </w:tc>
        <w:tc>
          <w:tcPr>
            <w:tcW w:w="709" w:type="dxa"/>
            <w:tcBorders>
              <w:top w:val="nil"/>
              <w:left w:val="nil"/>
              <w:bottom w:val="nil"/>
              <w:right w:val="single" w:sz="4" w:space="0" w:color="auto"/>
            </w:tcBorders>
            <w:shd w:val="clear" w:color="auto" w:fill="auto"/>
            <w:vAlign w:val="center"/>
            <w:hideMark/>
          </w:tcPr>
          <w:p w14:paraId="61653512" w14:textId="7198BB94" w:rsidR="00951947" w:rsidRPr="00D92E20" w:rsidRDefault="00951947" w:rsidP="00951947">
            <w:pPr>
              <w:spacing w:after="0" w:line="240" w:lineRule="auto"/>
              <w:jc w:val="right"/>
              <w:rPr>
                <w:rFonts w:cs="Arial"/>
                <w:color w:val="000000"/>
                <w:sz w:val="16"/>
                <w:szCs w:val="16"/>
              </w:rPr>
            </w:pPr>
            <w:r>
              <w:rPr>
                <w:rFonts w:cs="Arial"/>
                <w:sz w:val="16"/>
                <w:szCs w:val="16"/>
              </w:rPr>
              <w:t>6 535</w:t>
            </w:r>
          </w:p>
        </w:tc>
        <w:tc>
          <w:tcPr>
            <w:tcW w:w="710" w:type="dxa"/>
            <w:tcBorders>
              <w:top w:val="nil"/>
              <w:left w:val="nil"/>
              <w:bottom w:val="nil"/>
              <w:right w:val="nil"/>
            </w:tcBorders>
            <w:shd w:val="clear" w:color="auto" w:fill="auto"/>
            <w:vAlign w:val="center"/>
            <w:hideMark/>
          </w:tcPr>
          <w:p w14:paraId="02B1E908" w14:textId="24318F6B" w:rsidR="00951947" w:rsidRPr="00D92E20" w:rsidRDefault="00951947" w:rsidP="00951947">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nil"/>
            </w:tcBorders>
            <w:shd w:val="clear" w:color="auto" w:fill="auto"/>
            <w:vAlign w:val="center"/>
            <w:hideMark/>
          </w:tcPr>
          <w:p w14:paraId="7E45842F" w14:textId="6B2B1849" w:rsidR="00951947" w:rsidRPr="00D92E20" w:rsidRDefault="00951947" w:rsidP="00951947">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4BED0CB1" w14:textId="5C7EC4BF" w:rsidR="00951947" w:rsidRPr="00D92E20" w:rsidRDefault="00951947" w:rsidP="00951947">
            <w:pPr>
              <w:spacing w:after="0" w:line="240" w:lineRule="auto"/>
              <w:jc w:val="right"/>
              <w:rPr>
                <w:rFonts w:cs="Arial"/>
                <w:color w:val="000000"/>
                <w:sz w:val="16"/>
                <w:szCs w:val="16"/>
              </w:rPr>
            </w:pPr>
            <w:r>
              <w:rPr>
                <w:rFonts w:cs="Arial"/>
                <w:sz w:val="16"/>
                <w:szCs w:val="16"/>
              </w:rPr>
              <w:t>4</w:t>
            </w:r>
          </w:p>
        </w:tc>
        <w:tc>
          <w:tcPr>
            <w:tcW w:w="710" w:type="dxa"/>
            <w:tcBorders>
              <w:top w:val="nil"/>
              <w:left w:val="single" w:sz="4" w:space="0" w:color="auto"/>
              <w:bottom w:val="nil"/>
              <w:right w:val="nil"/>
            </w:tcBorders>
            <w:vAlign w:val="center"/>
          </w:tcPr>
          <w:p w14:paraId="778FEB9F" w14:textId="79578B0D" w:rsidR="00951947" w:rsidRDefault="00951947" w:rsidP="00951947">
            <w:pPr>
              <w:spacing w:after="0" w:line="240" w:lineRule="auto"/>
              <w:jc w:val="right"/>
              <w:rPr>
                <w:rFonts w:cs="Arial"/>
                <w:sz w:val="16"/>
                <w:szCs w:val="16"/>
              </w:rPr>
            </w:pPr>
            <w:r>
              <w:rPr>
                <w:rFonts w:cs="Arial"/>
                <w:sz w:val="16"/>
                <w:szCs w:val="16"/>
              </w:rPr>
              <w:t>675</w:t>
            </w:r>
          </w:p>
        </w:tc>
        <w:tc>
          <w:tcPr>
            <w:tcW w:w="709" w:type="dxa"/>
            <w:tcBorders>
              <w:top w:val="nil"/>
              <w:left w:val="nil"/>
              <w:bottom w:val="nil"/>
              <w:right w:val="nil"/>
            </w:tcBorders>
            <w:vAlign w:val="center"/>
          </w:tcPr>
          <w:p w14:paraId="64B6AEC3" w14:textId="2E7E7320" w:rsidR="00951947" w:rsidRDefault="00951947" w:rsidP="00951947">
            <w:pPr>
              <w:spacing w:after="0" w:line="240" w:lineRule="auto"/>
              <w:jc w:val="right"/>
              <w:rPr>
                <w:rFonts w:cs="Arial"/>
                <w:sz w:val="16"/>
                <w:szCs w:val="16"/>
              </w:rPr>
            </w:pPr>
            <w:r>
              <w:rPr>
                <w:rFonts w:cs="Arial"/>
                <w:sz w:val="16"/>
                <w:szCs w:val="16"/>
              </w:rPr>
              <w:t>531</w:t>
            </w:r>
          </w:p>
        </w:tc>
        <w:tc>
          <w:tcPr>
            <w:tcW w:w="709" w:type="dxa"/>
            <w:tcBorders>
              <w:top w:val="nil"/>
              <w:left w:val="nil"/>
              <w:bottom w:val="nil"/>
              <w:right w:val="nil"/>
            </w:tcBorders>
            <w:vAlign w:val="center"/>
          </w:tcPr>
          <w:p w14:paraId="62C16574" w14:textId="441360C6" w:rsidR="00951947" w:rsidRDefault="00951947" w:rsidP="00951947">
            <w:pPr>
              <w:spacing w:after="0" w:line="240" w:lineRule="auto"/>
              <w:jc w:val="right"/>
              <w:rPr>
                <w:rFonts w:cs="Arial"/>
                <w:sz w:val="16"/>
                <w:szCs w:val="16"/>
              </w:rPr>
            </w:pPr>
            <w:r>
              <w:rPr>
                <w:rFonts w:cs="Arial"/>
                <w:sz w:val="16"/>
                <w:szCs w:val="16"/>
              </w:rPr>
              <w:t>144</w:t>
            </w:r>
          </w:p>
        </w:tc>
      </w:tr>
      <w:tr w:rsidR="00951947" w:rsidRPr="00D92E20" w14:paraId="0D480EB2" w14:textId="305DF0E1" w:rsidTr="006054AC">
        <w:trPr>
          <w:trHeight w:val="300"/>
        </w:trPr>
        <w:tc>
          <w:tcPr>
            <w:tcW w:w="1077" w:type="dxa"/>
            <w:tcBorders>
              <w:top w:val="nil"/>
              <w:left w:val="nil"/>
              <w:bottom w:val="nil"/>
              <w:right w:val="single" w:sz="4" w:space="0" w:color="auto"/>
            </w:tcBorders>
            <w:shd w:val="clear" w:color="auto" w:fill="auto"/>
            <w:vAlign w:val="center"/>
            <w:hideMark/>
          </w:tcPr>
          <w:p w14:paraId="630AC937" w14:textId="5C5C0D19" w:rsidR="00951947" w:rsidRPr="00D92E20" w:rsidRDefault="00951947" w:rsidP="00951947">
            <w:pPr>
              <w:spacing w:after="0" w:line="240" w:lineRule="auto"/>
              <w:jc w:val="center"/>
              <w:rPr>
                <w:rFonts w:cs="Arial"/>
                <w:color w:val="000000"/>
                <w:sz w:val="16"/>
                <w:szCs w:val="16"/>
              </w:rPr>
            </w:pPr>
            <w:r>
              <w:rPr>
                <w:rFonts w:cs="Arial"/>
                <w:sz w:val="16"/>
                <w:szCs w:val="16"/>
              </w:rPr>
              <w:t>1. pol. 2014</w:t>
            </w:r>
          </w:p>
        </w:tc>
        <w:tc>
          <w:tcPr>
            <w:tcW w:w="710" w:type="dxa"/>
            <w:tcBorders>
              <w:top w:val="nil"/>
              <w:left w:val="nil"/>
              <w:bottom w:val="nil"/>
              <w:right w:val="nil"/>
            </w:tcBorders>
            <w:shd w:val="clear" w:color="auto" w:fill="auto"/>
            <w:noWrap/>
            <w:vAlign w:val="center"/>
            <w:hideMark/>
          </w:tcPr>
          <w:p w14:paraId="2FD62A9C" w14:textId="13BFD717" w:rsidR="00951947" w:rsidRPr="00D92E20" w:rsidRDefault="00951947" w:rsidP="00951947">
            <w:pPr>
              <w:spacing w:after="0" w:line="240" w:lineRule="auto"/>
              <w:jc w:val="right"/>
              <w:rPr>
                <w:rFonts w:cs="Arial"/>
                <w:color w:val="000000"/>
                <w:sz w:val="16"/>
                <w:szCs w:val="16"/>
              </w:rPr>
            </w:pPr>
            <w:r>
              <w:rPr>
                <w:rFonts w:cs="Arial"/>
                <w:sz w:val="16"/>
                <w:szCs w:val="16"/>
              </w:rPr>
              <w:t>22 223</w:t>
            </w:r>
          </w:p>
        </w:tc>
        <w:tc>
          <w:tcPr>
            <w:tcW w:w="709" w:type="dxa"/>
            <w:tcBorders>
              <w:top w:val="nil"/>
              <w:left w:val="nil"/>
              <w:bottom w:val="nil"/>
              <w:right w:val="nil"/>
            </w:tcBorders>
            <w:shd w:val="clear" w:color="auto" w:fill="auto"/>
            <w:noWrap/>
            <w:vAlign w:val="center"/>
            <w:hideMark/>
          </w:tcPr>
          <w:p w14:paraId="462D5E2A" w14:textId="62953508" w:rsidR="00951947" w:rsidRPr="00D92E20" w:rsidRDefault="00951947" w:rsidP="00951947">
            <w:pPr>
              <w:spacing w:after="0" w:line="240" w:lineRule="auto"/>
              <w:jc w:val="right"/>
              <w:rPr>
                <w:rFonts w:cs="Arial"/>
                <w:color w:val="000000"/>
                <w:sz w:val="16"/>
                <w:szCs w:val="16"/>
              </w:rPr>
            </w:pPr>
            <w:r>
              <w:rPr>
                <w:rFonts w:cs="Arial"/>
                <w:sz w:val="16"/>
                <w:szCs w:val="16"/>
              </w:rPr>
              <w:t>15 611</w:t>
            </w:r>
          </w:p>
        </w:tc>
        <w:tc>
          <w:tcPr>
            <w:tcW w:w="709" w:type="dxa"/>
            <w:tcBorders>
              <w:top w:val="nil"/>
              <w:left w:val="nil"/>
              <w:bottom w:val="nil"/>
              <w:right w:val="single" w:sz="4" w:space="0" w:color="auto"/>
            </w:tcBorders>
            <w:shd w:val="clear" w:color="auto" w:fill="auto"/>
            <w:noWrap/>
            <w:vAlign w:val="center"/>
            <w:hideMark/>
          </w:tcPr>
          <w:p w14:paraId="558253A3" w14:textId="21365456" w:rsidR="00951947" w:rsidRPr="00D92E20" w:rsidRDefault="00951947" w:rsidP="00951947">
            <w:pPr>
              <w:spacing w:after="0" w:line="240" w:lineRule="auto"/>
              <w:jc w:val="right"/>
              <w:rPr>
                <w:rFonts w:cs="Arial"/>
                <w:color w:val="000000"/>
                <w:sz w:val="16"/>
                <w:szCs w:val="16"/>
              </w:rPr>
            </w:pPr>
            <w:r>
              <w:rPr>
                <w:rFonts w:cs="Arial"/>
                <w:sz w:val="16"/>
                <w:szCs w:val="16"/>
              </w:rPr>
              <w:t>6 612</w:t>
            </w:r>
          </w:p>
        </w:tc>
        <w:tc>
          <w:tcPr>
            <w:tcW w:w="710" w:type="dxa"/>
            <w:tcBorders>
              <w:top w:val="nil"/>
              <w:left w:val="nil"/>
              <w:bottom w:val="nil"/>
              <w:right w:val="nil"/>
            </w:tcBorders>
            <w:shd w:val="clear" w:color="auto" w:fill="auto"/>
            <w:noWrap/>
            <w:vAlign w:val="center"/>
            <w:hideMark/>
          </w:tcPr>
          <w:p w14:paraId="03CF8104" w14:textId="1B0D9A66" w:rsidR="00951947" w:rsidRPr="00D92E20" w:rsidRDefault="00951947" w:rsidP="00951947">
            <w:pPr>
              <w:spacing w:after="0" w:line="240" w:lineRule="auto"/>
              <w:jc w:val="right"/>
              <w:rPr>
                <w:rFonts w:cs="Arial"/>
                <w:color w:val="000000"/>
                <w:sz w:val="16"/>
                <w:szCs w:val="16"/>
              </w:rPr>
            </w:pPr>
            <w:r>
              <w:rPr>
                <w:rFonts w:cs="Arial"/>
                <w:sz w:val="16"/>
                <w:szCs w:val="16"/>
              </w:rPr>
              <w:t>21 754</w:t>
            </w:r>
          </w:p>
        </w:tc>
        <w:tc>
          <w:tcPr>
            <w:tcW w:w="709" w:type="dxa"/>
            <w:tcBorders>
              <w:top w:val="nil"/>
              <w:left w:val="nil"/>
              <w:bottom w:val="nil"/>
              <w:right w:val="nil"/>
            </w:tcBorders>
            <w:shd w:val="clear" w:color="auto" w:fill="auto"/>
            <w:vAlign w:val="center"/>
            <w:hideMark/>
          </w:tcPr>
          <w:p w14:paraId="4A95200A" w14:textId="4B4A1B1C" w:rsidR="00951947" w:rsidRPr="00D92E20" w:rsidRDefault="00951947" w:rsidP="00951947">
            <w:pPr>
              <w:spacing w:after="0" w:line="240" w:lineRule="auto"/>
              <w:jc w:val="right"/>
              <w:rPr>
                <w:rFonts w:cs="Arial"/>
                <w:color w:val="000000"/>
                <w:sz w:val="16"/>
                <w:szCs w:val="16"/>
              </w:rPr>
            </w:pPr>
            <w:r>
              <w:rPr>
                <w:rFonts w:cs="Arial"/>
                <w:sz w:val="16"/>
                <w:szCs w:val="16"/>
              </w:rPr>
              <w:t>15 254</w:t>
            </w:r>
          </w:p>
        </w:tc>
        <w:tc>
          <w:tcPr>
            <w:tcW w:w="709" w:type="dxa"/>
            <w:tcBorders>
              <w:top w:val="nil"/>
              <w:left w:val="nil"/>
              <w:bottom w:val="nil"/>
              <w:right w:val="single" w:sz="4" w:space="0" w:color="auto"/>
            </w:tcBorders>
            <w:shd w:val="clear" w:color="auto" w:fill="auto"/>
            <w:vAlign w:val="center"/>
            <w:hideMark/>
          </w:tcPr>
          <w:p w14:paraId="55FAF234" w14:textId="7263B9E5" w:rsidR="00951947" w:rsidRPr="00D92E20" w:rsidRDefault="00951947" w:rsidP="00951947">
            <w:pPr>
              <w:spacing w:after="0" w:line="240" w:lineRule="auto"/>
              <w:jc w:val="right"/>
              <w:rPr>
                <w:rFonts w:cs="Arial"/>
                <w:color w:val="000000"/>
                <w:sz w:val="16"/>
                <w:szCs w:val="16"/>
              </w:rPr>
            </w:pPr>
            <w:r>
              <w:rPr>
                <w:rFonts w:cs="Arial"/>
                <w:sz w:val="16"/>
                <w:szCs w:val="16"/>
              </w:rPr>
              <w:t>6 500</w:t>
            </w:r>
          </w:p>
        </w:tc>
        <w:tc>
          <w:tcPr>
            <w:tcW w:w="710" w:type="dxa"/>
            <w:tcBorders>
              <w:top w:val="nil"/>
              <w:left w:val="nil"/>
              <w:bottom w:val="nil"/>
              <w:right w:val="nil"/>
            </w:tcBorders>
            <w:shd w:val="clear" w:color="auto" w:fill="auto"/>
            <w:vAlign w:val="center"/>
            <w:hideMark/>
          </w:tcPr>
          <w:p w14:paraId="172A952D" w14:textId="755F4306" w:rsidR="00951947" w:rsidRPr="00D92E20" w:rsidRDefault="00951947" w:rsidP="00951947">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57A9A27B" w14:textId="79F31A4F" w:rsidR="00951947" w:rsidRPr="00D92E20" w:rsidRDefault="00951947" w:rsidP="00951947">
            <w:pPr>
              <w:spacing w:after="0" w:line="240" w:lineRule="auto"/>
              <w:jc w:val="right"/>
              <w:rPr>
                <w:rFonts w:cs="Arial"/>
                <w:color w:val="000000"/>
                <w:sz w:val="16"/>
                <w:szCs w:val="16"/>
              </w:rPr>
            </w:pPr>
            <w:r>
              <w:rPr>
                <w:rFonts w:cs="Arial"/>
                <w:sz w:val="16"/>
                <w:szCs w:val="16"/>
              </w:rPr>
              <w:t>44</w:t>
            </w:r>
          </w:p>
        </w:tc>
        <w:tc>
          <w:tcPr>
            <w:tcW w:w="709" w:type="dxa"/>
            <w:tcBorders>
              <w:top w:val="nil"/>
              <w:left w:val="nil"/>
              <w:bottom w:val="nil"/>
              <w:right w:val="single" w:sz="4" w:space="0" w:color="auto"/>
            </w:tcBorders>
            <w:shd w:val="clear" w:color="auto" w:fill="auto"/>
            <w:vAlign w:val="center"/>
            <w:hideMark/>
          </w:tcPr>
          <w:p w14:paraId="21CB3F4C" w14:textId="422D41B3" w:rsidR="00951947" w:rsidRPr="00D92E20" w:rsidRDefault="00951947" w:rsidP="00951947">
            <w:pPr>
              <w:spacing w:after="0" w:line="240" w:lineRule="auto"/>
              <w:jc w:val="right"/>
              <w:rPr>
                <w:rFonts w:cs="Arial"/>
                <w:color w:val="000000"/>
                <w:sz w:val="16"/>
                <w:szCs w:val="16"/>
              </w:rPr>
            </w:pPr>
            <w:r>
              <w:rPr>
                <w:rFonts w:cs="Arial"/>
                <w:sz w:val="16"/>
                <w:szCs w:val="16"/>
              </w:rPr>
              <w:t>1</w:t>
            </w:r>
          </w:p>
        </w:tc>
        <w:tc>
          <w:tcPr>
            <w:tcW w:w="710" w:type="dxa"/>
            <w:tcBorders>
              <w:top w:val="nil"/>
              <w:left w:val="single" w:sz="4" w:space="0" w:color="auto"/>
              <w:bottom w:val="nil"/>
              <w:right w:val="nil"/>
            </w:tcBorders>
            <w:vAlign w:val="center"/>
          </w:tcPr>
          <w:p w14:paraId="63604B1D" w14:textId="36747714" w:rsidR="00951947" w:rsidRDefault="00951947" w:rsidP="00951947">
            <w:pPr>
              <w:spacing w:after="0" w:line="240" w:lineRule="auto"/>
              <w:jc w:val="right"/>
              <w:rPr>
                <w:rFonts w:cs="Arial"/>
                <w:sz w:val="16"/>
                <w:szCs w:val="16"/>
              </w:rPr>
            </w:pPr>
            <w:r>
              <w:rPr>
                <w:rFonts w:cs="Arial"/>
                <w:sz w:val="16"/>
                <w:szCs w:val="16"/>
              </w:rPr>
              <w:t>704</w:t>
            </w:r>
          </w:p>
        </w:tc>
        <w:tc>
          <w:tcPr>
            <w:tcW w:w="709" w:type="dxa"/>
            <w:tcBorders>
              <w:top w:val="nil"/>
              <w:left w:val="nil"/>
              <w:bottom w:val="nil"/>
              <w:right w:val="nil"/>
            </w:tcBorders>
            <w:vAlign w:val="center"/>
          </w:tcPr>
          <w:p w14:paraId="013B909F" w14:textId="2D090A5E" w:rsidR="00951947" w:rsidRDefault="00951947" w:rsidP="00951947">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1EEEA422" w14:textId="4EDF724B" w:rsidR="00951947" w:rsidRDefault="00951947" w:rsidP="00951947">
            <w:pPr>
              <w:spacing w:after="0" w:line="240" w:lineRule="auto"/>
              <w:jc w:val="right"/>
              <w:rPr>
                <w:rFonts w:cs="Arial"/>
                <w:sz w:val="16"/>
                <w:szCs w:val="16"/>
              </w:rPr>
            </w:pPr>
            <w:r>
              <w:rPr>
                <w:rFonts w:cs="Arial"/>
                <w:sz w:val="16"/>
                <w:szCs w:val="16"/>
              </w:rPr>
              <w:t>137</w:t>
            </w:r>
          </w:p>
        </w:tc>
      </w:tr>
      <w:tr w:rsidR="00951947" w:rsidRPr="00D92E20" w14:paraId="2C1F54C8" w14:textId="441B6F43" w:rsidTr="006054AC">
        <w:trPr>
          <w:trHeight w:val="300"/>
        </w:trPr>
        <w:tc>
          <w:tcPr>
            <w:tcW w:w="1077" w:type="dxa"/>
            <w:tcBorders>
              <w:top w:val="nil"/>
              <w:left w:val="nil"/>
              <w:bottom w:val="nil"/>
              <w:right w:val="single" w:sz="4" w:space="0" w:color="auto"/>
            </w:tcBorders>
            <w:shd w:val="clear" w:color="auto" w:fill="auto"/>
            <w:vAlign w:val="center"/>
            <w:hideMark/>
          </w:tcPr>
          <w:p w14:paraId="20686C1A" w14:textId="15026CC3" w:rsidR="00951947" w:rsidRPr="00D92E20" w:rsidRDefault="00951947" w:rsidP="00951947">
            <w:pPr>
              <w:spacing w:after="0" w:line="240" w:lineRule="auto"/>
              <w:jc w:val="center"/>
              <w:rPr>
                <w:rFonts w:cs="Arial"/>
                <w:color w:val="000000"/>
                <w:sz w:val="16"/>
                <w:szCs w:val="16"/>
              </w:rPr>
            </w:pPr>
            <w:r>
              <w:rPr>
                <w:rFonts w:cs="Arial"/>
                <w:sz w:val="16"/>
                <w:szCs w:val="16"/>
              </w:rPr>
              <w:t>1. pol. 2015</w:t>
            </w:r>
          </w:p>
        </w:tc>
        <w:tc>
          <w:tcPr>
            <w:tcW w:w="710" w:type="dxa"/>
            <w:tcBorders>
              <w:top w:val="nil"/>
              <w:left w:val="nil"/>
              <w:bottom w:val="nil"/>
              <w:right w:val="nil"/>
            </w:tcBorders>
            <w:shd w:val="clear" w:color="auto" w:fill="auto"/>
            <w:vAlign w:val="center"/>
            <w:hideMark/>
          </w:tcPr>
          <w:p w14:paraId="6107E614" w14:textId="377CB427" w:rsidR="00951947" w:rsidRPr="00D92E20" w:rsidRDefault="00951947" w:rsidP="00951947">
            <w:pPr>
              <w:spacing w:after="0" w:line="240" w:lineRule="auto"/>
              <w:jc w:val="right"/>
              <w:rPr>
                <w:rFonts w:cs="Arial"/>
                <w:color w:val="000000"/>
                <w:sz w:val="16"/>
                <w:szCs w:val="16"/>
              </w:rPr>
            </w:pPr>
            <w:r>
              <w:rPr>
                <w:rFonts w:cs="Arial"/>
                <w:sz w:val="16"/>
                <w:szCs w:val="16"/>
              </w:rPr>
              <w:t>23 461</w:t>
            </w:r>
          </w:p>
        </w:tc>
        <w:tc>
          <w:tcPr>
            <w:tcW w:w="709" w:type="dxa"/>
            <w:tcBorders>
              <w:top w:val="nil"/>
              <w:left w:val="nil"/>
              <w:bottom w:val="nil"/>
              <w:right w:val="nil"/>
            </w:tcBorders>
            <w:shd w:val="clear" w:color="auto" w:fill="auto"/>
            <w:noWrap/>
            <w:vAlign w:val="center"/>
            <w:hideMark/>
          </w:tcPr>
          <w:p w14:paraId="071275CB" w14:textId="22D7F602" w:rsidR="00951947" w:rsidRPr="00D92E20" w:rsidRDefault="00951947" w:rsidP="00951947">
            <w:pPr>
              <w:spacing w:after="0" w:line="240" w:lineRule="auto"/>
              <w:jc w:val="right"/>
              <w:rPr>
                <w:rFonts w:cs="Arial"/>
                <w:color w:val="000000"/>
                <w:sz w:val="16"/>
                <w:szCs w:val="16"/>
              </w:rPr>
            </w:pPr>
            <w:r>
              <w:rPr>
                <w:rFonts w:cs="Arial"/>
                <w:sz w:val="16"/>
                <w:szCs w:val="16"/>
              </w:rPr>
              <w:t>16 114</w:t>
            </w:r>
          </w:p>
        </w:tc>
        <w:tc>
          <w:tcPr>
            <w:tcW w:w="709" w:type="dxa"/>
            <w:tcBorders>
              <w:top w:val="nil"/>
              <w:left w:val="nil"/>
              <w:bottom w:val="nil"/>
              <w:right w:val="single" w:sz="4" w:space="0" w:color="auto"/>
            </w:tcBorders>
            <w:shd w:val="clear" w:color="auto" w:fill="auto"/>
            <w:noWrap/>
            <w:vAlign w:val="center"/>
            <w:hideMark/>
          </w:tcPr>
          <w:p w14:paraId="6A3DAF21" w14:textId="3477317E" w:rsidR="00951947" w:rsidRPr="00D92E20" w:rsidRDefault="00951947" w:rsidP="00951947">
            <w:pPr>
              <w:spacing w:after="0" w:line="240" w:lineRule="auto"/>
              <w:jc w:val="right"/>
              <w:rPr>
                <w:rFonts w:cs="Arial"/>
                <w:color w:val="000000"/>
                <w:sz w:val="16"/>
                <w:szCs w:val="16"/>
              </w:rPr>
            </w:pPr>
            <w:r>
              <w:rPr>
                <w:rFonts w:cs="Arial"/>
                <w:sz w:val="16"/>
                <w:szCs w:val="16"/>
              </w:rPr>
              <w:t>7 347</w:t>
            </w:r>
          </w:p>
        </w:tc>
        <w:tc>
          <w:tcPr>
            <w:tcW w:w="710" w:type="dxa"/>
            <w:tcBorders>
              <w:top w:val="nil"/>
              <w:left w:val="nil"/>
              <w:bottom w:val="nil"/>
              <w:right w:val="nil"/>
            </w:tcBorders>
            <w:shd w:val="clear" w:color="auto" w:fill="auto"/>
            <w:noWrap/>
            <w:vAlign w:val="center"/>
            <w:hideMark/>
          </w:tcPr>
          <w:p w14:paraId="5B7482A4" w14:textId="6A160D61" w:rsidR="00951947" w:rsidRPr="00D92E20" w:rsidRDefault="00951947" w:rsidP="00951947">
            <w:pPr>
              <w:spacing w:after="0" w:line="240" w:lineRule="auto"/>
              <w:jc w:val="right"/>
              <w:rPr>
                <w:rFonts w:cs="Arial"/>
                <w:color w:val="000000"/>
                <w:sz w:val="16"/>
                <w:szCs w:val="16"/>
              </w:rPr>
            </w:pPr>
            <w:r>
              <w:rPr>
                <w:rFonts w:cs="Arial"/>
                <w:sz w:val="16"/>
                <w:szCs w:val="16"/>
              </w:rPr>
              <w:t>22 860</w:t>
            </w:r>
          </w:p>
        </w:tc>
        <w:tc>
          <w:tcPr>
            <w:tcW w:w="709" w:type="dxa"/>
            <w:tcBorders>
              <w:top w:val="nil"/>
              <w:left w:val="nil"/>
              <w:bottom w:val="nil"/>
              <w:right w:val="nil"/>
            </w:tcBorders>
            <w:shd w:val="clear" w:color="auto" w:fill="auto"/>
            <w:vAlign w:val="center"/>
            <w:hideMark/>
          </w:tcPr>
          <w:p w14:paraId="1FC4BEDF" w14:textId="4D94DACC" w:rsidR="00951947" w:rsidRPr="00D92E20" w:rsidRDefault="00951947" w:rsidP="00951947">
            <w:pPr>
              <w:spacing w:after="0" w:line="240" w:lineRule="auto"/>
              <w:jc w:val="right"/>
              <w:rPr>
                <w:rFonts w:cs="Arial"/>
                <w:color w:val="000000"/>
                <w:sz w:val="16"/>
                <w:szCs w:val="16"/>
              </w:rPr>
            </w:pPr>
            <w:r>
              <w:rPr>
                <w:rFonts w:cs="Arial"/>
                <w:sz w:val="16"/>
                <w:szCs w:val="16"/>
              </w:rPr>
              <w:t>15 682</w:t>
            </w:r>
          </w:p>
        </w:tc>
        <w:tc>
          <w:tcPr>
            <w:tcW w:w="709" w:type="dxa"/>
            <w:tcBorders>
              <w:top w:val="nil"/>
              <w:left w:val="nil"/>
              <w:bottom w:val="nil"/>
              <w:right w:val="single" w:sz="4" w:space="0" w:color="auto"/>
            </w:tcBorders>
            <w:shd w:val="clear" w:color="auto" w:fill="auto"/>
            <w:vAlign w:val="center"/>
            <w:hideMark/>
          </w:tcPr>
          <w:p w14:paraId="59DB3D10" w14:textId="5E8DDD43" w:rsidR="00951947" w:rsidRPr="00D92E20" w:rsidRDefault="00951947" w:rsidP="00951947">
            <w:pPr>
              <w:spacing w:after="0" w:line="240" w:lineRule="auto"/>
              <w:jc w:val="right"/>
              <w:rPr>
                <w:rFonts w:cs="Arial"/>
                <w:color w:val="000000"/>
                <w:sz w:val="16"/>
                <w:szCs w:val="16"/>
              </w:rPr>
            </w:pPr>
            <w:r>
              <w:rPr>
                <w:rFonts w:cs="Arial"/>
                <w:sz w:val="16"/>
                <w:szCs w:val="16"/>
              </w:rPr>
              <w:t>7 178</w:t>
            </w:r>
          </w:p>
        </w:tc>
        <w:tc>
          <w:tcPr>
            <w:tcW w:w="710" w:type="dxa"/>
            <w:tcBorders>
              <w:top w:val="nil"/>
              <w:left w:val="nil"/>
              <w:bottom w:val="nil"/>
              <w:right w:val="nil"/>
            </w:tcBorders>
            <w:shd w:val="clear" w:color="auto" w:fill="auto"/>
            <w:vAlign w:val="center"/>
            <w:hideMark/>
          </w:tcPr>
          <w:p w14:paraId="4AC276AA" w14:textId="35D6433A" w:rsidR="00951947" w:rsidRPr="00D92E20" w:rsidRDefault="00951947" w:rsidP="00951947">
            <w:pPr>
              <w:spacing w:after="0" w:line="240" w:lineRule="auto"/>
              <w:jc w:val="right"/>
              <w:rPr>
                <w:rFonts w:cs="Arial"/>
                <w:color w:val="000000"/>
                <w:sz w:val="16"/>
                <w:szCs w:val="16"/>
              </w:rPr>
            </w:pPr>
            <w:r>
              <w:rPr>
                <w:rFonts w:cs="Arial"/>
                <w:sz w:val="16"/>
                <w:szCs w:val="16"/>
              </w:rPr>
              <w:t>51</w:t>
            </w:r>
          </w:p>
        </w:tc>
        <w:tc>
          <w:tcPr>
            <w:tcW w:w="709" w:type="dxa"/>
            <w:tcBorders>
              <w:top w:val="nil"/>
              <w:left w:val="nil"/>
              <w:bottom w:val="nil"/>
              <w:right w:val="nil"/>
            </w:tcBorders>
            <w:shd w:val="clear" w:color="auto" w:fill="auto"/>
            <w:vAlign w:val="center"/>
            <w:hideMark/>
          </w:tcPr>
          <w:p w14:paraId="214F2828" w14:textId="158F8090" w:rsidR="00951947" w:rsidRPr="00D92E20" w:rsidRDefault="00951947" w:rsidP="00951947">
            <w:pPr>
              <w:spacing w:after="0" w:line="240" w:lineRule="auto"/>
              <w:jc w:val="right"/>
              <w:rPr>
                <w:rFonts w:cs="Arial"/>
                <w:color w:val="000000"/>
                <w:sz w:val="16"/>
                <w:szCs w:val="16"/>
              </w:rPr>
            </w:pPr>
            <w:r>
              <w:rPr>
                <w:rFonts w:cs="Arial"/>
                <w:sz w:val="16"/>
                <w:szCs w:val="16"/>
              </w:rPr>
              <w:t>48</w:t>
            </w:r>
          </w:p>
        </w:tc>
        <w:tc>
          <w:tcPr>
            <w:tcW w:w="709" w:type="dxa"/>
            <w:tcBorders>
              <w:top w:val="nil"/>
              <w:left w:val="nil"/>
              <w:bottom w:val="nil"/>
              <w:right w:val="single" w:sz="4" w:space="0" w:color="auto"/>
            </w:tcBorders>
            <w:shd w:val="clear" w:color="auto" w:fill="auto"/>
            <w:vAlign w:val="center"/>
            <w:hideMark/>
          </w:tcPr>
          <w:p w14:paraId="74C45C8C" w14:textId="6C5FE189" w:rsidR="00951947" w:rsidRPr="00D92E20" w:rsidRDefault="00951947" w:rsidP="00951947">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15916A12" w14:textId="6D307F49" w:rsidR="00951947" w:rsidRDefault="00951947" w:rsidP="00951947">
            <w:pPr>
              <w:spacing w:after="0" w:line="240" w:lineRule="auto"/>
              <w:jc w:val="right"/>
              <w:rPr>
                <w:rFonts w:cs="Arial"/>
                <w:sz w:val="16"/>
                <w:szCs w:val="16"/>
              </w:rPr>
            </w:pPr>
            <w:r>
              <w:rPr>
                <w:rFonts w:cs="Arial"/>
                <w:sz w:val="16"/>
                <w:szCs w:val="16"/>
              </w:rPr>
              <w:t>662</w:t>
            </w:r>
          </w:p>
        </w:tc>
        <w:tc>
          <w:tcPr>
            <w:tcW w:w="709" w:type="dxa"/>
            <w:tcBorders>
              <w:top w:val="nil"/>
              <w:left w:val="nil"/>
              <w:bottom w:val="nil"/>
              <w:right w:val="nil"/>
            </w:tcBorders>
            <w:vAlign w:val="center"/>
          </w:tcPr>
          <w:p w14:paraId="4411957D" w14:textId="788FFDC4" w:rsidR="00951947" w:rsidRDefault="00951947" w:rsidP="00951947">
            <w:pPr>
              <w:spacing w:after="0" w:line="240" w:lineRule="auto"/>
              <w:jc w:val="right"/>
              <w:rPr>
                <w:rFonts w:cs="Arial"/>
                <w:sz w:val="16"/>
                <w:szCs w:val="16"/>
              </w:rPr>
            </w:pPr>
            <w:r>
              <w:rPr>
                <w:rFonts w:cs="Arial"/>
                <w:sz w:val="16"/>
                <w:szCs w:val="16"/>
              </w:rPr>
              <w:t>548</w:t>
            </w:r>
          </w:p>
        </w:tc>
        <w:tc>
          <w:tcPr>
            <w:tcW w:w="709" w:type="dxa"/>
            <w:tcBorders>
              <w:top w:val="nil"/>
              <w:left w:val="nil"/>
              <w:bottom w:val="nil"/>
              <w:right w:val="nil"/>
            </w:tcBorders>
            <w:vAlign w:val="center"/>
          </w:tcPr>
          <w:p w14:paraId="6B883F0B" w14:textId="470737EC" w:rsidR="00951947" w:rsidRDefault="00951947" w:rsidP="00951947">
            <w:pPr>
              <w:spacing w:after="0" w:line="240" w:lineRule="auto"/>
              <w:jc w:val="right"/>
              <w:rPr>
                <w:rFonts w:cs="Arial"/>
                <w:sz w:val="16"/>
                <w:szCs w:val="16"/>
              </w:rPr>
            </w:pPr>
            <w:r>
              <w:rPr>
                <w:rFonts w:cs="Arial"/>
                <w:sz w:val="16"/>
                <w:szCs w:val="16"/>
              </w:rPr>
              <w:t>114</w:t>
            </w:r>
          </w:p>
        </w:tc>
      </w:tr>
      <w:tr w:rsidR="00951947" w:rsidRPr="00D92E20" w14:paraId="6B5EC041" w14:textId="64E783CD" w:rsidTr="006054AC">
        <w:trPr>
          <w:trHeight w:val="300"/>
        </w:trPr>
        <w:tc>
          <w:tcPr>
            <w:tcW w:w="1077" w:type="dxa"/>
            <w:tcBorders>
              <w:top w:val="nil"/>
              <w:left w:val="nil"/>
              <w:bottom w:val="nil"/>
              <w:right w:val="single" w:sz="4" w:space="0" w:color="auto"/>
            </w:tcBorders>
            <w:shd w:val="clear" w:color="auto" w:fill="auto"/>
            <w:vAlign w:val="center"/>
            <w:hideMark/>
          </w:tcPr>
          <w:p w14:paraId="4904421D" w14:textId="0EF01DBF" w:rsidR="00951947" w:rsidRPr="00D92E20" w:rsidRDefault="00951947" w:rsidP="00951947">
            <w:pPr>
              <w:spacing w:after="0" w:line="240" w:lineRule="auto"/>
              <w:jc w:val="center"/>
              <w:rPr>
                <w:rFonts w:cs="Arial"/>
                <w:color w:val="000000"/>
                <w:sz w:val="16"/>
                <w:szCs w:val="16"/>
              </w:rPr>
            </w:pPr>
            <w:r>
              <w:rPr>
                <w:rFonts w:cs="Arial"/>
                <w:sz w:val="16"/>
                <w:szCs w:val="16"/>
              </w:rPr>
              <w:t>1. pol. 2016</w:t>
            </w:r>
          </w:p>
        </w:tc>
        <w:tc>
          <w:tcPr>
            <w:tcW w:w="710" w:type="dxa"/>
            <w:tcBorders>
              <w:top w:val="nil"/>
              <w:left w:val="nil"/>
              <w:bottom w:val="nil"/>
              <w:right w:val="nil"/>
            </w:tcBorders>
            <w:shd w:val="clear" w:color="auto" w:fill="auto"/>
            <w:noWrap/>
            <w:vAlign w:val="center"/>
            <w:hideMark/>
          </w:tcPr>
          <w:p w14:paraId="43693AFC" w14:textId="2D45336F" w:rsidR="00951947" w:rsidRPr="00D92E20" w:rsidRDefault="00951947" w:rsidP="00951947">
            <w:pPr>
              <w:spacing w:after="0" w:line="240" w:lineRule="auto"/>
              <w:jc w:val="right"/>
              <w:rPr>
                <w:rFonts w:cs="Arial"/>
                <w:color w:val="000000"/>
                <w:sz w:val="16"/>
                <w:szCs w:val="16"/>
              </w:rPr>
            </w:pPr>
            <w:r>
              <w:rPr>
                <w:rFonts w:cs="Arial"/>
                <w:sz w:val="16"/>
                <w:szCs w:val="16"/>
              </w:rPr>
              <w:t>24 870</w:t>
            </w:r>
          </w:p>
        </w:tc>
        <w:tc>
          <w:tcPr>
            <w:tcW w:w="709" w:type="dxa"/>
            <w:tcBorders>
              <w:top w:val="nil"/>
              <w:left w:val="nil"/>
              <w:bottom w:val="nil"/>
              <w:right w:val="nil"/>
            </w:tcBorders>
            <w:shd w:val="clear" w:color="auto" w:fill="auto"/>
            <w:noWrap/>
            <w:vAlign w:val="center"/>
            <w:hideMark/>
          </w:tcPr>
          <w:p w14:paraId="3708B754" w14:textId="00FFB888" w:rsidR="00951947" w:rsidRPr="00D92E20" w:rsidRDefault="00951947" w:rsidP="00951947">
            <w:pPr>
              <w:spacing w:after="0" w:line="240" w:lineRule="auto"/>
              <w:jc w:val="right"/>
              <w:rPr>
                <w:rFonts w:cs="Arial"/>
                <w:color w:val="000000"/>
                <w:sz w:val="16"/>
                <w:szCs w:val="16"/>
              </w:rPr>
            </w:pPr>
            <w:r>
              <w:rPr>
                <w:rFonts w:cs="Arial"/>
                <w:sz w:val="16"/>
                <w:szCs w:val="16"/>
              </w:rPr>
              <w:t>17 111</w:t>
            </w:r>
          </w:p>
        </w:tc>
        <w:tc>
          <w:tcPr>
            <w:tcW w:w="709" w:type="dxa"/>
            <w:tcBorders>
              <w:top w:val="nil"/>
              <w:left w:val="nil"/>
              <w:bottom w:val="nil"/>
              <w:right w:val="single" w:sz="4" w:space="0" w:color="auto"/>
            </w:tcBorders>
            <w:shd w:val="clear" w:color="auto" w:fill="auto"/>
            <w:noWrap/>
            <w:vAlign w:val="center"/>
            <w:hideMark/>
          </w:tcPr>
          <w:p w14:paraId="646DECED" w14:textId="3D06720A" w:rsidR="00951947" w:rsidRPr="00D92E20" w:rsidRDefault="00951947" w:rsidP="00951947">
            <w:pPr>
              <w:spacing w:after="0" w:line="240" w:lineRule="auto"/>
              <w:jc w:val="right"/>
              <w:rPr>
                <w:rFonts w:cs="Arial"/>
                <w:color w:val="000000"/>
                <w:sz w:val="16"/>
                <w:szCs w:val="16"/>
              </w:rPr>
            </w:pPr>
            <w:r>
              <w:rPr>
                <w:rFonts w:cs="Arial"/>
                <w:sz w:val="16"/>
                <w:szCs w:val="16"/>
              </w:rPr>
              <w:t>7 759</w:t>
            </w:r>
          </w:p>
        </w:tc>
        <w:tc>
          <w:tcPr>
            <w:tcW w:w="710" w:type="dxa"/>
            <w:tcBorders>
              <w:top w:val="nil"/>
              <w:left w:val="nil"/>
              <w:bottom w:val="nil"/>
              <w:right w:val="nil"/>
            </w:tcBorders>
            <w:shd w:val="clear" w:color="auto" w:fill="auto"/>
            <w:noWrap/>
            <w:vAlign w:val="center"/>
            <w:hideMark/>
          </w:tcPr>
          <w:p w14:paraId="68273103" w14:textId="4A465052" w:rsidR="00951947" w:rsidRPr="00D92E20" w:rsidRDefault="00951947" w:rsidP="00951947">
            <w:pPr>
              <w:spacing w:after="0" w:line="240" w:lineRule="auto"/>
              <w:jc w:val="right"/>
              <w:rPr>
                <w:rFonts w:cs="Arial"/>
                <w:color w:val="000000"/>
                <w:sz w:val="16"/>
                <w:szCs w:val="16"/>
              </w:rPr>
            </w:pPr>
            <w:r>
              <w:rPr>
                <w:rFonts w:cs="Arial"/>
                <w:color w:val="000000"/>
                <w:sz w:val="16"/>
                <w:szCs w:val="16"/>
              </w:rPr>
              <w:t>24 158</w:t>
            </w:r>
          </w:p>
        </w:tc>
        <w:tc>
          <w:tcPr>
            <w:tcW w:w="709" w:type="dxa"/>
            <w:tcBorders>
              <w:top w:val="nil"/>
              <w:left w:val="nil"/>
              <w:bottom w:val="nil"/>
              <w:right w:val="nil"/>
            </w:tcBorders>
            <w:shd w:val="clear" w:color="auto" w:fill="auto"/>
            <w:vAlign w:val="center"/>
            <w:hideMark/>
          </w:tcPr>
          <w:p w14:paraId="42903607" w14:textId="1719CC0B" w:rsidR="00951947" w:rsidRPr="00D92E20" w:rsidRDefault="00951947" w:rsidP="00951947">
            <w:pPr>
              <w:spacing w:after="0" w:line="240" w:lineRule="auto"/>
              <w:jc w:val="right"/>
              <w:rPr>
                <w:rFonts w:cs="Arial"/>
                <w:color w:val="000000"/>
                <w:sz w:val="16"/>
                <w:szCs w:val="16"/>
              </w:rPr>
            </w:pPr>
            <w:r>
              <w:rPr>
                <w:rFonts w:cs="Arial"/>
                <w:sz w:val="16"/>
                <w:szCs w:val="16"/>
              </w:rPr>
              <w:t>16 588</w:t>
            </w:r>
          </w:p>
        </w:tc>
        <w:tc>
          <w:tcPr>
            <w:tcW w:w="709" w:type="dxa"/>
            <w:tcBorders>
              <w:top w:val="nil"/>
              <w:left w:val="nil"/>
              <w:bottom w:val="nil"/>
              <w:right w:val="single" w:sz="4" w:space="0" w:color="auto"/>
            </w:tcBorders>
            <w:shd w:val="clear" w:color="auto" w:fill="auto"/>
            <w:vAlign w:val="center"/>
            <w:hideMark/>
          </w:tcPr>
          <w:p w14:paraId="317580A3" w14:textId="77454823" w:rsidR="00951947" w:rsidRPr="00D92E20" w:rsidRDefault="00951947" w:rsidP="00951947">
            <w:pPr>
              <w:spacing w:after="0" w:line="240" w:lineRule="auto"/>
              <w:jc w:val="right"/>
              <w:rPr>
                <w:rFonts w:cs="Arial"/>
                <w:color w:val="000000"/>
                <w:sz w:val="16"/>
                <w:szCs w:val="16"/>
              </w:rPr>
            </w:pPr>
            <w:r>
              <w:rPr>
                <w:rFonts w:cs="Arial"/>
                <w:color w:val="000000"/>
                <w:sz w:val="16"/>
                <w:szCs w:val="16"/>
              </w:rPr>
              <w:t>7 570</w:t>
            </w:r>
          </w:p>
        </w:tc>
        <w:tc>
          <w:tcPr>
            <w:tcW w:w="710" w:type="dxa"/>
            <w:tcBorders>
              <w:top w:val="nil"/>
              <w:left w:val="nil"/>
              <w:bottom w:val="nil"/>
              <w:right w:val="nil"/>
            </w:tcBorders>
            <w:shd w:val="clear" w:color="auto" w:fill="auto"/>
            <w:vAlign w:val="center"/>
            <w:hideMark/>
          </w:tcPr>
          <w:p w14:paraId="03D4BBBE" w14:textId="29C5D4CB" w:rsidR="00951947" w:rsidRPr="00D92E20" w:rsidRDefault="00951947" w:rsidP="00951947">
            <w:pPr>
              <w:spacing w:after="0" w:line="240" w:lineRule="auto"/>
              <w:jc w:val="right"/>
              <w:rPr>
                <w:rFonts w:cs="Arial"/>
                <w:color w:val="000000"/>
                <w:sz w:val="16"/>
                <w:szCs w:val="16"/>
              </w:rPr>
            </w:pPr>
            <w:r>
              <w:rPr>
                <w:rFonts w:cs="Arial"/>
                <w:sz w:val="16"/>
                <w:szCs w:val="16"/>
              </w:rPr>
              <w:t>49</w:t>
            </w:r>
          </w:p>
        </w:tc>
        <w:tc>
          <w:tcPr>
            <w:tcW w:w="709" w:type="dxa"/>
            <w:tcBorders>
              <w:top w:val="nil"/>
              <w:left w:val="nil"/>
              <w:bottom w:val="nil"/>
              <w:right w:val="nil"/>
            </w:tcBorders>
            <w:shd w:val="clear" w:color="auto" w:fill="auto"/>
            <w:vAlign w:val="center"/>
            <w:hideMark/>
          </w:tcPr>
          <w:p w14:paraId="1333294A" w14:textId="678CE3BA" w:rsidR="00951947" w:rsidRPr="00D92E20" w:rsidRDefault="00951947" w:rsidP="00951947">
            <w:pPr>
              <w:spacing w:after="0" w:line="240" w:lineRule="auto"/>
              <w:jc w:val="right"/>
              <w:rPr>
                <w:rFonts w:cs="Arial"/>
                <w:color w:val="000000"/>
                <w:sz w:val="16"/>
                <w:szCs w:val="16"/>
              </w:rPr>
            </w:pPr>
            <w:r>
              <w:rPr>
                <w:rFonts w:cs="Arial"/>
                <w:sz w:val="16"/>
                <w:szCs w:val="16"/>
              </w:rPr>
              <w:t>47</w:t>
            </w:r>
          </w:p>
        </w:tc>
        <w:tc>
          <w:tcPr>
            <w:tcW w:w="709" w:type="dxa"/>
            <w:tcBorders>
              <w:top w:val="nil"/>
              <w:left w:val="nil"/>
              <w:bottom w:val="nil"/>
              <w:right w:val="single" w:sz="4" w:space="0" w:color="auto"/>
            </w:tcBorders>
            <w:shd w:val="clear" w:color="auto" w:fill="auto"/>
            <w:vAlign w:val="center"/>
            <w:hideMark/>
          </w:tcPr>
          <w:p w14:paraId="2CC3B761" w14:textId="38445C40" w:rsidR="00951947" w:rsidRPr="00D92E20" w:rsidRDefault="00951947" w:rsidP="00951947">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18AAE7D5" w14:textId="7AF92BFA" w:rsidR="00951947" w:rsidRDefault="00951947" w:rsidP="00951947">
            <w:pPr>
              <w:spacing w:after="0" w:line="240" w:lineRule="auto"/>
              <w:jc w:val="right"/>
              <w:rPr>
                <w:rFonts w:cs="Arial"/>
                <w:sz w:val="16"/>
                <w:szCs w:val="16"/>
              </w:rPr>
            </w:pPr>
            <w:r>
              <w:rPr>
                <w:rFonts w:cs="Arial"/>
                <w:sz w:val="16"/>
                <w:szCs w:val="16"/>
              </w:rPr>
              <w:t>677</w:t>
            </w:r>
          </w:p>
        </w:tc>
        <w:tc>
          <w:tcPr>
            <w:tcW w:w="709" w:type="dxa"/>
            <w:tcBorders>
              <w:top w:val="nil"/>
              <w:left w:val="nil"/>
              <w:bottom w:val="nil"/>
              <w:right w:val="nil"/>
            </w:tcBorders>
            <w:vAlign w:val="center"/>
          </w:tcPr>
          <w:p w14:paraId="3E5F9CB5" w14:textId="44190E74" w:rsidR="00951947" w:rsidRDefault="00951947" w:rsidP="00951947">
            <w:pPr>
              <w:spacing w:after="0" w:line="240" w:lineRule="auto"/>
              <w:jc w:val="right"/>
              <w:rPr>
                <w:rFonts w:cs="Arial"/>
                <w:sz w:val="16"/>
                <w:szCs w:val="16"/>
              </w:rPr>
            </w:pPr>
            <w:r>
              <w:rPr>
                <w:rFonts w:cs="Arial"/>
                <w:sz w:val="16"/>
                <w:szCs w:val="16"/>
              </w:rPr>
              <w:t>550</w:t>
            </w:r>
          </w:p>
        </w:tc>
        <w:tc>
          <w:tcPr>
            <w:tcW w:w="709" w:type="dxa"/>
            <w:tcBorders>
              <w:top w:val="nil"/>
              <w:left w:val="nil"/>
              <w:bottom w:val="nil"/>
              <w:right w:val="nil"/>
            </w:tcBorders>
            <w:vAlign w:val="center"/>
          </w:tcPr>
          <w:p w14:paraId="20B84496" w14:textId="104C6311" w:rsidR="00951947" w:rsidRDefault="00951947" w:rsidP="00951947">
            <w:pPr>
              <w:spacing w:after="0" w:line="240" w:lineRule="auto"/>
              <w:jc w:val="right"/>
              <w:rPr>
                <w:rFonts w:cs="Arial"/>
                <w:sz w:val="16"/>
                <w:szCs w:val="16"/>
              </w:rPr>
            </w:pPr>
            <w:r>
              <w:rPr>
                <w:rFonts w:cs="Arial"/>
                <w:sz w:val="16"/>
                <w:szCs w:val="16"/>
              </w:rPr>
              <w:t>127</w:t>
            </w:r>
          </w:p>
        </w:tc>
      </w:tr>
      <w:tr w:rsidR="00951947" w:rsidRPr="00D92E20" w14:paraId="1081A5DD" w14:textId="582C04A9" w:rsidTr="006054AC">
        <w:trPr>
          <w:trHeight w:val="300"/>
        </w:trPr>
        <w:tc>
          <w:tcPr>
            <w:tcW w:w="1077" w:type="dxa"/>
            <w:tcBorders>
              <w:top w:val="nil"/>
              <w:left w:val="nil"/>
              <w:bottom w:val="nil"/>
              <w:right w:val="single" w:sz="4" w:space="0" w:color="auto"/>
            </w:tcBorders>
            <w:shd w:val="clear" w:color="auto" w:fill="auto"/>
            <w:vAlign w:val="center"/>
            <w:hideMark/>
          </w:tcPr>
          <w:p w14:paraId="2D026A69" w14:textId="4151BC2B" w:rsidR="00951947" w:rsidRPr="00D92E20" w:rsidRDefault="00951947" w:rsidP="00951947">
            <w:pPr>
              <w:spacing w:after="0" w:line="240" w:lineRule="auto"/>
              <w:jc w:val="center"/>
              <w:rPr>
                <w:rFonts w:cs="Arial"/>
                <w:color w:val="000000"/>
                <w:sz w:val="16"/>
                <w:szCs w:val="16"/>
              </w:rPr>
            </w:pPr>
            <w:r>
              <w:rPr>
                <w:rFonts w:cs="Arial"/>
                <w:sz w:val="16"/>
                <w:szCs w:val="16"/>
              </w:rPr>
              <w:t>1. pol. 2017</w:t>
            </w:r>
          </w:p>
        </w:tc>
        <w:tc>
          <w:tcPr>
            <w:tcW w:w="710" w:type="dxa"/>
            <w:tcBorders>
              <w:top w:val="nil"/>
              <w:left w:val="nil"/>
              <w:bottom w:val="nil"/>
              <w:right w:val="nil"/>
            </w:tcBorders>
            <w:shd w:val="clear" w:color="auto" w:fill="auto"/>
            <w:noWrap/>
            <w:vAlign w:val="center"/>
            <w:hideMark/>
          </w:tcPr>
          <w:p w14:paraId="50B90E18" w14:textId="0DDB0C75" w:rsidR="00951947" w:rsidRPr="00D92E20" w:rsidRDefault="00951947" w:rsidP="00951947">
            <w:pPr>
              <w:spacing w:after="0" w:line="240" w:lineRule="auto"/>
              <w:jc w:val="right"/>
              <w:rPr>
                <w:rFonts w:cs="Arial"/>
                <w:color w:val="000000"/>
                <w:sz w:val="16"/>
                <w:szCs w:val="16"/>
              </w:rPr>
            </w:pPr>
            <w:r>
              <w:rPr>
                <w:rFonts w:cs="Arial"/>
                <w:sz w:val="16"/>
                <w:szCs w:val="16"/>
              </w:rPr>
              <w:t>24 732</w:t>
            </w:r>
          </w:p>
        </w:tc>
        <w:tc>
          <w:tcPr>
            <w:tcW w:w="709" w:type="dxa"/>
            <w:tcBorders>
              <w:top w:val="nil"/>
              <w:left w:val="nil"/>
              <w:bottom w:val="nil"/>
              <w:right w:val="nil"/>
            </w:tcBorders>
            <w:shd w:val="clear" w:color="auto" w:fill="auto"/>
            <w:noWrap/>
            <w:vAlign w:val="center"/>
            <w:hideMark/>
          </w:tcPr>
          <w:p w14:paraId="665E814A" w14:textId="7F4F63C6" w:rsidR="00951947" w:rsidRPr="00D92E20" w:rsidRDefault="00951947" w:rsidP="00951947">
            <w:pPr>
              <w:spacing w:after="0" w:line="240" w:lineRule="auto"/>
              <w:jc w:val="right"/>
              <w:rPr>
                <w:rFonts w:cs="Arial"/>
                <w:color w:val="000000"/>
                <w:sz w:val="16"/>
                <w:szCs w:val="16"/>
              </w:rPr>
            </w:pPr>
            <w:r>
              <w:rPr>
                <w:rFonts w:cs="Arial"/>
                <w:sz w:val="16"/>
                <w:szCs w:val="16"/>
              </w:rPr>
              <w:t>16 933</w:t>
            </w:r>
          </w:p>
        </w:tc>
        <w:tc>
          <w:tcPr>
            <w:tcW w:w="709" w:type="dxa"/>
            <w:tcBorders>
              <w:top w:val="nil"/>
              <w:left w:val="nil"/>
              <w:bottom w:val="nil"/>
              <w:right w:val="single" w:sz="4" w:space="0" w:color="auto"/>
            </w:tcBorders>
            <w:shd w:val="clear" w:color="auto" w:fill="auto"/>
            <w:noWrap/>
            <w:vAlign w:val="center"/>
            <w:hideMark/>
          </w:tcPr>
          <w:p w14:paraId="5292D42A" w14:textId="3D2D0508" w:rsidR="00951947" w:rsidRPr="00D92E20" w:rsidRDefault="00951947" w:rsidP="00951947">
            <w:pPr>
              <w:spacing w:after="0" w:line="240" w:lineRule="auto"/>
              <w:jc w:val="right"/>
              <w:rPr>
                <w:rFonts w:cs="Arial"/>
                <w:color w:val="000000"/>
                <w:sz w:val="16"/>
                <w:szCs w:val="16"/>
              </w:rPr>
            </w:pPr>
            <w:r>
              <w:rPr>
                <w:rFonts w:cs="Arial"/>
                <w:sz w:val="16"/>
                <w:szCs w:val="16"/>
              </w:rPr>
              <w:t>7 799</w:t>
            </w:r>
          </w:p>
        </w:tc>
        <w:tc>
          <w:tcPr>
            <w:tcW w:w="710" w:type="dxa"/>
            <w:tcBorders>
              <w:top w:val="nil"/>
              <w:left w:val="nil"/>
              <w:bottom w:val="nil"/>
              <w:right w:val="nil"/>
            </w:tcBorders>
            <w:shd w:val="clear" w:color="auto" w:fill="auto"/>
            <w:noWrap/>
            <w:vAlign w:val="center"/>
            <w:hideMark/>
          </w:tcPr>
          <w:p w14:paraId="65E238C1" w14:textId="06EA44FB" w:rsidR="00951947" w:rsidRPr="00D92E20" w:rsidRDefault="00951947" w:rsidP="00951947">
            <w:pPr>
              <w:spacing w:after="0" w:line="240" w:lineRule="auto"/>
              <w:jc w:val="right"/>
              <w:rPr>
                <w:rFonts w:cs="Arial"/>
                <w:color w:val="000000"/>
                <w:sz w:val="16"/>
                <w:szCs w:val="16"/>
              </w:rPr>
            </w:pPr>
            <w:r>
              <w:rPr>
                <w:rFonts w:cs="Arial"/>
                <w:color w:val="000000"/>
                <w:sz w:val="16"/>
                <w:szCs w:val="16"/>
              </w:rPr>
              <w:t>24 046</w:t>
            </w:r>
          </w:p>
        </w:tc>
        <w:tc>
          <w:tcPr>
            <w:tcW w:w="709" w:type="dxa"/>
            <w:tcBorders>
              <w:top w:val="nil"/>
              <w:left w:val="nil"/>
              <w:bottom w:val="nil"/>
              <w:right w:val="nil"/>
            </w:tcBorders>
            <w:shd w:val="clear" w:color="auto" w:fill="auto"/>
            <w:vAlign w:val="center"/>
            <w:hideMark/>
          </w:tcPr>
          <w:p w14:paraId="32A83ABA" w14:textId="1530F061" w:rsidR="00951947" w:rsidRPr="00D92E20" w:rsidRDefault="00951947" w:rsidP="00951947">
            <w:pPr>
              <w:spacing w:after="0" w:line="240" w:lineRule="auto"/>
              <w:jc w:val="right"/>
              <w:rPr>
                <w:rFonts w:cs="Arial"/>
                <w:color w:val="000000"/>
                <w:sz w:val="16"/>
                <w:szCs w:val="16"/>
              </w:rPr>
            </w:pPr>
            <w:r>
              <w:rPr>
                <w:rFonts w:cs="Arial"/>
                <w:sz w:val="16"/>
                <w:szCs w:val="16"/>
              </w:rPr>
              <w:t>16 430</w:t>
            </w:r>
          </w:p>
        </w:tc>
        <w:tc>
          <w:tcPr>
            <w:tcW w:w="709" w:type="dxa"/>
            <w:tcBorders>
              <w:top w:val="nil"/>
              <w:left w:val="nil"/>
              <w:bottom w:val="nil"/>
              <w:right w:val="single" w:sz="4" w:space="0" w:color="auto"/>
            </w:tcBorders>
            <w:shd w:val="clear" w:color="auto" w:fill="auto"/>
            <w:vAlign w:val="center"/>
            <w:hideMark/>
          </w:tcPr>
          <w:p w14:paraId="7AE1B9A6" w14:textId="53C537D3" w:rsidR="00951947" w:rsidRPr="00D92E20" w:rsidRDefault="00951947" w:rsidP="00951947">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vAlign w:val="center"/>
            <w:hideMark/>
          </w:tcPr>
          <w:p w14:paraId="409C0B78" w14:textId="7CDAF6D2" w:rsidR="00951947" w:rsidRPr="00D92E20" w:rsidRDefault="00951947" w:rsidP="00951947">
            <w:pPr>
              <w:spacing w:after="0" w:line="240" w:lineRule="auto"/>
              <w:jc w:val="right"/>
              <w:rPr>
                <w:rFonts w:cs="Arial"/>
                <w:color w:val="000000"/>
                <w:sz w:val="16"/>
                <w:szCs w:val="16"/>
              </w:rPr>
            </w:pPr>
            <w:r>
              <w:rPr>
                <w:rFonts w:cs="Arial"/>
                <w:sz w:val="16"/>
                <w:szCs w:val="16"/>
              </w:rPr>
              <w:t>45</w:t>
            </w:r>
          </w:p>
        </w:tc>
        <w:tc>
          <w:tcPr>
            <w:tcW w:w="709" w:type="dxa"/>
            <w:tcBorders>
              <w:top w:val="nil"/>
              <w:left w:val="nil"/>
              <w:bottom w:val="nil"/>
              <w:right w:val="nil"/>
            </w:tcBorders>
            <w:shd w:val="clear" w:color="auto" w:fill="auto"/>
            <w:vAlign w:val="center"/>
            <w:hideMark/>
          </w:tcPr>
          <w:p w14:paraId="3D70BF4E" w14:textId="4D83B2D0" w:rsidR="00951947" w:rsidRPr="00D92E20" w:rsidRDefault="00951947" w:rsidP="00951947">
            <w:pPr>
              <w:spacing w:after="0" w:line="240" w:lineRule="auto"/>
              <w:jc w:val="right"/>
              <w:rPr>
                <w:rFonts w:cs="Arial"/>
                <w:color w:val="000000"/>
                <w:sz w:val="16"/>
                <w:szCs w:val="16"/>
              </w:rPr>
            </w:pPr>
            <w:r>
              <w:rPr>
                <w:rFonts w:cs="Arial"/>
                <w:sz w:val="16"/>
                <w:szCs w:val="16"/>
              </w:rPr>
              <w:t>43</w:t>
            </w:r>
          </w:p>
        </w:tc>
        <w:tc>
          <w:tcPr>
            <w:tcW w:w="709" w:type="dxa"/>
            <w:tcBorders>
              <w:top w:val="nil"/>
              <w:left w:val="nil"/>
              <w:bottom w:val="nil"/>
              <w:right w:val="single" w:sz="4" w:space="0" w:color="auto"/>
            </w:tcBorders>
            <w:shd w:val="clear" w:color="auto" w:fill="auto"/>
            <w:vAlign w:val="center"/>
            <w:hideMark/>
          </w:tcPr>
          <w:p w14:paraId="2967DC78" w14:textId="691303CB" w:rsidR="00951947" w:rsidRPr="00D92E20" w:rsidRDefault="00951947" w:rsidP="00951947">
            <w:pPr>
              <w:spacing w:after="0" w:line="240" w:lineRule="auto"/>
              <w:jc w:val="right"/>
              <w:rPr>
                <w:rFonts w:cs="Arial"/>
                <w:color w:val="000000"/>
                <w:sz w:val="16"/>
                <w:szCs w:val="16"/>
              </w:rPr>
            </w:pPr>
            <w:r>
              <w:rPr>
                <w:rFonts w:cs="Arial"/>
                <w:sz w:val="16"/>
                <w:szCs w:val="16"/>
              </w:rPr>
              <w:t>2</w:t>
            </w:r>
          </w:p>
        </w:tc>
        <w:tc>
          <w:tcPr>
            <w:tcW w:w="710" w:type="dxa"/>
            <w:tcBorders>
              <w:top w:val="nil"/>
              <w:left w:val="single" w:sz="4" w:space="0" w:color="auto"/>
              <w:bottom w:val="nil"/>
              <w:right w:val="nil"/>
            </w:tcBorders>
            <w:vAlign w:val="center"/>
          </w:tcPr>
          <w:p w14:paraId="7F795A46" w14:textId="5D813E5E" w:rsidR="00951947" w:rsidRDefault="00951947" w:rsidP="00951947">
            <w:pPr>
              <w:spacing w:after="0" w:line="240" w:lineRule="auto"/>
              <w:jc w:val="right"/>
              <w:rPr>
                <w:rFonts w:cs="Arial"/>
                <w:sz w:val="16"/>
                <w:szCs w:val="16"/>
              </w:rPr>
            </w:pPr>
            <w:r>
              <w:rPr>
                <w:rFonts w:cs="Arial"/>
                <w:sz w:val="16"/>
                <w:szCs w:val="16"/>
              </w:rPr>
              <w:t>567</w:t>
            </w:r>
          </w:p>
        </w:tc>
        <w:tc>
          <w:tcPr>
            <w:tcW w:w="709" w:type="dxa"/>
            <w:tcBorders>
              <w:top w:val="nil"/>
              <w:left w:val="nil"/>
              <w:bottom w:val="nil"/>
              <w:right w:val="nil"/>
            </w:tcBorders>
            <w:vAlign w:val="center"/>
          </w:tcPr>
          <w:p w14:paraId="58026ABD" w14:textId="42428905" w:rsidR="00951947" w:rsidRDefault="00951947" w:rsidP="00951947">
            <w:pPr>
              <w:spacing w:after="0" w:line="240" w:lineRule="auto"/>
              <w:jc w:val="right"/>
              <w:rPr>
                <w:rFonts w:cs="Arial"/>
                <w:sz w:val="16"/>
                <w:szCs w:val="16"/>
              </w:rPr>
            </w:pPr>
            <w:r>
              <w:rPr>
                <w:rFonts w:cs="Arial"/>
                <w:sz w:val="16"/>
                <w:szCs w:val="16"/>
              </w:rPr>
              <w:t>476</w:t>
            </w:r>
          </w:p>
        </w:tc>
        <w:tc>
          <w:tcPr>
            <w:tcW w:w="709" w:type="dxa"/>
            <w:tcBorders>
              <w:top w:val="nil"/>
              <w:left w:val="nil"/>
              <w:bottom w:val="nil"/>
              <w:right w:val="nil"/>
            </w:tcBorders>
            <w:vAlign w:val="center"/>
          </w:tcPr>
          <w:p w14:paraId="2BBB9CE4" w14:textId="0D8F5BBD" w:rsidR="00951947" w:rsidRDefault="00951947" w:rsidP="00951947">
            <w:pPr>
              <w:spacing w:after="0" w:line="240" w:lineRule="auto"/>
              <w:jc w:val="right"/>
              <w:rPr>
                <w:rFonts w:cs="Arial"/>
                <w:sz w:val="16"/>
                <w:szCs w:val="16"/>
              </w:rPr>
            </w:pPr>
            <w:r>
              <w:rPr>
                <w:rFonts w:cs="Arial"/>
                <w:sz w:val="16"/>
                <w:szCs w:val="16"/>
              </w:rPr>
              <w:t>91</w:t>
            </w:r>
          </w:p>
        </w:tc>
      </w:tr>
      <w:tr w:rsidR="00951947" w:rsidRPr="00D92E20" w14:paraId="1D44D0AB" w14:textId="577E93F8" w:rsidTr="006054AC">
        <w:trPr>
          <w:trHeight w:val="300"/>
        </w:trPr>
        <w:tc>
          <w:tcPr>
            <w:tcW w:w="1077" w:type="dxa"/>
            <w:tcBorders>
              <w:top w:val="nil"/>
              <w:left w:val="nil"/>
              <w:bottom w:val="nil"/>
              <w:right w:val="single" w:sz="4" w:space="0" w:color="auto"/>
            </w:tcBorders>
            <w:shd w:val="clear" w:color="auto" w:fill="auto"/>
            <w:vAlign w:val="center"/>
            <w:hideMark/>
          </w:tcPr>
          <w:p w14:paraId="58C4C096" w14:textId="33C27576" w:rsidR="00951947" w:rsidRPr="00D92E20" w:rsidRDefault="00951947" w:rsidP="00951947">
            <w:pPr>
              <w:spacing w:after="0" w:line="240" w:lineRule="auto"/>
              <w:jc w:val="center"/>
              <w:rPr>
                <w:rFonts w:cs="Arial"/>
                <w:color w:val="000000"/>
                <w:sz w:val="16"/>
                <w:szCs w:val="16"/>
              </w:rPr>
            </w:pPr>
            <w:r>
              <w:rPr>
                <w:rFonts w:cs="Arial"/>
                <w:sz w:val="16"/>
                <w:szCs w:val="16"/>
              </w:rPr>
              <w:t>1. pol. 2018</w:t>
            </w:r>
          </w:p>
        </w:tc>
        <w:tc>
          <w:tcPr>
            <w:tcW w:w="710" w:type="dxa"/>
            <w:tcBorders>
              <w:top w:val="nil"/>
              <w:left w:val="nil"/>
              <w:bottom w:val="nil"/>
              <w:right w:val="nil"/>
            </w:tcBorders>
            <w:shd w:val="clear" w:color="auto" w:fill="auto"/>
            <w:vAlign w:val="center"/>
            <w:hideMark/>
          </w:tcPr>
          <w:p w14:paraId="0F1D2844" w14:textId="2ED89A29" w:rsidR="00951947" w:rsidRPr="00D92E20" w:rsidRDefault="00951947" w:rsidP="00951947">
            <w:pPr>
              <w:spacing w:after="0" w:line="240" w:lineRule="auto"/>
              <w:jc w:val="right"/>
              <w:rPr>
                <w:rFonts w:cs="Arial"/>
                <w:color w:val="000000"/>
                <w:sz w:val="16"/>
                <w:szCs w:val="16"/>
              </w:rPr>
            </w:pPr>
            <w:r>
              <w:rPr>
                <w:rFonts w:cs="Arial"/>
                <w:sz w:val="16"/>
                <w:szCs w:val="16"/>
              </w:rPr>
              <w:t>24 062</w:t>
            </w:r>
          </w:p>
        </w:tc>
        <w:tc>
          <w:tcPr>
            <w:tcW w:w="709" w:type="dxa"/>
            <w:tcBorders>
              <w:top w:val="nil"/>
              <w:left w:val="nil"/>
              <w:bottom w:val="nil"/>
              <w:right w:val="nil"/>
            </w:tcBorders>
            <w:shd w:val="clear" w:color="auto" w:fill="auto"/>
            <w:noWrap/>
            <w:vAlign w:val="center"/>
            <w:hideMark/>
          </w:tcPr>
          <w:p w14:paraId="6C9E7026" w14:textId="5AE7E992" w:rsidR="00951947" w:rsidRPr="00D92E20" w:rsidRDefault="00951947" w:rsidP="00951947">
            <w:pPr>
              <w:spacing w:after="0" w:line="240" w:lineRule="auto"/>
              <w:jc w:val="right"/>
              <w:rPr>
                <w:rFonts w:cs="Arial"/>
                <w:color w:val="000000"/>
                <w:sz w:val="16"/>
                <w:szCs w:val="16"/>
              </w:rPr>
            </w:pPr>
            <w:r>
              <w:rPr>
                <w:rFonts w:cs="Arial"/>
                <w:sz w:val="16"/>
                <w:szCs w:val="16"/>
              </w:rPr>
              <w:t>16 186</w:t>
            </w:r>
          </w:p>
        </w:tc>
        <w:tc>
          <w:tcPr>
            <w:tcW w:w="709" w:type="dxa"/>
            <w:tcBorders>
              <w:top w:val="nil"/>
              <w:left w:val="nil"/>
              <w:bottom w:val="nil"/>
              <w:right w:val="single" w:sz="4" w:space="0" w:color="auto"/>
            </w:tcBorders>
            <w:shd w:val="clear" w:color="auto" w:fill="auto"/>
            <w:noWrap/>
            <w:vAlign w:val="center"/>
            <w:hideMark/>
          </w:tcPr>
          <w:p w14:paraId="15414B88" w14:textId="0E71762B" w:rsidR="00951947" w:rsidRPr="00D92E20" w:rsidRDefault="00951947" w:rsidP="00951947">
            <w:pPr>
              <w:spacing w:after="0" w:line="240" w:lineRule="auto"/>
              <w:jc w:val="right"/>
              <w:rPr>
                <w:rFonts w:cs="Arial"/>
                <w:color w:val="000000"/>
                <w:sz w:val="16"/>
                <w:szCs w:val="16"/>
              </w:rPr>
            </w:pPr>
            <w:r>
              <w:rPr>
                <w:rFonts w:cs="Arial"/>
                <w:sz w:val="16"/>
                <w:szCs w:val="16"/>
              </w:rPr>
              <w:t>7 876</w:t>
            </w:r>
          </w:p>
        </w:tc>
        <w:tc>
          <w:tcPr>
            <w:tcW w:w="710" w:type="dxa"/>
            <w:tcBorders>
              <w:top w:val="nil"/>
              <w:left w:val="nil"/>
              <w:bottom w:val="nil"/>
              <w:right w:val="nil"/>
            </w:tcBorders>
            <w:shd w:val="clear" w:color="auto" w:fill="auto"/>
            <w:noWrap/>
            <w:vAlign w:val="center"/>
            <w:hideMark/>
          </w:tcPr>
          <w:p w14:paraId="04FB5F46" w14:textId="70A7C5DE" w:rsidR="00951947" w:rsidRPr="00D92E20" w:rsidRDefault="00951947" w:rsidP="00951947">
            <w:pPr>
              <w:spacing w:after="0" w:line="240" w:lineRule="auto"/>
              <w:jc w:val="right"/>
              <w:rPr>
                <w:rFonts w:cs="Arial"/>
                <w:color w:val="000000"/>
                <w:sz w:val="16"/>
                <w:szCs w:val="16"/>
              </w:rPr>
            </w:pPr>
            <w:r>
              <w:rPr>
                <w:rFonts w:ascii="Arial CE" w:hAnsi="Arial CE" w:cs="Arial CE"/>
                <w:sz w:val="16"/>
                <w:szCs w:val="16"/>
              </w:rPr>
              <w:t>23 525</w:t>
            </w:r>
          </w:p>
        </w:tc>
        <w:tc>
          <w:tcPr>
            <w:tcW w:w="709" w:type="dxa"/>
            <w:tcBorders>
              <w:top w:val="nil"/>
              <w:left w:val="nil"/>
              <w:bottom w:val="nil"/>
              <w:right w:val="nil"/>
            </w:tcBorders>
            <w:shd w:val="clear" w:color="auto" w:fill="auto"/>
            <w:vAlign w:val="center"/>
            <w:hideMark/>
          </w:tcPr>
          <w:p w14:paraId="3A82C31E" w14:textId="2358E84A" w:rsidR="00951947" w:rsidRPr="00D92E20" w:rsidRDefault="00951947" w:rsidP="00951947">
            <w:pPr>
              <w:spacing w:after="0" w:line="240" w:lineRule="auto"/>
              <w:jc w:val="right"/>
              <w:rPr>
                <w:rFonts w:cs="Arial"/>
                <w:color w:val="000000"/>
                <w:sz w:val="16"/>
                <w:szCs w:val="16"/>
              </w:rPr>
            </w:pPr>
            <w:r>
              <w:rPr>
                <w:rFonts w:cs="Arial"/>
                <w:sz w:val="16"/>
                <w:szCs w:val="16"/>
              </w:rPr>
              <w:t>15 810</w:t>
            </w:r>
          </w:p>
        </w:tc>
        <w:tc>
          <w:tcPr>
            <w:tcW w:w="709" w:type="dxa"/>
            <w:tcBorders>
              <w:top w:val="nil"/>
              <w:left w:val="nil"/>
              <w:bottom w:val="nil"/>
              <w:right w:val="single" w:sz="4" w:space="0" w:color="auto"/>
            </w:tcBorders>
            <w:shd w:val="clear" w:color="auto" w:fill="auto"/>
            <w:vAlign w:val="center"/>
            <w:hideMark/>
          </w:tcPr>
          <w:p w14:paraId="458422B3" w14:textId="7B37F265" w:rsidR="00951947" w:rsidRPr="00D92E20" w:rsidRDefault="00951947" w:rsidP="00951947">
            <w:pPr>
              <w:spacing w:after="0" w:line="240" w:lineRule="auto"/>
              <w:jc w:val="right"/>
              <w:rPr>
                <w:rFonts w:cs="Arial"/>
                <w:color w:val="000000"/>
                <w:sz w:val="16"/>
                <w:szCs w:val="16"/>
              </w:rPr>
            </w:pPr>
            <w:r>
              <w:rPr>
                <w:rFonts w:ascii="Arial CE" w:hAnsi="Arial CE" w:cs="Arial CE"/>
                <w:sz w:val="16"/>
                <w:szCs w:val="16"/>
              </w:rPr>
              <w:t>7 715</w:t>
            </w:r>
          </w:p>
        </w:tc>
        <w:tc>
          <w:tcPr>
            <w:tcW w:w="710" w:type="dxa"/>
            <w:tcBorders>
              <w:top w:val="nil"/>
              <w:left w:val="nil"/>
              <w:bottom w:val="nil"/>
              <w:right w:val="nil"/>
            </w:tcBorders>
            <w:shd w:val="clear" w:color="auto" w:fill="auto"/>
            <w:vAlign w:val="center"/>
            <w:hideMark/>
          </w:tcPr>
          <w:p w14:paraId="79340DD5" w14:textId="3B5846F5" w:rsidR="00951947" w:rsidRPr="00D92E20" w:rsidRDefault="00951947" w:rsidP="00951947">
            <w:pPr>
              <w:spacing w:after="0" w:line="240" w:lineRule="auto"/>
              <w:jc w:val="right"/>
              <w:rPr>
                <w:rFonts w:cs="Arial"/>
                <w:color w:val="000000"/>
                <w:sz w:val="16"/>
                <w:szCs w:val="16"/>
              </w:rPr>
            </w:pPr>
            <w:r>
              <w:rPr>
                <w:rFonts w:cs="Arial"/>
                <w:sz w:val="16"/>
                <w:szCs w:val="16"/>
              </w:rPr>
              <w:t>60</w:t>
            </w:r>
          </w:p>
        </w:tc>
        <w:tc>
          <w:tcPr>
            <w:tcW w:w="709" w:type="dxa"/>
            <w:tcBorders>
              <w:top w:val="nil"/>
              <w:left w:val="nil"/>
              <w:bottom w:val="nil"/>
              <w:right w:val="nil"/>
            </w:tcBorders>
            <w:shd w:val="clear" w:color="auto" w:fill="auto"/>
            <w:vAlign w:val="center"/>
            <w:hideMark/>
          </w:tcPr>
          <w:p w14:paraId="5D03984B" w14:textId="54916164" w:rsidR="00951947" w:rsidRPr="00D92E20" w:rsidRDefault="00951947" w:rsidP="00951947">
            <w:pPr>
              <w:spacing w:after="0" w:line="240" w:lineRule="auto"/>
              <w:jc w:val="right"/>
              <w:rPr>
                <w:rFonts w:cs="Arial"/>
                <w:color w:val="000000"/>
                <w:sz w:val="16"/>
                <w:szCs w:val="16"/>
              </w:rPr>
            </w:pPr>
            <w:r>
              <w:rPr>
                <w:rFonts w:cs="Arial"/>
                <w:sz w:val="16"/>
                <w:szCs w:val="16"/>
              </w:rPr>
              <w:t>57</w:t>
            </w:r>
          </w:p>
        </w:tc>
        <w:tc>
          <w:tcPr>
            <w:tcW w:w="709" w:type="dxa"/>
            <w:tcBorders>
              <w:top w:val="nil"/>
              <w:left w:val="nil"/>
              <w:bottom w:val="nil"/>
              <w:right w:val="single" w:sz="4" w:space="0" w:color="auto"/>
            </w:tcBorders>
            <w:shd w:val="clear" w:color="auto" w:fill="auto"/>
            <w:vAlign w:val="center"/>
            <w:hideMark/>
          </w:tcPr>
          <w:p w14:paraId="6DF64F15" w14:textId="31A1B42E" w:rsidR="00951947" w:rsidRPr="00D92E20" w:rsidRDefault="00951947" w:rsidP="00951947">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42FAEB57" w14:textId="4FBF09BF" w:rsidR="00951947" w:rsidRDefault="00951947" w:rsidP="00951947">
            <w:pPr>
              <w:spacing w:after="0" w:line="240" w:lineRule="auto"/>
              <w:jc w:val="right"/>
              <w:rPr>
                <w:rFonts w:cs="Arial"/>
                <w:sz w:val="16"/>
                <w:szCs w:val="16"/>
              </w:rPr>
            </w:pPr>
            <w:r>
              <w:rPr>
                <w:rFonts w:cs="Arial"/>
                <w:sz w:val="16"/>
                <w:szCs w:val="16"/>
              </w:rPr>
              <w:t>561</w:t>
            </w:r>
          </w:p>
        </w:tc>
        <w:tc>
          <w:tcPr>
            <w:tcW w:w="709" w:type="dxa"/>
            <w:tcBorders>
              <w:top w:val="nil"/>
              <w:left w:val="nil"/>
              <w:bottom w:val="nil"/>
              <w:right w:val="nil"/>
            </w:tcBorders>
            <w:vAlign w:val="center"/>
          </w:tcPr>
          <w:p w14:paraId="0F56A412" w14:textId="6EE5C50B" w:rsidR="00951947" w:rsidRDefault="00951947" w:rsidP="00951947">
            <w:pPr>
              <w:spacing w:after="0" w:line="240" w:lineRule="auto"/>
              <w:jc w:val="right"/>
              <w:rPr>
                <w:rFonts w:cs="Arial"/>
                <w:sz w:val="16"/>
                <w:szCs w:val="16"/>
              </w:rPr>
            </w:pPr>
            <w:r>
              <w:rPr>
                <w:rFonts w:cs="Arial"/>
                <w:sz w:val="16"/>
                <w:szCs w:val="16"/>
              </w:rPr>
              <w:t>463</w:t>
            </w:r>
          </w:p>
        </w:tc>
        <w:tc>
          <w:tcPr>
            <w:tcW w:w="709" w:type="dxa"/>
            <w:tcBorders>
              <w:top w:val="nil"/>
              <w:left w:val="nil"/>
              <w:bottom w:val="nil"/>
              <w:right w:val="nil"/>
            </w:tcBorders>
            <w:vAlign w:val="center"/>
          </w:tcPr>
          <w:p w14:paraId="2DFF7353" w14:textId="7FC51CF8" w:rsidR="00951947" w:rsidRDefault="00951947" w:rsidP="00951947">
            <w:pPr>
              <w:spacing w:after="0" w:line="240" w:lineRule="auto"/>
              <w:jc w:val="right"/>
              <w:rPr>
                <w:rFonts w:cs="Arial"/>
                <w:sz w:val="16"/>
                <w:szCs w:val="16"/>
              </w:rPr>
            </w:pPr>
            <w:r>
              <w:rPr>
                <w:rFonts w:cs="Arial"/>
                <w:sz w:val="16"/>
                <w:szCs w:val="16"/>
              </w:rPr>
              <w:t>98</w:t>
            </w:r>
          </w:p>
        </w:tc>
      </w:tr>
      <w:tr w:rsidR="00951947" w:rsidRPr="00D92E20" w14:paraId="1FDC472A" w14:textId="3BF81603" w:rsidTr="006054AC">
        <w:trPr>
          <w:trHeight w:val="300"/>
        </w:trPr>
        <w:tc>
          <w:tcPr>
            <w:tcW w:w="1077" w:type="dxa"/>
            <w:tcBorders>
              <w:top w:val="nil"/>
              <w:left w:val="nil"/>
              <w:bottom w:val="nil"/>
              <w:right w:val="single" w:sz="4" w:space="0" w:color="auto"/>
            </w:tcBorders>
            <w:shd w:val="clear" w:color="auto" w:fill="auto"/>
            <w:vAlign w:val="center"/>
            <w:hideMark/>
          </w:tcPr>
          <w:p w14:paraId="7405E34B" w14:textId="7C27FA4D" w:rsidR="00951947" w:rsidRPr="00D92E20" w:rsidRDefault="00951947" w:rsidP="00951947">
            <w:pPr>
              <w:spacing w:after="0" w:line="240" w:lineRule="auto"/>
              <w:jc w:val="center"/>
              <w:rPr>
                <w:rFonts w:cs="Arial"/>
                <w:color w:val="000000"/>
                <w:sz w:val="16"/>
                <w:szCs w:val="16"/>
              </w:rPr>
            </w:pPr>
            <w:r>
              <w:rPr>
                <w:rFonts w:cs="Arial"/>
                <w:sz w:val="16"/>
                <w:szCs w:val="16"/>
              </w:rPr>
              <w:t>1. pol. 2019</w:t>
            </w:r>
          </w:p>
        </w:tc>
        <w:tc>
          <w:tcPr>
            <w:tcW w:w="710" w:type="dxa"/>
            <w:tcBorders>
              <w:top w:val="nil"/>
              <w:left w:val="nil"/>
              <w:bottom w:val="nil"/>
              <w:right w:val="nil"/>
            </w:tcBorders>
            <w:shd w:val="clear" w:color="auto" w:fill="auto"/>
            <w:noWrap/>
            <w:vAlign w:val="center"/>
            <w:hideMark/>
          </w:tcPr>
          <w:p w14:paraId="20EDB6C6" w14:textId="032BC61E" w:rsidR="00951947" w:rsidRPr="00D92E20" w:rsidRDefault="00951947" w:rsidP="00951947">
            <w:pPr>
              <w:spacing w:after="0" w:line="240" w:lineRule="auto"/>
              <w:jc w:val="right"/>
              <w:rPr>
                <w:rFonts w:cs="Arial"/>
                <w:color w:val="000000"/>
                <w:sz w:val="16"/>
                <w:szCs w:val="16"/>
              </w:rPr>
            </w:pPr>
            <w:r>
              <w:rPr>
                <w:rFonts w:cs="Arial"/>
                <w:color w:val="000000"/>
                <w:sz w:val="16"/>
                <w:szCs w:val="16"/>
              </w:rPr>
              <w:t>23 218</w:t>
            </w:r>
          </w:p>
        </w:tc>
        <w:tc>
          <w:tcPr>
            <w:tcW w:w="709" w:type="dxa"/>
            <w:tcBorders>
              <w:top w:val="nil"/>
              <w:left w:val="nil"/>
              <w:bottom w:val="nil"/>
              <w:right w:val="nil"/>
            </w:tcBorders>
            <w:shd w:val="clear" w:color="auto" w:fill="auto"/>
            <w:vAlign w:val="center"/>
            <w:hideMark/>
          </w:tcPr>
          <w:p w14:paraId="5A898D97" w14:textId="05F3F8D2" w:rsidR="00951947" w:rsidRPr="00D92E20" w:rsidRDefault="00951947" w:rsidP="00951947">
            <w:pPr>
              <w:spacing w:after="0" w:line="240" w:lineRule="auto"/>
              <w:jc w:val="right"/>
              <w:rPr>
                <w:rFonts w:cs="Arial"/>
                <w:color w:val="000000"/>
                <w:sz w:val="16"/>
                <w:szCs w:val="16"/>
              </w:rPr>
            </w:pPr>
            <w:r>
              <w:rPr>
                <w:rFonts w:cs="Arial"/>
                <w:color w:val="000000"/>
                <w:sz w:val="16"/>
                <w:szCs w:val="16"/>
              </w:rPr>
              <w:t>15 602</w:t>
            </w:r>
          </w:p>
        </w:tc>
        <w:tc>
          <w:tcPr>
            <w:tcW w:w="709" w:type="dxa"/>
            <w:tcBorders>
              <w:top w:val="nil"/>
              <w:left w:val="nil"/>
              <w:bottom w:val="nil"/>
              <w:right w:val="single" w:sz="4" w:space="0" w:color="auto"/>
            </w:tcBorders>
            <w:shd w:val="clear" w:color="auto" w:fill="auto"/>
            <w:vAlign w:val="center"/>
            <w:hideMark/>
          </w:tcPr>
          <w:p w14:paraId="6A09B484" w14:textId="5C00FF14" w:rsidR="00951947" w:rsidRPr="00D92E20" w:rsidRDefault="00951947" w:rsidP="00951947">
            <w:pPr>
              <w:spacing w:after="0" w:line="240" w:lineRule="auto"/>
              <w:jc w:val="right"/>
              <w:rPr>
                <w:rFonts w:cs="Arial"/>
                <w:color w:val="000000"/>
                <w:sz w:val="16"/>
                <w:szCs w:val="16"/>
              </w:rPr>
            </w:pPr>
            <w:r>
              <w:rPr>
                <w:rFonts w:cs="Arial"/>
                <w:color w:val="000000"/>
                <w:sz w:val="16"/>
                <w:szCs w:val="16"/>
              </w:rPr>
              <w:t>7 616</w:t>
            </w:r>
          </w:p>
        </w:tc>
        <w:tc>
          <w:tcPr>
            <w:tcW w:w="710" w:type="dxa"/>
            <w:tcBorders>
              <w:top w:val="nil"/>
              <w:left w:val="nil"/>
              <w:bottom w:val="nil"/>
              <w:right w:val="nil"/>
            </w:tcBorders>
            <w:shd w:val="clear" w:color="auto" w:fill="auto"/>
            <w:noWrap/>
            <w:vAlign w:val="center"/>
            <w:hideMark/>
          </w:tcPr>
          <w:p w14:paraId="115F23EB" w14:textId="0807BBF6" w:rsidR="00951947" w:rsidRPr="00D92E20" w:rsidRDefault="00951947" w:rsidP="00951947">
            <w:pPr>
              <w:spacing w:after="0" w:line="240" w:lineRule="auto"/>
              <w:jc w:val="right"/>
              <w:rPr>
                <w:rFonts w:cs="Arial"/>
                <w:color w:val="000000"/>
                <w:sz w:val="16"/>
                <w:szCs w:val="16"/>
              </w:rPr>
            </w:pPr>
            <w:r>
              <w:rPr>
                <w:rFonts w:cs="Arial"/>
                <w:color w:val="000000"/>
                <w:sz w:val="16"/>
                <w:szCs w:val="16"/>
              </w:rPr>
              <w:t>22 828</w:t>
            </w:r>
          </w:p>
        </w:tc>
        <w:tc>
          <w:tcPr>
            <w:tcW w:w="709" w:type="dxa"/>
            <w:tcBorders>
              <w:top w:val="nil"/>
              <w:left w:val="nil"/>
              <w:bottom w:val="nil"/>
              <w:right w:val="nil"/>
            </w:tcBorders>
            <w:shd w:val="clear" w:color="auto" w:fill="auto"/>
            <w:vAlign w:val="center"/>
            <w:hideMark/>
          </w:tcPr>
          <w:p w14:paraId="09F19A6F" w14:textId="60B20780" w:rsidR="00951947" w:rsidRPr="00D92E20" w:rsidRDefault="00951947" w:rsidP="00951947">
            <w:pPr>
              <w:spacing w:after="0" w:line="240" w:lineRule="auto"/>
              <w:jc w:val="right"/>
              <w:rPr>
                <w:rFonts w:cs="Arial"/>
                <w:color w:val="000000"/>
                <w:sz w:val="16"/>
                <w:szCs w:val="16"/>
              </w:rPr>
            </w:pPr>
            <w:r>
              <w:rPr>
                <w:rFonts w:cs="Arial"/>
                <w:color w:val="000000"/>
                <w:sz w:val="16"/>
                <w:szCs w:val="16"/>
              </w:rPr>
              <w:t>15 326</w:t>
            </w:r>
          </w:p>
        </w:tc>
        <w:tc>
          <w:tcPr>
            <w:tcW w:w="709" w:type="dxa"/>
            <w:tcBorders>
              <w:top w:val="nil"/>
              <w:left w:val="nil"/>
              <w:bottom w:val="nil"/>
              <w:right w:val="single" w:sz="4" w:space="0" w:color="auto"/>
            </w:tcBorders>
            <w:shd w:val="clear" w:color="auto" w:fill="auto"/>
            <w:vAlign w:val="center"/>
            <w:hideMark/>
          </w:tcPr>
          <w:p w14:paraId="14BE404F" w14:textId="4CB6AD11" w:rsidR="00951947" w:rsidRPr="00D92E20" w:rsidRDefault="00951947" w:rsidP="00951947">
            <w:pPr>
              <w:spacing w:after="0" w:line="240" w:lineRule="auto"/>
              <w:jc w:val="right"/>
              <w:rPr>
                <w:rFonts w:cs="Arial"/>
                <w:color w:val="000000"/>
                <w:sz w:val="16"/>
                <w:szCs w:val="16"/>
              </w:rPr>
            </w:pPr>
            <w:r>
              <w:rPr>
                <w:rFonts w:cs="Arial"/>
                <w:color w:val="000000"/>
                <w:sz w:val="16"/>
                <w:szCs w:val="16"/>
              </w:rPr>
              <w:t>7 502</w:t>
            </w:r>
          </w:p>
        </w:tc>
        <w:tc>
          <w:tcPr>
            <w:tcW w:w="710" w:type="dxa"/>
            <w:tcBorders>
              <w:top w:val="nil"/>
              <w:left w:val="nil"/>
              <w:bottom w:val="nil"/>
              <w:right w:val="nil"/>
            </w:tcBorders>
            <w:shd w:val="clear" w:color="auto" w:fill="auto"/>
            <w:vAlign w:val="center"/>
            <w:hideMark/>
          </w:tcPr>
          <w:p w14:paraId="61B5E213" w14:textId="6712758D" w:rsidR="00951947" w:rsidRPr="00D92E20" w:rsidRDefault="00951947" w:rsidP="00951947">
            <w:pPr>
              <w:spacing w:after="0" w:line="240" w:lineRule="auto"/>
              <w:jc w:val="right"/>
              <w:rPr>
                <w:rFonts w:cs="Arial"/>
                <w:color w:val="000000"/>
                <w:sz w:val="16"/>
                <w:szCs w:val="16"/>
              </w:rPr>
            </w:pPr>
            <w:r>
              <w:rPr>
                <w:rFonts w:cs="Arial"/>
                <w:sz w:val="16"/>
                <w:szCs w:val="16"/>
              </w:rPr>
              <w:t>40</w:t>
            </w:r>
          </w:p>
        </w:tc>
        <w:tc>
          <w:tcPr>
            <w:tcW w:w="709" w:type="dxa"/>
            <w:tcBorders>
              <w:top w:val="nil"/>
              <w:left w:val="nil"/>
              <w:bottom w:val="nil"/>
              <w:right w:val="nil"/>
            </w:tcBorders>
            <w:shd w:val="clear" w:color="auto" w:fill="auto"/>
            <w:vAlign w:val="center"/>
            <w:hideMark/>
          </w:tcPr>
          <w:p w14:paraId="19AEE8C4" w14:textId="5DDB1D34" w:rsidR="00951947" w:rsidRPr="00D92E20" w:rsidRDefault="00951947" w:rsidP="00951947">
            <w:pPr>
              <w:spacing w:after="0" w:line="240" w:lineRule="auto"/>
              <w:jc w:val="right"/>
              <w:rPr>
                <w:rFonts w:cs="Arial"/>
                <w:color w:val="000000"/>
                <w:sz w:val="16"/>
                <w:szCs w:val="16"/>
              </w:rPr>
            </w:pPr>
            <w:r>
              <w:rPr>
                <w:rFonts w:cs="Arial"/>
                <w:sz w:val="16"/>
                <w:szCs w:val="16"/>
              </w:rPr>
              <w:t>37</w:t>
            </w:r>
          </w:p>
        </w:tc>
        <w:tc>
          <w:tcPr>
            <w:tcW w:w="709" w:type="dxa"/>
            <w:tcBorders>
              <w:top w:val="nil"/>
              <w:left w:val="nil"/>
              <w:bottom w:val="nil"/>
              <w:right w:val="single" w:sz="4" w:space="0" w:color="auto"/>
            </w:tcBorders>
            <w:shd w:val="clear" w:color="auto" w:fill="auto"/>
            <w:vAlign w:val="center"/>
            <w:hideMark/>
          </w:tcPr>
          <w:p w14:paraId="66247653" w14:textId="1B8CE3EF" w:rsidR="00951947" w:rsidRPr="00D92E20" w:rsidRDefault="00951947" w:rsidP="00951947">
            <w:pPr>
              <w:spacing w:after="0" w:line="240" w:lineRule="auto"/>
              <w:jc w:val="right"/>
              <w:rPr>
                <w:rFonts w:cs="Arial"/>
                <w:color w:val="000000"/>
                <w:sz w:val="16"/>
                <w:szCs w:val="16"/>
              </w:rPr>
            </w:pPr>
            <w:r>
              <w:rPr>
                <w:rFonts w:cs="Arial"/>
                <w:sz w:val="16"/>
                <w:szCs w:val="16"/>
              </w:rPr>
              <w:t>3</w:t>
            </w:r>
          </w:p>
        </w:tc>
        <w:tc>
          <w:tcPr>
            <w:tcW w:w="710" w:type="dxa"/>
            <w:tcBorders>
              <w:top w:val="nil"/>
              <w:left w:val="single" w:sz="4" w:space="0" w:color="auto"/>
              <w:bottom w:val="nil"/>
              <w:right w:val="nil"/>
            </w:tcBorders>
            <w:vAlign w:val="center"/>
          </w:tcPr>
          <w:p w14:paraId="7679A3EE" w14:textId="47F55E8A" w:rsidR="00951947" w:rsidRDefault="00951947" w:rsidP="00951947">
            <w:pPr>
              <w:spacing w:after="0" w:line="240" w:lineRule="auto"/>
              <w:jc w:val="right"/>
              <w:rPr>
                <w:rFonts w:cs="Arial"/>
                <w:sz w:val="16"/>
                <w:szCs w:val="16"/>
              </w:rPr>
            </w:pPr>
            <w:r>
              <w:rPr>
                <w:rFonts w:cs="Arial"/>
                <w:sz w:val="16"/>
                <w:szCs w:val="16"/>
              </w:rPr>
              <w:t>551</w:t>
            </w:r>
          </w:p>
        </w:tc>
        <w:tc>
          <w:tcPr>
            <w:tcW w:w="709" w:type="dxa"/>
            <w:tcBorders>
              <w:top w:val="nil"/>
              <w:left w:val="nil"/>
              <w:bottom w:val="nil"/>
              <w:right w:val="nil"/>
            </w:tcBorders>
            <w:vAlign w:val="center"/>
          </w:tcPr>
          <w:p w14:paraId="169F403B" w14:textId="2B38A522" w:rsidR="00951947" w:rsidRDefault="00951947" w:rsidP="00951947">
            <w:pPr>
              <w:spacing w:after="0" w:line="240" w:lineRule="auto"/>
              <w:jc w:val="right"/>
              <w:rPr>
                <w:rFonts w:cs="Arial"/>
                <w:sz w:val="16"/>
                <w:szCs w:val="16"/>
              </w:rPr>
            </w:pPr>
            <w:r>
              <w:rPr>
                <w:rFonts w:cs="Arial"/>
                <w:sz w:val="16"/>
                <w:szCs w:val="16"/>
              </w:rPr>
              <w:t>448</w:t>
            </w:r>
          </w:p>
        </w:tc>
        <w:tc>
          <w:tcPr>
            <w:tcW w:w="709" w:type="dxa"/>
            <w:tcBorders>
              <w:top w:val="nil"/>
              <w:left w:val="nil"/>
              <w:bottom w:val="nil"/>
              <w:right w:val="nil"/>
            </w:tcBorders>
            <w:vAlign w:val="center"/>
          </w:tcPr>
          <w:p w14:paraId="37714948" w14:textId="3723CA64" w:rsidR="00951947" w:rsidRDefault="00951947" w:rsidP="00951947">
            <w:pPr>
              <w:spacing w:after="0" w:line="240" w:lineRule="auto"/>
              <w:jc w:val="right"/>
              <w:rPr>
                <w:rFonts w:cs="Arial"/>
                <w:sz w:val="16"/>
                <w:szCs w:val="16"/>
              </w:rPr>
            </w:pPr>
            <w:r>
              <w:rPr>
                <w:rFonts w:cs="Arial"/>
                <w:sz w:val="16"/>
                <w:szCs w:val="16"/>
              </w:rPr>
              <w:t>103</w:t>
            </w:r>
          </w:p>
        </w:tc>
      </w:tr>
      <w:tr w:rsidR="00951947" w:rsidRPr="00D92E20" w14:paraId="197278DD" w14:textId="101520FB" w:rsidTr="006054AC">
        <w:trPr>
          <w:trHeight w:val="300"/>
        </w:trPr>
        <w:tc>
          <w:tcPr>
            <w:tcW w:w="1077" w:type="dxa"/>
            <w:tcBorders>
              <w:top w:val="nil"/>
              <w:left w:val="nil"/>
              <w:bottom w:val="nil"/>
              <w:right w:val="single" w:sz="4" w:space="0" w:color="auto"/>
            </w:tcBorders>
            <w:shd w:val="clear" w:color="auto" w:fill="auto"/>
            <w:vAlign w:val="center"/>
            <w:hideMark/>
          </w:tcPr>
          <w:p w14:paraId="60A2D725" w14:textId="1DA56E21" w:rsidR="00951947" w:rsidRPr="00D92E20" w:rsidRDefault="00951947" w:rsidP="00951947">
            <w:pPr>
              <w:spacing w:after="0" w:line="240" w:lineRule="auto"/>
              <w:jc w:val="center"/>
              <w:rPr>
                <w:rFonts w:cs="Arial"/>
                <w:color w:val="000000"/>
                <w:sz w:val="16"/>
                <w:szCs w:val="16"/>
              </w:rPr>
            </w:pPr>
            <w:r>
              <w:rPr>
                <w:rFonts w:cs="Arial"/>
                <w:sz w:val="16"/>
                <w:szCs w:val="16"/>
              </w:rPr>
              <w:t>1. pol. 2020</w:t>
            </w:r>
          </w:p>
        </w:tc>
        <w:tc>
          <w:tcPr>
            <w:tcW w:w="710" w:type="dxa"/>
            <w:tcBorders>
              <w:top w:val="nil"/>
              <w:left w:val="nil"/>
              <w:bottom w:val="nil"/>
              <w:right w:val="nil"/>
            </w:tcBorders>
            <w:shd w:val="clear" w:color="auto" w:fill="auto"/>
            <w:noWrap/>
            <w:vAlign w:val="center"/>
            <w:hideMark/>
          </w:tcPr>
          <w:p w14:paraId="62248BD1" w14:textId="342BEC20" w:rsidR="00951947" w:rsidRPr="00D92E20" w:rsidRDefault="00951947" w:rsidP="00951947">
            <w:pPr>
              <w:spacing w:after="0" w:line="240" w:lineRule="auto"/>
              <w:jc w:val="right"/>
              <w:rPr>
                <w:rFonts w:cs="Arial"/>
                <w:color w:val="000000"/>
                <w:sz w:val="16"/>
                <w:szCs w:val="16"/>
              </w:rPr>
            </w:pPr>
            <w:r>
              <w:rPr>
                <w:rFonts w:cs="Arial"/>
                <w:color w:val="000000"/>
                <w:sz w:val="16"/>
                <w:szCs w:val="16"/>
              </w:rPr>
              <w:t>20 483</w:t>
            </w:r>
          </w:p>
        </w:tc>
        <w:tc>
          <w:tcPr>
            <w:tcW w:w="709" w:type="dxa"/>
            <w:tcBorders>
              <w:top w:val="nil"/>
              <w:left w:val="nil"/>
              <w:bottom w:val="nil"/>
              <w:right w:val="nil"/>
            </w:tcBorders>
            <w:shd w:val="clear" w:color="auto" w:fill="auto"/>
            <w:vAlign w:val="center"/>
            <w:hideMark/>
          </w:tcPr>
          <w:p w14:paraId="2F14C7EA" w14:textId="04A73BF6" w:rsidR="00951947" w:rsidRPr="00D92E20" w:rsidRDefault="00951947" w:rsidP="00951947">
            <w:pPr>
              <w:spacing w:after="0" w:line="240" w:lineRule="auto"/>
              <w:jc w:val="right"/>
              <w:rPr>
                <w:rFonts w:cs="Arial"/>
                <w:color w:val="000000"/>
                <w:sz w:val="16"/>
                <w:szCs w:val="16"/>
              </w:rPr>
            </w:pPr>
            <w:r>
              <w:rPr>
                <w:rFonts w:cs="Arial"/>
                <w:color w:val="000000"/>
                <w:sz w:val="16"/>
                <w:szCs w:val="16"/>
              </w:rPr>
              <w:t>14 209</w:t>
            </w:r>
          </w:p>
        </w:tc>
        <w:tc>
          <w:tcPr>
            <w:tcW w:w="709" w:type="dxa"/>
            <w:tcBorders>
              <w:top w:val="nil"/>
              <w:left w:val="nil"/>
              <w:bottom w:val="nil"/>
              <w:right w:val="single" w:sz="4" w:space="0" w:color="auto"/>
            </w:tcBorders>
            <w:shd w:val="clear" w:color="auto" w:fill="auto"/>
            <w:vAlign w:val="center"/>
            <w:hideMark/>
          </w:tcPr>
          <w:p w14:paraId="4B462091" w14:textId="7A3CD535" w:rsidR="00951947" w:rsidRPr="00D92E20" w:rsidRDefault="00951947" w:rsidP="00951947">
            <w:pPr>
              <w:spacing w:after="0" w:line="240" w:lineRule="auto"/>
              <w:jc w:val="right"/>
              <w:rPr>
                <w:rFonts w:cs="Arial"/>
                <w:color w:val="000000"/>
                <w:sz w:val="16"/>
                <w:szCs w:val="16"/>
              </w:rPr>
            </w:pPr>
            <w:r>
              <w:rPr>
                <w:rFonts w:cs="Arial"/>
                <w:color w:val="000000"/>
                <w:sz w:val="16"/>
                <w:szCs w:val="16"/>
              </w:rPr>
              <w:t>6 274</w:t>
            </w:r>
          </w:p>
        </w:tc>
        <w:tc>
          <w:tcPr>
            <w:tcW w:w="710" w:type="dxa"/>
            <w:tcBorders>
              <w:top w:val="nil"/>
              <w:left w:val="nil"/>
              <w:bottom w:val="nil"/>
              <w:right w:val="nil"/>
            </w:tcBorders>
            <w:shd w:val="clear" w:color="auto" w:fill="auto"/>
            <w:noWrap/>
            <w:vAlign w:val="center"/>
            <w:hideMark/>
          </w:tcPr>
          <w:p w14:paraId="5C5C3C3B" w14:textId="59D4F7A6" w:rsidR="00951947" w:rsidRPr="00D92E20" w:rsidRDefault="00951947" w:rsidP="00951947">
            <w:pPr>
              <w:spacing w:after="0" w:line="240" w:lineRule="auto"/>
              <w:jc w:val="right"/>
              <w:rPr>
                <w:rFonts w:cs="Arial"/>
                <w:color w:val="000000"/>
                <w:sz w:val="16"/>
                <w:szCs w:val="16"/>
              </w:rPr>
            </w:pPr>
            <w:r>
              <w:rPr>
                <w:rFonts w:cs="Arial"/>
                <w:color w:val="000000"/>
                <w:sz w:val="16"/>
                <w:szCs w:val="16"/>
              </w:rPr>
              <w:t>19 857</w:t>
            </w:r>
          </w:p>
        </w:tc>
        <w:tc>
          <w:tcPr>
            <w:tcW w:w="709" w:type="dxa"/>
            <w:tcBorders>
              <w:top w:val="nil"/>
              <w:left w:val="nil"/>
              <w:bottom w:val="nil"/>
              <w:right w:val="nil"/>
            </w:tcBorders>
            <w:shd w:val="clear" w:color="auto" w:fill="auto"/>
            <w:vAlign w:val="center"/>
            <w:hideMark/>
          </w:tcPr>
          <w:p w14:paraId="597F904E" w14:textId="1E94AB5D" w:rsidR="00951947" w:rsidRPr="00D92E20" w:rsidRDefault="00951947" w:rsidP="00951947">
            <w:pPr>
              <w:spacing w:after="0" w:line="240" w:lineRule="auto"/>
              <w:jc w:val="right"/>
              <w:rPr>
                <w:rFonts w:cs="Arial"/>
                <w:color w:val="000000"/>
                <w:sz w:val="16"/>
                <w:szCs w:val="16"/>
              </w:rPr>
            </w:pPr>
            <w:r>
              <w:rPr>
                <w:rFonts w:cs="Arial"/>
                <w:color w:val="000000"/>
                <w:sz w:val="16"/>
                <w:szCs w:val="16"/>
              </w:rPr>
              <w:t>13 758</w:t>
            </w:r>
          </w:p>
        </w:tc>
        <w:tc>
          <w:tcPr>
            <w:tcW w:w="709" w:type="dxa"/>
            <w:tcBorders>
              <w:top w:val="nil"/>
              <w:left w:val="nil"/>
              <w:bottom w:val="nil"/>
              <w:right w:val="single" w:sz="4" w:space="0" w:color="auto"/>
            </w:tcBorders>
            <w:shd w:val="clear" w:color="auto" w:fill="auto"/>
            <w:vAlign w:val="center"/>
            <w:hideMark/>
          </w:tcPr>
          <w:p w14:paraId="0DCFD742" w14:textId="444DDAB9" w:rsidR="00951947" w:rsidRPr="00D92E20" w:rsidRDefault="00951947" w:rsidP="00951947">
            <w:pPr>
              <w:spacing w:after="0" w:line="240" w:lineRule="auto"/>
              <w:jc w:val="right"/>
              <w:rPr>
                <w:rFonts w:cs="Arial"/>
                <w:color w:val="000000"/>
                <w:sz w:val="16"/>
                <w:szCs w:val="16"/>
              </w:rPr>
            </w:pPr>
            <w:r>
              <w:rPr>
                <w:rFonts w:cs="Arial"/>
                <w:color w:val="000000"/>
                <w:sz w:val="16"/>
                <w:szCs w:val="16"/>
              </w:rPr>
              <w:t>6 099</w:t>
            </w:r>
          </w:p>
        </w:tc>
        <w:tc>
          <w:tcPr>
            <w:tcW w:w="710" w:type="dxa"/>
            <w:tcBorders>
              <w:top w:val="nil"/>
              <w:left w:val="nil"/>
              <w:bottom w:val="nil"/>
              <w:right w:val="nil"/>
            </w:tcBorders>
            <w:shd w:val="clear" w:color="auto" w:fill="auto"/>
            <w:vAlign w:val="center"/>
            <w:hideMark/>
          </w:tcPr>
          <w:p w14:paraId="7981A70F" w14:textId="418A79B1" w:rsidR="00951947" w:rsidRPr="00D92E20" w:rsidRDefault="00951947" w:rsidP="00951947">
            <w:pPr>
              <w:spacing w:after="0" w:line="240" w:lineRule="auto"/>
              <w:jc w:val="right"/>
              <w:rPr>
                <w:rFonts w:cs="Arial"/>
                <w:color w:val="000000"/>
                <w:sz w:val="16"/>
                <w:szCs w:val="16"/>
              </w:rPr>
            </w:pPr>
            <w:r>
              <w:rPr>
                <w:rFonts w:cs="Arial"/>
                <w:color w:val="000000"/>
                <w:sz w:val="16"/>
                <w:szCs w:val="16"/>
              </w:rPr>
              <w:t>47</w:t>
            </w:r>
          </w:p>
        </w:tc>
        <w:tc>
          <w:tcPr>
            <w:tcW w:w="709" w:type="dxa"/>
            <w:tcBorders>
              <w:top w:val="nil"/>
              <w:left w:val="nil"/>
              <w:bottom w:val="nil"/>
              <w:right w:val="nil"/>
            </w:tcBorders>
            <w:shd w:val="clear" w:color="auto" w:fill="auto"/>
            <w:vAlign w:val="center"/>
            <w:hideMark/>
          </w:tcPr>
          <w:p w14:paraId="7DF2F177" w14:textId="4A350629" w:rsidR="00951947" w:rsidRPr="00D92E20" w:rsidRDefault="00951947" w:rsidP="00951947">
            <w:pPr>
              <w:spacing w:after="0" w:line="240" w:lineRule="auto"/>
              <w:jc w:val="right"/>
              <w:rPr>
                <w:rFonts w:cs="Arial"/>
                <w:color w:val="000000"/>
                <w:sz w:val="16"/>
                <w:szCs w:val="16"/>
              </w:rPr>
            </w:pPr>
            <w:r>
              <w:rPr>
                <w:rFonts w:cs="Arial"/>
                <w:color w:val="000000"/>
                <w:sz w:val="16"/>
                <w:szCs w:val="16"/>
              </w:rPr>
              <w:t>45</w:t>
            </w:r>
          </w:p>
        </w:tc>
        <w:tc>
          <w:tcPr>
            <w:tcW w:w="709" w:type="dxa"/>
            <w:tcBorders>
              <w:top w:val="nil"/>
              <w:left w:val="nil"/>
              <w:bottom w:val="nil"/>
              <w:right w:val="single" w:sz="4" w:space="0" w:color="auto"/>
            </w:tcBorders>
            <w:shd w:val="clear" w:color="auto" w:fill="auto"/>
            <w:vAlign w:val="center"/>
            <w:hideMark/>
          </w:tcPr>
          <w:p w14:paraId="6C266EB8" w14:textId="2806609F" w:rsidR="00951947" w:rsidRPr="00D92E20" w:rsidRDefault="00951947" w:rsidP="00951947">
            <w:pPr>
              <w:spacing w:after="0" w:line="240" w:lineRule="auto"/>
              <w:jc w:val="right"/>
              <w:rPr>
                <w:rFonts w:cs="Arial"/>
                <w:color w:val="000000"/>
                <w:sz w:val="16"/>
                <w:szCs w:val="16"/>
              </w:rPr>
            </w:pPr>
            <w:r>
              <w:rPr>
                <w:rFonts w:cs="Arial"/>
                <w:color w:val="000000"/>
                <w:sz w:val="16"/>
                <w:szCs w:val="16"/>
              </w:rPr>
              <w:t>2</w:t>
            </w:r>
          </w:p>
        </w:tc>
        <w:tc>
          <w:tcPr>
            <w:tcW w:w="710" w:type="dxa"/>
            <w:tcBorders>
              <w:top w:val="nil"/>
              <w:left w:val="single" w:sz="4" w:space="0" w:color="auto"/>
              <w:bottom w:val="nil"/>
              <w:right w:val="nil"/>
            </w:tcBorders>
            <w:vAlign w:val="center"/>
          </w:tcPr>
          <w:p w14:paraId="212DB371" w14:textId="73182B47" w:rsidR="00951947" w:rsidRDefault="00951947" w:rsidP="00951947">
            <w:pPr>
              <w:spacing w:after="0" w:line="240" w:lineRule="auto"/>
              <w:jc w:val="right"/>
              <w:rPr>
                <w:rFonts w:cs="Arial"/>
                <w:color w:val="000000"/>
                <w:sz w:val="16"/>
                <w:szCs w:val="16"/>
              </w:rPr>
            </w:pPr>
            <w:r>
              <w:rPr>
                <w:rFonts w:cs="Arial"/>
                <w:color w:val="000000"/>
                <w:sz w:val="16"/>
                <w:szCs w:val="16"/>
              </w:rPr>
              <w:t>426</w:t>
            </w:r>
          </w:p>
        </w:tc>
        <w:tc>
          <w:tcPr>
            <w:tcW w:w="709" w:type="dxa"/>
            <w:tcBorders>
              <w:top w:val="nil"/>
              <w:left w:val="nil"/>
              <w:bottom w:val="nil"/>
              <w:right w:val="nil"/>
            </w:tcBorders>
            <w:vAlign w:val="center"/>
          </w:tcPr>
          <w:p w14:paraId="3D09B8D0" w14:textId="0141318B" w:rsidR="00951947" w:rsidRDefault="00951947" w:rsidP="00951947">
            <w:pPr>
              <w:spacing w:after="0" w:line="240" w:lineRule="auto"/>
              <w:jc w:val="right"/>
              <w:rPr>
                <w:rFonts w:cs="Arial"/>
                <w:color w:val="000000"/>
                <w:sz w:val="16"/>
                <w:szCs w:val="16"/>
              </w:rPr>
            </w:pPr>
            <w:r>
              <w:rPr>
                <w:rFonts w:cs="Arial"/>
                <w:color w:val="000000"/>
                <w:sz w:val="16"/>
                <w:szCs w:val="16"/>
              </w:rPr>
              <w:t>357</w:t>
            </w:r>
          </w:p>
        </w:tc>
        <w:tc>
          <w:tcPr>
            <w:tcW w:w="709" w:type="dxa"/>
            <w:tcBorders>
              <w:top w:val="nil"/>
              <w:left w:val="nil"/>
              <w:bottom w:val="nil"/>
              <w:right w:val="nil"/>
            </w:tcBorders>
            <w:vAlign w:val="center"/>
          </w:tcPr>
          <w:p w14:paraId="159EFE26" w14:textId="3D164098" w:rsidR="00951947" w:rsidRDefault="00951947" w:rsidP="00951947">
            <w:pPr>
              <w:spacing w:after="0" w:line="240" w:lineRule="auto"/>
              <w:jc w:val="right"/>
              <w:rPr>
                <w:rFonts w:cs="Arial"/>
                <w:color w:val="000000"/>
                <w:sz w:val="16"/>
                <w:szCs w:val="16"/>
              </w:rPr>
            </w:pPr>
            <w:r>
              <w:rPr>
                <w:rFonts w:cs="Arial"/>
                <w:color w:val="000000"/>
                <w:sz w:val="16"/>
                <w:szCs w:val="16"/>
              </w:rPr>
              <w:t>69</w:t>
            </w:r>
          </w:p>
        </w:tc>
      </w:tr>
      <w:tr w:rsidR="00951947" w:rsidRPr="00D92E20" w14:paraId="633C828F" w14:textId="0F88BDCA" w:rsidTr="006054AC">
        <w:trPr>
          <w:trHeight w:val="300"/>
        </w:trPr>
        <w:tc>
          <w:tcPr>
            <w:tcW w:w="1077" w:type="dxa"/>
            <w:tcBorders>
              <w:top w:val="nil"/>
              <w:left w:val="nil"/>
              <w:bottom w:val="nil"/>
              <w:right w:val="single" w:sz="4" w:space="0" w:color="auto"/>
            </w:tcBorders>
            <w:shd w:val="clear" w:color="auto" w:fill="auto"/>
            <w:vAlign w:val="center"/>
            <w:hideMark/>
          </w:tcPr>
          <w:p w14:paraId="57937F0A" w14:textId="0D637046" w:rsidR="00951947" w:rsidRPr="00D92E20" w:rsidRDefault="00951947" w:rsidP="00951947">
            <w:pPr>
              <w:spacing w:after="0" w:line="240" w:lineRule="auto"/>
              <w:jc w:val="center"/>
              <w:rPr>
                <w:rFonts w:cs="Arial"/>
                <w:color w:val="000000"/>
                <w:sz w:val="16"/>
                <w:szCs w:val="16"/>
              </w:rPr>
            </w:pPr>
            <w:r>
              <w:rPr>
                <w:rFonts w:cs="Arial"/>
                <w:sz w:val="16"/>
                <w:szCs w:val="16"/>
              </w:rPr>
              <w:t>1. pol. 2021</w:t>
            </w:r>
          </w:p>
        </w:tc>
        <w:tc>
          <w:tcPr>
            <w:tcW w:w="710" w:type="dxa"/>
            <w:tcBorders>
              <w:top w:val="nil"/>
              <w:left w:val="nil"/>
              <w:bottom w:val="nil"/>
              <w:right w:val="nil"/>
            </w:tcBorders>
            <w:shd w:val="clear" w:color="auto" w:fill="auto"/>
            <w:noWrap/>
            <w:vAlign w:val="center"/>
            <w:hideMark/>
          </w:tcPr>
          <w:p w14:paraId="507D8AC8" w14:textId="2AAA22C2" w:rsidR="00951947" w:rsidRPr="00D92E20" w:rsidRDefault="00951947" w:rsidP="00951947">
            <w:pPr>
              <w:spacing w:after="0" w:line="240" w:lineRule="auto"/>
              <w:jc w:val="right"/>
              <w:rPr>
                <w:rFonts w:cs="Arial"/>
                <w:color w:val="000000"/>
                <w:sz w:val="16"/>
                <w:szCs w:val="16"/>
              </w:rPr>
            </w:pPr>
            <w:r>
              <w:rPr>
                <w:rFonts w:cs="Arial"/>
                <w:color w:val="000000"/>
                <w:sz w:val="16"/>
                <w:szCs w:val="16"/>
              </w:rPr>
              <w:t>23 326</w:t>
            </w:r>
          </w:p>
        </w:tc>
        <w:tc>
          <w:tcPr>
            <w:tcW w:w="709" w:type="dxa"/>
            <w:tcBorders>
              <w:top w:val="nil"/>
              <w:left w:val="nil"/>
              <w:bottom w:val="nil"/>
              <w:right w:val="nil"/>
            </w:tcBorders>
            <w:shd w:val="clear" w:color="auto" w:fill="auto"/>
            <w:vAlign w:val="center"/>
            <w:hideMark/>
          </w:tcPr>
          <w:p w14:paraId="7B4206ED" w14:textId="27BD491F" w:rsidR="00951947" w:rsidRPr="00D92E20" w:rsidRDefault="00951947" w:rsidP="00951947">
            <w:pPr>
              <w:spacing w:after="0" w:line="240" w:lineRule="auto"/>
              <w:jc w:val="right"/>
              <w:rPr>
                <w:rFonts w:cs="Arial"/>
                <w:color w:val="000000"/>
                <w:sz w:val="16"/>
                <w:szCs w:val="16"/>
              </w:rPr>
            </w:pPr>
            <w:r>
              <w:rPr>
                <w:rFonts w:cs="Arial"/>
                <w:color w:val="000000"/>
                <w:sz w:val="16"/>
                <w:szCs w:val="16"/>
              </w:rPr>
              <w:t>16 203</w:t>
            </w:r>
          </w:p>
        </w:tc>
        <w:tc>
          <w:tcPr>
            <w:tcW w:w="709" w:type="dxa"/>
            <w:tcBorders>
              <w:top w:val="nil"/>
              <w:left w:val="nil"/>
              <w:bottom w:val="nil"/>
              <w:right w:val="single" w:sz="4" w:space="0" w:color="auto"/>
            </w:tcBorders>
            <w:shd w:val="clear" w:color="auto" w:fill="auto"/>
            <w:vAlign w:val="center"/>
            <w:hideMark/>
          </w:tcPr>
          <w:p w14:paraId="2F109DFF" w14:textId="7050C791" w:rsidR="00951947" w:rsidRPr="00D92E20" w:rsidRDefault="00951947" w:rsidP="00951947">
            <w:pPr>
              <w:spacing w:after="0" w:line="240" w:lineRule="auto"/>
              <w:jc w:val="right"/>
              <w:rPr>
                <w:rFonts w:cs="Arial"/>
                <w:color w:val="000000"/>
                <w:sz w:val="16"/>
                <w:szCs w:val="16"/>
              </w:rPr>
            </w:pPr>
            <w:r>
              <w:rPr>
                <w:rFonts w:cs="Arial"/>
                <w:color w:val="000000"/>
                <w:sz w:val="16"/>
                <w:szCs w:val="16"/>
              </w:rPr>
              <w:t>7 123</w:t>
            </w:r>
          </w:p>
        </w:tc>
        <w:tc>
          <w:tcPr>
            <w:tcW w:w="710" w:type="dxa"/>
            <w:tcBorders>
              <w:top w:val="nil"/>
              <w:left w:val="nil"/>
              <w:bottom w:val="nil"/>
              <w:right w:val="nil"/>
            </w:tcBorders>
            <w:shd w:val="clear" w:color="auto" w:fill="auto"/>
            <w:noWrap/>
            <w:vAlign w:val="center"/>
            <w:hideMark/>
          </w:tcPr>
          <w:p w14:paraId="2B8A08B2" w14:textId="6791B392" w:rsidR="00951947" w:rsidRPr="00D92E20" w:rsidRDefault="00951947" w:rsidP="00951947">
            <w:pPr>
              <w:spacing w:after="0" w:line="240" w:lineRule="auto"/>
              <w:jc w:val="right"/>
              <w:rPr>
                <w:rFonts w:cs="Arial"/>
                <w:color w:val="000000"/>
                <w:sz w:val="16"/>
                <w:szCs w:val="16"/>
              </w:rPr>
            </w:pPr>
            <w:r>
              <w:rPr>
                <w:rFonts w:cs="Arial"/>
                <w:color w:val="000000"/>
                <w:sz w:val="16"/>
                <w:szCs w:val="16"/>
              </w:rPr>
              <w:t>22 469</w:t>
            </w:r>
          </w:p>
        </w:tc>
        <w:tc>
          <w:tcPr>
            <w:tcW w:w="709" w:type="dxa"/>
            <w:tcBorders>
              <w:top w:val="nil"/>
              <w:left w:val="nil"/>
              <w:bottom w:val="nil"/>
              <w:right w:val="nil"/>
            </w:tcBorders>
            <w:shd w:val="clear" w:color="auto" w:fill="auto"/>
            <w:vAlign w:val="center"/>
            <w:hideMark/>
          </w:tcPr>
          <w:p w14:paraId="697C4BF5" w14:textId="13C2C38D" w:rsidR="00951947" w:rsidRPr="00D92E20" w:rsidRDefault="00951947" w:rsidP="00951947">
            <w:pPr>
              <w:spacing w:after="0" w:line="240" w:lineRule="auto"/>
              <w:jc w:val="right"/>
              <w:rPr>
                <w:rFonts w:cs="Arial"/>
                <w:color w:val="000000"/>
                <w:sz w:val="16"/>
                <w:szCs w:val="16"/>
              </w:rPr>
            </w:pPr>
            <w:r>
              <w:rPr>
                <w:rFonts w:cs="Arial"/>
                <w:color w:val="000000"/>
                <w:sz w:val="16"/>
                <w:szCs w:val="16"/>
              </w:rPr>
              <w:t>15 572</w:t>
            </w:r>
          </w:p>
        </w:tc>
        <w:tc>
          <w:tcPr>
            <w:tcW w:w="709" w:type="dxa"/>
            <w:tcBorders>
              <w:top w:val="nil"/>
              <w:left w:val="nil"/>
              <w:bottom w:val="nil"/>
              <w:right w:val="single" w:sz="4" w:space="0" w:color="auto"/>
            </w:tcBorders>
            <w:shd w:val="clear" w:color="auto" w:fill="auto"/>
            <w:vAlign w:val="center"/>
            <w:hideMark/>
          </w:tcPr>
          <w:p w14:paraId="607AF827" w14:textId="4963C5D3" w:rsidR="00951947" w:rsidRPr="00D92E20" w:rsidRDefault="00951947" w:rsidP="00951947">
            <w:pPr>
              <w:spacing w:after="0" w:line="240" w:lineRule="auto"/>
              <w:jc w:val="right"/>
              <w:rPr>
                <w:rFonts w:cs="Arial"/>
                <w:color w:val="000000"/>
                <w:sz w:val="16"/>
                <w:szCs w:val="16"/>
              </w:rPr>
            </w:pPr>
            <w:r>
              <w:rPr>
                <w:rFonts w:cs="Arial"/>
                <w:color w:val="000000"/>
                <w:sz w:val="16"/>
                <w:szCs w:val="16"/>
              </w:rPr>
              <w:t>6 897</w:t>
            </w:r>
          </w:p>
        </w:tc>
        <w:tc>
          <w:tcPr>
            <w:tcW w:w="710" w:type="dxa"/>
            <w:tcBorders>
              <w:top w:val="nil"/>
              <w:left w:val="nil"/>
              <w:bottom w:val="nil"/>
              <w:right w:val="nil"/>
            </w:tcBorders>
            <w:shd w:val="clear" w:color="auto" w:fill="auto"/>
            <w:vAlign w:val="center"/>
            <w:hideMark/>
          </w:tcPr>
          <w:p w14:paraId="688EDD90" w14:textId="57DDCCEF" w:rsidR="00951947" w:rsidRPr="00D92E20" w:rsidRDefault="00951947" w:rsidP="00951947">
            <w:pPr>
              <w:spacing w:after="0" w:line="240" w:lineRule="auto"/>
              <w:jc w:val="right"/>
              <w:rPr>
                <w:rFonts w:cs="Arial"/>
                <w:color w:val="000000"/>
                <w:sz w:val="16"/>
                <w:szCs w:val="16"/>
              </w:rPr>
            </w:pPr>
            <w:r>
              <w:rPr>
                <w:rFonts w:cs="Arial"/>
                <w:color w:val="000000"/>
                <w:sz w:val="16"/>
                <w:szCs w:val="16"/>
              </w:rPr>
              <w:t>39</w:t>
            </w:r>
          </w:p>
        </w:tc>
        <w:tc>
          <w:tcPr>
            <w:tcW w:w="709" w:type="dxa"/>
            <w:tcBorders>
              <w:top w:val="nil"/>
              <w:left w:val="nil"/>
              <w:bottom w:val="nil"/>
              <w:right w:val="nil"/>
            </w:tcBorders>
            <w:shd w:val="clear" w:color="auto" w:fill="auto"/>
            <w:vAlign w:val="center"/>
            <w:hideMark/>
          </w:tcPr>
          <w:p w14:paraId="4BD6BEA5" w14:textId="2846BD1C" w:rsidR="00951947" w:rsidRPr="00D92E20" w:rsidRDefault="00951947" w:rsidP="00951947">
            <w:pPr>
              <w:spacing w:after="0" w:line="240" w:lineRule="auto"/>
              <w:jc w:val="right"/>
              <w:rPr>
                <w:rFonts w:cs="Arial"/>
                <w:color w:val="000000"/>
                <w:sz w:val="16"/>
                <w:szCs w:val="16"/>
              </w:rPr>
            </w:pPr>
            <w:r>
              <w:rPr>
                <w:rFonts w:cs="Arial"/>
                <w:color w:val="000000"/>
                <w:sz w:val="16"/>
                <w:szCs w:val="16"/>
              </w:rPr>
              <w:t>35</w:t>
            </w:r>
          </w:p>
        </w:tc>
        <w:tc>
          <w:tcPr>
            <w:tcW w:w="709" w:type="dxa"/>
            <w:tcBorders>
              <w:top w:val="nil"/>
              <w:left w:val="nil"/>
              <w:bottom w:val="nil"/>
              <w:right w:val="single" w:sz="4" w:space="0" w:color="auto"/>
            </w:tcBorders>
            <w:shd w:val="clear" w:color="auto" w:fill="auto"/>
            <w:vAlign w:val="center"/>
            <w:hideMark/>
          </w:tcPr>
          <w:p w14:paraId="085C97E9" w14:textId="51066932" w:rsidR="00951947" w:rsidRPr="00D92E20" w:rsidRDefault="00951947" w:rsidP="00951947">
            <w:pPr>
              <w:spacing w:after="0" w:line="240" w:lineRule="auto"/>
              <w:jc w:val="right"/>
              <w:rPr>
                <w:rFonts w:cs="Arial"/>
                <w:color w:val="000000"/>
                <w:sz w:val="16"/>
                <w:szCs w:val="16"/>
              </w:rPr>
            </w:pPr>
            <w:r>
              <w:rPr>
                <w:rFonts w:cs="Arial"/>
                <w:color w:val="000000"/>
                <w:sz w:val="16"/>
                <w:szCs w:val="16"/>
              </w:rPr>
              <w:t>4</w:t>
            </w:r>
          </w:p>
        </w:tc>
        <w:tc>
          <w:tcPr>
            <w:tcW w:w="710" w:type="dxa"/>
            <w:tcBorders>
              <w:top w:val="nil"/>
              <w:left w:val="single" w:sz="4" w:space="0" w:color="auto"/>
              <w:bottom w:val="nil"/>
              <w:right w:val="nil"/>
            </w:tcBorders>
            <w:vAlign w:val="center"/>
          </w:tcPr>
          <w:p w14:paraId="36C4DA7E" w14:textId="19B8C94F" w:rsidR="00951947" w:rsidRDefault="00951947" w:rsidP="00951947">
            <w:pPr>
              <w:spacing w:after="0" w:line="240" w:lineRule="auto"/>
              <w:jc w:val="right"/>
              <w:rPr>
                <w:rFonts w:cs="Arial"/>
                <w:color w:val="000000"/>
                <w:sz w:val="16"/>
                <w:szCs w:val="16"/>
              </w:rPr>
            </w:pPr>
            <w:r>
              <w:rPr>
                <w:rFonts w:cs="Arial"/>
                <w:color w:val="000000"/>
                <w:sz w:val="16"/>
                <w:szCs w:val="16"/>
              </w:rPr>
              <w:t>395</w:t>
            </w:r>
          </w:p>
        </w:tc>
        <w:tc>
          <w:tcPr>
            <w:tcW w:w="709" w:type="dxa"/>
            <w:tcBorders>
              <w:top w:val="nil"/>
              <w:left w:val="nil"/>
              <w:bottom w:val="nil"/>
              <w:right w:val="nil"/>
            </w:tcBorders>
            <w:vAlign w:val="center"/>
          </w:tcPr>
          <w:p w14:paraId="636014F4" w14:textId="610FA294" w:rsidR="00951947" w:rsidRDefault="00951947" w:rsidP="00951947">
            <w:pPr>
              <w:spacing w:after="0" w:line="240" w:lineRule="auto"/>
              <w:jc w:val="right"/>
              <w:rPr>
                <w:rFonts w:cs="Arial"/>
                <w:color w:val="000000"/>
                <w:sz w:val="16"/>
                <w:szCs w:val="16"/>
              </w:rPr>
            </w:pPr>
            <w:r>
              <w:rPr>
                <w:rFonts w:cs="Arial"/>
                <w:color w:val="000000"/>
                <w:sz w:val="16"/>
                <w:szCs w:val="16"/>
              </w:rPr>
              <w:t>320</w:t>
            </w:r>
          </w:p>
        </w:tc>
        <w:tc>
          <w:tcPr>
            <w:tcW w:w="709" w:type="dxa"/>
            <w:tcBorders>
              <w:top w:val="nil"/>
              <w:left w:val="nil"/>
              <w:bottom w:val="nil"/>
              <w:right w:val="nil"/>
            </w:tcBorders>
            <w:vAlign w:val="center"/>
          </w:tcPr>
          <w:p w14:paraId="0BE5BAE3" w14:textId="2FDD0187" w:rsidR="00951947" w:rsidRDefault="00951947" w:rsidP="00951947">
            <w:pPr>
              <w:spacing w:after="0" w:line="240" w:lineRule="auto"/>
              <w:jc w:val="right"/>
              <w:rPr>
                <w:rFonts w:cs="Arial"/>
                <w:color w:val="000000"/>
                <w:sz w:val="16"/>
                <w:szCs w:val="16"/>
              </w:rPr>
            </w:pPr>
            <w:r>
              <w:rPr>
                <w:rFonts w:cs="Arial"/>
                <w:color w:val="000000"/>
                <w:sz w:val="16"/>
                <w:szCs w:val="16"/>
              </w:rPr>
              <w:t>75</w:t>
            </w:r>
          </w:p>
        </w:tc>
      </w:tr>
    </w:tbl>
    <w:p w14:paraId="23699BA4" w14:textId="77777777" w:rsidR="00BF4256" w:rsidRPr="00D92E20" w:rsidRDefault="00BF4256" w:rsidP="00000A90">
      <w:pPr>
        <w:spacing w:before="120" w:after="120"/>
        <w:jc w:val="both"/>
        <w:rPr>
          <w:sz w:val="16"/>
        </w:rPr>
      </w:pPr>
      <w:r w:rsidRPr="00D92E20">
        <w:rPr>
          <w:sz w:val="16"/>
        </w:rPr>
        <w:t>Zdroj: ČSÚ, SÚIP</w:t>
      </w:r>
    </w:p>
    <w:p w14:paraId="6D184AC0" w14:textId="77777777" w:rsidR="00F20CF3" w:rsidRPr="003044AF" w:rsidRDefault="00F20CF3" w:rsidP="00000A90">
      <w:pPr>
        <w:spacing w:before="120" w:after="120"/>
        <w:jc w:val="both"/>
        <w:rPr>
          <w:rFonts w:cs="Arial"/>
        </w:rPr>
      </w:pPr>
      <w:r w:rsidRPr="003044AF">
        <w:rPr>
          <w:rFonts w:cs="Arial"/>
        </w:rPr>
        <w:t>Nadále se v této kapitole budeme věnovat pracovním úrazům s pracovní neschopností delší než 3 kalendářní dny.</w:t>
      </w:r>
    </w:p>
    <w:p w14:paraId="57F8AA80" w14:textId="2B359B43" w:rsidR="00BF4256" w:rsidRPr="00D92E20" w:rsidRDefault="003044AF" w:rsidP="00000A90">
      <w:pPr>
        <w:spacing w:before="120" w:after="120"/>
        <w:jc w:val="both"/>
        <w:rPr>
          <w:rFonts w:cs="Arial"/>
          <w:b/>
        </w:rPr>
      </w:pPr>
      <w:r w:rsidRPr="003044AF">
        <w:t>Pokud pomineme 1. pol. 2020, kdy se počet pracovních úrazů vyžadujících neschopenku delší než 3 dny dostal pod 20 tis., dochází od 1. pol. 2017 k postupnému snižování počtu takto klasifikovaných pracovních úrazů. V 1. pol. 2021 se událo 22,5 tis. pracovních úrazů s</w:t>
      </w:r>
      <w:r w:rsidR="005C496F">
        <w:t xml:space="preserve"> delší než </w:t>
      </w:r>
      <w:r w:rsidRPr="003044AF">
        <w:t xml:space="preserve">3denní DPN. Nejvyšší hodnota v desetiletém období, a sice 24,2 tis. byla zaznamenána v 1. pol. 2016. </w:t>
      </w:r>
    </w:p>
    <w:p w14:paraId="074197F7" w14:textId="77777777" w:rsidR="00951947" w:rsidRDefault="00BF4256" w:rsidP="00951947">
      <w:pPr>
        <w:spacing w:after="0"/>
        <w:jc w:val="both"/>
        <w:rPr>
          <w:rFonts w:cs="Arial"/>
          <w:b/>
        </w:rPr>
      </w:pPr>
      <w:r w:rsidRPr="00D92E20">
        <w:rPr>
          <w:rFonts w:cs="Arial"/>
          <w:b/>
        </w:rPr>
        <w:t xml:space="preserve">Graf 5.1: Pracovní úrazy s pracovní neschopností delší než 3 dny na 100 tis. pojištěnců podle pohlaví, </w:t>
      </w:r>
      <w:r w:rsidR="00951947" w:rsidRPr="00951947">
        <w:rPr>
          <w:rFonts w:cs="Arial"/>
          <w:b/>
        </w:rPr>
        <w:t>1. pol. 2011–1. pol. 2021</w:t>
      </w:r>
    </w:p>
    <w:p w14:paraId="34787F9B" w14:textId="20071F90" w:rsidR="00F20CF3" w:rsidRPr="00D92E20" w:rsidRDefault="00951947" w:rsidP="00951947">
      <w:pPr>
        <w:spacing w:after="0"/>
        <w:jc w:val="both"/>
        <w:rPr>
          <w:rFonts w:cs="Arial"/>
          <w:b/>
        </w:rPr>
      </w:pPr>
      <w:r>
        <w:rPr>
          <w:noProof/>
        </w:rPr>
        <w:drawing>
          <wp:inline distT="0" distB="0" distL="0" distR="0" wp14:anchorId="4C529E58" wp14:editId="60FBCE7A">
            <wp:extent cx="6116400" cy="2743200"/>
            <wp:effectExtent l="0" t="0" r="1778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20CF3" w:rsidRPr="00D92E20">
        <w:rPr>
          <w:rFonts w:cs="Arial"/>
          <w:b/>
        </w:rPr>
        <w:t xml:space="preserve"> </w:t>
      </w:r>
    </w:p>
    <w:p w14:paraId="0DC43427" w14:textId="77777777" w:rsidR="00BF4256" w:rsidRPr="00D92E20" w:rsidRDefault="00BF4256" w:rsidP="00BF4256">
      <w:pPr>
        <w:spacing w:after="120"/>
        <w:jc w:val="both"/>
        <w:rPr>
          <w:sz w:val="16"/>
        </w:rPr>
      </w:pPr>
      <w:r w:rsidRPr="00D92E20">
        <w:rPr>
          <w:sz w:val="16"/>
        </w:rPr>
        <w:t>Zdroj: ČSÚ</w:t>
      </w:r>
    </w:p>
    <w:p w14:paraId="4195A10A" w14:textId="77777777" w:rsidR="00CD63E8" w:rsidRDefault="00CD63E8">
      <w:pPr>
        <w:spacing w:after="0" w:line="240" w:lineRule="auto"/>
        <w:rPr>
          <w:rFonts w:cs="Arial"/>
          <w:bCs/>
          <w:color w:val="000000"/>
          <w:szCs w:val="20"/>
        </w:rPr>
      </w:pPr>
      <w:r>
        <w:rPr>
          <w:rFonts w:cs="Arial"/>
          <w:bCs/>
          <w:color w:val="000000"/>
          <w:szCs w:val="20"/>
        </w:rPr>
        <w:br w:type="page"/>
      </w:r>
    </w:p>
    <w:p w14:paraId="1E7D773C" w14:textId="177A1573" w:rsidR="00000A90" w:rsidRPr="00D92E20" w:rsidRDefault="006F40AA" w:rsidP="002858F4">
      <w:pPr>
        <w:spacing w:before="120" w:after="120"/>
        <w:jc w:val="both"/>
        <w:rPr>
          <w:b/>
        </w:rPr>
      </w:pPr>
      <w:r w:rsidRPr="00A81C2F">
        <w:rPr>
          <w:rFonts w:cs="Arial"/>
          <w:bCs/>
          <w:color w:val="000000"/>
          <w:szCs w:val="20"/>
        </w:rPr>
        <w:lastRenderedPageBreak/>
        <w:t xml:space="preserve">V absolutním vyjádření </w:t>
      </w:r>
      <w:r w:rsidRPr="00A81C2F">
        <w:rPr>
          <w:rFonts w:cs="Arial"/>
          <w:b/>
          <w:bCs/>
          <w:color w:val="000000"/>
          <w:szCs w:val="20"/>
        </w:rPr>
        <w:t>nejvíce pracovních úrazů</w:t>
      </w:r>
      <w:r w:rsidRPr="00A81C2F">
        <w:rPr>
          <w:rFonts w:cs="Arial"/>
          <w:bCs/>
          <w:color w:val="000000"/>
          <w:szCs w:val="20"/>
        </w:rPr>
        <w:t xml:space="preserve"> s DPN delší než 3 dny se v</w:t>
      </w:r>
      <w:r w:rsidR="001D3F1E" w:rsidRPr="00A81C2F">
        <w:rPr>
          <w:rFonts w:cs="Arial"/>
          <w:bCs/>
          <w:color w:val="000000"/>
          <w:szCs w:val="20"/>
        </w:rPr>
        <w:t> 1. pol. 2021</w:t>
      </w:r>
      <w:r w:rsidRPr="00A81C2F">
        <w:rPr>
          <w:rFonts w:cs="Arial"/>
          <w:bCs/>
          <w:color w:val="000000"/>
          <w:szCs w:val="20"/>
        </w:rPr>
        <w:t xml:space="preserve"> událo </w:t>
      </w:r>
      <w:r w:rsidRPr="00A81C2F">
        <w:rPr>
          <w:rFonts w:cs="Arial"/>
          <w:b/>
          <w:bCs/>
          <w:color w:val="000000"/>
          <w:szCs w:val="20"/>
        </w:rPr>
        <w:t>ve</w:t>
      </w:r>
      <w:r w:rsidR="00CD63E8">
        <w:rPr>
          <w:rFonts w:cs="Arial"/>
          <w:b/>
          <w:bCs/>
          <w:color w:val="000000"/>
          <w:szCs w:val="20"/>
        </w:rPr>
        <w:t> </w:t>
      </w:r>
      <w:r w:rsidRPr="00A81C2F">
        <w:rPr>
          <w:rFonts w:cs="Arial"/>
          <w:b/>
          <w:bCs/>
          <w:color w:val="000000"/>
          <w:szCs w:val="20"/>
        </w:rPr>
        <w:t>Zpracovatelském průmyslu</w:t>
      </w:r>
      <w:r w:rsidRPr="00A81C2F">
        <w:rPr>
          <w:rFonts w:cs="Arial"/>
          <w:bCs/>
          <w:color w:val="000000"/>
          <w:szCs w:val="20"/>
        </w:rPr>
        <w:t xml:space="preserve"> (</w:t>
      </w:r>
      <w:r w:rsidR="001D3F1E" w:rsidRPr="00A81C2F">
        <w:rPr>
          <w:rFonts w:cs="Arial"/>
          <w:bCs/>
          <w:color w:val="000000"/>
          <w:szCs w:val="20"/>
        </w:rPr>
        <w:t>9 138</w:t>
      </w:r>
      <w:r w:rsidRPr="00A81C2F">
        <w:rPr>
          <w:rFonts w:cs="Arial"/>
          <w:bCs/>
          <w:color w:val="000000"/>
          <w:szCs w:val="20"/>
        </w:rPr>
        <w:t xml:space="preserve"> případů), následují odvětví Velkoobchod a maloobchod, opravy a</w:t>
      </w:r>
      <w:r w:rsidR="00C02C40" w:rsidRPr="00A81C2F">
        <w:rPr>
          <w:rFonts w:cs="Arial"/>
          <w:bCs/>
          <w:color w:val="000000"/>
          <w:szCs w:val="20"/>
        </w:rPr>
        <w:t> </w:t>
      </w:r>
      <w:r w:rsidRPr="00A81C2F">
        <w:rPr>
          <w:rFonts w:cs="Arial"/>
          <w:bCs/>
          <w:color w:val="000000"/>
          <w:szCs w:val="20"/>
        </w:rPr>
        <w:t>údržba motorových vozidel (</w:t>
      </w:r>
      <w:r w:rsidR="001D3F1E" w:rsidRPr="00A81C2F">
        <w:rPr>
          <w:rFonts w:cs="Arial"/>
          <w:bCs/>
          <w:color w:val="000000"/>
          <w:szCs w:val="20"/>
        </w:rPr>
        <w:t>2 597</w:t>
      </w:r>
      <w:r w:rsidRPr="00A81C2F">
        <w:rPr>
          <w:rFonts w:cs="Arial"/>
          <w:bCs/>
          <w:color w:val="000000"/>
          <w:szCs w:val="20"/>
        </w:rPr>
        <w:t>) a Doprava a skladování (</w:t>
      </w:r>
      <w:r w:rsidR="001D3F1E" w:rsidRPr="00A81C2F">
        <w:rPr>
          <w:rFonts w:cs="Arial"/>
          <w:bCs/>
          <w:color w:val="000000"/>
          <w:szCs w:val="20"/>
        </w:rPr>
        <w:t>2 358</w:t>
      </w:r>
      <w:r w:rsidRPr="00A81C2F">
        <w:rPr>
          <w:rFonts w:cs="Arial"/>
          <w:bCs/>
          <w:color w:val="000000"/>
          <w:szCs w:val="20"/>
        </w:rPr>
        <w:t xml:space="preserve">). Pokud však zohledníme zaměstnanost v jednotlivých odvětvích a míru zastoupení jednotlivých sekcí, je vhodné použít </w:t>
      </w:r>
      <w:r w:rsidRPr="00A81C2F">
        <w:rPr>
          <w:rFonts w:cs="Arial"/>
          <w:b/>
          <w:bCs/>
          <w:color w:val="000000"/>
          <w:szCs w:val="20"/>
        </w:rPr>
        <w:t>relativní ukazatel</w:t>
      </w:r>
      <w:r w:rsidRPr="00A81C2F">
        <w:rPr>
          <w:rFonts w:cs="Arial"/>
          <w:bCs/>
          <w:color w:val="000000"/>
          <w:szCs w:val="20"/>
        </w:rPr>
        <w:t xml:space="preserve"> vztažený na 100 tis. pojištěnců. </w:t>
      </w:r>
      <w:r w:rsidRPr="00A81C2F">
        <w:rPr>
          <w:rFonts w:cs="Arial"/>
          <w:b/>
          <w:bCs/>
          <w:color w:val="000000"/>
          <w:szCs w:val="20"/>
        </w:rPr>
        <w:t>Nejrizikovějším</w:t>
      </w:r>
      <w:r w:rsidRPr="00A81C2F">
        <w:rPr>
          <w:rFonts w:cs="Arial"/>
          <w:bCs/>
          <w:color w:val="000000"/>
          <w:szCs w:val="20"/>
        </w:rPr>
        <w:t xml:space="preserve"> odvětvím je pak </w:t>
      </w:r>
      <w:r w:rsidRPr="00A81C2F">
        <w:rPr>
          <w:rFonts w:cs="Arial"/>
          <w:b/>
          <w:bCs/>
          <w:color w:val="000000"/>
          <w:szCs w:val="20"/>
        </w:rPr>
        <w:t>Zemědělství, lesnictví, rybářství</w:t>
      </w:r>
      <w:r w:rsidRPr="00A81C2F">
        <w:rPr>
          <w:rFonts w:cs="Arial"/>
          <w:bCs/>
          <w:color w:val="000000"/>
          <w:szCs w:val="20"/>
        </w:rPr>
        <w:t xml:space="preserve"> (</w:t>
      </w:r>
      <w:r w:rsidR="001D3F1E" w:rsidRPr="00A81C2F">
        <w:rPr>
          <w:rFonts w:cs="Arial"/>
          <w:bCs/>
          <w:color w:val="000000"/>
          <w:szCs w:val="20"/>
        </w:rPr>
        <w:t>1 277</w:t>
      </w:r>
      <w:r w:rsidRPr="00A81C2F">
        <w:rPr>
          <w:rFonts w:cs="Arial"/>
          <w:bCs/>
          <w:color w:val="000000"/>
          <w:szCs w:val="20"/>
        </w:rPr>
        <w:t> pracovních úrazů na 100 tis. pojištěnců), dále odvětví Zásobování vodou, činnosti související s odpady a sanacemi (1</w:t>
      </w:r>
      <w:r w:rsidR="00A81C2F">
        <w:rPr>
          <w:rFonts w:cs="Arial"/>
          <w:bCs/>
          <w:color w:val="000000"/>
          <w:szCs w:val="20"/>
        </w:rPr>
        <w:t> </w:t>
      </w:r>
      <w:r w:rsidRPr="00A81C2F">
        <w:rPr>
          <w:rFonts w:cs="Arial"/>
          <w:bCs/>
          <w:color w:val="000000"/>
          <w:szCs w:val="20"/>
        </w:rPr>
        <w:t>06</w:t>
      </w:r>
      <w:r w:rsidR="001D3F1E" w:rsidRPr="00A81C2F">
        <w:rPr>
          <w:rFonts w:cs="Arial"/>
          <w:bCs/>
          <w:color w:val="000000"/>
          <w:szCs w:val="20"/>
        </w:rPr>
        <w:t>1</w:t>
      </w:r>
      <w:r w:rsidRPr="00A81C2F">
        <w:rPr>
          <w:rFonts w:cs="Arial"/>
          <w:bCs/>
          <w:color w:val="000000"/>
          <w:szCs w:val="20"/>
        </w:rPr>
        <w:t>), Těžba a dobývání (</w:t>
      </w:r>
      <w:r w:rsidR="001D3F1E" w:rsidRPr="00A81C2F">
        <w:rPr>
          <w:rFonts w:cs="Arial"/>
          <w:bCs/>
          <w:color w:val="000000"/>
          <w:szCs w:val="20"/>
        </w:rPr>
        <w:t>957</w:t>
      </w:r>
      <w:r w:rsidRPr="00A81C2F">
        <w:rPr>
          <w:rFonts w:cs="Arial"/>
          <w:bCs/>
          <w:color w:val="000000"/>
          <w:szCs w:val="20"/>
        </w:rPr>
        <w:t>), Doprava a skladování (</w:t>
      </w:r>
      <w:r w:rsidR="00A81C2F" w:rsidRPr="00A81C2F">
        <w:rPr>
          <w:rFonts w:cs="Arial"/>
          <w:bCs/>
          <w:color w:val="000000"/>
          <w:szCs w:val="20"/>
        </w:rPr>
        <w:t>803</w:t>
      </w:r>
      <w:r w:rsidRPr="00A81C2F">
        <w:rPr>
          <w:rFonts w:cs="Arial"/>
          <w:bCs/>
          <w:color w:val="000000"/>
          <w:szCs w:val="20"/>
        </w:rPr>
        <w:t>) a teprve poté následuje Zpracovatelský průmysl (</w:t>
      </w:r>
      <w:r w:rsidR="00A81C2F" w:rsidRPr="00A81C2F">
        <w:rPr>
          <w:rFonts w:cs="Arial"/>
          <w:bCs/>
          <w:color w:val="000000"/>
          <w:szCs w:val="20"/>
        </w:rPr>
        <w:t>766</w:t>
      </w:r>
      <w:r w:rsidRPr="00A81C2F">
        <w:rPr>
          <w:rFonts w:cs="Arial"/>
          <w:bCs/>
          <w:color w:val="000000"/>
          <w:szCs w:val="20"/>
        </w:rPr>
        <w:t xml:space="preserve">). Průměrně na 100 tis. nemocensky pojištěných připadalo </w:t>
      </w:r>
      <w:r w:rsidR="00A81C2F" w:rsidRPr="00A81C2F">
        <w:rPr>
          <w:rFonts w:cs="Arial"/>
          <w:bCs/>
          <w:color w:val="000000"/>
          <w:szCs w:val="20"/>
        </w:rPr>
        <w:t>479</w:t>
      </w:r>
      <w:r w:rsidRPr="00A81C2F">
        <w:rPr>
          <w:rFonts w:cs="Arial"/>
          <w:bCs/>
          <w:color w:val="000000"/>
          <w:szCs w:val="20"/>
        </w:rPr>
        <w:t xml:space="preserve"> pracovních úrazů s pracovní neschopností delší než 3 dny. Nejméně rizikovými se jeví odvětví Peněžnictví a pojišťovnictví </w:t>
      </w:r>
      <w:r w:rsidR="00A81C2F" w:rsidRPr="00A81C2F">
        <w:rPr>
          <w:rFonts w:cs="Arial"/>
          <w:bCs/>
          <w:color w:val="000000"/>
          <w:szCs w:val="20"/>
        </w:rPr>
        <w:t xml:space="preserve">s 29 </w:t>
      </w:r>
      <w:r w:rsidRPr="00A81C2F">
        <w:rPr>
          <w:rFonts w:cs="Arial"/>
          <w:bCs/>
          <w:color w:val="000000"/>
          <w:szCs w:val="20"/>
        </w:rPr>
        <w:t>a Informační a</w:t>
      </w:r>
      <w:r w:rsidR="00A81C2F" w:rsidRPr="00A81C2F">
        <w:rPr>
          <w:rFonts w:cs="Arial"/>
          <w:bCs/>
          <w:color w:val="000000"/>
          <w:szCs w:val="20"/>
        </w:rPr>
        <w:t> </w:t>
      </w:r>
      <w:r w:rsidRPr="00A81C2F">
        <w:rPr>
          <w:rFonts w:cs="Arial"/>
          <w:bCs/>
          <w:color w:val="000000"/>
          <w:szCs w:val="20"/>
        </w:rPr>
        <w:t xml:space="preserve">komunikační činnosti </w:t>
      </w:r>
      <w:r w:rsidR="00A81C2F" w:rsidRPr="00A81C2F">
        <w:rPr>
          <w:rFonts w:cs="Arial"/>
          <w:bCs/>
          <w:color w:val="000000"/>
          <w:szCs w:val="20"/>
        </w:rPr>
        <w:t>s 3</w:t>
      </w:r>
      <w:r w:rsidR="00297326">
        <w:rPr>
          <w:rFonts w:cs="Arial"/>
          <w:bCs/>
          <w:color w:val="000000"/>
          <w:szCs w:val="20"/>
        </w:rPr>
        <w:t>7</w:t>
      </w:r>
      <w:r w:rsidRPr="00A81C2F">
        <w:rPr>
          <w:rFonts w:cs="Arial"/>
          <w:bCs/>
          <w:color w:val="000000"/>
          <w:szCs w:val="20"/>
        </w:rPr>
        <w:t xml:space="preserve"> pracovními úrazy, které si vyžádaly 3denní a delší pracovní neschopnost</w:t>
      </w:r>
      <w:r w:rsidR="005C496F">
        <w:rPr>
          <w:rFonts w:cs="Arial"/>
          <w:bCs/>
          <w:color w:val="000000"/>
          <w:szCs w:val="20"/>
        </w:rPr>
        <w:t>,</w:t>
      </w:r>
      <w:r w:rsidRPr="00A81C2F">
        <w:rPr>
          <w:rFonts w:cs="Arial"/>
          <w:bCs/>
          <w:color w:val="000000"/>
          <w:szCs w:val="20"/>
        </w:rPr>
        <w:t xml:space="preserve"> v přepočtu na 100 tis. pojištěnců.</w:t>
      </w:r>
    </w:p>
    <w:p w14:paraId="7F540C79" w14:textId="77777777" w:rsidR="003044AF" w:rsidRDefault="006F40AA" w:rsidP="003044AF">
      <w:pPr>
        <w:spacing w:after="0"/>
        <w:jc w:val="both"/>
        <w:rPr>
          <w:b/>
        </w:rPr>
      </w:pPr>
      <w:r w:rsidRPr="00D92E20">
        <w:rPr>
          <w:b/>
        </w:rPr>
        <w:t xml:space="preserve">Graf 5.2: Pracovní úrazy s pracovní neschopností delší než 3 dny na 100 tis. pojištěnců podle odvětví (sekce CZ-NACE), </w:t>
      </w:r>
      <w:r w:rsidR="003044AF" w:rsidRPr="003044AF">
        <w:rPr>
          <w:b/>
        </w:rPr>
        <w:t>1. pol. 2021</w:t>
      </w:r>
    </w:p>
    <w:p w14:paraId="065C76EE" w14:textId="3BD5A184" w:rsidR="006F40AA" w:rsidRPr="00D92E20" w:rsidRDefault="00542531" w:rsidP="003044AF">
      <w:pPr>
        <w:spacing w:after="0"/>
        <w:jc w:val="both"/>
        <w:rPr>
          <w:b/>
        </w:rPr>
      </w:pPr>
      <w:r>
        <w:rPr>
          <w:noProof/>
        </w:rPr>
        <w:drawing>
          <wp:inline distT="0" distB="0" distL="0" distR="0" wp14:anchorId="0DA20971" wp14:editId="7739A2BE">
            <wp:extent cx="6116400" cy="4161600"/>
            <wp:effectExtent l="0" t="0" r="17780" b="1079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4B44C8" w14:textId="77777777" w:rsidR="006F40AA" w:rsidRPr="00D92E20" w:rsidRDefault="006F40AA" w:rsidP="006F40AA">
      <w:pPr>
        <w:spacing w:after="120"/>
        <w:jc w:val="both"/>
        <w:rPr>
          <w:sz w:val="16"/>
        </w:rPr>
      </w:pPr>
      <w:r w:rsidRPr="00D92E20">
        <w:rPr>
          <w:sz w:val="16"/>
        </w:rPr>
        <w:t>Zdroj: ČSÚ</w:t>
      </w:r>
    </w:p>
    <w:p w14:paraId="769A6899" w14:textId="4D0DD0B1" w:rsidR="006F40AA" w:rsidRPr="00A81C2F" w:rsidRDefault="006F40AA" w:rsidP="00000A90">
      <w:pPr>
        <w:spacing w:before="120" w:after="120"/>
        <w:jc w:val="both"/>
      </w:pPr>
      <w:r w:rsidRPr="00A81C2F">
        <w:t xml:space="preserve">Z hlediska </w:t>
      </w:r>
      <w:r w:rsidRPr="00A81C2F">
        <w:rPr>
          <w:b/>
        </w:rPr>
        <w:t>územního členění</w:t>
      </w:r>
      <w:r w:rsidRPr="00A81C2F">
        <w:t xml:space="preserve"> bylo v</w:t>
      </w:r>
      <w:r w:rsidR="00A81C2F" w:rsidRPr="00A81C2F">
        <w:t> 1. pol. 2021</w:t>
      </w:r>
      <w:r w:rsidRPr="00A81C2F">
        <w:t xml:space="preserve"> nejvíce případů pracovních úrazů s pracovní neschopností delší než 3 kalendářní dny na 100 tis. nemocensky pojištěných osob hlášeno v kraji Vysočina (</w:t>
      </w:r>
      <w:r w:rsidR="00A81C2F" w:rsidRPr="00A81C2F">
        <w:t>734</w:t>
      </w:r>
      <w:r w:rsidRPr="00A81C2F">
        <w:t xml:space="preserve">), </w:t>
      </w:r>
      <w:r w:rsidR="00EB5555" w:rsidRPr="00A81C2F">
        <w:t>Jihočeském (</w:t>
      </w:r>
      <w:r w:rsidR="00A81C2F" w:rsidRPr="00A81C2F">
        <w:t>694</w:t>
      </w:r>
      <w:r w:rsidR="00EB5555" w:rsidRPr="00A81C2F">
        <w:t xml:space="preserve">) a </w:t>
      </w:r>
      <w:r w:rsidR="00A81C2F" w:rsidRPr="00A81C2F">
        <w:t>Ústeckém</w:t>
      </w:r>
      <w:r w:rsidR="00EB5555" w:rsidRPr="00A81C2F">
        <w:t xml:space="preserve"> kraji (</w:t>
      </w:r>
      <w:r w:rsidR="00A81C2F" w:rsidRPr="00A81C2F">
        <w:t>662</w:t>
      </w:r>
      <w:r w:rsidR="00EB5555" w:rsidRPr="00A81C2F">
        <w:t>)</w:t>
      </w:r>
      <w:r w:rsidRPr="00A81C2F">
        <w:t xml:space="preserve">. Nejméně neschopností pak bylo </w:t>
      </w:r>
      <w:r w:rsidR="00297326">
        <w:t>evidováno</w:t>
      </w:r>
      <w:r w:rsidRPr="00A81C2F">
        <w:t xml:space="preserve"> v Hlavním městě Praze, a</w:t>
      </w:r>
      <w:r w:rsidR="00A81C2F">
        <w:t> </w:t>
      </w:r>
      <w:r w:rsidRPr="00A81C2F">
        <w:t xml:space="preserve">sice </w:t>
      </w:r>
      <w:r w:rsidR="00A81C2F" w:rsidRPr="00A81C2F">
        <w:t>281</w:t>
      </w:r>
      <w:r w:rsidR="00EB5555" w:rsidRPr="00A81C2F">
        <w:t xml:space="preserve"> případů, což je 2,6</w:t>
      </w:r>
      <w:r w:rsidRPr="00A81C2F">
        <w:t xml:space="preserve">krát méně než na Vysočině. Klíčovým faktorem ovlivňujícím tuto skutečnost je </w:t>
      </w:r>
      <w:r w:rsidRPr="00A81C2F">
        <w:rPr>
          <w:b/>
        </w:rPr>
        <w:t>odvětvová struktura</w:t>
      </w:r>
      <w:r w:rsidRPr="00A81C2F">
        <w:t xml:space="preserve"> v jednotlivých krajích. Zatímco v Praze je vysoký podíl zaměstnaných pracujících ve</w:t>
      </w:r>
      <w:r w:rsidR="00CD63E8">
        <w:t> </w:t>
      </w:r>
      <w:r w:rsidRPr="00A81C2F">
        <w:t xml:space="preserve">službách, nejen na Vysočině, ale i ve zbylých krajích je tento podíl výrazně nižší. Pod </w:t>
      </w:r>
      <w:r w:rsidR="00EB5555" w:rsidRPr="00A81C2F">
        <w:t>hranicí republikového průměru (</w:t>
      </w:r>
      <w:r w:rsidR="00A81C2F" w:rsidRPr="00A81C2F">
        <w:t>479</w:t>
      </w:r>
      <w:r w:rsidRPr="00A81C2F">
        <w:t xml:space="preserve"> úrazů na 100 tis. nemocensky pojištěných osob) se nachází kraje s největšími českými městy. Kromě již zmiňované Prahy také Jihomoravský kraj (</w:t>
      </w:r>
      <w:r w:rsidR="00A81C2F" w:rsidRPr="00A81C2F">
        <w:t>416</w:t>
      </w:r>
      <w:r w:rsidRPr="00A81C2F">
        <w:t xml:space="preserve"> úrazů). Na Vysočině a v Jihočeském kraji je z celé republiky nejvyšší podíl pojištěnců v sekci Zemědělství, lesnictví, rybářství, které je z hlediska úrazovosti </w:t>
      </w:r>
      <w:r w:rsidR="00052498" w:rsidRPr="00A81C2F">
        <w:t xml:space="preserve">dle statistik </w:t>
      </w:r>
      <w:r w:rsidRPr="00A81C2F">
        <w:t>nejrizikovější. Na Vysočině představoval podíl pojištěnců v tomto odvětví 6 %, v Jihočeském kraji necelých 5 %. Celorepublikový průměr přitom činil 2 %.</w:t>
      </w:r>
    </w:p>
    <w:p w14:paraId="7E75DF49" w14:textId="57A1A4C3" w:rsidR="00000A90" w:rsidRPr="00D92E20" w:rsidRDefault="006F40AA" w:rsidP="004E28A0">
      <w:pPr>
        <w:spacing w:before="120" w:after="120"/>
        <w:jc w:val="both"/>
        <w:rPr>
          <w:b/>
        </w:rPr>
      </w:pPr>
      <w:r w:rsidRPr="00A81C2F">
        <w:lastRenderedPageBreak/>
        <w:t xml:space="preserve">Rozdíly výskytu pracovních úrazů podle územního členění jsou tedy do značné míry ovlivněny strukturou zaměstnanosti, charakterem převažující ekonomické činnosti a mírou nezaměstnanosti v daném regionu. </w:t>
      </w:r>
      <w:r w:rsidR="00A81C2F">
        <w:t>Na</w:t>
      </w:r>
      <w:r w:rsidR="00CD63E8">
        <w:t> </w:t>
      </w:r>
      <w:r w:rsidR="00A81C2F">
        <w:t>tomto místě j</w:t>
      </w:r>
      <w:r w:rsidRPr="00A81C2F">
        <w:t xml:space="preserve">e </w:t>
      </w:r>
      <w:r w:rsidR="00A81C2F">
        <w:t xml:space="preserve">opět </w:t>
      </w:r>
      <w:r w:rsidRPr="00A81C2F">
        <w:t>nutné připomenout i metodiku zpracování dat, kdy kraj</w:t>
      </w:r>
      <w:r w:rsidR="00EB5555" w:rsidRPr="00A81C2F">
        <w:t>ská příslušnost</w:t>
      </w:r>
      <w:r w:rsidRPr="00A81C2F">
        <w:t xml:space="preserve"> vychází z údaje o</w:t>
      </w:r>
      <w:r w:rsidR="00A81C2F">
        <w:t> </w:t>
      </w:r>
      <w:r w:rsidRPr="00A81C2F">
        <w:t>sídle útvaru, který vede evidenci mezd zaměstnavateli osoby</w:t>
      </w:r>
      <w:r w:rsidR="00297326">
        <w:t>, která je</w:t>
      </w:r>
      <w:r w:rsidRPr="00A81C2F">
        <w:t xml:space="preserve"> v pracovní neschopnosti.</w:t>
      </w:r>
    </w:p>
    <w:p w14:paraId="0B03F30D" w14:textId="0FE8B8BA" w:rsidR="00EB5555" w:rsidRPr="00542531" w:rsidRDefault="00EB5555" w:rsidP="00000A90">
      <w:pPr>
        <w:spacing w:after="0"/>
        <w:jc w:val="both"/>
        <w:rPr>
          <w:b/>
        </w:rPr>
      </w:pPr>
      <w:r w:rsidRPr="00542531">
        <w:rPr>
          <w:b/>
        </w:rPr>
        <w:t xml:space="preserve">Graf 5.3: Pracovní úrazy s pracovní neschopností delší než 3 dny na 100 tis. pojištěnců podle krajů ČR, </w:t>
      </w:r>
      <w:r w:rsidR="00542531" w:rsidRPr="00542531">
        <w:rPr>
          <w:b/>
        </w:rPr>
        <w:t>1. pol. 2020 a 2021</w:t>
      </w:r>
    </w:p>
    <w:p w14:paraId="318FF332" w14:textId="57187BB4" w:rsidR="00EB5555" w:rsidRPr="00D92E20" w:rsidRDefault="00542531" w:rsidP="006F40AA">
      <w:pPr>
        <w:jc w:val="both"/>
        <w:rPr>
          <w:b/>
        </w:rPr>
      </w:pPr>
      <w:r>
        <w:rPr>
          <w:noProof/>
        </w:rPr>
        <w:drawing>
          <wp:inline distT="0" distB="0" distL="0" distR="0" wp14:anchorId="614E8A8C" wp14:editId="3C6E36C6">
            <wp:extent cx="6116400" cy="3448800"/>
            <wp:effectExtent l="0" t="0" r="17780" b="1841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7184DA" w14:textId="77777777" w:rsidR="000B3C40" w:rsidRPr="00D92E20" w:rsidRDefault="000B3C40" w:rsidP="000B3C40">
      <w:pPr>
        <w:spacing w:after="120"/>
        <w:jc w:val="both"/>
        <w:rPr>
          <w:sz w:val="16"/>
        </w:rPr>
      </w:pPr>
      <w:r w:rsidRPr="00D92E20">
        <w:rPr>
          <w:sz w:val="16"/>
        </w:rPr>
        <w:t>Zdroj: ČSÚ</w:t>
      </w:r>
    </w:p>
    <w:p w14:paraId="7002882B" w14:textId="22B9203A" w:rsidR="006F40AA" w:rsidRPr="00D92E20" w:rsidRDefault="006F40AA" w:rsidP="00000A90">
      <w:pPr>
        <w:spacing w:after="120"/>
        <w:jc w:val="both"/>
      </w:pPr>
      <w:r w:rsidRPr="00A81C2F">
        <w:t xml:space="preserve">Z pohledu </w:t>
      </w:r>
      <w:r w:rsidRPr="00A81C2F">
        <w:rPr>
          <w:b/>
        </w:rPr>
        <w:t>velikosti podniku</w:t>
      </w:r>
      <w:r w:rsidRPr="00A81C2F">
        <w:t xml:space="preserve"> se v</w:t>
      </w:r>
      <w:r w:rsidR="00A81C2F" w:rsidRPr="00A81C2F">
        <w:t> 1. pol. 2021</w:t>
      </w:r>
      <w:r w:rsidRPr="00A81C2F">
        <w:t xml:space="preserve"> nejvíce pracovních úrazů s pracovní neschopností delší než 3 dny událo v podnicích majících 100–249 zaměstnanců (</w:t>
      </w:r>
      <w:r w:rsidR="00A81C2F" w:rsidRPr="00A81C2F">
        <w:t>644</w:t>
      </w:r>
      <w:r w:rsidRPr="00A81C2F">
        <w:t xml:space="preserve"> případů v přepočtu na 100 tis. pojištěnců). Dále </w:t>
      </w:r>
      <w:r w:rsidR="00B67A38" w:rsidRPr="00A81C2F">
        <w:t>následovali</w:t>
      </w:r>
      <w:r w:rsidRPr="00A81C2F">
        <w:t xml:space="preserve"> zaměstnavatelé s</w:t>
      </w:r>
      <w:r w:rsidR="002D3899">
        <w:t xml:space="preserve"> </w:t>
      </w:r>
      <w:r w:rsidRPr="00A81C2F">
        <w:t xml:space="preserve">250–499 zaměstnanci, kteří vykázali </w:t>
      </w:r>
      <w:r w:rsidR="00A81C2F" w:rsidRPr="00A81C2F">
        <w:t>606</w:t>
      </w:r>
      <w:r w:rsidRPr="00A81C2F">
        <w:t xml:space="preserve"> pracovních úrazů</w:t>
      </w:r>
      <w:r w:rsidR="005C496F">
        <w:t xml:space="preserve"> na 100 tis. pojištěnců. Pro srovnání OSVČ zaznamenaly </w:t>
      </w:r>
      <w:r w:rsidR="00A81C2F" w:rsidRPr="00A81C2F">
        <w:t>143</w:t>
      </w:r>
      <w:r w:rsidRPr="00A81C2F">
        <w:t xml:space="preserve"> </w:t>
      </w:r>
      <w:r w:rsidR="005C496F">
        <w:t xml:space="preserve">takovýchto </w:t>
      </w:r>
      <w:r w:rsidRPr="00A81C2F">
        <w:t>případů.</w:t>
      </w:r>
    </w:p>
    <w:p w14:paraId="08B6C192" w14:textId="77777777" w:rsidR="00033735" w:rsidRPr="00D92E20" w:rsidRDefault="00033735">
      <w:pPr>
        <w:spacing w:after="0" w:line="240" w:lineRule="auto"/>
        <w:rPr>
          <w:b/>
        </w:rPr>
      </w:pPr>
      <w:r w:rsidRPr="00D92E20">
        <w:rPr>
          <w:b/>
        </w:rPr>
        <w:br w:type="page"/>
      </w:r>
    </w:p>
    <w:p w14:paraId="4BE1BBEA" w14:textId="77777777" w:rsidR="00B608FE" w:rsidRPr="00D92E20" w:rsidRDefault="00B608FE" w:rsidP="00277304">
      <w:pPr>
        <w:pStyle w:val="Nadpis3"/>
        <w:numPr>
          <w:ilvl w:val="1"/>
          <w:numId w:val="5"/>
        </w:numPr>
        <w:spacing w:after="100"/>
        <w:ind w:left="284" w:hanging="403"/>
      </w:pPr>
      <w:bookmarkStart w:id="29" w:name="_Toc54262807"/>
      <w:bookmarkStart w:id="30" w:name="_Toc86233485"/>
      <w:r w:rsidRPr="00D92E20">
        <w:lastRenderedPageBreak/>
        <w:t>Závěrečné shrnutí</w:t>
      </w:r>
      <w:bookmarkEnd w:id="29"/>
      <w:bookmarkEnd w:id="30"/>
    </w:p>
    <w:p w14:paraId="4C4E5F78" w14:textId="1469AC9F" w:rsidR="00483E6B" w:rsidRPr="002858F4" w:rsidRDefault="0087102D" w:rsidP="00107D20">
      <w:pPr>
        <w:pStyle w:val="Odstavecseseznamem"/>
        <w:numPr>
          <w:ilvl w:val="0"/>
          <w:numId w:val="23"/>
        </w:numPr>
        <w:spacing w:after="120"/>
        <w:ind w:left="283" w:hanging="357"/>
        <w:contextualSpacing w:val="0"/>
        <w:jc w:val="both"/>
      </w:pPr>
      <w:r w:rsidRPr="002858F4">
        <w:t>V</w:t>
      </w:r>
      <w:r w:rsidR="002858F4" w:rsidRPr="002858F4">
        <w:t> 1. pol. 2021</w:t>
      </w:r>
      <w:r w:rsidRPr="002858F4">
        <w:t xml:space="preserve"> </w:t>
      </w:r>
      <w:r w:rsidR="00C0303E" w:rsidRPr="002858F4">
        <w:t>bylo v Česku</w:t>
      </w:r>
      <w:r w:rsidRPr="002858F4">
        <w:rPr>
          <w:b/>
        </w:rPr>
        <w:t xml:space="preserve"> </w:t>
      </w:r>
      <w:r w:rsidR="000562AF" w:rsidRPr="002858F4">
        <w:rPr>
          <w:b/>
        </w:rPr>
        <w:t xml:space="preserve">nemocensky pojištěno </w:t>
      </w:r>
      <w:r w:rsidR="000562AF" w:rsidRPr="002858F4">
        <w:t>celkem</w:t>
      </w:r>
      <w:r w:rsidR="000562AF" w:rsidRPr="002858F4">
        <w:rPr>
          <w:b/>
        </w:rPr>
        <w:t xml:space="preserve"> </w:t>
      </w:r>
      <w:r w:rsidR="00C0303E" w:rsidRPr="002858F4">
        <w:rPr>
          <w:b/>
        </w:rPr>
        <w:t>4 6</w:t>
      </w:r>
      <w:r w:rsidR="002858F4" w:rsidRPr="002858F4">
        <w:rPr>
          <w:b/>
        </w:rPr>
        <w:t>89</w:t>
      </w:r>
      <w:r w:rsidR="00C0303E" w:rsidRPr="002858F4">
        <w:rPr>
          <w:b/>
        </w:rPr>
        <w:t xml:space="preserve"> tis.</w:t>
      </w:r>
      <w:r w:rsidR="00C0303E" w:rsidRPr="002858F4">
        <w:t xml:space="preserve"> </w:t>
      </w:r>
      <w:r w:rsidRPr="002858F4">
        <w:rPr>
          <w:b/>
        </w:rPr>
        <w:t>osob</w:t>
      </w:r>
      <w:r w:rsidRPr="002858F4">
        <w:t xml:space="preserve">, tedy téměř </w:t>
      </w:r>
      <w:r w:rsidR="002858F4" w:rsidRPr="002858F4">
        <w:t>stejně (</w:t>
      </w:r>
      <w:r w:rsidR="002858F4">
        <w:t xml:space="preserve">jen </w:t>
      </w:r>
      <w:r w:rsidR="002858F4" w:rsidRPr="002858F4">
        <w:t>o</w:t>
      </w:r>
      <w:r w:rsidR="002858F4">
        <w:t> </w:t>
      </w:r>
      <w:r w:rsidR="002858F4" w:rsidRPr="002858F4">
        <w:t>1,3</w:t>
      </w:r>
      <w:r w:rsidR="002858F4">
        <w:t> </w:t>
      </w:r>
      <w:r w:rsidR="002858F4" w:rsidRPr="002858F4">
        <w:t>tis. více)</w:t>
      </w:r>
      <w:r w:rsidRPr="002858F4">
        <w:rPr>
          <w:szCs w:val="20"/>
        </w:rPr>
        <w:t xml:space="preserve"> než před rokem.</w:t>
      </w:r>
      <w:r w:rsidR="00C0303E" w:rsidRPr="002858F4">
        <w:rPr>
          <w:szCs w:val="20"/>
        </w:rPr>
        <w:t xml:space="preserve"> </w:t>
      </w:r>
      <w:r w:rsidR="000562AF" w:rsidRPr="002858F4">
        <w:rPr>
          <w:szCs w:val="20"/>
        </w:rPr>
        <w:t>Meziročně n</w:t>
      </w:r>
      <w:r w:rsidR="00C0303E" w:rsidRPr="002858F4">
        <w:rPr>
          <w:szCs w:val="20"/>
        </w:rPr>
        <w:t xml:space="preserve">ejvýrazněji vzrostl počet nemocensky pojištěných </w:t>
      </w:r>
      <w:r w:rsidR="000562AF" w:rsidRPr="002858F4">
        <w:rPr>
          <w:szCs w:val="20"/>
        </w:rPr>
        <w:t xml:space="preserve">zaměstnanců </w:t>
      </w:r>
      <w:r w:rsidR="00C0303E" w:rsidRPr="002858F4">
        <w:rPr>
          <w:szCs w:val="20"/>
        </w:rPr>
        <w:t>v oblasti Zdravotní a</w:t>
      </w:r>
      <w:r w:rsidR="00483E6B" w:rsidRPr="002858F4">
        <w:rPr>
          <w:szCs w:val="20"/>
        </w:rPr>
        <w:t> </w:t>
      </w:r>
      <w:r w:rsidR="00C0303E" w:rsidRPr="002858F4">
        <w:rPr>
          <w:szCs w:val="20"/>
        </w:rPr>
        <w:t>sociální péče (</w:t>
      </w:r>
      <w:r w:rsidR="002858F4" w:rsidRPr="002858F4">
        <w:rPr>
          <w:szCs w:val="20"/>
        </w:rPr>
        <w:t>o 21 tis., resp. 6</w:t>
      </w:r>
      <w:r w:rsidR="00C0303E" w:rsidRPr="002858F4">
        <w:rPr>
          <w:szCs w:val="20"/>
        </w:rPr>
        <w:t xml:space="preserve"> %).</w:t>
      </w:r>
      <w:r w:rsidR="00483E6B" w:rsidRPr="002858F4">
        <w:rPr>
          <w:szCs w:val="20"/>
        </w:rPr>
        <w:t xml:space="preserve"> Naopak největší pokles (</w:t>
      </w:r>
      <w:r w:rsidR="002858F4" w:rsidRPr="002858F4">
        <w:rPr>
          <w:szCs w:val="20"/>
        </w:rPr>
        <w:t>2,6 tis., resp. 11</w:t>
      </w:r>
      <w:r w:rsidR="00483E6B" w:rsidRPr="002858F4">
        <w:rPr>
          <w:szCs w:val="20"/>
        </w:rPr>
        <w:t xml:space="preserve"> %) byl zaznamenán v oblasti </w:t>
      </w:r>
      <w:r w:rsidR="002858F4" w:rsidRPr="002858F4">
        <w:rPr>
          <w:szCs w:val="20"/>
        </w:rPr>
        <w:t xml:space="preserve">Těžba a dobývání a v sekci </w:t>
      </w:r>
      <w:r w:rsidR="00483E6B" w:rsidRPr="002858F4">
        <w:rPr>
          <w:szCs w:val="20"/>
        </w:rPr>
        <w:t>Ubytování, stravování a pohostinství</w:t>
      </w:r>
      <w:r w:rsidR="002858F4" w:rsidRPr="002858F4">
        <w:rPr>
          <w:szCs w:val="20"/>
        </w:rPr>
        <w:t xml:space="preserve"> (-12,4 tis., 9 %)</w:t>
      </w:r>
      <w:r w:rsidR="00483E6B" w:rsidRPr="002858F4">
        <w:rPr>
          <w:szCs w:val="20"/>
        </w:rPr>
        <w:t>.</w:t>
      </w:r>
    </w:p>
    <w:p w14:paraId="5B25CE46" w14:textId="4392884F" w:rsidR="0087102D" w:rsidRPr="00560A04" w:rsidRDefault="00483E6B" w:rsidP="008B7D64">
      <w:pPr>
        <w:pStyle w:val="Odstavecseseznamem"/>
        <w:numPr>
          <w:ilvl w:val="0"/>
          <w:numId w:val="23"/>
        </w:numPr>
        <w:spacing w:after="120"/>
        <w:ind w:left="283" w:hanging="357"/>
        <w:contextualSpacing w:val="0"/>
        <w:jc w:val="both"/>
      </w:pPr>
      <w:r w:rsidRPr="00560A04">
        <w:t>V</w:t>
      </w:r>
      <w:r w:rsidR="00560A04" w:rsidRPr="00560A04">
        <w:t xml:space="preserve"> 1. pol. </w:t>
      </w:r>
      <w:r w:rsidR="00BD10B4">
        <w:t>tohoto</w:t>
      </w:r>
      <w:r w:rsidR="00BD10B4" w:rsidRPr="00560A04">
        <w:t xml:space="preserve"> </w:t>
      </w:r>
      <w:r w:rsidR="00560A04" w:rsidRPr="00560A04">
        <w:t>roku</w:t>
      </w:r>
      <w:r w:rsidRPr="00560A04">
        <w:t xml:space="preserve"> </w:t>
      </w:r>
      <w:r w:rsidR="00D45F63" w:rsidRPr="00560A04">
        <w:t xml:space="preserve">bylo nahlášeno </w:t>
      </w:r>
      <w:r w:rsidRPr="00560A04">
        <w:t xml:space="preserve">celkem </w:t>
      </w:r>
      <w:r w:rsidR="00560A04" w:rsidRPr="00560A04">
        <w:rPr>
          <w:b/>
        </w:rPr>
        <w:t>1 399</w:t>
      </w:r>
      <w:r w:rsidR="00D45F63" w:rsidRPr="00560A04">
        <w:rPr>
          <w:b/>
        </w:rPr>
        <w:t xml:space="preserve"> tis.</w:t>
      </w:r>
      <w:r w:rsidR="00D45F63" w:rsidRPr="00560A04">
        <w:t xml:space="preserve"> </w:t>
      </w:r>
      <w:r w:rsidR="00D45F63" w:rsidRPr="00560A04">
        <w:rPr>
          <w:b/>
        </w:rPr>
        <w:t>případů dočasné pracovní neschopnosti</w:t>
      </w:r>
      <w:r w:rsidR="00D45F63" w:rsidRPr="00560A04">
        <w:t xml:space="preserve">. Meziročně </w:t>
      </w:r>
      <w:r w:rsidRPr="00560A04">
        <w:t xml:space="preserve">jejich </w:t>
      </w:r>
      <w:r w:rsidR="00D45F63" w:rsidRPr="00560A04">
        <w:t xml:space="preserve">počet vzrostl </w:t>
      </w:r>
      <w:r w:rsidR="00560A04" w:rsidRPr="00560A04">
        <w:t xml:space="preserve">téměř </w:t>
      </w:r>
      <w:r w:rsidR="00D45F63" w:rsidRPr="00560A04">
        <w:t>o </w:t>
      </w:r>
      <w:r w:rsidR="00560A04" w:rsidRPr="00560A04">
        <w:t>tře</w:t>
      </w:r>
      <w:r w:rsidR="00D45F63" w:rsidRPr="00560A04">
        <w:t>tinu (+</w:t>
      </w:r>
      <w:r w:rsidR="00560A04" w:rsidRPr="00560A04">
        <w:t>329</w:t>
      </w:r>
      <w:r w:rsidR="00D45F63" w:rsidRPr="00560A04">
        <w:t xml:space="preserve"> tis.).</w:t>
      </w:r>
      <w:r w:rsidR="00BF0828" w:rsidRPr="00560A04">
        <w:t xml:space="preserve"> </w:t>
      </w:r>
    </w:p>
    <w:p w14:paraId="2BA443D7" w14:textId="77777777" w:rsidR="00B75B87" w:rsidRPr="00B75B87" w:rsidRDefault="00560A04" w:rsidP="00107D20">
      <w:pPr>
        <w:pStyle w:val="Odstavecseseznamem"/>
        <w:numPr>
          <w:ilvl w:val="0"/>
          <w:numId w:val="23"/>
        </w:numPr>
        <w:spacing w:after="120"/>
        <w:ind w:left="283" w:hanging="357"/>
        <w:contextualSpacing w:val="0"/>
        <w:jc w:val="both"/>
      </w:pPr>
      <w:r w:rsidRPr="00B75B87">
        <w:rPr>
          <w:bCs/>
        </w:rPr>
        <w:t xml:space="preserve">Poprvé za uplynulých 10 let bylo nahlášeno více případů u mužů (701 tis.) než u žen (699 tis.). Přitom v minulosti byl pololetní počet neschopenek žen o 50 i více tisíc vyšší než v případě mužů. </w:t>
      </w:r>
    </w:p>
    <w:p w14:paraId="5875B987" w14:textId="72E13B96" w:rsidR="00483E6B" w:rsidRPr="00B75B87" w:rsidRDefault="00560A04" w:rsidP="00107D20">
      <w:pPr>
        <w:pStyle w:val="Odstavecseseznamem"/>
        <w:numPr>
          <w:ilvl w:val="0"/>
          <w:numId w:val="23"/>
        </w:numPr>
        <w:spacing w:after="120"/>
        <w:ind w:left="283" w:hanging="357"/>
        <w:contextualSpacing w:val="0"/>
        <w:jc w:val="both"/>
      </w:pPr>
      <w:r w:rsidRPr="00B75B87">
        <w:rPr>
          <w:bCs/>
        </w:rPr>
        <w:t xml:space="preserve">Srovnáme-li současný stav s obdobím před pandemií (tedy s 1. pol. 2019), </w:t>
      </w:r>
      <w:r w:rsidR="00483E6B" w:rsidRPr="00B75B87">
        <w:rPr>
          <w:rFonts w:cs="Arial"/>
        </w:rPr>
        <w:t xml:space="preserve">počet neschopenek </w:t>
      </w:r>
      <w:r w:rsidR="00B75B87" w:rsidRPr="00B75B87">
        <w:rPr>
          <w:rFonts w:cs="Arial"/>
        </w:rPr>
        <w:t xml:space="preserve">pro nemoc </w:t>
      </w:r>
      <w:r w:rsidR="00483E6B" w:rsidRPr="00B75B87">
        <w:rPr>
          <w:rFonts w:cs="Arial"/>
          <w:b/>
        </w:rPr>
        <w:t>u mužů</w:t>
      </w:r>
      <w:r w:rsidR="00483E6B" w:rsidRPr="00B75B87">
        <w:rPr>
          <w:rFonts w:cs="Arial"/>
        </w:rPr>
        <w:t xml:space="preserve"> </w:t>
      </w:r>
      <w:r w:rsidRPr="00B75B87">
        <w:rPr>
          <w:rFonts w:cs="Arial"/>
        </w:rPr>
        <w:t xml:space="preserve">vzrostl </w:t>
      </w:r>
      <w:r w:rsidR="00B75B87" w:rsidRPr="00B75B87">
        <w:rPr>
          <w:rFonts w:cs="Arial"/>
        </w:rPr>
        <w:t xml:space="preserve">dokonce </w:t>
      </w:r>
      <w:r w:rsidRPr="00B75B87">
        <w:rPr>
          <w:rFonts w:cs="Arial"/>
        </w:rPr>
        <w:t xml:space="preserve">o </w:t>
      </w:r>
      <w:r w:rsidR="00B75B87" w:rsidRPr="00B75B87">
        <w:rPr>
          <w:rFonts w:cs="Arial"/>
        </w:rPr>
        <w:t>6</w:t>
      </w:r>
      <w:r w:rsidRPr="00B75B87">
        <w:rPr>
          <w:rFonts w:cs="Arial"/>
        </w:rPr>
        <w:t>4 % (+24</w:t>
      </w:r>
      <w:r w:rsidR="00B75B87" w:rsidRPr="00B75B87">
        <w:rPr>
          <w:rFonts w:cs="Arial"/>
        </w:rPr>
        <w:t>9</w:t>
      </w:r>
      <w:r w:rsidRPr="00B75B87">
        <w:rPr>
          <w:rFonts w:cs="Arial"/>
        </w:rPr>
        <w:t xml:space="preserve"> tis.), </w:t>
      </w:r>
      <w:r w:rsidR="00B75B87" w:rsidRPr="00B75B87">
        <w:rPr>
          <w:rFonts w:cs="Arial"/>
        </w:rPr>
        <w:t xml:space="preserve">zatímco u </w:t>
      </w:r>
      <w:r w:rsidR="00B75B87" w:rsidRPr="00B75B87">
        <w:rPr>
          <w:rFonts w:cs="Arial"/>
          <w:b/>
        </w:rPr>
        <w:t>žen</w:t>
      </w:r>
      <w:r w:rsidR="00B75B87" w:rsidRPr="00B75B87">
        <w:rPr>
          <w:rFonts w:cs="Arial"/>
        </w:rPr>
        <w:t xml:space="preserve"> o 37 % (+178 tis.)</w:t>
      </w:r>
      <w:r w:rsidR="00483E6B" w:rsidRPr="00B75B87">
        <w:rPr>
          <w:rFonts w:cs="Arial"/>
        </w:rPr>
        <w:t xml:space="preserve">. </w:t>
      </w:r>
    </w:p>
    <w:p w14:paraId="2F64F642" w14:textId="7D242200" w:rsidR="00D56CD5" w:rsidRPr="00D56CD5" w:rsidRDefault="00D56CD5" w:rsidP="008B7D64">
      <w:pPr>
        <w:pStyle w:val="Odstavecseseznamem"/>
        <w:numPr>
          <w:ilvl w:val="0"/>
          <w:numId w:val="23"/>
        </w:numPr>
        <w:spacing w:after="120"/>
        <w:ind w:left="283" w:hanging="357"/>
        <w:contextualSpacing w:val="0"/>
        <w:jc w:val="both"/>
      </w:pPr>
      <w:r w:rsidRPr="00D56CD5">
        <w:t>Přestože se v 1. pol. 2021 začalo s očkováním proti onemocnění covid-19, poč</w:t>
      </w:r>
      <w:r w:rsidR="00374F83">
        <w:t>e</w:t>
      </w:r>
      <w:r w:rsidRPr="00D56CD5">
        <w:t>t neschopenek (vč. těch karanténních) byl nadále mimořádný. Za tuto dobu bylo nahlášeno celkem 1 300 tis. případů dočasné pracovní neschopnosti pro nemoc, což je o 428 tis. (o polovinu) více než v 1. pol. 2019</w:t>
      </w:r>
      <w:r w:rsidR="002D3899">
        <w:t>.</w:t>
      </w:r>
    </w:p>
    <w:p w14:paraId="1956D2AB" w14:textId="58F7528A" w:rsidR="00D45F63" w:rsidRPr="008C65CE" w:rsidRDefault="00AB10AA" w:rsidP="008B7D64">
      <w:pPr>
        <w:pStyle w:val="Odstavecseseznamem"/>
        <w:numPr>
          <w:ilvl w:val="0"/>
          <w:numId w:val="23"/>
        </w:numPr>
        <w:spacing w:after="120"/>
        <w:ind w:left="283" w:hanging="357"/>
        <w:contextualSpacing w:val="0"/>
        <w:jc w:val="both"/>
      </w:pPr>
      <w:r w:rsidRPr="008C65CE">
        <w:t xml:space="preserve">V </w:t>
      </w:r>
      <w:r w:rsidR="00B75B87" w:rsidRPr="008C65CE">
        <w:t>1. pol. 2021</w:t>
      </w:r>
      <w:r w:rsidRPr="008C65CE">
        <w:t xml:space="preserve"> bylo vydáno </w:t>
      </w:r>
      <w:r w:rsidR="008C65CE" w:rsidRPr="008C65CE">
        <w:rPr>
          <w:b/>
        </w:rPr>
        <w:t>555</w:t>
      </w:r>
      <w:r w:rsidRPr="008C65CE">
        <w:rPr>
          <w:b/>
        </w:rPr>
        <w:t xml:space="preserve"> tis. neschopenek z důvodu karantény</w:t>
      </w:r>
      <w:r w:rsidR="008C65CE" w:rsidRPr="008C65CE">
        <w:rPr>
          <w:b/>
        </w:rPr>
        <w:t xml:space="preserve"> či izolace</w:t>
      </w:r>
      <w:r w:rsidRPr="008C65CE">
        <w:t xml:space="preserve">, tj. </w:t>
      </w:r>
      <w:r w:rsidR="002D3899">
        <w:t>více než třetina</w:t>
      </w:r>
      <w:r w:rsidRPr="008C65CE">
        <w:t xml:space="preserve"> všech neschopenek vydaných v tomto období.</w:t>
      </w:r>
    </w:p>
    <w:p w14:paraId="48A72AA9" w14:textId="02EE92B9" w:rsidR="003B26E3" w:rsidRPr="003B26E3" w:rsidRDefault="0083196B" w:rsidP="003B26E3">
      <w:pPr>
        <w:pStyle w:val="Odstavecseseznamem"/>
        <w:numPr>
          <w:ilvl w:val="0"/>
          <w:numId w:val="23"/>
        </w:numPr>
        <w:spacing w:after="120"/>
        <w:ind w:left="283" w:hanging="357"/>
        <w:contextualSpacing w:val="0"/>
        <w:jc w:val="both"/>
      </w:pPr>
      <w:r>
        <w:t xml:space="preserve">Z důvodu </w:t>
      </w:r>
      <w:r w:rsidRPr="0083196B">
        <w:rPr>
          <w:b/>
        </w:rPr>
        <w:t>pracovního úrazu</w:t>
      </w:r>
      <w:r>
        <w:t xml:space="preserve"> </w:t>
      </w:r>
      <w:r w:rsidR="003B26E3" w:rsidRPr="003B26E3">
        <w:t xml:space="preserve">bylo </w:t>
      </w:r>
      <w:r>
        <w:t xml:space="preserve">nahlášeno </w:t>
      </w:r>
      <w:r w:rsidR="003B26E3" w:rsidRPr="003B26E3">
        <w:t xml:space="preserve">23 tis. </w:t>
      </w:r>
      <w:r>
        <w:t xml:space="preserve">případů pracovní neschopnosti. </w:t>
      </w:r>
      <w:r w:rsidR="003B26E3" w:rsidRPr="003B26E3">
        <w:t>Po poklesu v 1.</w:t>
      </w:r>
      <w:r w:rsidR="00CD63E8">
        <w:t> </w:t>
      </w:r>
      <w:r w:rsidR="003B26E3" w:rsidRPr="003B26E3">
        <w:t>pol.</w:t>
      </w:r>
      <w:r w:rsidR="00CD63E8">
        <w:t> </w:t>
      </w:r>
      <w:r w:rsidR="003B26E3" w:rsidRPr="003B26E3">
        <w:t>2020, kdy došlo ke 20,5 tis. pracovní</w:t>
      </w:r>
      <w:r>
        <w:t>ch úrazů</w:t>
      </w:r>
      <w:r w:rsidR="003B26E3" w:rsidRPr="003B26E3">
        <w:t xml:space="preserve"> vyžadující</w:t>
      </w:r>
      <w:r>
        <w:t>ch</w:t>
      </w:r>
      <w:r w:rsidR="003B26E3" w:rsidRPr="003B26E3">
        <w:t xml:space="preserve"> pracovní neschopnost, se čísla vrátila zhruba na hodnotu 1. pol. 2019. Meziročně vzrostl i </w:t>
      </w:r>
      <w:r w:rsidR="003B26E3" w:rsidRPr="003B26E3">
        <w:rPr>
          <w:b/>
        </w:rPr>
        <w:t>počet mimopracovních úrazů</w:t>
      </w:r>
      <w:r w:rsidR="003B26E3" w:rsidRPr="003B26E3">
        <w:t xml:space="preserve">. Ze 73 tis. na 76 tis. </w:t>
      </w:r>
    </w:p>
    <w:p w14:paraId="37230B6D" w14:textId="05BC3397" w:rsidR="00B8489E" w:rsidRPr="003B26E3" w:rsidRDefault="00AB10AA" w:rsidP="008B7D64">
      <w:pPr>
        <w:pStyle w:val="Odstavecseseznamem"/>
        <w:numPr>
          <w:ilvl w:val="0"/>
          <w:numId w:val="23"/>
        </w:numPr>
        <w:spacing w:after="120"/>
        <w:ind w:left="283" w:hanging="357"/>
        <w:contextualSpacing w:val="0"/>
        <w:jc w:val="both"/>
      </w:pPr>
      <w:r w:rsidRPr="003B26E3">
        <w:t>V</w:t>
      </w:r>
      <w:r w:rsidR="00D56CD5" w:rsidRPr="003B26E3">
        <w:t xml:space="preserve"> 1. pol. </w:t>
      </w:r>
      <w:r w:rsidRPr="003B26E3">
        <w:t>202</w:t>
      </w:r>
      <w:r w:rsidR="00D56CD5" w:rsidRPr="003B26E3">
        <w:t>1</w:t>
      </w:r>
      <w:r w:rsidRPr="003B26E3">
        <w:rPr>
          <w:b/>
        </w:rPr>
        <w:t xml:space="preserve"> n</w:t>
      </w:r>
      <w:r w:rsidR="0038632C" w:rsidRPr="003B26E3">
        <w:rPr>
          <w:b/>
        </w:rPr>
        <w:t>a 100 pojištěnců</w:t>
      </w:r>
      <w:r w:rsidR="0038632C" w:rsidRPr="003B26E3">
        <w:t xml:space="preserve"> připadalo </w:t>
      </w:r>
      <w:r w:rsidR="00D56CD5" w:rsidRPr="003B26E3">
        <w:rPr>
          <w:b/>
        </w:rPr>
        <w:t>30</w:t>
      </w:r>
      <w:r w:rsidR="0038632C" w:rsidRPr="003B26E3">
        <w:t xml:space="preserve"> nově hlášených </w:t>
      </w:r>
      <w:r w:rsidR="0038632C" w:rsidRPr="003B26E3">
        <w:rPr>
          <w:b/>
        </w:rPr>
        <w:t>případů</w:t>
      </w:r>
      <w:r w:rsidR="0038632C" w:rsidRPr="003B26E3">
        <w:t xml:space="preserve"> dočasné </w:t>
      </w:r>
      <w:r w:rsidR="0038632C" w:rsidRPr="003B26E3">
        <w:rPr>
          <w:b/>
        </w:rPr>
        <w:t>pracovní neschopnosti</w:t>
      </w:r>
      <w:r w:rsidR="0038632C" w:rsidRPr="003B26E3">
        <w:t>. To je o</w:t>
      </w:r>
      <w:r w:rsidR="00C02C40" w:rsidRPr="003B26E3">
        <w:t> </w:t>
      </w:r>
      <w:r w:rsidR="00D56CD5" w:rsidRPr="003B26E3">
        <w:t>7</w:t>
      </w:r>
      <w:r w:rsidR="00C02C40" w:rsidRPr="003B26E3">
        <w:t> </w:t>
      </w:r>
      <w:r w:rsidR="00D56CD5" w:rsidRPr="003B26E3">
        <w:t>více než v</w:t>
      </w:r>
      <w:r w:rsidR="002D3899">
        <w:t> 1. pol.</w:t>
      </w:r>
      <w:r w:rsidR="00D56CD5" w:rsidRPr="003B26E3">
        <w:t xml:space="preserve"> 2020</w:t>
      </w:r>
      <w:r w:rsidR="0038632C" w:rsidRPr="003B26E3">
        <w:t xml:space="preserve">. </w:t>
      </w:r>
    </w:p>
    <w:p w14:paraId="53F00FC1" w14:textId="6E7EB0CC" w:rsidR="00BF0828" w:rsidRPr="003B26E3" w:rsidRDefault="00B8489E" w:rsidP="008B7D64">
      <w:pPr>
        <w:pStyle w:val="Odstavecseseznamem"/>
        <w:numPr>
          <w:ilvl w:val="0"/>
          <w:numId w:val="23"/>
        </w:numPr>
        <w:spacing w:after="120"/>
        <w:ind w:left="283" w:hanging="357"/>
        <w:contextualSpacing w:val="0"/>
        <w:jc w:val="both"/>
      </w:pPr>
      <w:r w:rsidRPr="003B26E3">
        <w:rPr>
          <w:rFonts w:cs="Arial"/>
        </w:rPr>
        <w:t>Meziročně vzrostl počet nahlášených případů kromě dvou výjimek ve všech odvětvích. Pokles o 9 tis. případů (-29 %) zaznamenala sekce Ubytování, stravování a pohostinství a snížení o 500 případů (-5 %) sekce Kulturní, zábavní a rekreační činnosti.</w:t>
      </w:r>
    </w:p>
    <w:p w14:paraId="3B994158" w14:textId="7F8738AD" w:rsidR="0044667F" w:rsidRPr="003B26E3" w:rsidRDefault="0044667F" w:rsidP="008B7D64">
      <w:pPr>
        <w:pStyle w:val="Odstavecseseznamem"/>
        <w:numPr>
          <w:ilvl w:val="0"/>
          <w:numId w:val="23"/>
        </w:numPr>
        <w:spacing w:after="120"/>
        <w:ind w:left="283" w:hanging="357"/>
        <w:contextualSpacing w:val="0"/>
        <w:jc w:val="both"/>
      </w:pPr>
      <w:r w:rsidRPr="003B26E3">
        <w:t>Nejvíce případů pracovní neschopnosti na 100 pojištěnců</w:t>
      </w:r>
      <w:r w:rsidR="00F12400" w:rsidRPr="003B26E3">
        <w:t xml:space="preserve"> v </w:t>
      </w:r>
      <w:r w:rsidR="00F12400" w:rsidRPr="003B26E3">
        <w:rPr>
          <w:b/>
        </w:rPr>
        <w:t>krajském srovnání</w:t>
      </w:r>
      <w:r w:rsidR="00F12400" w:rsidRPr="003B26E3">
        <w:t xml:space="preserve"> </w:t>
      </w:r>
      <w:r w:rsidR="007C22C0" w:rsidRPr="003B26E3">
        <w:t xml:space="preserve">bylo </w:t>
      </w:r>
      <w:r w:rsidRPr="003B26E3">
        <w:t>hlášeno v Libereckém (</w:t>
      </w:r>
      <w:r w:rsidR="003B26E3" w:rsidRPr="003B26E3">
        <w:t>39</w:t>
      </w:r>
      <w:r w:rsidRPr="003B26E3">
        <w:t xml:space="preserve">), </w:t>
      </w:r>
      <w:r w:rsidR="003B26E3" w:rsidRPr="003B26E3">
        <w:t xml:space="preserve">Královéhradeckém (38) a Plzeňském kraji (37). </w:t>
      </w:r>
      <w:r w:rsidRPr="003B26E3">
        <w:t>Podprůměrné hodnoty vykazovala Praha (</w:t>
      </w:r>
      <w:r w:rsidR="003B26E3" w:rsidRPr="003B26E3">
        <w:t>22</w:t>
      </w:r>
      <w:r w:rsidRPr="003B26E3">
        <w:t>) a</w:t>
      </w:r>
      <w:r w:rsidR="00C02C40" w:rsidRPr="003B26E3">
        <w:t> </w:t>
      </w:r>
      <w:r w:rsidRPr="003B26E3">
        <w:t>Jihomoravský kraj (</w:t>
      </w:r>
      <w:r w:rsidR="003B26E3" w:rsidRPr="003B26E3">
        <w:t>27</w:t>
      </w:r>
      <w:r w:rsidRPr="003B26E3">
        <w:t xml:space="preserve">). </w:t>
      </w:r>
    </w:p>
    <w:p w14:paraId="016CABD5" w14:textId="7CE34FCA" w:rsidR="00671EEE" w:rsidRPr="003B26E3" w:rsidRDefault="0038632C" w:rsidP="008B7D64">
      <w:pPr>
        <w:pStyle w:val="Odstavecseseznamem"/>
        <w:numPr>
          <w:ilvl w:val="0"/>
          <w:numId w:val="23"/>
        </w:numPr>
        <w:spacing w:after="120"/>
        <w:ind w:left="283" w:hanging="357"/>
        <w:contextualSpacing w:val="0"/>
        <w:jc w:val="both"/>
      </w:pPr>
      <w:r w:rsidRPr="003B26E3">
        <w:t>Celkově strávili pojištěnci v</w:t>
      </w:r>
      <w:r w:rsidR="003B26E3" w:rsidRPr="003B26E3">
        <w:t> 1. pol. 2021</w:t>
      </w:r>
      <w:r w:rsidRPr="003B26E3">
        <w:t xml:space="preserve"> </w:t>
      </w:r>
      <w:r w:rsidRPr="003B26E3">
        <w:rPr>
          <w:b/>
        </w:rPr>
        <w:t xml:space="preserve">v pracovní neschopnosti </w:t>
      </w:r>
      <w:r w:rsidR="003B26E3" w:rsidRPr="003B26E3">
        <w:rPr>
          <w:b/>
        </w:rPr>
        <w:t>50 856</w:t>
      </w:r>
      <w:r w:rsidRPr="003B26E3">
        <w:rPr>
          <w:b/>
        </w:rPr>
        <w:t xml:space="preserve"> tis. dnů</w:t>
      </w:r>
      <w:r w:rsidRPr="003B26E3">
        <w:t xml:space="preserve">, což je o </w:t>
      </w:r>
      <w:r w:rsidR="003B26E3" w:rsidRPr="003B26E3">
        <w:t>7</w:t>
      </w:r>
      <w:r w:rsidRPr="003B26E3">
        <w:t xml:space="preserve"> % více než před rokem. </w:t>
      </w:r>
      <w:r w:rsidR="003B26E3" w:rsidRPr="003B26E3">
        <w:t>V porovnání s 1. pol. 2019 došlo k nárůstu počtu prostonaných dnů o více než pětinu.</w:t>
      </w:r>
    </w:p>
    <w:p w14:paraId="4108BC35" w14:textId="39782FF1" w:rsidR="00671EEE" w:rsidRPr="00107D20" w:rsidRDefault="00671EEE" w:rsidP="008B7D64">
      <w:pPr>
        <w:pStyle w:val="Odstavecseseznamem"/>
        <w:numPr>
          <w:ilvl w:val="0"/>
          <w:numId w:val="23"/>
        </w:numPr>
        <w:spacing w:after="120"/>
        <w:ind w:left="283" w:hanging="357"/>
        <w:contextualSpacing w:val="0"/>
        <w:jc w:val="both"/>
      </w:pPr>
      <w:r w:rsidRPr="00107D20">
        <w:rPr>
          <w:b/>
        </w:rPr>
        <w:t>Průměrná délka</w:t>
      </w:r>
      <w:r w:rsidRPr="00107D20">
        <w:t xml:space="preserve"> trvání pracovní neschopnosti meziročně klesla ze </w:t>
      </w:r>
      <w:r w:rsidR="00107D20" w:rsidRPr="00107D20">
        <w:t>44,3</w:t>
      </w:r>
      <w:r w:rsidRPr="00107D20">
        <w:t xml:space="preserve"> dne v</w:t>
      </w:r>
      <w:r w:rsidR="00107D20" w:rsidRPr="00107D20">
        <w:t> 1. pol. 2020</w:t>
      </w:r>
      <w:r w:rsidRPr="00107D20">
        <w:t xml:space="preserve"> na 3</w:t>
      </w:r>
      <w:r w:rsidR="00107D20" w:rsidRPr="00107D20">
        <w:t>6,3</w:t>
      </w:r>
      <w:r w:rsidRPr="00107D20">
        <w:t> dne v</w:t>
      </w:r>
      <w:r w:rsidR="00107D20" w:rsidRPr="00107D20">
        <w:t> 1. pol. 2021</w:t>
      </w:r>
      <w:r w:rsidRPr="00107D20">
        <w:t>. Jedná se o nejkratší dobu za posledních 10 let. Dá se říci, že přibylo krátkodobých neschopností z důvodu nemoci.</w:t>
      </w:r>
    </w:p>
    <w:p w14:paraId="05629303" w14:textId="77777777" w:rsidR="00107D20" w:rsidRDefault="00671EEE" w:rsidP="00107D20">
      <w:pPr>
        <w:pStyle w:val="Odstavecseseznamem"/>
        <w:numPr>
          <w:ilvl w:val="0"/>
          <w:numId w:val="23"/>
        </w:numPr>
        <w:spacing w:after="120"/>
        <w:ind w:left="283" w:hanging="357"/>
        <w:contextualSpacing w:val="0"/>
        <w:jc w:val="both"/>
      </w:pPr>
      <w:r w:rsidRPr="00107D20">
        <w:rPr>
          <w:b/>
        </w:rPr>
        <w:t>Ženy</w:t>
      </w:r>
      <w:r w:rsidRPr="00107D20">
        <w:t xml:space="preserve"> strávily </w:t>
      </w:r>
      <w:r w:rsidR="00392130" w:rsidRPr="00107D20">
        <w:t xml:space="preserve">v pracovní neschopnosti v průměru na 1 případ </w:t>
      </w:r>
      <w:r w:rsidR="00107D20" w:rsidRPr="00107D20">
        <w:t>38,6</w:t>
      </w:r>
      <w:r w:rsidRPr="00107D20">
        <w:t xml:space="preserve"> dne, muži </w:t>
      </w:r>
      <w:r w:rsidR="00107D20" w:rsidRPr="00107D20">
        <w:t>34,1</w:t>
      </w:r>
      <w:r w:rsidRPr="00107D20">
        <w:t xml:space="preserve"> dne.</w:t>
      </w:r>
    </w:p>
    <w:p w14:paraId="4F036203" w14:textId="4516FC78" w:rsidR="00107D20" w:rsidRDefault="00107D20" w:rsidP="00107D20">
      <w:pPr>
        <w:pStyle w:val="Odstavecseseznamem"/>
        <w:numPr>
          <w:ilvl w:val="0"/>
          <w:numId w:val="23"/>
        </w:numPr>
        <w:spacing w:after="120"/>
        <w:ind w:left="283" w:hanging="357"/>
        <w:contextualSpacing w:val="0"/>
        <w:jc w:val="both"/>
      </w:pPr>
      <w:r>
        <w:t>Nejdelší doba trvání pracovní neschopnost</w:t>
      </w:r>
      <w:r w:rsidR="0083196B">
        <w:t>i (59 dnů) byla</w:t>
      </w:r>
      <w:r>
        <w:t xml:space="preserve"> v sekci Ubytování, stravování a pohostinství. S</w:t>
      </w:r>
      <w:r w:rsidR="00CD63E8">
        <w:t> </w:t>
      </w:r>
      <w:r>
        <w:t>velkým odstupem následovaly sekce Zemědělství, lesnictví, rybářství (4</w:t>
      </w:r>
      <w:r w:rsidR="0083196B">
        <w:t>4</w:t>
      </w:r>
      <w:r>
        <w:t xml:space="preserve"> dnů) a Činnosti v oblasti nemovitostí (42 dnů).</w:t>
      </w:r>
    </w:p>
    <w:p w14:paraId="216ACF13" w14:textId="4D9AD457" w:rsidR="00096B50" w:rsidRPr="00107D20" w:rsidRDefault="00671EEE" w:rsidP="0083196B">
      <w:pPr>
        <w:pStyle w:val="Odstavecseseznamem"/>
        <w:numPr>
          <w:ilvl w:val="0"/>
          <w:numId w:val="23"/>
        </w:numPr>
        <w:spacing w:after="120"/>
        <w:ind w:left="283" w:hanging="357"/>
        <w:contextualSpacing w:val="0"/>
        <w:jc w:val="both"/>
      </w:pPr>
      <w:r w:rsidRPr="00107D20">
        <w:rPr>
          <w:b/>
        </w:rPr>
        <w:t xml:space="preserve">Průměrné procento dočasné pracovní neschopnosti </w:t>
      </w:r>
      <w:r w:rsidRPr="00107D20">
        <w:t>v</w:t>
      </w:r>
      <w:r w:rsidR="00107D20" w:rsidRPr="00107D20">
        <w:t> 1. pol. 2021</w:t>
      </w:r>
      <w:r w:rsidRPr="00107D20">
        <w:t xml:space="preserve"> dosáhlo </w:t>
      </w:r>
      <w:r w:rsidR="00107D20" w:rsidRPr="00107D20">
        <w:t>6,0</w:t>
      </w:r>
      <w:r w:rsidRPr="00107D20">
        <w:t xml:space="preserve"> %. V případě mužů činila hodnota </w:t>
      </w:r>
      <w:r w:rsidR="00107D20" w:rsidRPr="00107D20">
        <w:t xml:space="preserve">5,6 </w:t>
      </w:r>
      <w:r w:rsidRPr="00107D20">
        <w:t xml:space="preserve">%, u žen </w:t>
      </w:r>
      <w:r w:rsidR="00107D20" w:rsidRPr="00107D20">
        <w:t>6,</w:t>
      </w:r>
      <w:r w:rsidR="0083196B">
        <w:t>4</w:t>
      </w:r>
      <w:r w:rsidRPr="00107D20">
        <w:t xml:space="preserve"> %. Průměrné procento se meziročně zvýšilo o 0,</w:t>
      </w:r>
      <w:r w:rsidR="00107D20" w:rsidRPr="00107D20">
        <w:t>4</w:t>
      </w:r>
      <w:r w:rsidRPr="00107D20">
        <w:t xml:space="preserve"> p. b.</w:t>
      </w:r>
    </w:p>
    <w:p w14:paraId="638CBBD5" w14:textId="66DED35B" w:rsidR="00671EEE" w:rsidRPr="00107D20" w:rsidRDefault="00107D20" w:rsidP="006655D4">
      <w:pPr>
        <w:pStyle w:val="Odstavecseseznamem"/>
        <w:numPr>
          <w:ilvl w:val="0"/>
          <w:numId w:val="23"/>
        </w:numPr>
        <w:spacing w:after="120"/>
        <w:ind w:left="283" w:hanging="357"/>
        <w:contextualSpacing w:val="0"/>
        <w:jc w:val="both"/>
      </w:pPr>
      <w:r w:rsidRPr="00107D20">
        <w:t>Během 1. pol. 2021</w:t>
      </w:r>
      <w:r w:rsidR="00671EEE" w:rsidRPr="00107D20">
        <w:t xml:space="preserve"> v České republice </w:t>
      </w:r>
      <w:r w:rsidR="007C22C0" w:rsidRPr="00107D20">
        <w:t>kvůli</w:t>
      </w:r>
      <w:r w:rsidR="00671EEE" w:rsidRPr="00107D20">
        <w:t xml:space="preserve"> dočasné pracovní neschopnosti </w:t>
      </w:r>
      <w:r w:rsidR="00671EEE" w:rsidRPr="00107D20">
        <w:rPr>
          <w:b/>
        </w:rPr>
        <w:t xml:space="preserve">denně na pracovištích </w:t>
      </w:r>
      <w:r w:rsidR="009F421D" w:rsidRPr="00107D20">
        <w:rPr>
          <w:b/>
        </w:rPr>
        <w:t xml:space="preserve">chybělo </w:t>
      </w:r>
      <w:r w:rsidRPr="00107D20">
        <w:rPr>
          <w:b/>
        </w:rPr>
        <w:t>280 973</w:t>
      </w:r>
      <w:r w:rsidR="00671EEE" w:rsidRPr="00107D20">
        <w:rPr>
          <w:b/>
        </w:rPr>
        <w:t xml:space="preserve"> nemocensky pojištěných osob</w:t>
      </w:r>
      <w:r w:rsidR="00671EEE" w:rsidRPr="00107D20">
        <w:t>, což bylo ve srovnání s</w:t>
      </w:r>
      <w:r w:rsidRPr="00107D20">
        <w:t xml:space="preserve"> 1. pol. 2020 </w:t>
      </w:r>
      <w:r w:rsidR="00671EEE" w:rsidRPr="00107D20">
        <w:t>o</w:t>
      </w:r>
      <w:r w:rsidR="007C22C0" w:rsidRPr="00107D20">
        <w:t> </w:t>
      </w:r>
      <w:r w:rsidRPr="00107D20">
        <w:t>8 % (21</w:t>
      </w:r>
      <w:r w:rsidR="00FE69C1" w:rsidRPr="00107D20">
        <w:t xml:space="preserve"> tis.) více.</w:t>
      </w:r>
    </w:p>
    <w:p w14:paraId="7CF380F8" w14:textId="7B30D566" w:rsidR="00FE69C1" w:rsidRPr="00D92E20" w:rsidRDefault="00451F24" w:rsidP="00453B04">
      <w:pPr>
        <w:pStyle w:val="Odstavecseseznamem"/>
        <w:numPr>
          <w:ilvl w:val="0"/>
          <w:numId w:val="23"/>
        </w:numPr>
        <w:spacing w:after="120"/>
        <w:ind w:left="283" w:hanging="357"/>
        <w:contextualSpacing w:val="0"/>
        <w:jc w:val="both"/>
      </w:pPr>
      <w:r w:rsidRPr="002961FF">
        <w:t xml:space="preserve">Za </w:t>
      </w:r>
      <w:r w:rsidR="00107D20" w:rsidRPr="002961FF">
        <w:t>1. pol. 2021</w:t>
      </w:r>
      <w:r w:rsidRPr="002961FF">
        <w:t xml:space="preserve"> bylo pojištěncům vyplaceno </w:t>
      </w:r>
      <w:r w:rsidRPr="00686C69">
        <w:rPr>
          <w:b/>
        </w:rPr>
        <w:t xml:space="preserve">nemocenské ve výši </w:t>
      </w:r>
      <w:r w:rsidR="00107D20" w:rsidRPr="00686C69">
        <w:rPr>
          <w:b/>
        </w:rPr>
        <w:t>18,4</w:t>
      </w:r>
      <w:r w:rsidRPr="00686C69">
        <w:rPr>
          <w:b/>
        </w:rPr>
        <w:t xml:space="preserve"> mld. Kč</w:t>
      </w:r>
      <w:r w:rsidRPr="002961FF">
        <w:t xml:space="preserve">. Meziročně </w:t>
      </w:r>
      <w:r w:rsidR="007C22C0" w:rsidRPr="002961FF">
        <w:t xml:space="preserve">výdaje </w:t>
      </w:r>
      <w:r w:rsidRPr="002961FF">
        <w:t>vzrostly o</w:t>
      </w:r>
      <w:r w:rsidR="007C22C0" w:rsidRPr="002961FF">
        <w:t> </w:t>
      </w:r>
      <w:r w:rsidR="00107D20" w:rsidRPr="002961FF">
        <w:t>1,4</w:t>
      </w:r>
      <w:r w:rsidR="007C22C0" w:rsidRPr="002961FF">
        <w:t> </w:t>
      </w:r>
      <w:r w:rsidRPr="002961FF">
        <w:t>mld.</w:t>
      </w:r>
      <w:r w:rsidR="0044667F" w:rsidRPr="002961FF">
        <w:t> </w:t>
      </w:r>
      <w:r w:rsidRPr="002961FF">
        <w:t xml:space="preserve">Kč, tj. o </w:t>
      </w:r>
      <w:r w:rsidR="00107D20" w:rsidRPr="002961FF">
        <w:t>8</w:t>
      </w:r>
      <w:r w:rsidRPr="002961FF">
        <w:t xml:space="preserve"> %. </w:t>
      </w:r>
      <w:r w:rsidR="008B7D64" w:rsidRPr="002961FF">
        <w:t xml:space="preserve">Výdaje na nemocenské v přepočtu na jednoho pojištěnce se blížily </w:t>
      </w:r>
      <w:r w:rsidR="00107D20" w:rsidRPr="002961FF">
        <w:t>4</w:t>
      </w:r>
      <w:r w:rsidR="00392130" w:rsidRPr="002961FF">
        <w:t> </w:t>
      </w:r>
      <w:r w:rsidR="002961FF" w:rsidRPr="002961FF">
        <w:t>tis. Kč.</w:t>
      </w:r>
    </w:p>
    <w:sectPr w:rsidR="00FE69C1" w:rsidRPr="00D92E20" w:rsidSect="00151F4E">
      <w:headerReference w:type="even" r:id="rId36"/>
      <w:headerReference w:type="default" r:id="rId37"/>
      <w:footerReference w:type="even" r:id="rId38"/>
      <w:footerReference w:type="default" r:id="rId39"/>
      <w:pgSz w:w="11906" w:h="16838" w:code="9"/>
      <w:pgMar w:top="1134" w:right="1134" w:bottom="1418" w:left="1134" w:header="680" w:footer="680"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94228" w14:textId="77777777" w:rsidR="001B2D4D" w:rsidRDefault="001B2D4D" w:rsidP="00E71A58">
      <w:r>
        <w:separator/>
      </w:r>
    </w:p>
  </w:endnote>
  <w:endnote w:type="continuationSeparator" w:id="0">
    <w:p w14:paraId="7387702F" w14:textId="77777777" w:rsidR="001B2D4D" w:rsidRDefault="001B2D4D"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Arial"/>
    <w:charset w:val="00"/>
    <w:family w:val="auto"/>
    <w:pitch w:val="variable"/>
    <w:sig w:usb0="60000287" w:usb1="00000001" w:usb2="00000000" w:usb3="00000000" w:csb0="0000019F" w:csb1="00000000"/>
  </w:font>
  <w:font w:name="Arial CE">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8D08" w14:textId="2328D8AE" w:rsidR="0050059C" w:rsidRPr="00932443" w:rsidRDefault="0050059C" w:rsidP="00A418BC">
    <w:pPr>
      <w:pStyle w:val="Zpat"/>
      <w:rPr>
        <w:szCs w:val="16"/>
      </w:rPr>
    </w:pPr>
    <w:r>
      <w:rPr>
        <w:szCs w:val="16"/>
        <w:lang w:eastAsia="cs-CZ"/>
      </w:rPr>
      <w:drawing>
        <wp:anchor distT="0" distB="0" distL="114300" distR="114300" simplePos="0" relativeHeight="251658240" behindDoc="0" locked="0" layoutInCell="1" allowOverlap="1" wp14:anchorId="0EEF2B1A" wp14:editId="08552C16">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107140">
      <w:rPr>
        <w:szCs w:val="16"/>
      </w:rPr>
      <w:t>14</w:t>
    </w:r>
    <w:r w:rsidRPr="00932443">
      <w:rPr>
        <w:szCs w:val="16"/>
      </w:rPr>
      <w:fldChar w:fldCharType="end"/>
    </w:r>
    <w:r w:rsidRPr="00932443">
      <w:rPr>
        <w:szCs w:val="16"/>
      </w:rPr>
      <w:tab/>
    </w:r>
    <w:r>
      <w:rPr>
        <w:szCs w:val="16"/>
      </w:rPr>
      <w:t>1. pol.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DF3B" w14:textId="24A4B41C" w:rsidR="0050059C" w:rsidRPr="00932443" w:rsidRDefault="0050059C" w:rsidP="00A418BC">
    <w:pPr>
      <w:pStyle w:val="Zpat"/>
      <w:rPr>
        <w:szCs w:val="16"/>
      </w:rPr>
    </w:pPr>
    <w:r>
      <w:rPr>
        <w:szCs w:val="16"/>
        <w:lang w:eastAsia="cs-CZ"/>
      </w:rPr>
      <w:drawing>
        <wp:anchor distT="0" distB="0" distL="114300" distR="114300" simplePos="0" relativeHeight="251657216" behindDoc="0" locked="0" layoutInCell="1" allowOverlap="1" wp14:anchorId="4688FED7" wp14:editId="10A5567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szCs w:val="16"/>
      </w:rPr>
      <w:t xml:space="preserve">1. pol. </w:t>
    </w:r>
    <w:r>
      <w:rPr>
        <w:rStyle w:val="ZpatChar"/>
        <w:szCs w:val="16"/>
      </w:rPr>
      <w:t>2021</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107140">
      <w:rPr>
        <w:rStyle w:val="ZpatChar"/>
        <w:szCs w:val="16"/>
      </w:rPr>
      <w:t>15</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918D7" w14:textId="77777777" w:rsidR="001B2D4D" w:rsidRDefault="001B2D4D" w:rsidP="00E71A58">
      <w:r>
        <w:separator/>
      </w:r>
    </w:p>
  </w:footnote>
  <w:footnote w:type="continuationSeparator" w:id="0">
    <w:p w14:paraId="7EC494C7" w14:textId="77777777" w:rsidR="001B2D4D" w:rsidRDefault="001B2D4D" w:rsidP="00E71A58">
      <w:r>
        <w:continuationSeparator/>
      </w:r>
    </w:p>
  </w:footnote>
  <w:footnote w:id="1">
    <w:p w14:paraId="0DC62EB0" w14:textId="449418E5" w:rsidR="0050059C" w:rsidRDefault="0050059C" w:rsidP="00F35E90">
      <w:pPr>
        <w:pStyle w:val="Textpoznpodarou"/>
        <w:jc w:val="both"/>
      </w:pPr>
      <w:r w:rsidRPr="000547B7">
        <w:rPr>
          <w:rStyle w:val="Znakapoznpodarou"/>
          <w:sz w:val="16"/>
        </w:rPr>
        <w:footnoteRef/>
      </w:r>
      <w:r w:rsidRPr="000547B7">
        <w:rPr>
          <w:sz w:val="16"/>
        </w:rPr>
        <w:t xml:space="preserve"> </w:t>
      </w:r>
      <w:r>
        <w:rPr>
          <w:sz w:val="16"/>
        </w:rPr>
        <w:t>N</w:t>
      </w:r>
      <w:r w:rsidRPr="000547B7">
        <w:rPr>
          <w:sz w:val="16"/>
        </w:rPr>
        <w:t>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2">
    <w:p w14:paraId="25B81A76" w14:textId="333B5B41" w:rsidR="0050059C" w:rsidRDefault="0050059C">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3">
    <w:p w14:paraId="285D04FC" w14:textId="6B94B287" w:rsidR="0050059C" w:rsidRDefault="0050059C" w:rsidP="00FF5F37">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w:t>
      </w:r>
      <w:r w:rsidR="00CD63E8">
        <w:rPr>
          <w:sz w:val="16"/>
        </w:rPr>
        <w:t> </w:t>
      </w:r>
      <w:r w:rsidRPr="003E42A9">
        <w:rPr>
          <w:sz w:val="16"/>
        </w:rPr>
        <w:t xml:space="preserve">neschopenku nechodí, protože i po dobu pracovní neschopnosti musí pečovat o svěřené dítě. Jsou však zahrnuti do jmenovatele </w:t>
      </w:r>
      <w:r>
        <w:rPr>
          <w:sz w:val="16"/>
        </w:rPr>
        <w:t xml:space="preserve">ukazatele průměrného procenta pracovní neschopnosti v rámci </w:t>
      </w:r>
      <w:r w:rsidRPr="003E42A9">
        <w:rPr>
          <w:sz w:val="16"/>
        </w:rPr>
        <w:t>počt</w:t>
      </w:r>
      <w:r>
        <w:rPr>
          <w:sz w:val="16"/>
        </w:rPr>
        <w:t>u</w:t>
      </w:r>
      <w:r w:rsidRPr="003E42A9">
        <w:rPr>
          <w:sz w:val="16"/>
        </w:rPr>
        <w:t xml:space="preserve"> pojištěnců v okrese.</w:t>
      </w:r>
    </w:p>
  </w:footnote>
  <w:footnote w:id="4">
    <w:p w14:paraId="5519FF0E" w14:textId="7D2C0642" w:rsidR="0050059C" w:rsidRPr="00DC6AB9" w:rsidRDefault="0050059C" w:rsidP="009E707F">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Pr>
          <w:sz w:val="16"/>
        </w:rPr>
        <w:t xml:space="preserve"> Je</w:t>
      </w:r>
      <w:r w:rsidRPr="00B15EBE">
        <w:rPr>
          <w:sz w:val="16"/>
        </w:rPr>
        <w:t xml:space="preserve"> vyplácen zaměstnava</w:t>
      </w:r>
      <w:r w:rsidR="00052303">
        <w:rPr>
          <w:sz w:val="16"/>
        </w:rPr>
        <w:t>telům</w:t>
      </w:r>
      <w:r>
        <w:rPr>
          <w:sz w:val="16"/>
        </w:rPr>
        <w:t xml:space="preserve"> a jimi pak zpětně odečítán</w:t>
      </w:r>
      <w:r w:rsidRPr="00B15EBE">
        <w:rPr>
          <w:sz w:val="16"/>
        </w:rPr>
        <w:t xml:space="preserve"> z celkového pojistného, které na ČSSZ odvádějí.</w:t>
      </w:r>
    </w:p>
  </w:footnote>
  <w:footnote w:id="5">
    <w:p w14:paraId="519B8BB0" w14:textId="5266EC4A" w:rsidR="0050059C" w:rsidRPr="00F969DD" w:rsidRDefault="0050059C" w:rsidP="00B15EBE">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04D096AD" w14:textId="2F35D4C9" w:rsidR="0050059C" w:rsidRDefault="0050059C" w:rsidP="00B15EBE">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6">
    <w:p w14:paraId="658118AA" w14:textId="599B634D" w:rsidR="0050059C" w:rsidRPr="00B15EBE" w:rsidRDefault="0050059C" w:rsidP="00B15EBE">
      <w:pPr>
        <w:pStyle w:val="Textpoznpodarou"/>
        <w:jc w:val="both"/>
        <w:rPr>
          <w:sz w:val="16"/>
        </w:rPr>
      </w:pPr>
      <w:r w:rsidRPr="00B15EBE">
        <w:rPr>
          <w:rStyle w:val="Znakapoznpodarou"/>
          <w:sz w:val="16"/>
        </w:rPr>
        <w:footnoteRef/>
      </w:r>
      <w:r w:rsidRPr="00B15EBE">
        <w:rPr>
          <w:sz w:val="16"/>
        </w:rPr>
        <w:t xml:space="preserve"> </w:t>
      </w:r>
      <w:r w:rsidRPr="00B15EBE">
        <w:rPr>
          <w:sz w:val="16"/>
          <w:szCs w:val="16"/>
        </w:rPr>
        <w:t>Tento počet vydaných neschopenek je dán součtem denních přírůstků počtu nových neschopenek za příslušný měsíc (bez jakéhokoliv rozlišování zaměstnavatele a typu zúčtovatele). Liší se od počtu nově hlášených případů pracovní neschopnosti uvedeného v kap. 4.2, kdy se jedná o celkové počty za dané období z pohledu příslušných zaměstnavatelů a dle typů zúčtovatele.</w:t>
      </w:r>
    </w:p>
  </w:footnote>
  <w:footnote w:id="7">
    <w:p w14:paraId="31BD75DE" w14:textId="7EE182E2" w:rsidR="0050059C" w:rsidRDefault="0050059C" w:rsidP="006054AC">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8">
    <w:p w14:paraId="2795DC82" w14:textId="77777777" w:rsidR="0050059C" w:rsidRDefault="0050059C" w:rsidP="0049149F">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4D4B7" w14:textId="3E6EF4BE" w:rsidR="0050059C" w:rsidRPr="007241C5" w:rsidRDefault="0050059C" w:rsidP="007241C5">
    <w:pPr>
      <w:pStyle w:val="Zhlav"/>
    </w:pPr>
    <w:r>
      <w:t>Pracovní neschopnost pro nemoc a úraz v České republice za 1. pololetí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4919" w14:textId="5319E6D0" w:rsidR="0050059C" w:rsidRPr="006F5416" w:rsidRDefault="0050059C" w:rsidP="00937AE2">
    <w:pPr>
      <w:pStyle w:val="Zhlav"/>
    </w:pPr>
    <w:r>
      <w:t>Pracovní neschopnost pro nemoc a úraz v České republice za 1. pololetí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726B5B"/>
    <w:multiLevelType w:val="multilevel"/>
    <w:tmpl w:val="70A84550"/>
    <w:lvl w:ilvl="0">
      <w:start w:val="1"/>
      <w:numFmt w:val="decimal"/>
      <w:lvlText w:val="%1."/>
      <w:lvlJc w:val="left"/>
      <w:pPr>
        <w:ind w:left="720" w:hanging="360"/>
      </w:pPr>
      <w:rPr>
        <w:rFonts w:hint="default"/>
      </w:rPr>
    </w:lvl>
    <w:lvl w:ilvl="1">
      <w:start w:val="2"/>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BA2AA4"/>
    <w:multiLevelType w:val="multilevel"/>
    <w:tmpl w:val="615EED7A"/>
    <w:lvl w:ilvl="0">
      <w:start w:val="1"/>
      <w:numFmt w:val="none"/>
      <w:suff w:val="space"/>
      <w:lvlText w:val="6."/>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AF4090"/>
    <w:multiLevelType w:val="hybridMultilevel"/>
    <w:tmpl w:val="0F545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BA16842"/>
    <w:multiLevelType w:val="multilevel"/>
    <w:tmpl w:val="3A2CFECA"/>
    <w:lvl w:ilvl="0">
      <w:start w:val="1"/>
      <w:numFmt w:val="none"/>
      <w:suff w:val="space"/>
      <w:lvlText w:val="5."/>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D41ECA"/>
    <w:multiLevelType w:val="multilevel"/>
    <w:tmpl w:val="24FE976E"/>
    <w:lvl w:ilvl="0">
      <w:start w:val="1"/>
      <w:numFmt w:val="decimal"/>
      <w:lvlText w:val="%1."/>
      <w:lvlJc w:val="left"/>
      <w:pPr>
        <w:ind w:left="720" w:hanging="360"/>
      </w:pPr>
      <w:rPr>
        <w:rFonts w:hint="default"/>
      </w:rPr>
    </w:lvl>
    <w:lvl w:ilvl="1">
      <w:start w:val="1"/>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57FE1"/>
    <w:multiLevelType w:val="multilevel"/>
    <w:tmpl w:val="EFEA78A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none"/>
      <w:isLgl/>
      <w:suff w:val="space"/>
      <w:lvlText w:val="4.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747833"/>
    <w:multiLevelType w:val="multilevel"/>
    <w:tmpl w:val="99724194"/>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6"/>
  </w:num>
  <w:num w:numId="4">
    <w:abstractNumId w:val="22"/>
  </w:num>
  <w:num w:numId="5">
    <w:abstractNumId w:val="18"/>
  </w:num>
  <w:num w:numId="6">
    <w:abstractNumId w:val="2"/>
  </w:num>
  <w:num w:numId="7">
    <w:abstractNumId w:val="9"/>
  </w:num>
  <w:num w:numId="8">
    <w:abstractNumId w:val="14"/>
  </w:num>
  <w:num w:numId="9">
    <w:abstractNumId w:val="4"/>
  </w:num>
  <w:num w:numId="10">
    <w:abstractNumId w:val="19"/>
  </w:num>
  <w:num w:numId="11">
    <w:abstractNumId w:val="10"/>
  </w:num>
  <w:num w:numId="12">
    <w:abstractNumId w:val="5"/>
  </w:num>
  <w:num w:numId="13">
    <w:abstractNumId w:val="13"/>
  </w:num>
  <w:num w:numId="14">
    <w:abstractNumId w:val="1"/>
  </w:num>
  <w:num w:numId="15">
    <w:abstractNumId w:val="0"/>
  </w:num>
  <w:num w:numId="16">
    <w:abstractNumId w:val="15"/>
  </w:num>
  <w:num w:numId="17">
    <w:abstractNumId w:val="11"/>
  </w:num>
  <w:num w:numId="18">
    <w:abstractNumId w:val="23"/>
  </w:num>
  <w:num w:numId="19">
    <w:abstractNumId w:val="7"/>
  </w:num>
  <w:num w:numId="20">
    <w:abstractNumId w:val="17"/>
  </w:num>
  <w:num w:numId="21">
    <w:abstractNumId w:val="20"/>
  </w:num>
  <w:num w:numId="22">
    <w:abstractNumId w:val="21"/>
  </w:num>
  <w:num w:numId="23">
    <w:abstractNumId w:val="12"/>
  </w:num>
  <w:num w:numId="24">
    <w:abstractNumId w:val="3"/>
  </w:num>
  <w:num w:numId="2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C0"/>
    <w:rsid w:val="000003B4"/>
    <w:rsid w:val="00000A90"/>
    <w:rsid w:val="0000209D"/>
    <w:rsid w:val="00002D3C"/>
    <w:rsid w:val="00004237"/>
    <w:rsid w:val="00004D5A"/>
    <w:rsid w:val="000056D5"/>
    <w:rsid w:val="0000767A"/>
    <w:rsid w:val="00010702"/>
    <w:rsid w:val="000107D3"/>
    <w:rsid w:val="00013A43"/>
    <w:rsid w:val="00014366"/>
    <w:rsid w:val="00016392"/>
    <w:rsid w:val="00016992"/>
    <w:rsid w:val="000221A2"/>
    <w:rsid w:val="00023479"/>
    <w:rsid w:val="000234D6"/>
    <w:rsid w:val="00023D29"/>
    <w:rsid w:val="00026389"/>
    <w:rsid w:val="000273BE"/>
    <w:rsid w:val="00027E79"/>
    <w:rsid w:val="00031AE0"/>
    <w:rsid w:val="000322EF"/>
    <w:rsid w:val="00032C2E"/>
    <w:rsid w:val="00033735"/>
    <w:rsid w:val="00033FCD"/>
    <w:rsid w:val="0003626A"/>
    <w:rsid w:val="00041CEC"/>
    <w:rsid w:val="0004694F"/>
    <w:rsid w:val="0004774F"/>
    <w:rsid w:val="000522E4"/>
    <w:rsid w:val="00052303"/>
    <w:rsid w:val="00052498"/>
    <w:rsid w:val="000562AF"/>
    <w:rsid w:val="00060225"/>
    <w:rsid w:val="000610E1"/>
    <w:rsid w:val="0006277C"/>
    <w:rsid w:val="00062EC5"/>
    <w:rsid w:val="00062F22"/>
    <w:rsid w:val="000652B4"/>
    <w:rsid w:val="000675AD"/>
    <w:rsid w:val="000712B3"/>
    <w:rsid w:val="000722CF"/>
    <w:rsid w:val="00073AC2"/>
    <w:rsid w:val="00074873"/>
    <w:rsid w:val="0008263E"/>
    <w:rsid w:val="00082C19"/>
    <w:rsid w:val="0008376A"/>
    <w:rsid w:val="00085395"/>
    <w:rsid w:val="00087634"/>
    <w:rsid w:val="00087F2B"/>
    <w:rsid w:val="00096B50"/>
    <w:rsid w:val="000974A8"/>
    <w:rsid w:val="000974D1"/>
    <w:rsid w:val="0009799E"/>
    <w:rsid w:val="000A0257"/>
    <w:rsid w:val="000A1183"/>
    <w:rsid w:val="000A256D"/>
    <w:rsid w:val="000A3A2C"/>
    <w:rsid w:val="000B190B"/>
    <w:rsid w:val="000B30FA"/>
    <w:rsid w:val="000B3C40"/>
    <w:rsid w:val="000C25F2"/>
    <w:rsid w:val="000C3408"/>
    <w:rsid w:val="000C6AFD"/>
    <w:rsid w:val="000D5637"/>
    <w:rsid w:val="000D642E"/>
    <w:rsid w:val="000D6CFA"/>
    <w:rsid w:val="000E0772"/>
    <w:rsid w:val="000E6FBD"/>
    <w:rsid w:val="00100F5C"/>
    <w:rsid w:val="0010437D"/>
    <w:rsid w:val="00104C4C"/>
    <w:rsid w:val="00107140"/>
    <w:rsid w:val="00107D20"/>
    <w:rsid w:val="0012192F"/>
    <w:rsid w:val="00125D69"/>
    <w:rsid w:val="00126E91"/>
    <w:rsid w:val="001359B8"/>
    <w:rsid w:val="001377CB"/>
    <w:rsid w:val="001405FA"/>
    <w:rsid w:val="001425C3"/>
    <w:rsid w:val="00151F4E"/>
    <w:rsid w:val="00153C97"/>
    <w:rsid w:val="00155829"/>
    <w:rsid w:val="00161606"/>
    <w:rsid w:val="0016256B"/>
    <w:rsid w:val="00163793"/>
    <w:rsid w:val="00165278"/>
    <w:rsid w:val="001706D6"/>
    <w:rsid w:val="001706EA"/>
    <w:rsid w:val="001714F2"/>
    <w:rsid w:val="00174F62"/>
    <w:rsid w:val="001768ED"/>
    <w:rsid w:val="001771EA"/>
    <w:rsid w:val="00180D78"/>
    <w:rsid w:val="00184B08"/>
    <w:rsid w:val="00184B5C"/>
    <w:rsid w:val="00185010"/>
    <w:rsid w:val="0018528F"/>
    <w:rsid w:val="00192BCA"/>
    <w:rsid w:val="001A2DD0"/>
    <w:rsid w:val="001A552F"/>
    <w:rsid w:val="001A5951"/>
    <w:rsid w:val="001A7621"/>
    <w:rsid w:val="001B2CA9"/>
    <w:rsid w:val="001B2D4D"/>
    <w:rsid w:val="001B3110"/>
    <w:rsid w:val="001B4729"/>
    <w:rsid w:val="001B6C09"/>
    <w:rsid w:val="001C05CD"/>
    <w:rsid w:val="001C0B68"/>
    <w:rsid w:val="001D3F1E"/>
    <w:rsid w:val="001D68B2"/>
    <w:rsid w:val="001E0E41"/>
    <w:rsid w:val="001E2AAB"/>
    <w:rsid w:val="001E3265"/>
    <w:rsid w:val="001E4CA4"/>
    <w:rsid w:val="001E57EE"/>
    <w:rsid w:val="001E680C"/>
    <w:rsid w:val="001E73B2"/>
    <w:rsid w:val="001F4597"/>
    <w:rsid w:val="0021138F"/>
    <w:rsid w:val="002118B9"/>
    <w:rsid w:val="00216AD5"/>
    <w:rsid w:val="00217C5B"/>
    <w:rsid w:val="00217CCC"/>
    <w:rsid w:val="002203FD"/>
    <w:rsid w:val="0022139E"/>
    <w:rsid w:val="002252E0"/>
    <w:rsid w:val="002255F6"/>
    <w:rsid w:val="00227850"/>
    <w:rsid w:val="00227A53"/>
    <w:rsid w:val="00230C6E"/>
    <w:rsid w:val="00236048"/>
    <w:rsid w:val="00236443"/>
    <w:rsid w:val="002436BA"/>
    <w:rsid w:val="00244A15"/>
    <w:rsid w:val="00245A36"/>
    <w:rsid w:val="00246C9A"/>
    <w:rsid w:val="00247319"/>
    <w:rsid w:val="0024799E"/>
    <w:rsid w:val="00251D95"/>
    <w:rsid w:val="00253C0F"/>
    <w:rsid w:val="00253D4C"/>
    <w:rsid w:val="00256A1C"/>
    <w:rsid w:val="00257036"/>
    <w:rsid w:val="0026728F"/>
    <w:rsid w:val="00270278"/>
    <w:rsid w:val="00271465"/>
    <w:rsid w:val="00277304"/>
    <w:rsid w:val="002773F6"/>
    <w:rsid w:val="0028392B"/>
    <w:rsid w:val="00285412"/>
    <w:rsid w:val="002858F4"/>
    <w:rsid w:val="00285F60"/>
    <w:rsid w:val="002961FF"/>
    <w:rsid w:val="00297326"/>
    <w:rsid w:val="002A00BE"/>
    <w:rsid w:val="002A0537"/>
    <w:rsid w:val="002A16D4"/>
    <w:rsid w:val="002A1A8B"/>
    <w:rsid w:val="002A1CEC"/>
    <w:rsid w:val="002A230C"/>
    <w:rsid w:val="002B643E"/>
    <w:rsid w:val="002C05CC"/>
    <w:rsid w:val="002C43BD"/>
    <w:rsid w:val="002D0E59"/>
    <w:rsid w:val="002D1B28"/>
    <w:rsid w:val="002D3899"/>
    <w:rsid w:val="002E02A1"/>
    <w:rsid w:val="002E3A02"/>
    <w:rsid w:val="002E4CAA"/>
    <w:rsid w:val="002E4E4C"/>
    <w:rsid w:val="002F0504"/>
    <w:rsid w:val="002F607D"/>
    <w:rsid w:val="00300EE3"/>
    <w:rsid w:val="00302DD9"/>
    <w:rsid w:val="003044AF"/>
    <w:rsid w:val="00304771"/>
    <w:rsid w:val="003052D4"/>
    <w:rsid w:val="00306C5B"/>
    <w:rsid w:val="00311390"/>
    <w:rsid w:val="0031487B"/>
    <w:rsid w:val="003209D6"/>
    <w:rsid w:val="00321924"/>
    <w:rsid w:val="0032235A"/>
    <w:rsid w:val="00322DC1"/>
    <w:rsid w:val="00324EEC"/>
    <w:rsid w:val="0032643C"/>
    <w:rsid w:val="0032656E"/>
    <w:rsid w:val="00330CDD"/>
    <w:rsid w:val="00332190"/>
    <w:rsid w:val="00335F6A"/>
    <w:rsid w:val="003405F9"/>
    <w:rsid w:val="00344668"/>
    <w:rsid w:val="003462D9"/>
    <w:rsid w:val="00347261"/>
    <w:rsid w:val="0035096A"/>
    <w:rsid w:val="00350B58"/>
    <w:rsid w:val="003552B6"/>
    <w:rsid w:val="0036076A"/>
    <w:rsid w:val="003609B8"/>
    <w:rsid w:val="00360C86"/>
    <w:rsid w:val="00361B7D"/>
    <w:rsid w:val="003657F3"/>
    <w:rsid w:val="003657FA"/>
    <w:rsid w:val="0036651D"/>
    <w:rsid w:val="00370BD6"/>
    <w:rsid w:val="00370D31"/>
    <w:rsid w:val="00374543"/>
    <w:rsid w:val="00374F83"/>
    <w:rsid w:val="0037686D"/>
    <w:rsid w:val="003818DC"/>
    <w:rsid w:val="00381C62"/>
    <w:rsid w:val="0038272E"/>
    <w:rsid w:val="00384289"/>
    <w:rsid w:val="00384327"/>
    <w:rsid w:val="00385D98"/>
    <w:rsid w:val="0038632C"/>
    <w:rsid w:val="0038725E"/>
    <w:rsid w:val="00391FBE"/>
    <w:rsid w:val="00392130"/>
    <w:rsid w:val="00394C23"/>
    <w:rsid w:val="00396FAF"/>
    <w:rsid w:val="003A2B4D"/>
    <w:rsid w:val="003A2D2A"/>
    <w:rsid w:val="003A478C"/>
    <w:rsid w:val="003A5525"/>
    <w:rsid w:val="003A6B38"/>
    <w:rsid w:val="003A78FF"/>
    <w:rsid w:val="003B04F2"/>
    <w:rsid w:val="003B26E3"/>
    <w:rsid w:val="003B5A32"/>
    <w:rsid w:val="003B64A7"/>
    <w:rsid w:val="003C0BA9"/>
    <w:rsid w:val="003C3490"/>
    <w:rsid w:val="003C601B"/>
    <w:rsid w:val="003C6B69"/>
    <w:rsid w:val="003D6920"/>
    <w:rsid w:val="003E4C91"/>
    <w:rsid w:val="003F1873"/>
    <w:rsid w:val="003F313C"/>
    <w:rsid w:val="003F4B2C"/>
    <w:rsid w:val="003F551C"/>
    <w:rsid w:val="003F7D23"/>
    <w:rsid w:val="003F7F34"/>
    <w:rsid w:val="004022D8"/>
    <w:rsid w:val="004066CC"/>
    <w:rsid w:val="00407C13"/>
    <w:rsid w:val="00410638"/>
    <w:rsid w:val="0041241E"/>
    <w:rsid w:val="00413923"/>
    <w:rsid w:val="00415731"/>
    <w:rsid w:val="00415A36"/>
    <w:rsid w:val="00417B81"/>
    <w:rsid w:val="00422B21"/>
    <w:rsid w:val="00425CDF"/>
    <w:rsid w:val="00432A58"/>
    <w:rsid w:val="00434617"/>
    <w:rsid w:val="004352A4"/>
    <w:rsid w:val="004373DF"/>
    <w:rsid w:val="00437453"/>
    <w:rsid w:val="004377C4"/>
    <w:rsid w:val="00440900"/>
    <w:rsid w:val="0044223A"/>
    <w:rsid w:val="004432B3"/>
    <w:rsid w:val="004440FE"/>
    <w:rsid w:val="004441A0"/>
    <w:rsid w:val="004453B9"/>
    <w:rsid w:val="0044667F"/>
    <w:rsid w:val="00447329"/>
    <w:rsid w:val="004511CC"/>
    <w:rsid w:val="00451F24"/>
    <w:rsid w:val="00453B04"/>
    <w:rsid w:val="00460FB3"/>
    <w:rsid w:val="00461B62"/>
    <w:rsid w:val="00467F89"/>
    <w:rsid w:val="00471D3F"/>
    <w:rsid w:val="00476240"/>
    <w:rsid w:val="00476439"/>
    <w:rsid w:val="0047735C"/>
    <w:rsid w:val="004776BC"/>
    <w:rsid w:val="0048139F"/>
    <w:rsid w:val="00481E40"/>
    <w:rsid w:val="0048385E"/>
    <w:rsid w:val="00483E6B"/>
    <w:rsid w:val="00484D52"/>
    <w:rsid w:val="00484ECE"/>
    <w:rsid w:val="004900FF"/>
    <w:rsid w:val="004907AB"/>
    <w:rsid w:val="0049149F"/>
    <w:rsid w:val="004915CB"/>
    <w:rsid w:val="004924DC"/>
    <w:rsid w:val="004A14E4"/>
    <w:rsid w:val="004A31C1"/>
    <w:rsid w:val="004A3212"/>
    <w:rsid w:val="004A37F3"/>
    <w:rsid w:val="004A61C5"/>
    <w:rsid w:val="004A77DF"/>
    <w:rsid w:val="004B0288"/>
    <w:rsid w:val="004B1417"/>
    <w:rsid w:val="004B55B7"/>
    <w:rsid w:val="004B564D"/>
    <w:rsid w:val="004B6468"/>
    <w:rsid w:val="004B79E8"/>
    <w:rsid w:val="004C0F5E"/>
    <w:rsid w:val="004C36AF"/>
    <w:rsid w:val="004C384C"/>
    <w:rsid w:val="004C3867"/>
    <w:rsid w:val="004C4CD0"/>
    <w:rsid w:val="004C5ABF"/>
    <w:rsid w:val="004C70DC"/>
    <w:rsid w:val="004D0211"/>
    <w:rsid w:val="004D0233"/>
    <w:rsid w:val="004D0495"/>
    <w:rsid w:val="004D0794"/>
    <w:rsid w:val="004D1BAD"/>
    <w:rsid w:val="004E28A0"/>
    <w:rsid w:val="004E3132"/>
    <w:rsid w:val="004E34C7"/>
    <w:rsid w:val="004F06F5"/>
    <w:rsid w:val="004F33A0"/>
    <w:rsid w:val="004F3FE2"/>
    <w:rsid w:val="004F44E4"/>
    <w:rsid w:val="0050059C"/>
    <w:rsid w:val="00500A8A"/>
    <w:rsid w:val="00501113"/>
    <w:rsid w:val="00502EDF"/>
    <w:rsid w:val="005108C0"/>
    <w:rsid w:val="00511873"/>
    <w:rsid w:val="00511B87"/>
    <w:rsid w:val="00512A2F"/>
    <w:rsid w:val="00513B7E"/>
    <w:rsid w:val="00515C74"/>
    <w:rsid w:val="00517A58"/>
    <w:rsid w:val="0052007E"/>
    <w:rsid w:val="0052337A"/>
    <w:rsid w:val="00525137"/>
    <w:rsid w:val="005251DD"/>
    <w:rsid w:val="00532CE7"/>
    <w:rsid w:val="00532FD3"/>
    <w:rsid w:val="0053324C"/>
    <w:rsid w:val="00534A28"/>
    <w:rsid w:val="005377DA"/>
    <w:rsid w:val="00537BCC"/>
    <w:rsid w:val="00541508"/>
    <w:rsid w:val="005415A8"/>
    <w:rsid w:val="00542531"/>
    <w:rsid w:val="00543CC2"/>
    <w:rsid w:val="00544286"/>
    <w:rsid w:val="005444C6"/>
    <w:rsid w:val="00551C14"/>
    <w:rsid w:val="0055599F"/>
    <w:rsid w:val="00556D68"/>
    <w:rsid w:val="00560A04"/>
    <w:rsid w:val="00561055"/>
    <w:rsid w:val="005647BF"/>
    <w:rsid w:val="00572177"/>
    <w:rsid w:val="0057277C"/>
    <w:rsid w:val="0057364B"/>
    <w:rsid w:val="00574773"/>
    <w:rsid w:val="00583FFD"/>
    <w:rsid w:val="00586EBB"/>
    <w:rsid w:val="00591005"/>
    <w:rsid w:val="005911BE"/>
    <w:rsid w:val="00593152"/>
    <w:rsid w:val="005A10F2"/>
    <w:rsid w:val="005A1638"/>
    <w:rsid w:val="005A21E0"/>
    <w:rsid w:val="005A28FF"/>
    <w:rsid w:val="005A3DF8"/>
    <w:rsid w:val="005A3E66"/>
    <w:rsid w:val="005A5549"/>
    <w:rsid w:val="005A63A4"/>
    <w:rsid w:val="005A73C5"/>
    <w:rsid w:val="005B121D"/>
    <w:rsid w:val="005C06ED"/>
    <w:rsid w:val="005C496F"/>
    <w:rsid w:val="005D14C3"/>
    <w:rsid w:val="005D57CF"/>
    <w:rsid w:val="005D5802"/>
    <w:rsid w:val="005D5A37"/>
    <w:rsid w:val="005D7890"/>
    <w:rsid w:val="005E16DB"/>
    <w:rsid w:val="005E46F7"/>
    <w:rsid w:val="005E7C78"/>
    <w:rsid w:val="005F3EB1"/>
    <w:rsid w:val="005F5469"/>
    <w:rsid w:val="0060061C"/>
    <w:rsid w:val="00600B22"/>
    <w:rsid w:val="00604307"/>
    <w:rsid w:val="0060487F"/>
    <w:rsid w:val="00604EAD"/>
    <w:rsid w:val="006054AC"/>
    <w:rsid w:val="006104FB"/>
    <w:rsid w:val="00610CD5"/>
    <w:rsid w:val="00612A2F"/>
    <w:rsid w:val="006145A9"/>
    <w:rsid w:val="00616E05"/>
    <w:rsid w:val="00617700"/>
    <w:rsid w:val="0062225A"/>
    <w:rsid w:val="00624093"/>
    <w:rsid w:val="00631FED"/>
    <w:rsid w:val="006404A7"/>
    <w:rsid w:val="0064296A"/>
    <w:rsid w:val="00642D96"/>
    <w:rsid w:val="0064464A"/>
    <w:rsid w:val="006451E4"/>
    <w:rsid w:val="00645B33"/>
    <w:rsid w:val="00646128"/>
    <w:rsid w:val="00650B10"/>
    <w:rsid w:val="006516CB"/>
    <w:rsid w:val="006575B3"/>
    <w:rsid w:val="00657E87"/>
    <w:rsid w:val="0066068F"/>
    <w:rsid w:val="00661F19"/>
    <w:rsid w:val="00664803"/>
    <w:rsid w:val="006655D4"/>
    <w:rsid w:val="00665BA4"/>
    <w:rsid w:val="006662CA"/>
    <w:rsid w:val="00667AF2"/>
    <w:rsid w:val="00670A6B"/>
    <w:rsid w:val="006710C9"/>
    <w:rsid w:val="00671EEE"/>
    <w:rsid w:val="00673DCF"/>
    <w:rsid w:val="00674D89"/>
    <w:rsid w:val="00675E37"/>
    <w:rsid w:val="00676201"/>
    <w:rsid w:val="00680390"/>
    <w:rsid w:val="0068174E"/>
    <w:rsid w:val="00681DCE"/>
    <w:rsid w:val="0068260E"/>
    <w:rsid w:val="00684AA4"/>
    <w:rsid w:val="00686C69"/>
    <w:rsid w:val="006878BE"/>
    <w:rsid w:val="00693023"/>
    <w:rsid w:val="00695BEF"/>
    <w:rsid w:val="006977F6"/>
    <w:rsid w:val="00697A13"/>
    <w:rsid w:val="006A109C"/>
    <w:rsid w:val="006A14BB"/>
    <w:rsid w:val="006A4068"/>
    <w:rsid w:val="006A7BCA"/>
    <w:rsid w:val="006B344A"/>
    <w:rsid w:val="006B6D44"/>
    <w:rsid w:val="006B78D8"/>
    <w:rsid w:val="006C113F"/>
    <w:rsid w:val="006C123E"/>
    <w:rsid w:val="006C42D5"/>
    <w:rsid w:val="006C56D4"/>
    <w:rsid w:val="006C6924"/>
    <w:rsid w:val="006C7CA6"/>
    <w:rsid w:val="006C7D54"/>
    <w:rsid w:val="006D3E8A"/>
    <w:rsid w:val="006D61F6"/>
    <w:rsid w:val="006E279A"/>
    <w:rsid w:val="006E313B"/>
    <w:rsid w:val="006E3982"/>
    <w:rsid w:val="006E6AB3"/>
    <w:rsid w:val="006F113C"/>
    <w:rsid w:val="006F11B0"/>
    <w:rsid w:val="006F40AA"/>
    <w:rsid w:val="006F5416"/>
    <w:rsid w:val="006F7137"/>
    <w:rsid w:val="00700B3E"/>
    <w:rsid w:val="00700CEF"/>
    <w:rsid w:val="0070383F"/>
    <w:rsid w:val="00703854"/>
    <w:rsid w:val="00704989"/>
    <w:rsid w:val="00705162"/>
    <w:rsid w:val="00706AD4"/>
    <w:rsid w:val="007140BE"/>
    <w:rsid w:val="007211F5"/>
    <w:rsid w:val="007241C5"/>
    <w:rsid w:val="00724D4A"/>
    <w:rsid w:val="00725BB5"/>
    <w:rsid w:val="00730AE8"/>
    <w:rsid w:val="00741493"/>
    <w:rsid w:val="00752180"/>
    <w:rsid w:val="0075396C"/>
    <w:rsid w:val="00755202"/>
    <w:rsid w:val="00755D3A"/>
    <w:rsid w:val="007578D3"/>
    <w:rsid w:val="007609C6"/>
    <w:rsid w:val="0076175D"/>
    <w:rsid w:val="0076521E"/>
    <w:rsid w:val="007661E9"/>
    <w:rsid w:val="00767C3C"/>
    <w:rsid w:val="0077346A"/>
    <w:rsid w:val="00775419"/>
    <w:rsid w:val="00776169"/>
    <w:rsid w:val="00776527"/>
    <w:rsid w:val="00780EF1"/>
    <w:rsid w:val="00790764"/>
    <w:rsid w:val="0079453C"/>
    <w:rsid w:val="00794677"/>
    <w:rsid w:val="00794B90"/>
    <w:rsid w:val="00795664"/>
    <w:rsid w:val="007960ED"/>
    <w:rsid w:val="007A4D36"/>
    <w:rsid w:val="007B03FA"/>
    <w:rsid w:val="007B0701"/>
    <w:rsid w:val="007B36AD"/>
    <w:rsid w:val="007B50D7"/>
    <w:rsid w:val="007B6689"/>
    <w:rsid w:val="007C22C0"/>
    <w:rsid w:val="007C3147"/>
    <w:rsid w:val="007C6359"/>
    <w:rsid w:val="007D2E78"/>
    <w:rsid w:val="007D40DF"/>
    <w:rsid w:val="007D615C"/>
    <w:rsid w:val="007E06C7"/>
    <w:rsid w:val="007E08BA"/>
    <w:rsid w:val="007E7E61"/>
    <w:rsid w:val="007F0845"/>
    <w:rsid w:val="007F4035"/>
    <w:rsid w:val="00807C82"/>
    <w:rsid w:val="008126FD"/>
    <w:rsid w:val="00816905"/>
    <w:rsid w:val="00821BA1"/>
    <w:rsid w:val="00821FF6"/>
    <w:rsid w:val="00825C4D"/>
    <w:rsid w:val="00831173"/>
    <w:rsid w:val="0083143E"/>
    <w:rsid w:val="0083196B"/>
    <w:rsid w:val="00831CDE"/>
    <w:rsid w:val="00834304"/>
    <w:rsid w:val="00834FAA"/>
    <w:rsid w:val="0083517C"/>
    <w:rsid w:val="00836086"/>
    <w:rsid w:val="00840277"/>
    <w:rsid w:val="00844690"/>
    <w:rsid w:val="00844FBA"/>
    <w:rsid w:val="0084708F"/>
    <w:rsid w:val="008477C8"/>
    <w:rsid w:val="00850A1B"/>
    <w:rsid w:val="0085114D"/>
    <w:rsid w:val="00852217"/>
    <w:rsid w:val="00853033"/>
    <w:rsid w:val="00855408"/>
    <w:rsid w:val="00855978"/>
    <w:rsid w:val="00856D65"/>
    <w:rsid w:val="008616F7"/>
    <w:rsid w:val="00861B41"/>
    <w:rsid w:val="00863434"/>
    <w:rsid w:val="00865E4C"/>
    <w:rsid w:val="00867A29"/>
    <w:rsid w:val="00867F67"/>
    <w:rsid w:val="008701E4"/>
    <w:rsid w:val="0087102D"/>
    <w:rsid w:val="00875A32"/>
    <w:rsid w:val="00876086"/>
    <w:rsid w:val="008769E4"/>
    <w:rsid w:val="00877802"/>
    <w:rsid w:val="0088045B"/>
    <w:rsid w:val="0088375E"/>
    <w:rsid w:val="008873D4"/>
    <w:rsid w:val="00893E85"/>
    <w:rsid w:val="00894031"/>
    <w:rsid w:val="008B4180"/>
    <w:rsid w:val="008B4568"/>
    <w:rsid w:val="008B62E3"/>
    <w:rsid w:val="008B7C02"/>
    <w:rsid w:val="008B7D2B"/>
    <w:rsid w:val="008B7D64"/>
    <w:rsid w:val="008C0049"/>
    <w:rsid w:val="008C0BDB"/>
    <w:rsid w:val="008C0E88"/>
    <w:rsid w:val="008C3456"/>
    <w:rsid w:val="008C65CE"/>
    <w:rsid w:val="008D1E6A"/>
    <w:rsid w:val="008D2A16"/>
    <w:rsid w:val="008D2F51"/>
    <w:rsid w:val="008D40A9"/>
    <w:rsid w:val="008D48F1"/>
    <w:rsid w:val="008D7B44"/>
    <w:rsid w:val="008E2C57"/>
    <w:rsid w:val="008E31FF"/>
    <w:rsid w:val="008E59DA"/>
    <w:rsid w:val="008E6F06"/>
    <w:rsid w:val="008E73DA"/>
    <w:rsid w:val="008F029B"/>
    <w:rsid w:val="008F3FC9"/>
    <w:rsid w:val="008F585B"/>
    <w:rsid w:val="009003A8"/>
    <w:rsid w:val="00902500"/>
    <w:rsid w:val="00902EFF"/>
    <w:rsid w:val="00903C13"/>
    <w:rsid w:val="00906401"/>
    <w:rsid w:val="0091155E"/>
    <w:rsid w:val="0091261F"/>
    <w:rsid w:val="009128F9"/>
    <w:rsid w:val="00912A92"/>
    <w:rsid w:val="00913648"/>
    <w:rsid w:val="00916F74"/>
    <w:rsid w:val="0091728D"/>
    <w:rsid w:val="009208D0"/>
    <w:rsid w:val="0092180B"/>
    <w:rsid w:val="00921C1C"/>
    <w:rsid w:val="00921F14"/>
    <w:rsid w:val="00922D0B"/>
    <w:rsid w:val="00924AC8"/>
    <w:rsid w:val="0092597A"/>
    <w:rsid w:val="00932443"/>
    <w:rsid w:val="00937AE2"/>
    <w:rsid w:val="0094191B"/>
    <w:rsid w:val="0094427A"/>
    <w:rsid w:val="00945181"/>
    <w:rsid w:val="00951947"/>
    <w:rsid w:val="00954E16"/>
    <w:rsid w:val="009562CF"/>
    <w:rsid w:val="00957C6D"/>
    <w:rsid w:val="009627E0"/>
    <w:rsid w:val="00974923"/>
    <w:rsid w:val="00980D3D"/>
    <w:rsid w:val="00982C1D"/>
    <w:rsid w:val="00987A30"/>
    <w:rsid w:val="00987D5E"/>
    <w:rsid w:val="00991A19"/>
    <w:rsid w:val="00992CF3"/>
    <w:rsid w:val="009967C9"/>
    <w:rsid w:val="009968D6"/>
    <w:rsid w:val="009A1CAB"/>
    <w:rsid w:val="009A1D80"/>
    <w:rsid w:val="009A3306"/>
    <w:rsid w:val="009A60D1"/>
    <w:rsid w:val="009B330C"/>
    <w:rsid w:val="009B37AD"/>
    <w:rsid w:val="009B6FD3"/>
    <w:rsid w:val="009C0542"/>
    <w:rsid w:val="009C1750"/>
    <w:rsid w:val="009C2E29"/>
    <w:rsid w:val="009C3182"/>
    <w:rsid w:val="009C554B"/>
    <w:rsid w:val="009C719E"/>
    <w:rsid w:val="009D3ACD"/>
    <w:rsid w:val="009E3521"/>
    <w:rsid w:val="009E4AAB"/>
    <w:rsid w:val="009E5273"/>
    <w:rsid w:val="009E5DDB"/>
    <w:rsid w:val="009E707F"/>
    <w:rsid w:val="009E7132"/>
    <w:rsid w:val="009F0058"/>
    <w:rsid w:val="009F0B87"/>
    <w:rsid w:val="009F305A"/>
    <w:rsid w:val="009F421D"/>
    <w:rsid w:val="009F4CA7"/>
    <w:rsid w:val="009F67D0"/>
    <w:rsid w:val="009F68D8"/>
    <w:rsid w:val="00A101F1"/>
    <w:rsid w:val="00A10BE6"/>
    <w:rsid w:val="00A10D66"/>
    <w:rsid w:val="00A14114"/>
    <w:rsid w:val="00A16413"/>
    <w:rsid w:val="00A23E43"/>
    <w:rsid w:val="00A26AF3"/>
    <w:rsid w:val="00A30F65"/>
    <w:rsid w:val="00A416CF"/>
    <w:rsid w:val="00A418BC"/>
    <w:rsid w:val="00A45322"/>
    <w:rsid w:val="00A46DE0"/>
    <w:rsid w:val="00A47BC0"/>
    <w:rsid w:val="00A50D73"/>
    <w:rsid w:val="00A52CAD"/>
    <w:rsid w:val="00A52F24"/>
    <w:rsid w:val="00A53FC7"/>
    <w:rsid w:val="00A62CE1"/>
    <w:rsid w:val="00A6741E"/>
    <w:rsid w:val="00A71AB2"/>
    <w:rsid w:val="00A75E40"/>
    <w:rsid w:val="00A771D5"/>
    <w:rsid w:val="00A77D1D"/>
    <w:rsid w:val="00A80D3E"/>
    <w:rsid w:val="00A81B9F"/>
    <w:rsid w:val="00A81C2F"/>
    <w:rsid w:val="00A83569"/>
    <w:rsid w:val="00A83595"/>
    <w:rsid w:val="00A857C0"/>
    <w:rsid w:val="00A9119B"/>
    <w:rsid w:val="00AA0B8D"/>
    <w:rsid w:val="00AA1E11"/>
    <w:rsid w:val="00AA2996"/>
    <w:rsid w:val="00AA52BF"/>
    <w:rsid w:val="00AA559A"/>
    <w:rsid w:val="00AB10AA"/>
    <w:rsid w:val="00AB2AF1"/>
    <w:rsid w:val="00AB3D6B"/>
    <w:rsid w:val="00AC6D21"/>
    <w:rsid w:val="00AC7EEB"/>
    <w:rsid w:val="00AD306C"/>
    <w:rsid w:val="00AD7EB3"/>
    <w:rsid w:val="00AE09B3"/>
    <w:rsid w:val="00AE1A83"/>
    <w:rsid w:val="00AE3DD0"/>
    <w:rsid w:val="00AE4AEB"/>
    <w:rsid w:val="00AF2FBF"/>
    <w:rsid w:val="00B00913"/>
    <w:rsid w:val="00B0095F"/>
    <w:rsid w:val="00B01593"/>
    <w:rsid w:val="00B10A4D"/>
    <w:rsid w:val="00B12C5F"/>
    <w:rsid w:val="00B15EBE"/>
    <w:rsid w:val="00B165C1"/>
    <w:rsid w:val="00B17E71"/>
    <w:rsid w:val="00B17FDE"/>
    <w:rsid w:val="00B212D5"/>
    <w:rsid w:val="00B2379C"/>
    <w:rsid w:val="00B2687D"/>
    <w:rsid w:val="00B32DDB"/>
    <w:rsid w:val="00B34528"/>
    <w:rsid w:val="00B402FC"/>
    <w:rsid w:val="00B40FC2"/>
    <w:rsid w:val="00B414A5"/>
    <w:rsid w:val="00B44634"/>
    <w:rsid w:val="00B46604"/>
    <w:rsid w:val="00B527E8"/>
    <w:rsid w:val="00B530CD"/>
    <w:rsid w:val="00B55F5E"/>
    <w:rsid w:val="00B5752E"/>
    <w:rsid w:val="00B606BA"/>
    <w:rsid w:val="00B608FE"/>
    <w:rsid w:val="00B63A11"/>
    <w:rsid w:val="00B64C24"/>
    <w:rsid w:val="00B6608F"/>
    <w:rsid w:val="00B679FB"/>
    <w:rsid w:val="00B67A38"/>
    <w:rsid w:val="00B71CB0"/>
    <w:rsid w:val="00B71F7A"/>
    <w:rsid w:val="00B74855"/>
    <w:rsid w:val="00B75B87"/>
    <w:rsid w:val="00B76D1E"/>
    <w:rsid w:val="00B80EC6"/>
    <w:rsid w:val="00B8489E"/>
    <w:rsid w:val="00B9122C"/>
    <w:rsid w:val="00B92D1D"/>
    <w:rsid w:val="00B938C5"/>
    <w:rsid w:val="00B9558B"/>
    <w:rsid w:val="00B95940"/>
    <w:rsid w:val="00B97091"/>
    <w:rsid w:val="00BA6B4E"/>
    <w:rsid w:val="00BB46F3"/>
    <w:rsid w:val="00BB4CB1"/>
    <w:rsid w:val="00BB4F98"/>
    <w:rsid w:val="00BC093C"/>
    <w:rsid w:val="00BC7154"/>
    <w:rsid w:val="00BD10B4"/>
    <w:rsid w:val="00BD366B"/>
    <w:rsid w:val="00BD6D50"/>
    <w:rsid w:val="00BE18B9"/>
    <w:rsid w:val="00BE2495"/>
    <w:rsid w:val="00BE4399"/>
    <w:rsid w:val="00BE43F5"/>
    <w:rsid w:val="00BF0828"/>
    <w:rsid w:val="00BF1578"/>
    <w:rsid w:val="00BF2411"/>
    <w:rsid w:val="00BF4256"/>
    <w:rsid w:val="00BF6635"/>
    <w:rsid w:val="00C02C40"/>
    <w:rsid w:val="00C0303E"/>
    <w:rsid w:val="00C035D0"/>
    <w:rsid w:val="00C05AB7"/>
    <w:rsid w:val="00C112EA"/>
    <w:rsid w:val="00C13A9E"/>
    <w:rsid w:val="00C15989"/>
    <w:rsid w:val="00C20DA9"/>
    <w:rsid w:val="00C21F94"/>
    <w:rsid w:val="00C22014"/>
    <w:rsid w:val="00C24683"/>
    <w:rsid w:val="00C27913"/>
    <w:rsid w:val="00C27ECC"/>
    <w:rsid w:val="00C33B68"/>
    <w:rsid w:val="00C34A10"/>
    <w:rsid w:val="00C36A79"/>
    <w:rsid w:val="00C36F71"/>
    <w:rsid w:val="00C371A5"/>
    <w:rsid w:val="00C405D4"/>
    <w:rsid w:val="00C43670"/>
    <w:rsid w:val="00C44482"/>
    <w:rsid w:val="00C4513B"/>
    <w:rsid w:val="00C5419A"/>
    <w:rsid w:val="00C54697"/>
    <w:rsid w:val="00C5499E"/>
    <w:rsid w:val="00C56C80"/>
    <w:rsid w:val="00C577E3"/>
    <w:rsid w:val="00C6313F"/>
    <w:rsid w:val="00C73885"/>
    <w:rsid w:val="00C747B1"/>
    <w:rsid w:val="00C7753B"/>
    <w:rsid w:val="00C82191"/>
    <w:rsid w:val="00C90CF4"/>
    <w:rsid w:val="00C92EB6"/>
    <w:rsid w:val="00C93050"/>
    <w:rsid w:val="00C93389"/>
    <w:rsid w:val="00C96C0D"/>
    <w:rsid w:val="00C97CF3"/>
    <w:rsid w:val="00CA23A5"/>
    <w:rsid w:val="00CA3130"/>
    <w:rsid w:val="00CA3FFD"/>
    <w:rsid w:val="00CA656C"/>
    <w:rsid w:val="00CB1614"/>
    <w:rsid w:val="00CB4930"/>
    <w:rsid w:val="00CC2E7D"/>
    <w:rsid w:val="00CD10A5"/>
    <w:rsid w:val="00CD2076"/>
    <w:rsid w:val="00CD287A"/>
    <w:rsid w:val="00CD63E8"/>
    <w:rsid w:val="00CD7B6E"/>
    <w:rsid w:val="00CE1E85"/>
    <w:rsid w:val="00CE2C2A"/>
    <w:rsid w:val="00CE53E0"/>
    <w:rsid w:val="00CE670B"/>
    <w:rsid w:val="00CF05FA"/>
    <w:rsid w:val="00CF0B5E"/>
    <w:rsid w:val="00CF2EE9"/>
    <w:rsid w:val="00CF51EC"/>
    <w:rsid w:val="00CF6DC0"/>
    <w:rsid w:val="00CF73AE"/>
    <w:rsid w:val="00D01776"/>
    <w:rsid w:val="00D040DD"/>
    <w:rsid w:val="00D042B7"/>
    <w:rsid w:val="00D04AA1"/>
    <w:rsid w:val="00D07285"/>
    <w:rsid w:val="00D12BE0"/>
    <w:rsid w:val="00D13986"/>
    <w:rsid w:val="00D235B7"/>
    <w:rsid w:val="00D25F28"/>
    <w:rsid w:val="00D27973"/>
    <w:rsid w:val="00D3132C"/>
    <w:rsid w:val="00D35F0C"/>
    <w:rsid w:val="00D45F63"/>
    <w:rsid w:val="00D50F46"/>
    <w:rsid w:val="00D529DD"/>
    <w:rsid w:val="00D56CD5"/>
    <w:rsid w:val="00D60D97"/>
    <w:rsid w:val="00D62BC0"/>
    <w:rsid w:val="00D63625"/>
    <w:rsid w:val="00D66223"/>
    <w:rsid w:val="00D72727"/>
    <w:rsid w:val="00D8084C"/>
    <w:rsid w:val="00D872A2"/>
    <w:rsid w:val="00D91258"/>
    <w:rsid w:val="00D92E20"/>
    <w:rsid w:val="00D93ABC"/>
    <w:rsid w:val="00D95A86"/>
    <w:rsid w:val="00DA3030"/>
    <w:rsid w:val="00DA5195"/>
    <w:rsid w:val="00DA5329"/>
    <w:rsid w:val="00DA7C0C"/>
    <w:rsid w:val="00DB2EC8"/>
    <w:rsid w:val="00DC0DB3"/>
    <w:rsid w:val="00DC4ACC"/>
    <w:rsid w:val="00DC5B3B"/>
    <w:rsid w:val="00DD0824"/>
    <w:rsid w:val="00DD129F"/>
    <w:rsid w:val="00DD31CC"/>
    <w:rsid w:val="00DE263C"/>
    <w:rsid w:val="00DE42AF"/>
    <w:rsid w:val="00DF284E"/>
    <w:rsid w:val="00DF42FF"/>
    <w:rsid w:val="00E01C0E"/>
    <w:rsid w:val="00E03841"/>
    <w:rsid w:val="00E03972"/>
    <w:rsid w:val="00E03F9A"/>
    <w:rsid w:val="00E04694"/>
    <w:rsid w:val="00E10DD4"/>
    <w:rsid w:val="00E12B1E"/>
    <w:rsid w:val="00E14771"/>
    <w:rsid w:val="00E17262"/>
    <w:rsid w:val="00E206F0"/>
    <w:rsid w:val="00E253A2"/>
    <w:rsid w:val="00E31C79"/>
    <w:rsid w:val="00E32371"/>
    <w:rsid w:val="00E3309D"/>
    <w:rsid w:val="00E371CF"/>
    <w:rsid w:val="00E404AC"/>
    <w:rsid w:val="00E44890"/>
    <w:rsid w:val="00E454C5"/>
    <w:rsid w:val="00E45AD8"/>
    <w:rsid w:val="00E50156"/>
    <w:rsid w:val="00E50FF6"/>
    <w:rsid w:val="00E53470"/>
    <w:rsid w:val="00E539F6"/>
    <w:rsid w:val="00E6519D"/>
    <w:rsid w:val="00E65904"/>
    <w:rsid w:val="00E67696"/>
    <w:rsid w:val="00E71A58"/>
    <w:rsid w:val="00E72A7A"/>
    <w:rsid w:val="00E73F0C"/>
    <w:rsid w:val="00E75C94"/>
    <w:rsid w:val="00E83157"/>
    <w:rsid w:val="00E863E8"/>
    <w:rsid w:val="00E9284B"/>
    <w:rsid w:val="00E93820"/>
    <w:rsid w:val="00EA098E"/>
    <w:rsid w:val="00EA0C68"/>
    <w:rsid w:val="00EA0F31"/>
    <w:rsid w:val="00EA20BB"/>
    <w:rsid w:val="00EA2DCF"/>
    <w:rsid w:val="00EA32BC"/>
    <w:rsid w:val="00EA5FF4"/>
    <w:rsid w:val="00EB2AD1"/>
    <w:rsid w:val="00EB4511"/>
    <w:rsid w:val="00EB48F6"/>
    <w:rsid w:val="00EB4EAA"/>
    <w:rsid w:val="00EB5555"/>
    <w:rsid w:val="00EC03D7"/>
    <w:rsid w:val="00EC21A5"/>
    <w:rsid w:val="00EC4C52"/>
    <w:rsid w:val="00EC525E"/>
    <w:rsid w:val="00ED0B23"/>
    <w:rsid w:val="00ED103E"/>
    <w:rsid w:val="00ED62C6"/>
    <w:rsid w:val="00ED64C1"/>
    <w:rsid w:val="00ED6777"/>
    <w:rsid w:val="00EE30F5"/>
    <w:rsid w:val="00EE3446"/>
    <w:rsid w:val="00EE3E78"/>
    <w:rsid w:val="00EE4B1B"/>
    <w:rsid w:val="00EF150D"/>
    <w:rsid w:val="00EF1F5A"/>
    <w:rsid w:val="00EF2129"/>
    <w:rsid w:val="00EF47BF"/>
    <w:rsid w:val="00F00430"/>
    <w:rsid w:val="00F04811"/>
    <w:rsid w:val="00F0488C"/>
    <w:rsid w:val="00F05F5E"/>
    <w:rsid w:val="00F10F11"/>
    <w:rsid w:val="00F12400"/>
    <w:rsid w:val="00F15AAA"/>
    <w:rsid w:val="00F15BEF"/>
    <w:rsid w:val="00F163D5"/>
    <w:rsid w:val="00F20CF3"/>
    <w:rsid w:val="00F24407"/>
    <w:rsid w:val="00F24FAA"/>
    <w:rsid w:val="00F25CD1"/>
    <w:rsid w:val="00F27CE9"/>
    <w:rsid w:val="00F3364D"/>
    <w:rsid w:val="00F35E90"/>
    <w:rsid w:val="00F437CC"/>
    <w:rsid w:val="00F47067"/>
    <w:rsid w:val="00F50CFB"/>
    <w:rsid w:val="00F525EB"/>
    <w:rsid w:val="00F63DDE"/>
    <w:rsid w:val="00F63FB7"/>
    <w:rsid w:val="00F649D2"/>
    <w:rsid w:val="00F6602B"/>
    <w:rsid w:val="00F714D1"/>
    <w:rsid w:val="00F71B6A"/>
    <w:rsid w:val="00F7260E"/>
    <w:rsid w:val="00F73A0C"/>
    <w:rsid w:val="00F756DB"/>
    <w:rsid w:val="00F762E2"/>
    <w:rsid w:val="00F85066"/>
    <w:rsid w:val="00F969DD"/>
    <w:rsid w:val="00FA5D4D"/>
    <w:rsid w:val="00FB0EE2"/>
    <w:rsid w:val="00FB19E5"/>
    <w:rsid w:val="00FB3501"/>
    <w:rsid w:val="00FB50FB"/>
    <w:rsid w:val="00FB542E"/>
    <w:rsid w:val="00FB73B2"/>
    <w:rsid w:val="00FC0E5F"/>
    <w:rsid w:val="00FC1A95"/>
    <w:rsid w:val="00FC56DE"/>
    <w:rsid w:val="00FC5D79"/>
    <w:rsid w:val="00FC684B"/>
    <w:rsid w:val="00FC6945"/>
    <w:rsid w:val="00FD28D3"/>
    <w:rsid w:val="00FD3265"/>
    <w:rsid w:val="00FE2F78"/>
    <w:rsid w:val="00FE3858"/>
    <w:rsid w:val="00FE69C1"/>
    <w:rsid w:val="00FF302A"/>
    <w:rsid w:val="00FF3D8E"/>
    <w:rsid w:val="00FF4E21"/>
    <w:rsid w:val="00FF5F37"/>
    <w:rsid w:val="00FF6E1B"/>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18BFED52"/>
  <w15:docId w15:val="{8339DFA1-D011-4BFC-92C4-5BFAFF0D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4B0288"/>
    <w:pPr>
      <w:tabs>
        <w:tab w:val="left" w:pos="400"/>
      </w:tabs>
      <w:ind w:left="142"/>
    </w:p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B0288"/>
    <w:pPr>
      <w:tabs>
        <w:tab w:val="left" w:pos="600"/>
      </w:tabs>
      <w:ind w:left="200"/>
    </w:pPr>
  </w:style>
  <w:style w:type="paragraph" w:styleId="Obsah3">
    <w:name w:val="toc 3"/>
    <w:basedOn w:val="Obsahpoloky"/>
    <w:next w:val="Obsahpoloky"/>
    <w:autoRedefine/>
    <w:uiPriority w:val="39"/>
    <w:unhideWhenUsed/>
    <w:rsid w:val="002858F4"/>
    <w:pPr>
      <w:tabs>
        <w:tab w:val="left" w:pos="1000"/>
      </w:tabs>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Znakapoznpodarou">
    <w:name w:val="footnote reference"/>
    <w:rsid w:val="007241C5"/>
    <w:rPr>
      <w:vertAlign w:val="superscript"/>
    </w:rPr>
  </w:style>
  <w:style w:type="paragraph" w:styleId="Textpoznpodarou">
    <w:name w:val="footnote text"/>
    <w:basedOn w:val="Normln"/>
    <w:link w:val="TextpoznpodarouChar"/>
    <w:uiPriority w:val="99"/>
    <w:semiHidden/>
    <w:rsid w:val="007241C5"/>
    <w:pPr>
      <w:spacing w:after="0"/>
    </w:pPr>
    <w:rPr>
      <w:szCs w:val="20"/>
    </w:rPr>
  </w:style>
  <w:style w:type="character" w:customStyle="1" w:styleId="TextpoznpodarouChar">
    <w:name w:val="Text pozn. pod čarou Char"/>
    <w:basedOn w:val="Standardnpsmoodstavce"/>
    <w:link w:val="Textpoznpodarou"/>
    <w:uiPriority w:val="99"/>
    <w:semiHidden/>
    <w:rsid w:val="007241C5"/>
    <w:rPr>
      <w:rFonts w:ascii="Arial" w:eastAsia="Times New Roman" w:hAnsi="Arial"/>
      <w:lang w:eastAsia="cs-CZ"/>
    </w:rPr>
  </w:style>
  <w:style w:type="paragraph" w:styleId="Odstavecseseznamem">
    <w:name w:val="List Paragraph"/>
    <w:basedOn w:val="Normln"/>
    <w:uiPriority w:val="99"/>
    <w:qFormat/>
    <w:rsid w:val="007241C5"/>
    <w:pPr>
      <w:ind w:left="720"/>
      <w:contextualSpacing/>
    </w:pPr>
  </w:style>
  <w:style w:type="paragraph" w:styleId="Normlnweb">
    <w:name w:val="Normal (Web)"/>
    <w:basedOn w:val="Normln"/>
    <w:uiPriority w:val="99"/>
    <w:unhideWhenUsed/>
    <w:rsid w:val="0094191B"/>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0E0772"/>
    <w:rPr>
      <w:color w:val="800080" w:themeColor="followedHyperlink"/>
      <w:u w:val="single"/>
    </w:rPr>
  </w:style>
  <w:style w:type="paragraph" w:customStyle="1" w:styleId="Default">
    <w:name w:val="Default"/>
    <w:rsid w:val="009F0B87"/>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B608F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B608FE"/>
    <w:rPr>
      <w:rFonts w:ascii="Arial" w:eastAsia="Times New Roman" w:hAnsi="Arial"/>
      <w:lang w:eastAsia="cs-CZ"/>
    </w:rPr>
  </w:style>
  <w:style w:type="character" w:styleId="Odkaznakoment">
    <w:name w:val="annotation reference"/>
    <w:basedOn w:val="Standardnpsmoodstavce"/>
    <w:uiPriority w:val="99"/>
    <w:semiHidden/>
    <w:unhideWhenUsed/>
    <w:rsid w:val="00C577E3"/>
    <w:rPr>
      <w:sz w:val="16"/>
      <w:szCs w:val="16"/>
    </w:rPr>
  </w:style>
  <w:style w:type="paragraph" w:styleId="Textkomente">
    <w:name w:val="annotation text"/>
    <w:basedOn w:val="Normln"/>
    <w:link w:val="TextkomenteChar"/>
    <w:uiPriority w:val="99"/>
    <w:unhideWhenUsed/>
    <w:rsid w:val="00C577E3"/>
    <w:pPr>
      <w:spacing w:line="240" w:lineRule="auto"/>
    </w:pPr>
    <w:rPr>
      <w:szCs w:val="20"/>
    </w:rPr>
  </w:style>
  <w:style w:type="character" w:customStyle="1" w:styleId="TextkomenteChar">
    <w:name w:val="Text komentáře Char"/>
    <w:basedOn w:val="Standardnpsmoodstavce"/>
    <w:link w:val="Textkomente"/>
    <w:uiPriority w:val="99"/>
    <w:rsid w:val="00C577E3"/>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C577E3"/>
    <w:rPr>
      <w:b/>
      <w:bCs/>
    </w:rPr>
  </w:style>
  <w:style w:type="character" w:customStyle="1" w:styleId="PedmtkomenteChar">
    <w:name w:val="Předmět komentáře Char"/>
    <w:basedOn w:val="TextkomenteChar"/>
    <w:link w:val="Pedmtkomente"/>
    <w:uiPriority w:val="99"/>
    <w:semiHidden/>
    <w:rsid w:val="00C577E3"/>
    <w:rPr>
      <w:rFonts w:ascii="Arial" w:eastAsia="Times New Roman" w:hAnsi="Arial"/>
      <w:b/>
      <w:bCs/>
      <w:lang w:eastAsia="cs-CZ"/>
    </w:rPr>
  </w:style>
  <w:style w:type="paragraph" w:styleId="Revize">
    <w:name w:val="Revision"/>
    <w:hidden/>
    <w:uiPriority w:val="99"/>
    <w:semiHidden/>
    <w:rsid w:val="00B71CB0"/>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63784574">
      <w:bodyDiv w:val="1"/>
      <w:marLeft w:val="0"/>
      <w:marRight w:val="0"/>
      <w:marTop w:val="0"/>
      <w:marBottom w:val="0"/>
      <w:divBdr>
        <w:top w:val="none" w:sz="0" w:space="0" w:color="auto"/>
        <w:left w:val="none" w:sz="0" w:space="0" w:color="auto"/>
        <w:bottom w:val="none" w:sz="0" w:space="0" w:color="auto"/>
        <w:right w:val="none" w:sz="0" w:space="0" w:color="auto"/>
      </w:divBdr>
    </w:div>
    <w:div w:id="164168761">
      <w:bodyDiv w:val="1"/>
      <w:marLeft w:val="0"/>
      <w:marRight w:val="0"/>
      <w:marTop w:val="0"/>
      <w:marBottom w:val="0"/>
      <w:divBdr>
        <w:top w:val="none" w:sz="0" w:space="0" w:color="auto"/>
        <w:left w:val="none" w:sz="0" w:space="0" w:color="auto"/>
        <w:bottom w:val="none" w:sz="0" w:space="0" w:color="auto"/>
        <w:right w:val="none" w:sz="0" w:space="0" w:color="auto"/>
      </w:divBdr>
    </w:div>
    <w:div w:id="187254731">
      <w:bodyDiv w:val="1"/>
      <w:marLeft w:val="0"/>
      <w:marRight w:val="0"/>
      <w:marTop w:val="0"/>
      <w:marBottom w:val="0"/>
      <w:divBdr>
        <w:top w:val="none" w:sz="0" w:space="0" w:color="auto"/>
        <w:left w:val="none" w:sz="0" w:space="0" w:color="auto"/>
        <w:bottom w:val="none" w:sz="0" w:space="0" w:color="auto"/>
        <w:right w:val="none" w:sz="0" w:space="0" w:color="auto"/>
      </w:divBdr>
    </w:div>
    <w:div w:id="194389796">
      <w:bodyDiv w:val="1"/>
      <w:marLeft w:val="0"/>
      <w:marRight w:val="0"/>
      <w:marTop w:val="0"/>
      <w:marBottom w:val="0"/>
      <w:divBdr>
        <w:top w:val="none" w:sz="0" w:space="0" w:color="auto"/>
        <w:left w:val="none" w:sz="0" w:space="0" w:color="auto"/>
        <w:bottom w:val="none" w:sz="0" w:space="0" w:color="auto"/>
        <w:right w:val="none" w:sz="0" w:space="0" w:color="auto"/>
      </w:divBdr>
    </w:div>
    <w:div w:id="200362332">
      <w:bodyDiv w:val="1"/>
      <w:marLeft w:val="0"/>
      <w:marRight w:val="0"/>
      <w:marTop w:val="0"/>
      <w:marBottom w:val="0"/>
      <w:divBdr>
        <w:top w:val="none" w:sz="0" w:space="0" w:color="auto"/>
        <w:left w:val="none" w:sz="0" w:space="0" w:color="auto"/>
        <w:bottom w:val="none" w:sz="0" w:space="0" w:color="auto"/>
        <w:right w:val="none" w:sz="0" w:space="0" w:color="auto"/>
      </w:divBdr>
    </w:div>
    <w:div w:id="211164063">
      <w:bodyDiv w:val="1"/>
      <w:marLeft w:val="0"/>
      <w:marRight w:val="0"/>
      <w:marTop w:val="0"/>
      <w:marBottom w:val="0"/>
      <w:divBdr>
        <w:top w:val="none" w:sz="0" w:space="0" w:color="auto"/>
        <w:left w:val="none" w:sz="0" w:space="0" w:color="auto"/>
        <w:bottom w:val="none" w:sz="0" w:space="0" w:color="auto"/>
        <w:right w:val="none" w:sz="0" w:space="0" w:color="auto"/>
      </w:divBdr>
    </w:div>
    <w:div w:id="241523051">
      <w:bodyDiv w:val="1"/>
      <w:marLeft w:val="0"/>
      <w:marRight w:val="0"/>
      <w:marTop w:val="0"/>
      <w:marBottom w:val="0"/>
      <w:divBdr>
        <w:top w:val="none" w:sz="0" w:space="0" w:color="auto"/>
        <w:left w:val="none" w:sz="0" w:space="0" w:color="auto"/>
        <w:bottom w:val="none" w:sz="0" w:space="0" w:color="auto"/>
        <w:right w:val="none" w:sz="0" w:space="0" w:color="auto"/>
      </w:divBdr>
    </w:div>
    <w:div w:id="253560311">
      <w:bodyDiv w:val="1"/>
      <w:marLeft w:val="0"/>
      <w:marRight w:val="0"/>
      <w:marTop w:val="0"/>
      <w:marBottom w:val="0"/>
      <w:divBdr>
        <w:top w:val="none" w:sz="0" w:space="0" w:color="auto"/>
        <w:left w:val="none" w:sz="0" w:space="0" w:color="auto"/>
        <w:bottom w:val="none" w:sz="0" w:space="0" w:color="auto"/>
        <w:right w:val="none" w:sz="0" w:space="0" w:color="auto"/>
      </w:divBdr>
    </w:div>
    <w:div w:id="258635098">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8606557">
      <w:bodyDiv w:val="1"/>
      <w:marLeft w:val="0"/>
      <w:marRight w:val="0"/>
      <w:marTop w:val="0"/>
      <w:marBottom w:val="0"/>
      <w:divBdr>
        <w:top w:val="none" w:sz="0" w:space="0" w:color="auto"/>
        <w:left w:val="none" w:sz="0" w:space="0" w:color="auto"/>
        <w:bottom w:val="none" w:sz="0" w:space="0" w:color="auto"/>
        <w:right w:val="none" w:sz="0" w:space="0" w:color="auto"/>
      </w:divBdr>
    </w:div>
    <w:div w:id="320161535">
      <w:bodyDiv w:val="1"/>
      <w:marLeft w:val="0"/>
      <w:marRight w:val="0"/>
      <w:marTop w:val="0"/>
      <w:marBottom w:val="0"/>
      <w:divBdr>
        <w:top w:val="none" w:sz="0" w:space="0" w:color="auto"/>
        <w:left w:val="none" w:sz="0" w:space="0" w:color="auto"/>
        <w:bottom w:val="none" w:sz="0" w:space="0" w:color="auto"/>
        <w:right w:val="none" w:sz="0" w:space="0" w:color="auto"/>
      </w:divBdr>
    </w:div>
    <w:div w:id="370963889">
      <w:bodyDiv w:val="1"/>
      <w:marLeft w:val="0"/>
      <w:marRight w:val="0"/>
      <w:marTop w:val="0"/>
      <w:marBottom w:val="0"/>
      <w:divBdr>
        <w:top w:val="none" w:sz="0" w:space="0" w:color="auto"/>
        <w:left w:val="none" w:sz="0" w:space="0" w:color="auto"/>
        <w:bottom w:val="none" w:sz="0" w:space="0" w:color="auto"/>
        <w:right w:val="none" w:sz="0" w:space="0" w:color="auto"/>
      </w:divBdr>
    </w:div>
    <w:div w:id="378943592">
      <w:bodyDiv w:val="1"/>
      <w:marLeft w:val="0"/>
      <w:marRight w:val="0"/>
      <w:marTop w:val="0"/>
      <w:marBottom w:val="0"/>
      <w:divBdr>
        <w:top w:val="none" w:sz="0" w:space="0" w:color="auto"/>
        <w:left w:val="none" w:sz="0" w:space="0" w:color="auto"/>
        <w:bottom w:val="none" w:sz="0" w:space="0" w:color="auto"/>
        <w:right w:val="none" w:sz="0" w:space="0" w:color="auto"/>
      </w:divBdr>
    </w:div>
    <w:div w:id="380594209">
      <w:bodyDiv w:val="1"/>
      <w:marLeft w:val="0"/>
      <w:marRight w:val="0"/>
      <w:marTop w:val="0"/>
      <w:marBottom w:val="0"/>
      <w:divBdr>
        <w:top w:val="none" w:sz="0" w:space="0" w:color="auto"/>
        <w:left w:val="none" w:sz="0" w:space="0" w:color="auto"/>
        <w:bottom w:val="none" w:sz="0" w:space="0" w:color="auto"/>
        <w:right w:val="none" w:sz="0" w:space="0" w:color="auto"/>
      </w:divBdr>
    </w:div>
    <w:div w:id="382171386">
      <w:bodyDiv w:val="1"/>
      <w:marLeft w:val="0"/>
      <w:marRight w:val="0"/>
      <w:marTop w:val="0"/>
      <w:marBottom w:val="0"/>
      <w:divBdr>
        <w:top w:val="none" w:sz="0" w:space="0" w:color="auto"/>
        <w:left w:val="none" w:sz="0" w:space="0" w:color="auto"/>
        <w:bottom w:val="none" w:sz="0" w:space="0" w:color="auto"/>
        <w:right w:val="none" w:sz="0" w:space="0" w:color="auto"/>
      </w:divBdr>
    </w:div>
    <w:div w:id="384379654">
      <w:bodyDiv w:val="1"/>
      <w:marLeft w:val="0"/>
      <w:marRight w:val="0"/>
      <w:marTop w:val="0"/>
      <w:marBottom w:val="0"/>
      <w:divBdr>
        <w:top w:val="none" w:sz="0" w:space="0" w:color="auto"/>
        <w:left w:val="none" w:sz="0" w:space="0" w:color="auto"/>
        <w:bottom w:val="none" w:sz="0" w:space="0" w:color="auto"/>
        <w:right w:val="none" w:sz="0" w:space="0" w:color="auto"/>
      </w:divBdr>
    </w:div>
    <w:div w:id="444927692">
      <w:bodyDiv w:val="1"/>
      <w:marLeft w:val="0"/>
      <w:marRight w:val="0"/>
      <w:marTop w:val="0"/>
      <w:marBottom w:val="0"/>
      <w:divBdr>
        <w:top w:val="none" w:sz="0" w:space="0" w:color="auto"/>
        <w:left w:val="none" w:sz="0" w:space="0" w:color="auto"/>
        <w:bottom w:val="none" w:sz="0" w:space="0" w:color="auto"/>
        <w:right w:val="none" w:sz="0" w:space="0" w:color="auto"/>
      </w:divBdr>
    </w:div>
    <w:div w:id="486241481">
      <w:bodyDiv w:val="1"/>
      <w:marLeft w:val="0"/>
      <w:marRight w:val="0"/>
      <w:marTop w:val="0"/>
      <w:marBottom w:val="0"/>
      <w:divBdr>
        <w:top w:val="none" w:sz="0" w:space="0" w:color="auto"/>
        <w:left w:val="none" w:sz="0" w:space="0" w:color="auto"/>
        <w:bottom w:val="none" w:sz="0" w:space="0" w:color="auto"/>
        <w:right w:val="none" w:sz="0" w:space="0" w:color="auto"/>
      </w:divBdr>
    </w:div>
    <w:div w:id="488714704">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9567291">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1356388">
      <w:bodyDiv w:val="1"/>
      <w:marLeft w:val="0"/>
      <w:marRight w:val="0"/>
      <w:marTop w:val="0"/>
      <w:marBottom w:val="0"/>
      <w:divBdr>
        <w:top w:val="none" w:sz="0" w:space="0" w:color="auto"/>
        <w:left w:val="none" w:sz="0" w:space="0" w:color="auto"/>
        <w:bottom w:val="none" w:sz="0" w:space="0" w:color="auto"/>
        <w:right w:val="none" w:sz="0" w:space="0" w:color="auto"/>
      </w:divBdr>
    </w:div>
    <w:div w:id="560288014">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2848144">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811364481">
      <w:bodyDiv w:val="1"/>
      <w:marLeft w:val="0"/>
      <w:marRight w:val="0"/>
      <w:marTop w:val="0"/>
      <w:marBottom w:val="0"/>
      <w:divBdr>
        <w:top w:val="none" w:sz="0" w:space="0" w:color="auto"/>
        <w:left w:val="none" w:sz="0" w:space="0" w:color="auto"/>
        <w:bottom w:val="none" w:sz="0" w:space="0" w:color="auto"/>
        <w:right w:val="none" w:sz="0" w:space="0" w:color="auto"/>
      </w:divBdr>
    </w:div>
    <w:div w:id="820735585">
      <w:bodyDiv w:val="1"/>
      <w:marLeft w:val="0"/>
      <w:marRight w:val="0"/>
      <w:marTop w:val="0"/>
      <w:marBottom w:val="0"/>
      <w:divBdr>
        <w:top w:val="none" w:sz="0" w:space="0" w:color="auto"/>
        <w:left w:val="none" w:sz="0" w:space="0" w:color="auto"/>
        <w:bottom w:val="none" w:sz="0" w:space="0" w:color="auto"/>
        <w:right w:val="none" w:sz="0" w:space="0" w:color="auto"/>
      </w:divBdr>
    </w:div>
    <w:div w:id="831411748">
      <w:bodyDiv w:val="1"/>
      <w:marLeft w:val="0"/>
      <w:marRight w:val="0"/>
      <w:marTop w:val="0"/>
      <w:marBottom w:val="0"/>
      <w:divBdr>
        <w:top w:val="none" w:sz="0" w:space="0" w:color="auto"/>
        <w:left w:val="none" w:sz="0" w:space="0" w:color="auto"/>
        <w:bottom w:val="none" w:sz="0" w:space="0" w:color="auto"/>
        <w:right w:val="none" w:sz="0" w:space="0" w:color="auto"/>
      </w:divBdr>
    </w:div>
    <w:div w:id="876547636">
      <w:bodyDiv w:val="1"/>
      <w:marLeft w:val="0"/>
      <w:marRight w:val="0"/>
      <w:marTop w:val="0"/>
      <w:marBottom w:val="0"/>
      <w:divBdr>
        <w:top w:val="none" w:sz="0" w:space="0" w:color="auto"/>
        <w:left w:val="none" w:sz="0" w:space="0" w:color="auto"/>
        <w:bottom w:val="none" w:sz="0" w:space="0" w:color="auto"/>
        <w:right w:val="none" w:sz="0" w:space="0" w:color="auto"/>
      </w:divBdr>
    </w:div>
    <w:div w:id="951015170">
      <w:bodyDiv w:val="1"/>
      <w:marLeft w:val="0"/>
      <w:marRight w:val="0"/>
      <w:marTop w:val="0"/>
      <w:marBottom w:val="0"/>
      <w:divBdr>
        <w:top w:val="none" w:sz="0" w:space="0" w:color="auto"/>
        <w:left w:val="none" w:sz="0" w:space="0" w:color="auto"/>
        <w:bottom w:val="none" w:sz="0" w:space="0" w:color="auto"/>
        <w:right w:val="none" w:sz="0" w:space="0" w:color="auto"/>
      </w:divBdr>
    </w:div>
    <w:div w:id="987176036">
      <w:bodyDiv w:val="1"/>
      <w:marLeft w:val="0"/>
      <w:marRight w:val="0"/>
      <w:marTop w:val="0"/>
      <w:marBottom w:val="0"/>
      <w:divBdr>
        <w:top w:val="none" w:sz="0" w:space="0" w:color="auto"/>
        <w:left w:val="none" w:sz="0" w:space="0" w:color="auto"/>
        <w:bottom w:val="none" w:sz="0" w:space="0" w:color="auto"/>
        <w:right w:val="none" w:sz="0" w:space="0" w:color="auto"/>
      </w:divBdr>
    </w:div>
    <w:div w:id="994381262">
      <w:bodyDiv w:val="1"/>
      <w:marLeft w:val="0"/>
      <w:marRight w:val="0"/>
      <w:marTop w:val="0"/>
      <w:marBottom w:val="0"/>
      <w:divBdr>
        <w:top w:val="none" w:sz="0" w:space="0" w:color="auto"/>
        <w:left w:val="none" w:sz="0" w:space="0" w:color="auto"/>
        <w:bottom w:val="none" w:sz="0" w:space="0" w:color="auto"/>
        <w:right w:val="none" w:sz="0" w:space="0" w:color="auto"/>
      </w:divBdr>
    </w:div>
    <w:div w:id="999040803">
      <w:bodyDiv w:val="1"/>
      <w:marLeft w:val="0"/>
      <w:marRight w:val="0"/>
      <w:marTop w:val="0"/>
      <w:marBottom w:val="0"/>
      <w:divBdr>
        <w:top w:val="none" w:sz="0" w:space="0" w:color="auto"/>
        <w:left w:val="none" w:sz="0" w:space="0" w:color="auto"/>
        <w:bottom w:val="none" w:sz="0" w:space="0" w:color="auto"/>
        <w:right w:val="none" w:sz="0" w:space="0" w:color="auto"/>
      </w:divBdr>
    </w:div>
    <w:div w:id="999651021">
      <w:bodyDiv w:val="1"/>
      <w:marLeft w:val="0"/>
      <w:marRight w:val="0"/>
      <w:marTop w:val="0"/>
      <w:marBottom w:val="0"/>
      <w:divBdr>
        <w:top w:val="none" w:sz="0" w:space="0" w:color="auto"/>
        <w:left w:val="none" w:sz="0" w:space="0" w:color="auto"/>
        <w:bottom w:val="none" w:sz="0" w:space="0" w:color="auto"/>
        <w:right w:val="none" w:sz="0" w:space="0" w:color="auto"/>
      </w:divBdr>
    </w:div>
    <w:div w:id="1031145681">
      <w:bodyDiv w:val="1"/>
      <w:marLeft w:val="0"/>
      <w:marRight w:val="0"/>
      <w:marTop w:val="0"/>
      <w:marBottom w:val="0"/>
      <w:divBdr>
        <w:top w:val="none" w:sz="0" w:space="0" w:color="auto"/>
        <w:left w:val="none" w:sz="0" w:space="0" w:color="auto"/>
        <w:bottom w:val="none" w:sz="0" w:space="0" w:color="auto"/>
        <w:right w:val="none" w:sz="0" w:space="0" w:color="auto"/>
      </w:divBdr>
    </w:div>
    <w:div w:id="1097210496">
      <w:bodyDiv w:val="1"/>
      <w:marLeft w:val="0"/>
      <w:marRight w:val="0"/>
      <w:marTop w:val="0"/>
      <w:marBottom w:val="0"/>
      <w:divBdr>
        <w:top w:val="none" w:sz="0" w:space="0" w:color="auto"/>
        <w:left w:val="none" w:sz="0" w:space="0" w:color="auto"/>
        <w:bottom w:val="none" w:sz="0" w:space="0" w:color="auto"/>
        <w:right w:val="none" w:sz="0" w:space="0" w:color="auto"/>
      </w:divBdr>
    </w:div>
    <w:div w:id="1101334648">
      <w:bodyDiv w:val="1"/>
      <w:marLeft w:val="0"/>
      <w:marRight w:val="0"/>
      <w:marTop w:val="0"/>
      <w:marBottom w:val="0"/>
      <w:divBdr>
        <w:top w:val="none" w:sz="0" w:space="0" w:color="auto"/>
        <w:left w:val="none" w:sz="0" w:space="0" w:color="auto"/>
        <w:bottom w:val="none" w:sz="0" w:space="0" w:color="auto"/>
        <w:right w:val="none" w:sz="0" w:space="0" w:color="auto"/>
      </w:divBdr>
    </w:div>
    <w:div w:id="1112943759">
      <w:bodyDiv w:val="1"/>
      <w:marLeft w:val="0"/>
      <w:marRight w:val="0"/>
      <w:marTop w:val="0"/>
      <w:marBottom w:val="0"/>
      <w:divBdr>
        <w:top w:val="none" w:sz="0" w:space="0" w:color="auto"/>
        <w:left w:val="none" w:sz="0" w:space="0" w:color="auto"/>
        <w:bottom w:val="none" w:sz="0" w:space="0" w:color="auto"/>
        <w:right w:val="none" w:sz="0" w:space="0" w:color="auto"/>
      </w:divBdr>
    </w:div>
    <w:div w:id="1138766779">
      <w:bodyDiv w:val="1"/>
      <w:marLeft w:val="0"/>
      <w:marRight w:val="0"/>
      <w:marTop w:val="0"/>
      <w:marBottom w:val="0"/>
      <w:divBdr>
        <w:top w:val="none" w:sz="0" w:space="0" w:color="auto"/>
        <w:left w:val="none" w:sz="0" w:space="0" w:color="auto"/>
        <w:bottom w:val="none" w:sz="0" w:space="0" w:color="auto"/>
        <w:right w:val="none" w:sz="0" w:space="0" w:color="auto"/>
      </w:divBdr>
    </w:div>
    <w:div w:id="1164587982">
      <w:bodyDiv w:val="1"/>
      <w:marLeft w:val="0"/>
      <w:marRight w:val="0"/>
      <w:marTop w:val="0"/>
      <w:marBottom w:val="0"/>
      <w:divBdr>
        <w:top w:val="none" w:sz="0" w:space="0" w:color="auto"/>
        <w:left w:val="none" w:sz="0" w:space="0" w:color="auto"/>
        <w:bottom w:val="none" w:sz="0" w:space="0" w:color="auto"/>
        <w:right w:val="none" w:sz="0" w:space="0" w:color="auto"/>
      </w:divBdr>
    </w:div>
    <w:div w:id="1177228853">
      <w:bodyDiv w:val="1"/>
      <w:marLeft w:val="0"/>
      <w:marRight w:val="0"/>
      <w:marTop w:val="0"/>
      <w:marBottom w:val="0"/>
      <w:divBdr>
        <w:top w:val="none" w:sz="0" w:space="0" w:color="auto"/>
        <w:left w:val="none" w:sz="0" w:space="0" w:color="auto"/>
        <w:bottom w:val="none" w:sz="0" w:space="0" w:color="auto"/>
        <w:right w:val="none" w:sz="0" w:space="0" w:color="auto"/>
      </w:divBdr>
    </w:div>
    <w:div w:id="1192185585">
      <w:bodyDiv w:val="1"/>
      <w:marLeft w:val="0"/>
      <w:marRight w:val="0"/>
      <w:marTop w:val="0"/>
      <w:marBottom w:val="0"/>
      <w:divBdr>
        <w:top w:val="none" w:sz="0" w:space="0" w:color="auto"/>
        <w:left w:val="none" w:sz="0" w:space="0" w:color="auto"/>
        <w:bottom w:val="none" w:sz="0" w:space="0" w:color="auto"/>
        <w:right w:val="none" w:sz="0" w:space="0" w:color="auto"/>
      </w:divBdr>
    </w:div>
    <w:div w:id="1197309826">
      <w:bodyDiv w:val="1"/>
      <w:marLeft w:val="0"/>
      <w:marRight w:val="0"/>
      <w:marTop w:val="0"/>
      <w:marBottom w:val="0"/>
      <w:divBdr>
        <w:top w:val="none" w:sz="0" w:space="0" w:color="auto"/>
        <w:left w:val="none" w:sz="0" w:space="0" w:color="auto"/>
        <w:bottom w:val="none" w:sz="0" w:space="0" w:color="auto"/>
        <w:right w:val="none" w:sz="0" w:space="0" w:color="auto"/>
      </w:divBdr>
    </w:div>
    <w:div w:id="1200317508">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4080227">
      <w:bodyDiv w:val="1"/>
      <w:marLeft w:val="0"/>
      <w:marRight w:val="0"/>
      <w:marTop w:val="0"/>
      <w:marBottom w:val="0"/>
      <w:divBdr>
        <w:top w:val="none" w:sz="0" w:space="0" w:color="auto"/>
        <w:left w:val="none" w:sz="0" w:space="0" w:color="auto"/>
        <w:bottom w:val="none" w:sz="0" w:space="0" w:color="auto"/>
        <w:right w:val="none" w:sz="0" w:space="0" w:color="auto"/>
      </w:divBdr>
    </w:div>
    <w:div w:id="1221096843">
      <w:bodyDiv w:val="1"/>
      <w:marLeft w:val="0"/>
      <w:marRight w:val="0"/>
      <w:marTop w:val="0"/>
      <w:marBottom w:val="0"/>
      <w:divBdr>
        <w:top w:val="none" w:sz="0" w:space="0" w:color="auto"/>
        <w:left w:val="none" w:sz="0" w:space="0" w:color="auto"/>
        <w:bottom w:val="none" w:sz="0" w:space="0" w:color="auto"/>
        <w:right w:val="none" w:sz="0" w:space="0" w:color="auto"/>
      </w:divBdr>
    </w:div>
    <w:div w:id="1273172406">
      <w:bodyDiv w:val="1"/>
      <w:marLeft w:val="0"/>
      <w:marRight w:val="0"/>
      <w:marTop w:val="0"/>
      <w:marBottom w:val="0"/>
      <w:divBdr>
        <w:top w:val="none" w:sz="0" w:space="0" w:color="auto"/>
        <w:left w:val="none" w:sz="0" w:space="0" w:color="auto"/>
        <w:bottom w:val="none" w:sz="0" w:space="0" w:color="auto"/>
        <w:right w:val="none" w:sz="0" w:space="0" w:color="auto"/>
      </w:divBdr>
    </w:div>
    <w:div w:id="1286547837">
      <w:bodyDiv w:val="1"/>
      <w:marLeft w:val="0"/>
      <w:marRight w:val="0"/>
      <w:marTop w:val="0"/>
      <w:marBottom w:val="0"/>
      <w:divBdr>
        <w:top w:val="none" w:sz="0" w:space="0" w:color="auto"/>
        <w:left w:val="none" w:sz="0" w:space="0" w:color="auto"/>
        <w:bottom w:val="none" w:sz="0" w:space="0" w:color="auto"/>
        <w:right w:val="none" w:sz="0" w:space="0" w:color="auto"/>
      </w:divBdr>
    </w:div>
    <w:div w:id="1292134449">
      <w:bodyDiv w:val="1"/>
      <w:marLeft w:val="0"/>
      <w:marRight w:val="0"/>
      <w:marTop w:val="0"/>
      <w:marBottom w:val="0"/>
      <w:divBdr>
        <w:top w:val="none" w:sz="0" w:space="0" w:color="auto"/>
        <w:left w:val="none" w:sz="0" w:space="0" w:color="auto"/>
        <w:bottom w:val="none" w:sz="0" w:space="0" w:color="auto"/>
        <w:right w:val="none" w:sz="0" w:space="0" w:color="auto"/>
      </w:divBdr>
    </w:div>
    <w:div w:id="1295715576">
      <w:bodyDiv w:val="1"/>
      <w:marLeft w:val="0"/>
      <w:marRight w:val="0"/>
      <w:marTop w:val="0"/>
      <w:marBottom w:val="0"/>
      <w:divBdr>
        <w:top w:val="none" w:sz="0" w:space="0" w:color="auto"/>
        <w:left w:val="none" w:sz="0" w:space="0" w:color="auto"/>
        <w:bottom w:val="none" w:sz="0" w:space="0" w:color="auto"/>
        <w:right w:val="none" w:sz="0" w:space="0" w:color="auto"/>
      </w:divBdr>
    </w:div>
    <w:div w:id="1350133187">
      <w:bodyDiv w:val="1"/>
      <w:marLeft w:val="0"/>
      <w:marRight w:val="0"/>
      <w:marTop w:val="0"/>
      <w:marBottom w:val="0"/>
      <w:divBdr>
        <w:top w:val="none" w:sz="0" w:space="0" w:color="auto"/>
        <w:left w:val="none" w:sz="0" w:space="0" w:color="auto"/>
        <w:bottom w:val="none" w:sz="0" w:space="0" w:color="auto"/>
        <w:right w:val="none" w:sz="0" w:space="0" w:color="auto"/>
      </w:divBdr>
    </w:div>
    <w:div w:id="136520529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44500963">
      <w:bodyDiv w:val="1"/>
      <w:marLeft w:val="0"/>
      <w:marRight w:val="0"/>
      <w:marTop w:val="0"/>
      <w:marBottom w:val="0"/>
      <w:divBdr>
        <w:top w:val="none" w:sz="0" w:space="0" w:color="auto"/>
        <w:left w:val="none" w:sz="0" w:space="0" w:color="auto"/>
        <w:bottom w:val="none" w:sz="0" w:space="0" w:color="auto"/>
        <w:right w:val="none" w:sz="0" w:space="0" w:color="auto"/>
      </w:divBdr>
    </w:div>
    <w:div w:id="1457791053">
      <w:bodyDiv w:val="1"/>
      <w:marLeft w:val="0"/>
      <w:marRight w:val="0"/>
      <w:marTop w:val="0"/>
      <w:marBottom w:val="0"/>
      <w:divBdr>
        <w:top w:val="none" w:sz="0" w:space="0" w:color="auto"/>
        <w:left w:val="none" w:sz="0" w:space="0" w:color="auto"/>
        <w:bottom w:val="none" w:sz="0" w:space="0" w:color="auto"/>
        <w:right w:val="none" w:sz="0" w:space="0" w:color="auto"/>
      </w:divBdr>
    </w:div>
    <w:div w:id="1458794530">
      <w:bodyDiv w:val="1"/>
      <w:marLeft w:val="0"/>
      <w:marRight w:val="0"/>
      <w:marTop w:val="0"/>
      <w:marBottom w:val="0"/>
      <w:divBdr>
        <w:top w:val="none" w:sz="0" w:space="0" w:color="auto"/>
        <w:left w:val="none" w:sz="0" w:space="0" w:color="auto"/>
        <w:bottom w:val="none" w:sz="0" w:space="0" w:color="auto"/>
        <w:right w:val="none" w:sz="0" w:space="0" w:color="auto"/>
      </w:divBdr>
    </w:div>
    <w:div w:id="1474786422">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7598354">
      <w:bodyDiv w:val="1"/>
      <w:marLeft w:val="0"/>
      <w:marRight w:val="0"/>
      <w:marTop w:val="0"/>
      <w:marBottom w:val="0"/>
      <w:divBdr>
        <w:top w:val="none" w:sz="0" w:space="0" w:color="auto"/>
        <w:left w:val="none" w:sz="0" w:space="0" w:color="auto"/>
        <w:bottom w:val="none" w:sz="0" w:space="0" w:color="auto"/>
        <w:right w:val="none" w:sz="0" w:space="0" w:color="auto"/>
      </w:divBdr>
    </w:div>
    <w:div w:id="1511480554">
      <w:bodyDiv w:val="1"/>
      <w:marLeft w:val="0"/>
      <w:marRight w:val="0"/>
      <w:marTop w:val="0"/>
      <w:marBottom w:val="0"/>
      <w:divBdr>
        <w:top w:val="none" w:sz="0" w:space="0" w:color="auto"/>
        <w:left w:val="none" w:sz="0" w:space="0" w:color="auto"/>
        <w:bottom w:val="none" w:sz="0" w:space="0" w:color="auto"/>
        <w:right w:val="none" w:sz="0" w:space="0" w:color="auto"/>
      </w:divBdr>
    </w:div>
    <w:div w:id="1529102467">
      <w:bodyDiv w:val="1"/>
      <w:marLeft w:val="0"/>
      <w:marRight w:val="0"/>
      <w:marTop w:val="0"/>
      <w:marBottom w:val="0"/>
      <w:divBdr>
        <w:top w:val="none" w:sz="0" w:space="0" w:color="auto"/>
        <w:left w:val="none" w:sz="0" w:space="0" w:color="auto"/>
        <w:bottom w:val="none" w:sz="0" w:space="0" w:color="auto"/>
        <w:right w:val="none" w:sz="0" w:space="0" w:color="auto"/>
      </w:divBdr>
    </w:div>
    <w:div w:id="1574117382">
      <w:bodyDiv w:val="1"/>
      <w:marLeft w:val="0"/>
      <w:marRight w:val="0"/>
      <w:marTop w:val="0"/>
      <w:marBottom w:val="0"/>
      <w:divBdr>
        <w:top w:val="none" w:sz="0" w:space="0" w:color="auto"/>
        <w:left w:val="none" w:sz="0" w:space="0" w:color="auto"/>
        <w:bottom w:val="none" w:sz="0" w:space="0" w:color="auto"/>
        <w:right w:val="none" w:sz="0" w:space="0" w:color="auto"/>
      </w:divBdr>
    </w:div>
    <w:div w:id="1585650562">
      <w:bodyDiv w:val="1"/>
      <w:marLeft w:val="0"/>
      <w:marRight w:val="0"/>
      <w:marTop w:val="0"/>
      <w:marBottom w:val="0"/>
      <w:divBdr>
        <w:top w:val="none" w:sz="0" w:space="0" w:color="auto"/>
        <w:left w:val="none" w:sz="0" w:space="0" w:color="auto"/>
        <w:bottom w:val="none" w:sz="0" w:space="0" w:color="auto"/>
        <w:right w:val="none" w:sz="0" w:space="0" w:color="auto"/>
      </w:divBdr>
    </w:div>
    <w:div w:id="1595016659">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39409536">
      <w:bodyDiv w:val="1"/>
      <w:marLeft w:val="0"/>
      <w:marRight w:val="0"/>
      <w:marTop w:val="0"/>
      <w:marBottom w:val="0"/>
      <w:divBdr>
        <w:top w:val="none" w:sz="0" w:space="0" w:color="auto"/>
        <w:left w:val="none" w:sz="0" w:space="0" w:color="auto"/>
        <w:bottom w:val="none" w:sz="0" w:space="0" w:color="auto"/>
        <w:right w:val="none" w:sz="0" w:space="0" w:color="auto"/>
      </w:divBdr>
    </w:div>
    <w:div w:id="1707679545">
      <w:bodyDiv w:val="1"/>
      <w:marLeft w:val="0"/>
      <w:marRight w:val="0"/>
      <w:marTop w:val="0"/>
      <w:marBottom w:val="0"/>
      <w:divBdr>
        <w:top w:val="none" w:sz="0" w:space="0" w:color="auto"/>
        <w:left w:val="none" w:sz="0" w:space="0" w:color="auto"/>
        <w:bottom w:val="none" w:sz="0" w:space="0" w:color="auto"/>
        <w:right w:val="none" w:sz="0" w:space="0" w:color="auto"/>
      </w:divBdr>
    </w:div>
    <w:div w:id="1744377146">
      <w:bodyDiv w:val="1"/>
      <w:marLeft w:val="0"/>
      <w:marRight w:val="0"/>
      <w:marTop w:val="0"/>
      <w:marBottom w:val="0"/>
      <w:divBdr>
        <w:top w:val="none" w:sz="0" w:space="0" w:color="auto"/>
        <w:left w:val="none" w:sz="0" w:space="0" w:color="auto"/>
        <w:bottom w:val="none" w:sz="0" w:space="0" w:color="auto"/>
        <w:right w:val="none" w:sz="0" w:space="0" w:color="auto"/>
      </w:divBdr>
    </w:div>
    <w:div w:id="1759209375">
      <w:bodyDiv w:val="1"/>
      <w:marLeft w:val="0"/>
      <w:marRight w:val="0"/>
      <w:marTop w:val="0"/>
      <w:marBottom w:val="0"/>
      <w:divBdr>
        <w:top w:val="none" w:sz="0" w:space="0" w:color="auto"/>
        <w:left w:val="none" w:sz="0" w:space="0" w:color="auto"/>
        <w:bottom w:val="none" w:sz="0" w:space="0" w:color="auto"/>
        <w:right w:val="none" w:sz="0" w:space="0" w:color="auto"/>
      </w:divBdr>
    </w:div>
    <w:div w:id="1761757049">
      <w:bodyDiv w:val="1"/>
      <w:marLeft w:val="0"/>
      <w:marRight w:val="0"/>
      <w:marTop w:val="0"/>
      <w:marBottom w:val="0"/>
      <w:divBdr>
        <w:top w:val="none" w:sz="0" w:space="0" w:color="auto"/>
        <w:left w:val="none" w:sz="0" w:space="0" w:color="auto"/>
        <w:bottom w:val="none" w:sz="0" w:space="0" w:color="auto"/>
        <w:right w:val="none" w:sz="0" w:space="0" w:color="auto"/>
      </w:divBdr>
    </w:div>
    <w:div w:id="1762674352">
      <w:bodyDiv w:val="1"/>
      <w:marLeft w:val="0"/>
      <w:marRight w:val="0"/>
      <w:marTop w:val="0"/>
      <w:marBottom w:val="0"/>
      <w:divBdr>
        <w:top w:val="none" w:sz="0" w:space="0" w:color="auto"/>
        <w:left w:val="none" w:sz="0" w:space="0" w:color="auto"/>
        <w:bottom w:val="none" w:sz="0" w:space="0" w:color="auto"/>
        <w:right w:val="none" w:sz="0" w:space="0" w:color="auto"/>
      </w:divBdr>
    </w:div>
    <w:div w:id="1799059453">
      <w:bodyDiv w:val="1"/>
      <w:marLeft w:val="0"/>
      <w:marRight w:val="0"/>
      <w:marTop w:val="0"/>
      <w:marBottom w:val="0"/>
      <w:divBdr>
        <w:top w:val="none" w:sz="0" w:space="0" w:color="auto"/>
        <w:left w:val="none" w:sz="0" w:space="0" w:color="auto"/>
        <w:bottom w:val="none" w:sz="0" w:space="0" w:color="auto"/>
        <w:right w:val="none" w:sz="0" w:space="0" w:color="auto"/>
      </w:divBdr>
    </w:div>
    <w:div w:id="1830437499">
      <w:bodyDiv w:val="1"/>
      <w:marLeft w:val="0"/>
      <w:marRight w:val="0"/>
      <w:marTop w:val="0"/>
      <w:marBottom w:val="0"/>
      <w:divBdr>
        <w:top w:val="none" w:sz="0" w:space="0" w:color="auto"/>
        <w:left w:val="none" w:sz="0" w:space="0" w:color="auto"/>
        <w:bottom w:val="none" w:sz="0" w:space="0" w:color="auto"/>
        <w:right w:val="none" w:sz="0" w:space="0" w:color="auto"/>
      </w:divBdr>
    </w:div>
    <w:div w:id="1837184548">
      <w:bodyDiv w:val="1"/>
      <w:marLeft w:val="0"/>
      <w:marRight w:val="0"/>
      <w:marTop w:val="0"/>
      <w:marBottom w:val="0"/>
      <w:divBdr>
        <w:top w:val="none" w:sz="0" w:space="0" w:color="auto"/>
        <w:left w:val="none" w:sz="0" w:space="0" w:color="auto"/>
        <w:bottom w:val="none" w:sz="0" w:space="0" w:color="auto"/>
        <w:right w:val="none" w:sz="0" w:space="0" w:color="auto"/>
      </w:divBdr>
    </w:div>
    <w:div w:id="188640249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5046911">
      <w:bodyDiv w:val="1"/>
      <w:marLeft w:val="0"/>
      <w:marRight w:val="0"/>
      <w:marTop w:val="0"/>
      <w:marBottom w:val="0"/>
      <w:divBdr>
        <w:top w:val="none" w:sz="0" w:space="0" w:color="auto"/>
        <w:left w:val="none" w:sz="0" w:space="0" w:color="auto"/>
        <w:bottom w:val="none" w:sz="0" w:space="0" w:color="auto"/>
        <w:right w:val="none" w:sz="0" w:space="0" w:color="auto"/>
      </w:divBdr>
    </w:div>
    <w:div w:id="1909340369">
      <w:bodyDiv w:val="1"/>
      <w:marLeft w:val="0"/>
      <w:marRight w:val="0"/>
      <w:marTop w:val="0"/>
      <w:marBottom w:val="0"/>
      <w:divBdr>
        <w:top w:val="none" w:sz="0" w:space="0" w:color="auto"/>
        <w:left w:val="none" w:sz="0" w:space="0" w:color="auto"/>
        <w:bottom w:val="none" w:sz="0" w:space="0" w:color="auto"/>
        <w:right w:val="none" w:sz="0" w:space="0" w:color="auto"/>
      </w:divBdr>
    </w:div>
    <w:div w:id="1943872845">
      <w:bodyDiv w:val="1"/>
      <w:marLeft w:val="0"/>
      <w:marRight w:val="0"/>
      <w:marTop w:val="0"/>
      <w:marBottom w:val="0"/>
      <w:divBdr>
        <w:top w:val="none" w:sz="0" w:space="0" w:color="auto"/>
        <w:left w:val="none" w:sz="0" w:space="0" w:color="auto"/>
        <w:bottom w:val="none" w:sz="0" w:space="0" w:color="auto"/>
        <w:right w:val="none" w:sz="0" w:space="0" w:color="auto"/>
      </w:divBdr>
    </w:div>
    <w:div w:id="1961102858">
      <w:bodyDiv w:val="1"/>
      <w:marLeft w:val="0"/>
      <w:marRight w:val="0"/>
      <w:marTop w:val="0"/>
      <w:marBottom w:val="0"/>
      <w:divBdr>
        <w:top w:val="none" w:sz="0" w:space="0" w:color="auto"/>
        <w:left w:val="none" w:sz="0" w:space="0" w:color="auto"/>
        <w:bottom w:val="none" w:sz="0" w:space="0" w:color="auto"/>
        <w:right w:val="none" w:sz="0" w:space="0" w:color="auto"/>
      </w:divBdr>
    </w:div>
    <w:div w:id="2049333105">
      <w:bodyDiv w:val="1"/>
      <w:marLeft w:val="0"/>
      <w:marRight w:val="0"/>
      <w:marTop w:val="0"/>
      <w:marBottom w:val="0"/>
      <w:divBdr>
        <w:top w:val="none" w:sz="0" w:space="0" w:color="auto"/>
        <w:left w:val="none" w:sz="0" w:space="0" w:color="auto"/>
        <w:bottom w:val="none" w:sz="0" w:space="0" w:color="auto"/>
        <w:right w:val="none" w:sz="0" w:space="0" w:color="auto"/>
      </w:divBdr>
    </w:div>
    <w:div w:id="2067216400">
      <w:bodyDiv w:val="1"/>
      <w:marLeft w:val="0"/>
      <w:marRight w:val="0"/>
      <w:marTop w:val="0"/>
      <w:marBottom w:val="0"/>
      <w:divBdr>
        <w:top w:val="none" w:sz="0" w:space="0" w:color="auto"/>
        <w:left w:val="none" w:sz="0" w:space="0" w:color="auto"/>
        <w:bottom w:val="none" w:sz="0" w:space="0" w:color="auto"/>
        <w:right w:val="none" w:sz="0" w:space="0" w:color="auto"/>
      </w:divBdr>
    </w:div>
    <w:div w:id="2079933287">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footer" Target="footer2.xml"/><Relationship Id="rId21" Type="http://schemas.openxmlformats.org/officeDocument/2006/relationships/chart" Target="charts/chart14.xml"/><Relationship Id="rId34" Type="http://schemas.openxmlformats.org/officeDocument/2006/relationships/chart" Target="charts/chart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www.mpsv.cz/documents/20142/225490/Anal%C3%BDza+NP+2019.pdf/8a3a67fd-6df8-2ce4-595f-1cf9d784ddc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2.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png"/><Relationship Id="rId28" Type="http://schemas.openxmlformats.org/officeDocument/2006/relationships/chart" Target="charts/chart19.xml"/><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2.png"/><Relationship Id="rId30" Type="http://schemas.openxmlformats.org/officeDocument/2006/relationships/chart" Target="charts/chart20.xml"/><Relationship Id="rId35" Type="http://schemas.openxmlformats.org/officeDocument/2006/relationships/chart" Target="charts/chart25.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3.xm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1\1.%20pol\publ\GRAFY_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1\1.%20pol\publ\GRAFY_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1\1.%20pol\publ\GRAFY_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1\1.%20pol\publ\GRAFY_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1\1.%20pol\publ\GRAFY_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1\1.%20pol\publ\GRAFY_1.pol.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'1.1'!$A$10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2011</c:v>
                </c:pt>
                <c:pt idx="1">
                  <c:v>1. pol. 2016</c:v>
                </c:pt>
                <c:pt idx="2">
                  <c:v>1. pol. 2021</c:v>
                </c:pt>
              </c:strCache>
            </c:strRef>
          </c:cat>
          <c:val>
            <c:numRef>
              <c:f>'1.1'!$B$10:$D$10</c:f>
              <c:numCache>
                <c:formatCode>#\ ##0.0</c:formatCode>
                <c:ptCount val="3"/>
                <c:pt idx="0">
                  <c:v>1233.9490000000001</c:v>
                </c:pt>
                <c:pt idx="1">
                  <c:v>1503.6090824</c:v>
                </c:pt>
                <c:pt idx="2">
                  <c:v>1535.1391155000001</c:v>
                </c:pt>
              </c:numCache>
            </c:numRef>
          </c:val>
          <c:extLst>
            <c:ext xmlns:c16="http://schemas.microsoft.com/office/drawing/2014/chart" uri="{C3380CC4-5D6E-409C-BE32-E72D297353CC}">
              <c16:uniqueId val="{00000000-D351-4B79-936D-14B490B54191}"/>
            </c:ext>
          </c:extLst>
        </c:ser>
        <c:ser>
          <c:idx val="3"/>
          <c:order val="1"/>
          <c:tx>
            <c:strRef>
              <c:f>'1.1'!$A$9</c:f>
              <c:strCache>
                <c:ptCount val="1"/>
                <c:pt idx="0">
                  <c:v> 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2011</c:v>
                </c:pt>
                <c:pt idx="1">
                  <c:v>1. pol. 2016</c:v>
                </c:pt>
                <c:pt idx="2">
                  <c:v>1. pol. 2021</c:v>
                </c:pt>
              </c:strCache>
            </c:strRef>
          </c:cat>
          <c:val>
            <c:numRef>
              <c:f>'1.1'!$B$9:$D$9</c:f>
              <c:numCache>
                <c:formatCode>#\ ##0.0</c:formatCode>
                <c:ptCount val="3"/>
                <c:pt idx="0">
                  <c:v>390.42200000000003</c:v>
                </c:pt>
                <c:pt idx="1">
                  <c:v>433.96097249999997</c:v>
                </c:pt>
                <c:pt idx="2">
                  <c:v>450.3618889</c:v>
                </c:pt>
              </c:numCache>
            </c:numRef>
          </c:val>
          <c:extLst>
            <c:ext xmlns:c16="http://schemas.microsoft.com/office/drawing/2014/chart" uri="{C3380CC4-5D6E-409C-BE32-E72D297353CC}">
              <c16:uniqueId val="{00000001-D351-4B79-936D-14B490B54191}"/>
            </c:ext>
          </c:extLst>
        </c:ser>
        <c:ser>
          <c:idx val="2"/>
          <c:order val="2"/>
          <c:tx>
            <c:strRef>
              <c:f>'1.1'!$A$8</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2011</c:v>
                </c:pt>
                <c:pt idx="1">
                  <c:v>1. pol. 2016</c:v>
                </c:pt>
                <c:pt idx="2">
                  <c:v>1. pol. 2021</c:v>
                </c:pt>
              </c:strCache>
            </c:strRef>
          </c:cat>
          <c:val>
            <c:numRef>
              <c:f>'1.1'!$B$8:$D$8</c:f>
              <c:numCache>
                <c:formatCode>#\ ##0.0</c:formatCode>
                <c:ptCount val="3"/>
                <c:pt idx="0">
                  <c:v>952.08</c:v>
                </c:pt>
                <c:pt idx="1">
                  <c:v>1058.9479237999999</c:v>
                </c:pt>
                <c:pt idx="2">
                  <c:v>1120.6041154</c:v>
                </c:pt>
              </c:numCache>
            </c:numRef>
          </c:val>
          <c:extLst>
            <c:ext xmlns:c16="http://schemas.microsoft.com/office/drawing/2014/chart" uri="{C3380CC4-5D6E-409C-BE32-E72D297353CC}">
              <c16:uniqueId val="{00000002-D351-4B79-936D-14B490B54191}"/>
            </c:ext>
          </c:extLst>
        </c:ser>
        <c:ser>
          <c:idx val="1"/>
          <c:order val="3"/>
          <c:tx>
            <c:strRef>
              <c:f>'1.1'!$A$7</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2011</c:v>
                </c:pt>
                <c:pt idx="1">
                  <c:v>1. pol. 2016</c:v>
                </c:pt>
                <c:pt idx="2">
                  <c:v>1. pol. 2021</c:v>
                </c:pt>
              </c:strCache>
            </c:strRef>
          </c:cat>
          <c:val>
            <c:numRef>
              <c:f>'1.1'!$B$7:$D$7</c:f>
              <c:numCache>
                <c:formatCode>#\ ##0.0</c:formatCode>
                <c:ptCount val="3"/>
                <c:pt idx="0">
                  <c:v>1461.586</c:v>
                </c:pt>
                <c:pt idx="1">
                  <c:v>1454.4362553000001</c:v>
                </c:pt>
                <c:pt idx="2">
                  <c:v>1485.1526956</c:v>
                </c:pt>
              </c:numCache>
            </c:numRef>
          </c:val>
          <c:extLst>
            <c:ext xmlns:c16="http://schemas.microsoft.com/office/drawing/2014/chart" uri="{C3380CC4-5D6E-409C-BE32-E72D297353CC}">
              <c16:uniqueId val="{00000003-D351-4B79-936D-14B490B54191}"/>
            </c:ext>
          </c:extLst>
        </c:ser>
        <c:ser>
          <c:idx val="0"/>
          <c:order val="4"/>
          <c:tx>
            <c:strRef>
              <c:f>'1.1'!$A$6</c:f>
              <c:strCache>
                <c:ptCount val="1"/>
                <c:pt idx="0">
                  <c:v> OSVČ</c:v>
                </c:pt>
              </c:strCache>
            </c:strRef>
          </c:tx>
          <c:spPr>
            <a:solidFill>
              <a:srgbClr val="4E201E"/>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'1.1'!$B$5:$D$5</c:f>
              <c:strCache>
                <c:ptCount val="3"/>
                <c:pt idx="0">
                  <c:v>1. pol. 2011</c:v>
                </c:pt>
                <c:pt idx="1">
                  <c:v>1. pol. 2016</c:v>
                </c:pt>
                <c:pt idx="2">
                  <c:v>1. pol. 2021</c:v>
                </c:pt>
              </c:strCache>
            </c:strRef>
          </c:cat>
          <c:val>
            <c:numRef>
              <c:f>'1.1'!$B$6:$D$6</c:f>
              <c:numCache>
                <c:formatCode>#\ ##0.0</c:formatCode>
                <c:ptCount val="3"/>
                <c:pt idx="0">
                  <c:v>143.096</c:v>
                </c:pt>
                <c:pt idx="1">
                  <c:v>88.576030099999997</c:v>
                </c:pt>
                <c:pt idx="2">
                  <c:v>97.349225900000008</c:v>
                </c:pt>
              </c:numCache>
            </c:numRef>
          </c:val>
          <c:extLst>
            <c:ext xmlns:c16="http://schemas.microsoft.com/office/drawing/2014/chart" uri="{C3380CC4-5D6E-409C-BE32-E72D297353CC}">
              <c16:uniqueId val="{00000004-D351-4B79-936D-14B490B54191}"/>
            </c:ext>
          </c:extLst>
        </c:ser>
        <c:dLbls>
          <c:showLegendKey val="0"/>
          <c:showVal val="0"/>
          <c:showCatName val="0"/>
          <c:showSerName val="0"/>
          <c:showPercent val="0"/>
          <c:showBubbleSize val="0"/>
        </c:dLbls>
        <c:gapWidth val="85"/>
        <c:overlap val="100"/>
        <c:axId val="2028034928"/>
        <c:axId val="2028039504"/>
      </c:barChart>
      <c:catAx>
        <c:axId val="202803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9504"/>
        <c:crosses val="autoZero"/>
        <c:auto val="1"/>
        <c:lblAlgn val="ctr"/>
        <c:lblOffset val="100"/>
        <c:noMultiLvlLbl val="0"/>
      </c:catAx>
      <c:valAx>
        <c:axId val="202803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2803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'2.6'!$F$3</c:f>
              <c:strCache>
                <c:ptCount val="1"/>
                <c:pt idx="0">
                  <c:v> 1. pol. 2020</c:v>
                </c:pt>
              </c:strCache>
            </c:strRef>
          </c:tx>
          <c:spPr>
            <a:solidFill>
              <a:srgbClr val="B44946"/>
            </a:solidFill>
            <a:ln>
              <a:noFill/>
            </a:ln>
            <a:effectLst/>
          </c:spPr>
          <c:invertIfNegative val="0"/>
          <c:dPt>
            <c:idx val="2"/>
            <c:invertIfNegative val="0"/>
            <c:bubble3D val="0"/>
            <c:spPr>
              <a:solidFill>
                <a:srgbClr val="B44946"/>
              </a:solidFill>
              <a:ln w="15875">
                <a:solidFill>
                  <a:schemeClr val="accent1"/>
                </a:solidFill>
              </a:ln>
              <a:effectLst/>
            </c:spPr>
            <c:extLst>
              <c:ext xmlns:c16="http://schemas.microsoft.com/office/drawing/2014/chart" uri="{C3380CC4-5D6E-409C-BE32-E72D297353CC}">
                <c16:uniqueId val="{00000001-BE82-4FA7-B858-3DE793D3A956}"/>
              </c:ext>
            </c:extLst>
          </c:dPt>
          <c:dPt>
            <c:idx val="8"/>
            <c:invertIfNegative val="0"/>
            <c:bubble3D val="0"/>
            <c:spPr>
              <a:solidFill>
                <a:srgbClr val="B44946"/>
              </a:solidFill>
              <a:ln w="15875">
                <a:noFill/>
              </a:ln>
              <a:effectLst/>
            </c:spPr>
            <c:extLst>
              <c:ext xmlns:c16="http://schemas.microsoft.com/office/drawing/2014/chart" uri="{C3380CC4-5D6E-409C-BE32-E72D297353CC}">
                <c16:uniqueId val="{00000003-BE82-4FA7-B858-3DE793D3A956}"/>
              </c:ext>
            </c:extLst>
          </c:dPt>
          <c:cat>
            <c:strRef>
              <c:f>'2.6'!$D$4:$D$18</c:f>
              <c:strCache>
                <c:ptCount val="15"/>
                <c:pt idx="0">
                  <c:v>Hl. m. Praha</c:v>
                </c:pt>
                <c:pt idx="1">
                  <c:v>Jihomoravský kraj</c:v>
                </c:pt>
                <c:pt idx="2">
                  <c:v>ČR CELKEM</c:v>
                </c:pt>
                <c:pt idx="3">
                  <c:v>Zlínský kraj</c:v>
                </c:pt>
                <c:pt idx="4">
                  <c:v>Olomoucký kraj</c:v>
                </c:pt>
                <c:pt idx="5">
                  <c:v>Kraj Vysočina</c:v>
                </c:pt>
                <c:pt idx="6">
                  <c:v>Moravskoslezský kraj</c:v>
                </c:pt>
                <c:pt idx="7">
                  <c:v>Jihočeský kraj</c:v>
                </c:pt>
                <c:pt idx="8">
                  <c:v>Středočeský kraj</c:v>
                </c:pt>
                <c:pt idx="9">
                  <c:v>Pardubický kraj</c:v>
                </c:pt>
                <c:pt idx="10">
                  <c:v>Ústecký kraj</c:v>
                </c:pt>
                <c:pt idx="11">
                  <c:v>Karlovarský kraj</c:v>
                </c:pt>
                <c:pt idx="12">
                  <c:v>Plzeňský kraj</c:v>
                </c:pt>
                <c:pt idx="13">
                  <c:v>Královéhradecký kraj</c:v>
                </c:pt>
                <c:pt idx="14">
                  <c:v>Liberecký kraj</c:v>
                </c:pt>
              </c:strCache>
            </c:strRef>
          </c:cat>
          <c:val>
            <c:numRef>
              <c:f>'2.6'!$F$4:$F$18</c:f>
              <c:numCache>
                <c:formatCode>##0.0</c:formatCode>
                <c:ptCount val="15"/>
                <c:pt idx="0">
                  <c:v>18.230878768099998</c:v>
                </c:pt>
                <c:pt idx="1">
                  <c:v>21.9360449958</c:v>
                </c:pt>
                <c:pt idx="2">
                  <c:v>22.8290270249</c:v>
                </c:pt>
                <c:pt idx="3">
                  <c:v>24.879058789199998</c:v>
                </c:pt>
                <c:pt idx="4">
                  <c:v>25.805159697299999</c:v>
                </c:pt>
                <c:pt idx="5">
                  <c:v>23.775014233</c:v>
                </c:pt>
                <c:pt idx="6">
                  <c:v>26.906468869299999</c:v>
                </c:pt>
                <c:pt idx="7">
                  <c:v>24.479124027499999</c:v>
                </c:pt>
                <c:pt idx="8">
                  <c:v>23.0732072355</c:v>
                </c:pt>
                <c:pt idx="9">
                  <c:v>23.353711020399999</c:v>
                </c:pt>
                <c:pt idx="10">
                  <c:v>23.6538810602</c:v>
                </c:pt>
                <c:pt idx="11">
                  <c:v>24.2632228248</c:v>
                </c:pt>
                <c:pt idx="12">
                  <c:v>25.4020453784</c:v>
                </c:pt>
                <c:pt idx="13">
                  <c:v>25.5158971444</c:v>
                </c:pt>
                <c:pt idx="14">
                  <c:v>29.043216363300001</c:v>
                </c:pt>
              </c:numCache>
            </c:numRef>
          </c:val>
          <c:extLst>
            <c:ext xmlns:c16="http://schemas.microsoft.com/office/drawing/2014/chart" uri="{C3380CC4-5D6E-409C-BE32-E72D297353CC}">
              <c16:uniqueId val="{00000004-BE82-4FA7-B858-3DE793D3A956}"/>
            </c:ext>
          </c:extLst>
        </c:ser>
        <c:ser>
          <c:idx val="1"/>
          <c:order val="1"/>
          <c:tx>
            <c:strRef>
              <c:f>'2.6'!$E$3</c:f>
              <c:strCache>
                <c:ptCount val="1"/>
                <c:pt idx="0">
                  <c:v> 1. pol. 2021</c:v>
                </c:pt>
              </c:strCache>
            </c:strRef>
          </c:tx>
          <c:spPr>
            <a:solidFill>
              <a:srgbClr val="4E201E"/>
            </a:solidFill>
            <a:ln>
              <a:noFill/>
            </a:ln>
            <a:effectLst/>
          </c:spPr>
          <c:invertIfNegative val="0"/>
          <c:dPt>
            <c:idx val="2"/>
            <c:invertIfNegative val="0"/>
            <c:bubble3D val="0"/>
            <c:spPr>
              <a:solidFill>
                <a:srgbClr val="4E201E"/>
              </a:solidFill>
              <a:ln w="15875">
                <a:solidFill>
                  <a:schemeClr val="accent1"/>
                </a:solidFill>
              </a:ln>
              <a:effectLst/>
            </c:spPr>
            <c:extLst>
              <c:ext xmlns:c16="http://schemas.microsoft.com/office/drawing/2014/chart" uri="{C3380CC4-5D6E-409C-BE32-E72D297353CC}">
                <c16:uniqueId val="{00000006-BE82-4FA7-B858-3DE793D3A956}"/>
              </c:ext>
            </c:extLst>
          </c:dPt>
          <c:dPt>
            <c:idx val="8"/>
            <c:invertIfNegative val="0"/>
            <c:bubble3D val="0"/>
            <c:spPr>
              <a:solidFill>
                <a:srgbClr val="4E201E"/>
              </a:solidFill>
              <a:ln w="15875">
                <a:noFill/>
              </a:ln>
              <a:effectLst/>
            </c:spPr>
            <c:extLst>
              <c:ext xmlns:c16="http://schemas.microsoft.com/office/drawing/2014/chart" uri="{C3380CC4-5D6E-409C-BE32-E72D297353CC}">
                <c16:uniqueId val="{00000008-BE82-4FA7-B858-3DE793D3A956}"/>
              </c:ext>
            </c:extLst>
          </c:dPt>
          <c:cat>
            <c:strRef>
              <c:f>'2.6'!$D$4:$D$18</c:f>
              <c:strCache>
                <c:ptCount val="15"/>
                <c:pt idx="0">
                  <c:v>Hl. m. Praha</c:v>
                </c:pt>
                <c:pt idx="1">
                  <c:v>Jihomoravský kraj</c:v>
                </c:pt>
                <c:pt idx="2">
                  <c:v>ČR CELKEM</c:v>
                </c:pt>
                <c:pt idx="3">
                  <c:v>Zlínský kraj</c:v>
                </c:pt>
                <c:pt idx="4">
                  <c:v>Olomoucký kraj</c:v>
                </c:pt>
                <c:pt idx="5">
                  <c:v>Kraj Vysočina</c:v>
                </c:pt>
                <c:pt idx="6">
                  <c:v>Moravskoslezský kraj</c:v>
                </c:pt>
                <c:pt idx="7">
                  <c:v>Jihočeský kraj</c:v>
                </c:pt>
                <c:pt idx="8">
                  <c:v>Středočeský kraj</c:v>
                </c:pt>
                <c:pt idx="9">
                  <c:v>Pardubický kraj</c:v>
                </c:pt>
                <c:pt idx="10">
                  <c:v>Ústecký kraj</c:v>
                </c:pt>
                <c:pt idx="11">
                  <c:v>Karlovarský kraj</c:v>
                </c:pt>
                <c:pt idx="12">
                  <c:v>Plzeňský kraj</c:v>
                </c:pt>
                <c:pt idx="13">
                  <c:v>Královéhradecký kraj</c:v>
                </c:pt>
                <c:pt idx="14">
                  <c:v>Liberecký kraj</c:v>
                </c:pt>
              </c:strCache>
            </c:strRef>
          </c:cat>
          <c:val>
            <c:numRef>
              <c:f>'2.6'!$E$4:$E$18</c:f>
              <c:numCache>
                <c:formatCode>0.00</c:formatCode>
                <c:ptCount val="15"/>
                <c:pt idx="0">
                  <c:v>21.715752865999999</c:v>
                </c:pt>
                <c:pt idx="1">
                  <c:v>27.055358763600001</c:v>
                </c:pt>
                <c:pt idx="2">
                  <c:v>29.847542941299999</c:v>
                </c:pt>
                <c:pt idx="3">
                  <c:v>29.8737081803</c:v>
                </c:pt>
                <c:pt idx="4">
                  <c:v>30.074445564000001</c:v>
                </c:pt>
                <c:pt idx="5">
                  <c:v>31.0086257689</c:v>
                </c:pt>
                <c:pt idx="6">
                  <c:v>32.554120527000002</c:v>
                </c:pt>
                <c:pt idx="7">
                  <c:v>33.084131782500002</c:v>
                </c:pt>
                <c:pt idx="8">
                  <c:v>33.897345397400002</c:v>
                </c:pt>
                <c:pt idx="9">
                  <c:v>34.164048533600003</c:v>
                </c:pt>
                <c:pt idx="10">
                  <c:v>35.210536361099997</c:v>
                </c:pt>
                <c:pt idx="11">
                  <c:v>36.687751185000003</c:v>
                </c:pt>
                <c:pt idx="12">
                  <c:v>37.308578625899997</c:v>
                </c:pt>
                <c:pt idx="13">
                  <c:v>37.503695217000001</c:v>
                </c:pt>
                <c:pt idx="14">
                  <c:v>39.0579085062</c:v>
                </c:pt>
              </c:numCache>
            </c:numRef>
          </c:val>
          <c:extLst>
            <c:ext xmlns:c16="http://schemas.microsoft.com/office/drawing/2014/chart" uri="{C3380CC4-5D6E-409C-BE32-E72D297353CC}">
              <c16:uniqueId val="{00000009-BE82-4FA7-B858-3DE793D3A956}"/>
            </c:ext>
          </c:extLst>
        </c:ser>
        <c:dLbls>
          <c:showLegendKey val="0"/>
          <c:showVal val="0"/>
          <c:showCatName val="0"/>
          <c:showSerName val="0"/>
          <c:showPercent val="0"/>
          <c:showBubbleSize val="0"/>
        </c:dLbls>
        <c:gapWidth val="182"/>
        <c:axId val="807591664"/>
        <c:axId val="807577936"/>
      </c:barChart>
      <c:catAx>
        <c:axId val="80759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77936"/>
        <c:crosses val="autoZero"/>
        <c:auto val="1"/>
        <c:lblAlgn val="ctr"/>
        <c:lblOffset val="100"/>
        <c:noMultiLvlLbl val="0"/>
      </c:catAx>
      <c:valAx>
        <c:axId val="807577936"/>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9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'2.7'!$A$4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'2.7'!$B$3:$G$3</c:f>
              <c:numCache>
                <c:formatCode>General</c:formatCode>
                <c:ptCount val="6"/>
                <c:pt idx="0">
                  <c:v>2016</c:v>
                </c:pt>
                <c:pt idx="1">
                  <c:v>2017</c:v>
                </c:pt>
                <c:pt idx="2">
                  <c:v>2018</c:v>
                </c:pt>
                <c:pt idx="3">
                  <c:v>2019</c:v>
                </c:pt>
                <c:pt idx="4">
                  <c:v>2020</c:v>
                </c:pt>
                <c:pt idx="5">
                  <c:v>2021</c:v>
                </c:pt>
              </c:numCache>
            </c:numRef>
          </c:cat>
          <c:val>
            <c:numRef>
              <c:f>'2.7'!$B$4:$G$4</c:f>
              <c:numCache>
                <c:formatCode>#,##0</c:formatCode>
                <c:ptCount val="6"/>
                <c:pt idx="0">
                  <c:v>31661916</c:v>
                </c:pt>
                <c:pt idx="1">
                  <c:v>33258915</c:v>
                </c:pt>
                <c:pt idx="2">
                  <c:v>35167407</c:v>
                </c:pt>
                <c:pt idx="3">
                  <c:v>35860458</c:v>
                </c:pt>
                <c:pt idx="4">
                  <c:v>41551126</c:v>
                </c:pt>
                <c:pt idx="5">
                  <c:v>45205015</c:v>
                </c:pt>
              </c:numCache>
            </c:numRef>
          </c:val>
          <c:extLst>
            <c:ext xmlns:c16="http://schemas.microsoft.com/office/drawing/2014/chart" uri="{C3380CC4-5D6E-409C-BE32-E72D297353CC}">
              <c16:uniqueId val="{00000000-1339-4E41-A444-79CF21B6C95B}"/>
            </c:ext>
          </c:extLst>
        </c:ser>
        <c:ser>
          <c:idx val="1"/>
          <c:order val="1"/>
          <c:tx>
            <c:strRef>
              <c:f>'2.7'!$A$5</c:f>
              <c:strCache>
                <c:ptCount val="1"/>
                <c:pt idx="0">
                  <c:v> 2. pololetí</c:v>
                </c:pt>
              </c:strCache>
            </c:strRef>
          </c:tx>
          <c:spPr>
            <a:solidFill>
              <a:srgbClr val="B44946"/>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1339-4E41-A444-79CF21B6C9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'2.7'!$B$3:$G$3</c:f>
              <c:numCache>
                <c:formatCode>General</c:formatCode>
                <c:ptCount val="6"/>
                <c:pt idx="0">
                  <c:v>2016</c:v>
                </c:pt>
                <c:pt idx="1">
                  <c:v>2017</c:v>
                </c:pt>
                <c:pt idx="2">
                  <c:v>2018</c:v>
                </c:pt>
                <c:pt idx="3">
                  <c:v>2019</c:v>
                </c:pt>
                <c:pt idx="4">
                  <c:v>2020</c:v>
                </c:pt>
                <c:pt idx="5">
                  <c:v>2021</c:v>
                </c:pt>
              </c:numCache>
            </c:numRef>
          </c:cat>
          <c:val>
            <c:numRef>
              <c:f>'2.7'!$B$5:$G$5</c:f>
              <c:numCache>
                <c:formatCode>#,##0</c:formatCode>
                <c:ptCount val="6"/>
                <c:pt idx="0">
                  <c:v>28431613.999999996</c:v>
                </c:pt>
                <c:pt idx="1">
                  <c:v>28853900.999999996</c:v>
                </c:pt>
                <c:pt idx="2">
                  <c:v>31055960</c:v>
                </c:pt>
                <c:pt idx="3">
                  <c:v>34042075</c:v>
                </c:pt>
                <c:pt idx="4">
                  <c:v>40736349.000000007</c:v>
                </c:pt>
                <c:pt idx="5" formatCode="General">
                  <c:v>0</c:v>
                </c:pt>
              </c:numCache>
            </c:numRef>
          </c:val>
          <c:extLst>
            <c:ext xmlns:c16="http://schemas.microsoft.com/office/drawing/2014/chart" uri="{C3380CC4-5D6E-409C-BE32-E72D297353CC}">
              <c16:uniqueId val="{00000002-1339-4E41-A444-79CF21B6C95B}"/>
            </c:ext>
          </c:extLst>
        </c:ser>
        <c:dLbls>
          <c:showLegendKey val="0"/>
          <c:showVal val="0"/>
          <c:showCatName val="0"/>
          <c:showSerName val="0"/>
          <c:showPercent val="0"/>
          <c:showBubbleSize val="0"/>
        </c:dLbls>
        <c:gapWidth val="124"/>
        <c:overlap val="-15"/>
        <c:axId val="612142767"/>
        <c:axId val="612139023"/>
      </c:barChart>
      <c:catAx>
        <c:axId val="61214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39023"/>
        <c:crosses val="autoZero"/>
        <c:auto val="1"/>
        <c:lblAlgn val="ctr"/>
        <c:lblOffset val="100"/>
        <c:noMultiLvlLbl val="0"/>
      </c:catAx>
      <c:valAx>
        <c:axId val="612139023"/>
        <c:scaling>
          <c:orientation val="minMax"/>
          <c:max val="48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2142767"/>
        <c:crosses val="autoZero"/>
        <c:crossBetween val="between"/>
        <c:majorUnit val="4000000"/>
        <c:dispUnits>
          <c:builtInUnit val="millions"/>
          <c:dispUnitsLbl>
            <c:layout>
              <c:manualLayout>
                <c:xMode val="edge"/>
                <c:yMode val="edge"/>
                <c:x val="1.7610098882988465E-2"/>
                <c:y val="0.29973712429915139"/>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a:t>
                  </a:r>
                  <a:r>
                    <a:rPr lang="en-US"/>
                    <a:t>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'2.8'!$B$3:$G$3</c:f>
              <c:numCache>
                <c:formatCode>General</c:formatCode>
                <c:ptCount val="6"/>
                <c:pt idx="0">
                  <c:v>2016</c:v>
                </c:pt>
                <c:pt idx="1">
                  <c:v>2017</c:v>
                </c:pt>
                <c:pt idx="2">
                  <c:v>2018</c:v>
                </c:pt>
                <c:pt idx="3">
                  <c:v>2019</c:v>
                </c:pt>
                <c:pt idx="4">
                  <c:v>2020</c:v>
                </c:pt>
                <c:pt idx="5">
                  <c:v>2021</c:v>
                </c:pt>
              </c:numCache>
            </c:numRef>
          </c:cat>
          <c:val>
            <c:numRef>
              <c:f>'2.8'!$B$4:$G$4</c:f>
              <c:numCache>
                <c:formatCode>General</c:formatCode>
                <c:ptCount val="6"/>
                <c:pt idx="0">
                  <c:v>40.744102371405191</c:v>
                </c:pt>
                <c:pt idx="1">
                  <c:v>39.518719722813358</c:v>
                </c:pt>
                <c:pt idx="2">
                  <c:v>37.50186030193516</c:v>
                </c:pt>
                <c:pt idx="3">
                  <c:v>41.090733046565084</c:v>
                </c:pt>
                <c:pt idx="4">
                  <c:v>42.533609854017961</c:v>
                </c:pt>
                <c:pt idx="5">
                  <c:v>34.7673652183</c:v>
                </c:pt>
              </c:numCache>
            </c:numRef>
          </c:val>
          <c:extLst>
            <c:ext xmlns:c16="http://schemas.microsoft.com/office/drawing/2014/chart" uri="{C3380CC4-5D6E-409C-BE32-E72D297353CC}">
              <c16:uniqueId val="{00000000-0E43-4915-957C-A5F6EEE94564}"/>
            </c:ext>
          </c:extLst>
        </c:ser>
        <c:ser>
          <c:idx val="1"/>
          <c:order val="1"/>
          <c:tx>
            <c:strRef>
              <c:f>'2.8'!$A$5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'2.8'!$B$3:$G$3</c:f>
              <c:numCache>
                <c:formatCode>General</c:formatCode>
                <c:ptCount val="6"/>
                <c:pt idx="0">
                  <c:v>2016</c:v>
                </c:pt>
                <c:pt idx="1">
                  <c:v>2017</c:v>
                </c:pt>
                <c:pt idx="2">
                  <c:v>2018</c:v>
                </c:pt>
                <c:pt idx="3">
                  <c:v>2019</c:v>
                </c:pt>
                <c:pt idx="4">
                  <c:v>2020</c:v>
                </c:pt>
                <c:pt idx="5">
                  <c:v>2021</c:v>
                </c:pt>
              </c:numCache>
            </c:numRef>
          </c:cat>
          <c:val>
            <c:numRef>
              <c:f>'2.8'!$B$5:$G$5</c:f>
              <c:numCache>
                <c:formatCode>General</c:formatCode>
                <c:ptCount val="6"/>
                <c:pt idx="0">
                  <c:v>42.828757961207756</c:v>
                </c:pt>
                <c:pt idx="1">
                  <c:v>43.111981867026856</c:v>
                </c:pt>
                <c:pt idx="2">
                  <c:v>43.586211155367302</c:v>
                </c:pt>
                <c:pt idx="3">
                  <c:v>40.597567156614296</c:v>
                </c:pt>
                <c:pt idx="4">
                  <c:v>33.232215622499098</c:v>
                </c:pt>
              </c:numCache>
            </c:numRef>
          </c:val>
          <c:extLst>
            <c:ext xmlns:c16="http://schemas.microsoft.com/office/drawing/2014/chart" uri="{C3380CC4-5D6E-409C-BE32-E72D297353CC}">
              <c16:uniqueId val="{00000001-0E43-4915-957C-A5F6EEE94564}"/>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'2.9'!$B$3</c:f>
              <c:strCache>
                <c:ptCount val="1"/>
                <c:pt idx="0">
                  <c:v> muži</c:v>
                </c:pt>
              </c:strCache>
            </c:strRef>
          </c:tx>
          <c:spPr>
            <a:solidFill>
              <a:srgbClr val="632827"/>
            </a:solidFill>
            <a:ln>
              <a:noFill/>
            </a:ln>
            <a:effectLst/>
          </c:spPr>
          <c:invertIfNegative val="0"/>
          <c:cat>
            <c:strRef>
              <c:f>'2.9'!$A$4:$A$14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'2.9'!$B$4:$B$14</c:f>
              <c:numCache>
                <c:formatCode>General</c:formatCode>
                <c:ptCount val="11"/>
                <c:pt idx="0">
                  <c:v>42.916446369227536</c:v>
                </c:pt>
                <c:pt idx="1">
                  <c:v>46.309226338471738</c:v>
                </c:pt>
                <c:pt idx="2">
                  <c:v>41.648443843031117</c:v>
                </c:pt>
                <c:pt idx="3">
                  <c:v>44.369332844223997</c:v>
                </c:pt>
                <c:pt idx="4">
                  <c:v>38.512040612976676</c:v>
                </c:pt>
                <c:pt idx="5">
                  <c:v>40.213732148761729</c:v>
                </c:pt>
                <c:pt idx="6">
                  <c:v>39.560644848976111</c:v>
                </c:pt>
                <c:pt idx="7">
                  <c:v>38.078554728484917</c:v>
                </c:pt>
                <c:pt idx="8">
                  <c:v>41.476622667113119</c:v>
                </c:pt>
                <c:pt idx="9">
                  <c:v>42.520543784148188</c:v>
                </c:pt>
                <c:pt idx="10">
                  <c:v>34.109682565047912</c:v>
                </c:pt>
              </c:numCache>
            </c:numRef>
          </c:val>
          <c:extLst>
            <c:ext xmlns:c16="http://schemas.microsoft.com/office/drawing/2014/chart" uri="{C3380CC4-5D6E-409C-BE32-E72D297353CC}">
              <c16:uniqueId val="{00000000-732E-4FE7-BBD3-6CE95F471ADF}"/>
            </c:ext>
          </c:extLst>
        </c:ser>
        <c:ser>
          <c:idx val="1"/>
          <c:order val="1"/>
          <c:tx>
            <c:strRef>
              <c:f>'2.9'!$C$3</c:f>
              <c:strCache>
                <c:ptCount val="1"/>
                <c:pt idx="0">
                  <c:v> ženy</c:v>
                </c:pt>
              </c:strCache>
            </c:strRef>
          </c:tx>
          <c:spPr>
            <a:solidFill>
              <a:srgbClr val="C46A68"/>
            </a:solidFill>
            <a:ln>
              <a:noFill/>
            </a:ln>
            <a:effectLst/>
          </c:spPr>
          <c:invertIfNegative val="0"/>
          <c:cat>
            <c:strRef>
              <c:f>'2.9'!$A$4:$A$14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'2.9'!$C$4:$C$14</c:f>
              <c:numCache>
                <c:formatCode>General</c:formatCode>
                <c:ptCount val="11"/>
                <c:pt idx="0">
                  <c:v>42.642603910363256</c:v>
                </c:pt>
                <c:pt idx="1">
                  <c:v>48.97222598094902</c:v>
                </c:pt>
                <c:pt idx="2">
                  <c:v>42.769681888661026</c:v>
                </c:pt>
                <c:pt idx="3">
                  <c:v>47.351635940494653</c:v>
                </c:pt>
                <c:pt idx="4">
                  <c:v>41.541888555829374</c:v>
                </c:pt>
                <c:pt idx="5">
                  <c:v>43.547922707404688</c:v>
                </c:pt>
                <c:pt idx="6">
                  <c:v>42.227270729621964</c:v>
                </c:pt>
                <c:pt idx="7">
                  <c:v>39.901001334393179</c:v>
                </c:pt>
                <c:pt idx="8">
                  <c:v>43.663270828934998</c:v>
                </c:pt>
                <c:pt idx="9">
                  <c:v>45.918585686443691</c:v>
                </c:pt>
                <c:pt idx="10">
                  <c:v>38.578608177323261</c:v>
                </c:pt>
              </c:numCache>
            </c:numRef>
          </c:val>
          <c:extLst>
            <c:ext xmlns:c16="http://schemas.microsoft.com/office/drawing/2014/chart" uri="{C3380CC4-5D6E-409C-BE32-E72D297353CC}">
              <c16:uniqueId val="{00000001-732E-4FE7-BBD3-6CE95F471ADF}"/>
            </c:ext>
          </c:extLst>
        </c:ser>
        <c:dLbls>
          <c:showLegendKey val="0"/>
          <c:showVal val="0"/>
          <c:showCatName val="0"/>
          <c:showSerName val="0"/>
          <c:showPercent val="0"/>
          <c:showBubbleSize val="0"/>
        </c:dLbls>
        <c:gapWidth val="104"/>
        <c:overlap val="-19"/>
        <c:axId val="807622032"/>
        <c:axId val="807614960"/>
      </c:barChart>
      <c:catAx>
        <c:axId val="8076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4960"/>
        <c:crosses val="autoZero"/>
        <c:auto val="1"/>
        <c:lblAlgn val="ctr"/>
        <c:lblOffset val="100"/>
        <c:noMultiLvlLbl val="0"/>
      </c:catAx>
      <c:valAx>
        <c:axId val="80761496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03577075977984"/>
          <c:y val="3.2234432234432238E-2"/>
          <c:w val="0.47930986904108164"/>
          <c:h val="0.87258346874053061"/>
        </c:manualLayout>
      </c:layout>
      <c:barChart>
        <c:barDir val="bar"/>
        <c:grouping val="clustered"/>
        <c:varyColors val="0"/>
        <c:ser>
          <c:idx val="0"/>
          <c:order val="0"/>
          <c:spPr>
            <a:solidFill>
              <a:srgbClr val="C46A68"/>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1D37-4162-8EF0-288D0EE0D129}"/>
              </c:ext>
            </c:extLst>
          </c:dPt>
          <c:cat>
            <c:strRef>
              <c:f>'2.10'!$D$3:$D$22</c:f>
              <c:strCache>
                <c:ptCount val="20"/>
                <c:pt idx="0">
                  <c:v>J – Informační a komunikační činnosti</c:v>
                </c:pt>
                <c:pt idx="1">
                  <c:v>P – Vzdělávání</c:v>
                </c:pt>
                <c:pt idx="2">
                  <c:v>O – Veřejná správa a obrana; povinné sociální zabezpečení</c:v>
                </c:pt>
                <c:pt idx="3">
                  <c:v>D – Výroba a rozvod elektřiny, plynu, tepla a klimatiz. vzduchu</c:v>
                </c:pt>
                <c:pt idx="4">
                  <c:v>C – Zpracovatelský průmysl</c:v>
                </c:pt>
                <c:pt idx="5">
                  <c:v>M – Profesní, vědecké a technické činnosti</c:v>
                </c:pt>
                <c:pt idx="6">
                  <c:v>K – Peněžnictví a pojišťovnictví</c:v>
                </c:pt>
                <c:pt idx="7">
                  <c:v>CELKEM</c:v>
                </c:pt>
                <c:pt idx="8">
                  <c:v>E – Zásobování vodou; činnosti související s odpady a sanacemi</c:v>
                </c:pt>
                <c:pt idx="9">
                  <c:v>H – Doprava a skladování</c:v>
                </c:pt>
                <c:pt idx="10">
                  <c:v>N – Administrativní a podpůrné činnosti</c:v>
                </c:pt>
                <c:pt idx="11">
                  <c:v>B – Těžba a dobývání</c:v>
                </c:pt>
                <c:pt idx="12">
                  <c:v>G – Velkoobchod a maloobchod; opravy a údržba motor. vozidel</c:v>
                </c:pt>
                <c:pt idx="13">
                  <c:v>R – Kulturní, zábavní a rekreační činnosti</c:v>
                </c:pt>
                <c:pt idx="14">
                  <c:v>Q – Zdravotní a sociální péče</c:v>
                </c:pt>
                <c:pt idx="15">
                  <c:v>F – Stavebnictví</c:v>
                </c:pt>
                <c:pt idx="16">
                  <c:v>S – Ostatní činnosti</c:v>
                </c:pt>
                <c:pt idx="17">
                  <c:v>L – Činnosti v oblasti nemovitostí</c:v>
                </c:pt>
                <c:pt idx="18">
                  <c:v>A – Zemědělství, lesnictví, rybářství</c:v>
                </c:pt>
                <c:pt idx="19">
                  <c:v>I – Ubytování, stravování a pohostinství</c:v>
                </c:pt>
              </c:strCache>
            </c:strRef>
          </c:cat>
          <c:val>
            <c:numRef>
              <c:f>'2.10'!$E$3:$E$22</c:f>
              <c:numCache>
                <c:formatCode>###0.0</c:formatCode>
                <c:ptCount val="20"/>
                <c:pt idx="0">
                  <c:v>26.967723984399999</c:v>
                </c:pt>
                <c:pt idx="1">
                  <c:v>28.305213007500001</c:v>
                </c:pt>
                <c:pt idx="2">
                  <c:v>30.378952202200001</c:v>
                </c:pt>
                <c:pt idx="3">
                  <c:v>32.097688203899999</c:v>
                </c:pt>
                <c:pt idx="4">
                  <c:v>33.951860722200003</c:v>
                </c:pt>
                <c:pt idx="5">
                  <c:v>34.786415471399998</c:v>
                </c:pt>
                <c:pt idx="6">
                  <c:v>35.166545718400002</c:v>
                </c:pt>
                <c:pt idx="7">
                  <c:v>36.340469789899998</c:v>
                </c:pt>
                <c:pt idx="8">
                  <c:v>36.7016934002</c:v>
                </c:pt>
                <c:pt idx="9">
                  <c:v>38.067924648599998</c:v>
                </c:pt>
                <c:pt idx="10">
                  <c:v>38.514627751299997</c:v>
                </c:pt>
                <c:pt idx="11">
                  <c:v>39.265799708300001</c:v>
                </c:pt>
                <c:pt idx="12">
                  <c:v>39.813203831199999</c:v>
                </c:pt>
                <c:pt idx="13">
                  <c:v>39.986808726500001</c:v>
                </c:pt>
                <c:pt idx="14">
                  <c:v>40.307585984900001</c:v>
                </c:pt>
                <c:pt idx="15">
                  <c:v>41.431086860299999</c:v>
                </c:pt>
                <c:pt idx="16">
                  <c:v>42.239275875600001</c:v>
                </c:pt>
                <c:pt idx="17">
                  <c:v>42.4377441651</c:v>
                </c:pt>
                <c:pt idx="18">
                  <c:v>43.480433340700003</c:v>
                </c:pt>
                <c:pt idx="19">
                  <c:v>59.632139136699998</c:v>
                </c:pt>
              </c:numCache>
            </c:numRef>
          </c:val>
          <c:extLst>
            <c:ext xmlns:c16="http://schemas.microsoft.com/office/drawing/2014/chart" uri="{C3380CC4-5D6E-409C-BE32-E72D297353CC}">
              <c16:uniqueId val="{00000002-1D37-4162-8EF0-288D0EE0D129}"/>
            </c:ext>
          </c:extLst>
        </c:ser>
        <c:dLbls>
          <c:showLegendKey val="0"/>
          <c:showVal val="0"/>
          <c:showCatName val="0"/>
          <c:showSerName val="0"/>
          <c:showPercent val="0"/>
          <c:showBubbleSize val="0"/>
        </c:dLbls>
        <c:gapWidth val="182"/>
        <c:axId val="807607472"/>
        <c:axId val="807612464"/>
      </c:barChart>
      <c:catAx>
        <c:axId val="80760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12464"/>
        <c:crosses val="autoZero"/>
        <c:auto val="1"/>
        <c:lblAlgn val="ctr"/>
        <c:lblOffset val="100"/>
        <c:noMultiLvlLbl val="0"/>
      </c:catAx>
      <c:valAx>
        <c:axId val="8076124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607472"/>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3335469694195"/>
          <c:y val="4.3504053786830137E-2"/>
          <c:w val="0.77378995866795719"/>
          <c:h val="0.80440303376157474"/>
        </c:manualLayout>
      </c:layout>
      <c:barChart>
        <c:barDir val="bar"/>
        <c:grouping val="clustered"/>
        <c:varyColors val="0"/>
        <c:ser>
          <c:idx val="0"/>
          <c:order val="0"/>
          <c:tx>
            <c:strRef>
              <c:f>'2.11'!$G$3</c:f>
              <c:strCache>
                <c:ptCount val="1"/>
                <c:pt idx="0">
                  <c:v> 1. pol. 2020</c:v>
                </c:pt>
              </c:strCache>
            </c:strRef>
          </c:tx>
          <c:spPr>
            <a:solidFill>
              <a:srgbClr val="B44946"/>
            </a:solidFill>
            <a:ln>
              <a:noFill/>
            </a:ln>
            <a:effectLst/>
          </c:spPr>
          <c:invertIfNegative val="0"/>
          <c:dPt>
            <c:idx val="8"/>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E56A-48D9-AAE5-21F91964605F}"/>
              </c:ext>
            </c:extLst>
          </c:dPt>
          <c:cat>
            <c:strRef>
              <c:f>'2.11'!$F$4:$F$18</c:f>
              <c:strCache>
                <c:ptCount val="15"/>
                <c:pt idx="0">
                  <c:v>Královéhradecký kraj</c:v>
                </c:pt>
                <c:pt idx="1">
                  <c:v>Liberecký kraj</c:v>
                </c:pt>
                <c:pt idx="2">
                  <c:v>Středočeský kraj</c:v>
                </c:pt>
                <c:pt idx="3">
                  <c:v>Plzeňský kraj</c:v>
                </c:pt>
                <c:pt idx="4">
                  <c:v>Pardubický kraj</c:v>
                </c:pt>
                <c:pt idx="5">
                  <c:v>Ústecký kraj</c:v>
                </c:pt>
                <c:pt idx="6">
                  <c:v>Karlovarský kraj</c:v>
                </c:pt>
                <c:pt idx="7">
                  <c:v>Hl. m. Praha</c:v>
                </c:pt>
                <c:pt idx="8">
                  <c:v>ČR CELKEM</c:v>
                </c:pt>
                <c:pt idx="9">
                  <c:v>Jihočeský kraj</c:v>
                </c:pt>
                <c:pt idx="10">
                  <c:v>Kraj Vysočina</c:v>
                </c:pt>
                <c:pt idx="11">
                  <c:v>Olomoucký kraj</c:v>
                </c:pt>
                <c:pt idx="12">
                  <c:v>Jihomoravský kraj</c:v>
                </c:pt>
                <c:pt idx="13">
                  <c:v>Moravskoslezský kraj</c:v>
                </c:pt>
                <c:pt idx="14">
                  <c:v>Zlínský kraj</c:v>
                </c:pt>
              </c:strCache>
            </c:strRef>
          </c:cat>
          <c:val>
            <c:numRef>
              <c:f>'2.11'!$G$4:$G$18</c:f>
              <c:numCache>
                <c:formatCode>###0.0</c:formatCode>
                <c:ptCount val="15"/>
                <c:pt idx="0">
                  <c:v>41.7688689457</c:v>
                </c:pt>
                <c:pt idx="1">
                  <c:v>41.227767695099999</c:v>
                </c:pt>
                <c:pt idx="2">
                  <c:v>42.657066303000001</c:v>
                </c:pt>
                <c:pt idx="3">
                  <c:v>42.187113176099999</c:v>
                </c:pt>
                <c:pt idx="4">
                  <c:v>44.595546294499997</c:v>
                </c:pt>
                <c:pt idx="5">
                  <c:v>44.386264137200001</c:v>
                </c:pt>
                <c:pt idx="6">
                  <c:v>44.3937810945</c:v>
                </c:pt>
                <c:pt idx="7">
                  <c:v>40.532168384099997</c:v>
                </c:pt>
                <c:pt idx="8">
                  <c:v>44.298183197900002</c:v>
                </c:pt>
                <c:pt idx="9">
                  <c:v>46.1163207062</c:v>
                </c:pt>
                <c:pt idx="10">
                  <c:v>47.799496425100003</c:v>
                </c:pt>
                <c:pt idx="11">
                  <c:v>44.189371759399997</c:v>
                </c:pt>
                <c:pt idx="12">
                  <c:v>45.853415216499997</c:v>
                </c:pt>
                <c:pt idx="13">
                  <c:v>48.808791296400003</c:v>
                </c:pt>
                <c:pt idx="14">
                  <c:v>51.770856927099999</c:v>
                </c:pt>
              </c:numCache>
            </c:numRef>
          </c:val>
          <c:extLst>
            <c:ext xmlns:c16="http://schemas.microsoft.com/office/drawing/2014/chart" uri="{C3380CC4-5D6E-409C-BE32-E72D297353CC}">
              <c16:uniqueId val="{00000002-E56A-48D9-AAE5-21F91964605F}"/>
            </c:ext>
          </c:extLst>
        </c:ser>
        <c:ser>
          <c:idx val="1"/>
          <c:order val="1"/>
          <c:tx>
            <c:strRef>
              <c:f>'2.11'!$H$3</c:f>
              <c:strCache>
                <c:ptCount val="1"/>
                <c:pt idx="0">
                  <c:v> 1. pol. 2021</c:v>
                </c:pt>
              </c:strCache>
            </c:strRef>
          </c:tx>
          <c:spPr>
            <a:solidFill>
              <a:srgbClr val="632827"/>
            </a:solidFill>
            <a:ln>
              <a:noFill/>
            </a:ln>
            <a:effectLst/>
          </c:spPr>
          <c:invertIfNegative val="0"/>
          <c:dPt>
            <c:idx val="8"/>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E56A-48D9-AAE5-21F91964605F}"/>
              </c:ext>
            </c:extLst>
          </c:dPt>
          <c:cat>
            <c:strRef>
              <c:f>'2.11'!$F$4:$F$18</c:f>
              <c:strCache>
                <c:ptCount val="15"/>
                <c:pt idx="0">
                  <c:v>Královéhradecký kraj</c:v>
                </c:pt>
                <c:pt idx="1">
                  <c:v>Liberecký kraj</c:v>
                </c:pt>
                <c:pt idx="2">
                  <c:v>Středočeský kraj</c:v>
                </c:pt>
                <c:pt idx="3">
                  <c:v>Plzeňský kraj</c:v>
                </c:pt>
                <c:pt idx="4">
                  <c:v>Pardubický kraj</c:v>
                </c:pt>
                <c:pt idx="5">
                  <c:v>Ústecký kraj</c:v>
                </c:pt>
                <c:pt idx="6">
                  <c:v>Karlovarský kraj</c:v>
                </c:pt>
                <c:pt idx="7">
                  <c:v>Hl. m. Praha</c:v>
                </c:pt>
                <c:pt idx="8">
                  <c:v>ČR CELKEM</c:v>
                </c:pt>
                <c:pt idx="9">
                  <c:v>Jihočeský kraj</c:v>
                </c:pt>
                <c:pt idx="10">
                  <c:v>Kraj Vysočina</c:v>
                </c:pt>
                <c:pt idx="11">
                  <c:v>Olomoucký kraj</c:v>
                </c:pt>
                <c:pt idx="12">
                  <c:v>Jihomoravský kraj</c:v>
                </c:pt>
                <c:pt idx="13">
                  <c:v>Moravskoslezský kraj</c:v>
                </c:pt>
                <c:pt idx="14">
                  <c:v>Zlínský kraj</c:v>
                </c:pt>
              </c:strCache>
            </c:strRef>
          </c:cat>
          <c:val>
            <c:numRef>
              <c:f>'2.11'!$H$4:$H$18</c:f>
              <c:numCache>
                <c:formatCode>General</c:formatCode>
                <c:ptCount val="15"/>
                <c:pt idx="0">
                  <c:v>32.4508072251</c:v>
                </c:pt>
                <c:pt idx="1">
                  <c:v>32.611138500199999</c:v>
                </c:pt>
                <c:pt idx="2">
                  <c:v>33.5206524954</c:v>
                </c:pt>
                <c:pt idx="3">
                  <c:v>33.751141361999998</c:v>
                </c:pt>
                <c:pt idx="4">
                  <c:v>33.845550601399999</c:v>
                </c:pt>
                <c:pt idx="5">
                  <c:v>34.847464611699998</c:v>
                </c:pt>
                <c:pt idx="6">
                  <c:v>35.633146986600003</c:v>
                </c:pt>
                <c:pt idx="7">
                  <c:v>35.7947190191</c:v>
                </c:pt>
                <c:pt idx="8">
                  <c:v>36.340469789899998</c:v>
                </c:pt>
                <c:pt idx="9">
                  <c:v>36.555830259300002</c:v>
                </c:pt>
                <c:pt idx="10">
                  <c:v>37.494794811299997</c:v>
                </c:pt>
                <c:pt idx="11">
                  <c:v>38.634338845899997</c:v>
                </c:pt>
                <c:pt idx="12">
                  <c:v>38.678121511699999</c:v>
                </c:pt>
                <c:pt idx="13">
                  <c:v>40.900148193200003</c:v>
                </c:pt>
                <c:pt idx="14">
                  <c:v>42.374576728299999</c:v>
                </c:pt>
              </c:numCache>
            </c:numRef>
          </c:val>
          <c:extLst>
            <c:ext xmlns:c16="http://schemas.microsoft.com/office/drawing/2014/chart" uri="{C3380CC4-5D6E-409C-BE32-E72D297353CC}">
              <c16:uniqueId val="{00000005-E56A-48D9-AAE5-21F91964605F}"/>
            </c:ext>
          </c:extLst>
        </c:ser>
        <c:dLbls>
          <c:showLegendKey val="0"/>
          <c:showVal val="0"/>
          <c:showCatName val="0"/>
          <c:showSerName val="0"/>
          <c:showPercent val="0"/>
          <c:showBubbleSize val="0"/>
        </c:dLbls>
        <c:gapWidth val="182"/>
        <c:axId val="1195532048"/>
        <c:axId val="1195533296"/>
      </c:barChart>
      <c:catAx>
        <c:axId val="119553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3296"/>
        <c:crosses val="autoZero"/>
        <c:auto val="1"/>
        <c:lblAlgn val="ctr"/>
        <c:lblOffset val="100"/>
        <c:noMultiLvlLbl val="0"/>
      </c:catAx>
      <c:valAx>
        <c:axId val="1195533296"/>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5532048"/>
        <c:crosses val="autoZero"/>
        <c:crossBetween val="between"/>
        <c:majorUnit val="5"/>
      </c:valAx>
      <c:spPr>
        <a:noFill/>
        <a:ln>
          <a:noFill/>
        </a:ln>
        <a:effectLst/>
      </c:spPr>
    </c:plotArea>
    <c:legend>
      <c:legendPos val="r"/>
      <c:layout>
        <c:manualLayout>
          <c:xMode val="edge"/>
          <c:yMode val="edge"/>
          <c:x val="0.82539092133832104"/>
          <c:y val="0.66671690756867785"/>
          <c:w val="0.12062236769822376"/>
          <c:h val="0.11742606724287999"/>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91834305595505E-2"/>
          <c:y val="4.8878027105087755E-2"/>
          <c:w val="0.89934078007690899"/>
          <c:h val="0.80322902871977708"/>
        </c:manualLayout>
      </c:layout>
      <c:barChart>
        <c:barDir val="col"/>
        <c:grouping val="clustered"/>
        <c:varyColors val="0"/>
        <c:ser>
          <c:idx val="0"/>
          <c:order val="0"/>
          <c:tx>
            <c:strRef>
              <c:f>'2.12'!$E$20</c:f>
              <c:strCache>
                <c:ptCount val="1"/>
                <c:pt idx="0">
                  <c:v> nemoc</c:v>
                </c:pt>
              </c:strCache>
            </c:strRef>
          </c:tx>
          <c:spPr>
            <a:solidFill>
              <a:srgbClr val="632827"/>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'2.12'!$E$21:$E$27</c:f>
              <c:numCache>
                <c:formatCode>General</c:formatCode>
                <c:ptCount val="7"/>
                <c:pt idx="0">
                  <c:v>34.7673652183</c:v>
                </c:pt>
                <c:pt idx="1">
                  <c:v>80.347310126599993</c:v>
                </c:pt>
                <c:pt idx="2">
                  <c:v>38.407826887100001</c:v>
                </c:pt>
                <c:pt idx="3">
                  <c:v>33.097112914100002</c:v>
                </c:pt>
                <c:pt idx="4">
                  <c:v>33.846714831299998</c:v>
                </c:pt>
                <c:pt idx="5">
                  <c:v>32.577934234099999</c:v>
                </c:pt>
                <c:pt idx="6">
                  <c:v>32.904717468400001</c:v>
                </c:pt>
              </c:numCache>
            </c:numRef>
          </c:val>
          <c:extLst>
            <c:ext xmlns:c16="http://schemas.microsoft.com/office/drawing/2014/chart" uri="{C3380CC4-5D6E-409C-BE32-E72D297353CC}">
              <c16:uniqueId val="{00000000-A995-4680-ABDB-7AEB5AE68756}"/>
            </c:ext>
          </c:extLst>
        </c:ser>
        <c:ser>
          <c:idx val="1"/>
          <c:order val="1"/>
          <c:tx>
            <c:strRef>
              <c:f>'2.12'!$F$20</c:f>
              <c:strCache>
                <c:ptCount val="1"/>
                <c:pt idx="0">
                  <c:v> pracovní úraz</c:v>
                </c:pt>
              </c:strCache>
            </c:strRef>
          </c:tx>
          <c:spPr>
            <a:solidFill>
              <a:srgbClr val="B44946"/>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'2.12'!$F$21:$F$27</c:f>
              <c:numCache>
                <c:formatCode>General</c:formatCode>
                <c:ptCount val="7"/>
                <c:pt idx="0">
                  <c:v>57.314241618799997</c:v>
                </c:pt>
                <c:pt idx="1">
                  <c:v>97.006896551699995</c:v>
                </c:pt>
                <c:pt idx="2">
                  <c:v>61.387428173399996</c:v>
                </c:pt>
                <c:pt idx="3">
                  <c:v>51.488811849999998</c:v>
                </c:pt>
                <c:pt idx="4">
                  <c:v>54.189663699299999</c:v>
                </c:pt>
                <c:pt idx="5">
                  <c:v>54.572333685300002</c:v>
                </c:pt>
                <c:pt idx="6">
                  <c:v>58.636991869900001</c:v>
                </c:pt>
              </c:numCache>
            </c:numRef>
          </c:val>
          <c:extLst>
            <c:ext xmlns:c16="http://schemas.microsoft.com/office/drawing/2014/chart" uri="{C3380CC4-5D6E-409C-BE32-E72D297353CC}">
              <c16:uniqueId val="{00000001-A995-4680-ABDB-7AEB5AE68756}"/>
            </c:ext>
          </c:extLst>
        </c:ser>
        <c:ser>
          <c:idx val="2"/>
          <c:order val="2"/>
          <c:tx>
            <c:strRef>
              <c:f>'2.12'!$G$20</c:f>
              <c:strCache>
                <c:ptCount val="1"/>
                <c:pt idx="0">
                  <c:v> ostatní úraz</c:v>
                </c:pt>
              </c:strCache>
            </c:strRef>
          </c:tx>
          <c:spPr>
            <a:solidFill>
              <a:srgbClr val="C46A68"/>
            </a:solidFill>
            <a:ln>
              <a:noFill/>
            </a:ln>
            <a:effectLst/>
          </c:spPr>
          <c:invertIfNegative val="0"/>
          <c:cat>
            <c:multiLvlStrRef>
              <c:f>'2.12'!$B$21:$C$27</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'2.12'!$G$21:$G$27</c:f>
              <c:numCache>
                <c:formatCode>General</c:formatCode>
                <c:ptCount val="7"/>
                <c:pt idx="0">
                  <c:v>56.844572693499998</c:v>
                </c:pt>
                <c:pt idx="1">
                  <c:v>104.273960217</c:v>
                </c:pt>
                <c:pt idx="2">
                  <c:v>65.906604124099999</c:v>
                </c:pt>
                <c:pt idx="3">
                  <c:v>53.6347297967</c:v>
                </c:pt>
                <c:pt idx="4">
                  <c:v>52.722175887299997</c:v>
                </c:pt>
                <c:pt idx="5">
                  <c:v>51.428758949900001</c:v>
                </c:pt>
                <c:pt idx="6">
                  <c:v>51.778106622599999</c:v>
                </c:pt>
              </c:numCache>
            </c:numRef>
          </c:val>
          <c:extLst>
            <c:ext xmlns:c16="http://schemas.microsoft.com/office/drawing/2014/chart" uri="{C3380CC4-5D6E-409C-BE32-E72D297353CC}">
              <c16:uniqueId val="{00000002-A995-4680-ABDB-7AEB5AE68756}"/>
            </c:ext>
          </c:extLst>
        </c:ser>
        <c:dLbls>
          <c:showLegendKey val="0"/>
          <c:showVal val="0"/>
          <c:showCatName val="0"/>
          <c:showSerName val="0"/>
          <c:showPercent val="0"/>
          <c:showBubbleSize val="0"/>
        </c:dLbls>
        <c:gapWidth val="186"/>
        <c:axId val="764445184"/>
        <c:axId val="916133408"/>
      </c:barChart>
      <c:catAx>
        <c:axId val="7644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16133408"/>
        <c:crosses val="autoZero"/>
        <c:auto val="1"/>
        <c:lblAlgn val="ctr"/>
        <c:lblOffset val="100"/>
        <c:noMultiLvlLbl val="0"/>
      </c:catAx>
      <c:valAx>
        <c:axId val="91613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dnů</a:t>
                </a:r>
              </a:p>
            </c:rich>
          </c:tx>
          <c:layout>
            <c:manualLayout>
              <c:xMode val="edge"/>
              <c:yMode val="edge"/>
              <c:x val="6.2292358803986711E-3"/>
              <c:y val="0.3057469293787732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5184"/>
        <c:crosses val="autoZero"/>
        <c:crossBetween val="between"/>
      </c:valAx>
      <c:spPr>
        <a:noFill/>
        <a:ln>
          <a:noFill/>
        </a:ln>
        <a:effectLst/>
      </c:spPr>
    </c:plotArea>
    <c:legend>
      <c:legendPos val="r"/>
      <c:layout>
        <c:manualLayout>
          <c:xMode val="edge"/>
          <c:yMode val="edge"/>
          <c:x val="0.85102430873466395"/>
          <c:y val="2.7800996104102849E-2"/>
          <c:w val="0.13444080754440579"/>
          <c:h val="0.1978972301868176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63142791365556"/>
          <c:y val="3.3755270183513174E-2"/>
          <c:w val="0.45965476693530383"/>
          <c:h val="0.90406858529657164"/>
        </c:manualLayout>
      </c:layout>
      <c:barChart>
        <c:barDir val="bar"/>
        <c:grouping val="clustered"/>
        <c:varyColors val="0"/>
        <c:ser>
          <c:idx val="0"/>
          <c:order val="0"/>
          <c:tx>
            <c:strRef>
              <c:f>'2.13'!$E$3</c:f>
              <c:strCache>
                <c:ptCount val="1"/>
                <c:pt idx="0">
                  <c:v>1. pol. 2021</c:v>
                </c:pt>
              </c:strCache>
            </c:strRef>
          </c:tx>
          <c:spPr>
            <a:solidFill>
              <a:srgbClr val="B4494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596E-4112-8B2B-E1FBFE01FAC4}"/>
              </c:ext>
            </c:extLst>
          </c:dPt>
          <c:dPt>
            <c:idx val="11"/>
            <c:invertIfNegative val="0"/>
            <c:bubble3D val="0"/>
            <c:spPr>
              <a:solidFill>
                <a:srgbClr val="632827"/>
              </a:solidFill>
              <a:ln>
                <a:noFill/>
              </a:ln>
              <a:effectLst/>
            </c:spPr>
            <c:extLst>
              <c:ext xmlns:c16="http://schemas.microsoft.com/office/drawing/2014/chart" uri="{C3380CC4-5D6E-409C-BE32-E72D297353CC}">
                <c16:uniqueId val="{00000003-596E-4112-8B2B-E1FBFE01FAC4}"/>
              </c:ext>
            </c:extLst>
          </c:dPt>
          <c:cat>
            <c:strRef>
              <c:f>'2.13'!$D$4:$D$23</c:f>
              <c:strCache>
                <c:ptCount val="20"/>
                <c:pt idx="0">
                  <c:v>J – Informační a komunikační činnosti</c:v>
                </c:pt>
                <c:pt idx="1">
                  <c:v>K – Peněžnictví a pojišťovnictví</c:v>
                </c:pt>
                <c:pt idx="2">
                  <c:v>M – Profesní, vědecké a technické činnosti</c:v>
                </c:pt>
                <c:pt idx="3">
                  <c:v>L – Činnosti v oblasti nemovitostí</c:v>
                </c:pt>
                <c:pt idx="4">
                  <c:v>R – Kulturní, zábavní a rekreační činnosti</c:v>
                </c:pt>
                <c:pt idx="5">
                  <c:v>P – Vzdělávání</c:v>
                </c:pt>
                <c:pt idx="6">
                  <c:v>D – Výroba a rozvod elektřiny, plynu, tepla a klimatiz. vzduchu</c:v>
                </c:pt>
                <c:pt idx="7">
                  <c:v>O – Veřejná správa a obrana; povinné sociální zabezpečení</c:v>
                </c:pt>
                <c:pt idx="8">
                  <c:v>S – Ostatní činnosti</c:v>
                </c:pt>
                <c:pt idx="9">
                  <c:v>I – Ubytování, stravování a pohostinství</c:v>
                </c:pt>
                <c:pt idx="10">
                  <c:v>Q – Zdravotní a sociální péče</c:v>
                </c:pt>
                <c:pt idx="11">
                  <c:v>CELKEM</c:v>
                </c:pt>
                <c:pt idx="12">
                  <c:v>G – Velkoobchod a maloobchod; údržba motor. vozidel</c:v>
                </c:pt>
                <c:pt idx="13">
                  <c:v>F – Stavebnictví</c:v>
                </c:pt>
                <c:pt idx="14">
                  <c:v>H – Doprava a skladování</c:v>
                </c:pt>
                <c:pt idx="15">
                  <c:v>A – Zemědělství, lesnictví a rybářství</c:v>
                </c:pt>
                <c:pt idx="16">
                  <c:v>E – Zásobování vodou; činnosti souvis. s odpady a sanacemi</c:v>
                </c:pt>
                <c:pt idx="17">
                  <c:v>N – Administrativní a podpůrné činnosti</c:v>
                </c:pt>
                <c:pt idx="18">
                  <c:v>C – Zpracovatelský průmysl</c:v>
                </c:pt>
                <c:pt idx="19">
                  <c:v>B – Těžba a dobývání</c:v>
                </c:pt>
              </c:strCache>
            </c:strRef>
          </c:cat>
          <c:val>
            <c:numRef>
              <c:f>'2.13'!$E$4:$E$23</c:f>
              <c:numCache>
                <c:formatCode>General</c:formatCode>
                <c:ptCount val="20"/>
                <c:pt idx="0">
                  <c:v>1.9668886146999999E-2</c:v>
                </c:pt>
                <c:pt idx="1">
                  <c:v>2.8925697314E-2</c:v>
                </c:pt>
                <c:pt idx="2">
                  <c:v>2.9396689047000001E-2</c:v>
                </c:pt>
                <c:pt idx="3">
                  <c:v>3.2886840389999998E-2</c:v>
                </c:pt>
                <c:pt idx="4">
                  <c:v>3.5233178032999996E-2</c:v>
                </c:pt>
                <c:pt idx="5">
                  <c:v>3.7349271975000001E-2</c:v>
                </c:pt>
                <c:pt idx="6">
                  <c:v>3.8837486056000001E-2</c:v>
                </c:pt>
                <c:pt idx="7">
                  <c:v>4.5747297111E-2</c:v>
                </c:pt>
                <c:pt idx="8">
                  <c:v>4.9265594882999995E-2</c:v>
                </c:pt>
                <c:pt idx="9">
                  <c:v>5.5494876017000004E-2</c:v>
                </c:pt>
                <c:pt idx="10">
                  <c:v>5.8659092829999995E-2</c:v>
                </c:pt>
                <c:pt idx="11">
                  <c:v>5.9926725555999996E-2</c:v>
                </c:pt>
                <c:pt idx="12">
                  <c:v>6.2912972812000006E-2</c:v>
                </c:pt>
                <c:pt idx="13">
                  <c:v>6.4482780436000003E-2</c:v>
                </c:pt>
                <c:pt idx="14">
                  <c:v>6.7386686954000005E-2</c:v>
                </c:pt>
                <c:pt idx="15">
                  <c:v>7.0421725071000002E-2</c:v>
                </c:pt>
                <c:pt idx="16">
                  <c:v>7.0460108000999999E-2</c:v>
                </c:pt>
                <c:pt idx="17">
                  <c:v>7.5013508768999995E-2</c:v>
                </c:pt>
                <c:pt idx="18">
                  <c:v>7.9498477557999991E-2</c:v>
                </c:pt>
                <c:pt idx="19">
                  <c:v>8.8058550443999989E-2</c:v>
                </c:pt>
              </c:numCache>
            </c:numRef>
          </c:val>
          <c:extLst>
            <c:ext xmlns:c16="http://schemas.microsoft.com/office/drawing/2014/chart" uri="{C3380CC4-5D6E-409C-BE32-E72D297353CC}">
              <c16:uniqueId val="{00000004-596E-4112-8B2B-E1FBFE01FAC4}"/>
            </c:ext>
          </c:extLst>
        </c:ser>
        <c:dLbls>
          <c:showLegendKey val="0"/>
          <c:showVal val="0"/>
          <c:showCatName val="0"/>
          <c:showSerName val="0"/>
          <c:showPercent val="0"/>
          <c:showBubbleSize val="0"/>
        </c:dLbls>
        <c:gapWidth val="182"/>
        <c:axId val="1925427887"/>
        <c:axId val="1925424559"/>
      </c:barChart>
      <c:catAx>
        <c:axId val="192542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4559"/>
        <c:crosses val="autoZero"/>
        <c:auto val="1"/>
        <c:lblAlgn val="ctr"/>
        <c:lblOffset val="100"/>
        <c:noMultiLvlLbl val="0"/>
      </c:catAx>
      <c:valAx>
        <c:axId val="1925424559"/>
        <c:scaling>
          <c:orientation val="minMax"/>
          <c:max val="9.0000000000000024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542788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3335469694195"/>
          <c:y val="4.1682455475558926E-2"/>
          <c:w val="0.77909527297459924"/>
          <c:h val="0.86638251783513798"/>
        </c:manualLayout>
      </c:layout>
      <c:barChart>
        <c:barDir val="bar"/>
        <c:grouping val="clustered"/>
        <c:varyColors val="0"/>
        <c:ser>
          <c:idx val="0"/>
          <c:order val="0"/>
          <c:tx>
            <c:strRef>
              <c:f>'2.14'!$G$3</c:f>
              <c:strCache>
                <c:ptCount val="1"/>
                <c:pt idx="0">
                  <c:v> 1. pol. 2020</c:v>
                </c:pt>
              </c:strCache>
            </c:strRef>
          </c:tx>
          <c:spPr>
            <a:solidFill>
              <a:srgbClr val="B44946"/>
            </a:solidFill>
            <a:ln>
              <a:noFill/>
            </a:ln>
            <a:effectLst/>
          </c:spPr>
          <c:invertIfNegative val="0"/>
          <c:dPt>
            <c:idx val="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82A1-49D7-9E5F-F95006885D32}"/>
              </c:ext>
            </c:extLst>
          </c:dPt>
          <c:cat>
            <c:strRef>
              <c:f>'2.14'!$F$4:$F$18</c:f>
              <c:strCache>
                <c:ptCount val="15"/>
                <c:pt idx="0">
                  <c:v>Hl. m. Praha</c:v>
                </c:pt>
                <c:pt idx="1">
                  <c:v>Jihomoravský kraj</c:v>
                </c:pt>
                <c:pt idx="2">
                  <c:v>ČR CELKEM</c:v>
                </c:pt>
                <c:pt idx="3">
                  <c:v>Středočeský kraj</c:v>
                </c:pt>
                <c:pt idx="4">
                  <c:v>Pardubický kraj</c:v>
                </c:pt>
                <c:pt idx="5">
                  <c:v>Olomoucký kraj</c:v>
                </c:pt>
                <c:pt idx="6">
                  <c:v>Kraj Vysočina</c:v>
                </c:pt>
                <c:pt idx="7">
                  <c:v>Jihočeský kraj</c:v>
                </c:pt>
                <c:pt idx="8">
                  <c:v>Královéhradecký kraj</c:v>
                </c:pt>
                <c:pt idx="9">
                  <c:v>Ústecký kraj</c:v>
                </c:pt>
                <c:pt idx="10">
                  <c:v>Plzeňský kraj</c:v>
                </c:pt>
                <c:pt idx="11">
                  <c:v>Zlínský kraj</c:v>
                </c:pt>
                <c:pt idx="12">
                  <c:v>Liberecký kraj</c:v>
                </c:pt>
                <c:pt idx="13">
                  <c:v>Karlovarský kraj</c:v>
                </c:pt>
                <c:pt idx="14">
                  <c:v>Moravskoslezský kraj</c:v>
                </c:pt>
              </c:strCache>
            </c:strRef>
          </c:cat>
          <c:val>
            <c:numRef>
              <c:f>'2.14'!$G$4:$G$18</c:f>
              <c:numCache>
                <c:formatCode>#\ ##0.0</c:formatCode>
                <c:ptCount val="15"/>
                <c:pt idx="0">
                  <c:v>4.0600936703999994E-2</c:v>
                </c:pt>
                <c:pt idx="1">
                  <c:v>5.5266075790999999E-2</c:v>
                </c:pt>
                <c:pt idx="2">
                  <c:v>5.5565078098000001E-2</c:v>
                </c:pt>
                <c:pt idx="3">
                  <c:v>5.4078864333E-2</c:v>
                </c:pt>
                <c:pt idx="4">
                  <c:v>5.7223708844E-2</c:v>
                </c:pt>
                <c:pt idx="5">
                  <c:v>6.265460413E-2</c:v>
                </c:pt>
                <c:pt idx="6">
                  <c:v>6.2441412518000006E-2</c:v>
                </c:pt>
                <c:pt idx="7">
                  <c:v>6.2026765618999995E-2</c:v>
                </c:pt>
                <c:pt idx="8">
                  <c:v>5.8558800212000002E-2</c:v>
                </c:pt>
                <c:pt idx="9">
                  <c:v>5.7687220472999998E-2</c:v>
                </c:pt>
                <c:pt idx="10">
                  <c:v>5.8881261718999996E-2</c:v>
                </c:pt>
                <c:pt idx="11">
                  <c:v>7.0769790827000009E-2</c:v>
                </c:pt>
                <c:pt idx="12">
                  <c:v>6.5790493261000005E-2</c:v>
                </c:pt>
                <c:pt idx="13">
                  <c:v>5.9183307842000002E-2</c:v>
                </c:pt>
                <c:pt idx="14">
                  <c:v>7.2157814481999996E-2</c:v>
                </c:pt>
              </c:numCache>
            </c:numRef>
          </c:val>
          <c:extLst>
            <c:ext xmlns:c16="http://schemas.microsoft.com/office/drawing/2014/chart" uri="{C3380CC4-5D6E-409C-BE32-E72D297353CC}">
              <c16:uniqueId val="{00000002-82A1-49D7-9E5F-F95006885D32}"/>
            </c:ext>
          </c:extLst>
        </c:ser>
        <c:ser>
          <c:idx val="1"/>
          <c:order val="1"/>
          <c:tx>
            <c:strRef>
              <c:f>'2.14'!$H$3</c:f>
              <c:strCache>
                <c:ptCount val="1"/>
                <c:pt idx="0">
                  <c:v> 1. pol. 2021</c:v>
                </c:pt>
              </c:strCache>
            </c:strRef>
          </c:tx>
          <c:spPr>
            <a:solidFill>
              <a:srgbClr val="632827"/>
            </a:solidFill>
            <a:ln>
              <a:noFill/>
            </a:ln>
            <a:effectLst/>
          </c:spPr>
          <c:invertIfNegative val="0"/>
          <c:dPt>
            <c:idx val="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82A1-49D7-9E5F-F95006885D32}"/>
              </c:ext>
            </c:extLst>
          </c:dPt>
          <c:cat>
            <c:strRef>
              <c:f>'2.14'!$F$4:$F$18</c:f>
              <c:strCache>
                <c:ptCount val="15"/>
                <c:pt idx="0">
                  <c:v>Hl. m. Praha</c:v>
                </c:pt>
                <c:pt idx="1">
                  <c:v>Jihomoravský kraj</c:v>
                </c:pt>
                <c:pt idx="2">
                  <c:v>ČR CELKEM</c:v>
                </c:pt>
                <c:pt idx="3">
                  <c:v>Středočeský kraj</c:v>
                </c:pt>
                <c:pt idx="4">
                  <c:v>Pardubický kraj</c:v>
                </c:pt>
                <c:pt idx="5">
                  <c:v>Olomoucký kraj</c:v>
                </c:pt>
                <c:pt idx="6">
                  <c:v>Kraj Vysočina</c:v>
                </c:pt>
                <c:pt idx="7">
                  <c:v>Jihočeský kraj</c:v>
                </c:pt>
                <c:pt idx="8">
                  <c:v>Královéhradecký kraj</c:v>
                </c:pt>
                <c:pt idx="9">
                  <c:v>Ústecký kraj</c:v>
                </c:pt>
                <c:pt idx="10">
                  <c:v>Plzeňský kraj</c:v>
                </c:pt>
                <c:pt idx="11">
                  <c:v>Zlínský kraj</c:v>
                </c:pt>
                <c:pt idx="12">
                  <c:v>Liberecký kraj</c:v>
                </c:pt>
                <c:pt idx="13">
                  <c:v>Karlovarský kraj</c:v>
                </c:pt>
                <c:pt idx="14">
                  <c:v>Moravskoslezský kraj</c:v>
                </c:pt>
              </c:strCache>
            </c:strRef>
          </c:cat>
          <c:val>
            <c:numRef>
              <c:f>'2.14'!$H$4:$H$18</c:f>
              <c:numCache>
                <c:formatCode>General</c:formatCode>
                <c:ptCount val="15"/>
                <c:pt idx="0">
                  <c:v>4.2945263653000006E-2</c:v>
                </c:pt>
                <c:pt idx="1">
                  <c:v>5.7814942198999998E-2</c:v>
                </c:pt>
                <c:pt idx="2">
                  <c:v>5.9926725555999996E-2</c:v>
                </c:pt>
                <c:pt idx="3">
                  <c:v>6.2776858320000004E-2</c:v>
                </c:pt>
                <c:pt idx="4">
                  <c:v>6.3884034994E-2</c:v>
                </c:pt>
                <c:pt idx="5">
                  <c:v>6.4193719366000004E-2</c:v>
                </c:pt>
                <c:pt idx="6">
                  <c:v>6.4235472959999998E-2</c:v>
                </c:pt>
                <c:pt idx="7">
                  <c:v>6.6818668823999991E-2</c:v>
                </c:pt>
                <c:pt idx="8">
                  <c:v>6.7238960426E-2</c:v>
                </c:pt>
                <c:pt idx="9">
                  <c:v>6.7789940320999997E-2</c:v>
                </c:pt>
                <c:pt idx="10">
                  <c:v>6.9569453658000005E-2</c:v>
                </c:pt>
                <c:pt idx="11">
                  <c:v>6.9938438642999992E-2</c:v>
                </c:pt>
                <c:pt idx="12">
                  <c:v>7.0371428941E-2</c:v>
                </c:pt>
                <c:pt idx="13">
                  <c:v>7.2226521027000001E-2</c:v>
                </c:pt>
                <c:pt idx="14">
                  <c:v>7.3561787505999995E-2</c:v>
                </c:pt>
              </c:numCache>
            </c:numRef>
          </c:val>
          <c:extLst>
            <c:ext xmlns:c16="http://schemas.microsoft.com/office/drawing/2014/chart" uri="{C3380CC4-5D6E-409C-BE32-E72D297353CC}">
              <c16:uniqueId val="{00000005-82A1-49D7-9E5F-F95006885D32}"/>
            </c:ext>
          </c:extLst>
        </c:ser>
        <c:dLbls>
          <c:showLegendKey val="0"/>
          <c:showVal val="0"/>
          <c:showCatName val="0"/>
          <c:showSerName val="0"/>
          <c:showPercent val="0"/>
          <c:showBubbleSize val="0"/>
        </c:dLbls>
        <c:gapWidth val="182"/>
        <c:axId val="1928479695"/>
        <c:axId val="1928478031"/>
      </c:barChart>
      <c:catAx>
        <c:axId val="192847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8031"/>
        <c:crosses val="autoZero"/>
        <c:auto val="1"/>
        <c:lblAlgn val="ctr"/>
        <c:lblOffset val="100"/>
        <c:noMultiLvlLbl val="0"/>
      </c:catAx>
      <c:valAx>
        <c:axId val="1928478031"/>
        <c:scaling>
          <c:orientation val="minMax"/>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28479695"/>
        <c:crosses val="autoZero"/>
        <c:crossBetween val="between"/>
      </c:valAx>
      <c:spPr>
        <a:noFill/>
        <a:ln>
          <a:noFill/>
        </a:ln>
        <a:effectLst/>
      </c:spPr>
    </c:plotArea>
    <c:legend>
      <c:legendPos val="r"/>
      <c:layout>
        <c:manualLayout>
          <c:xMode val="edge"/>
          <c:yMode val="edge"/>
          <c:x val="0.81708527349778948"/>
          <c:y val="0.7355225822236412"/>
          <c:w val="0.12062236769822376"/>
          <c:h val="0.11250921221054265"/>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8135610955607"/>
          <c:y val="9.70486798555171E-2"/>
          <c:w val="0.42761137415962541"/>
          <c:h val="0.79054755391660492"/>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1F56-4C9F-8C78-F5B2B3ED4EE6}"/>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1F56-4C9F-8C78-F5B2B3ED4EE6}"/>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1F56-4C9F-8C78-F5B2B3ED4EE6}"/>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1F56-4C9F-8C78-F5B2B3ED4EE6}"/>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1F56-4C9F-8C78-F5B2B3ED4EE6}"/>
              </c:ext>
            </c:extLst>
          </c:dPt>
          <c:dPt>
            <c:idx val="5"/>
            <c:bubble3D val="0"/>
            <c:spPr>
              <a:solidFill>
                <a:srgbClr val="FA9696"/>
              </a:solidFill>
              <a:ln w="19050">
                <a:solidFill>
                  <a:schemeClr val="lt1"/>
                </a:solidFill>
              </a:ln>
              <a:effectLst/>
            </c:spPr>
            <c:extLst>
              <c:ext xmlns:c16="http://schemas.microsoft.com/office/drawing/2014/chart" uri="{C3380CC4-5D6E-409C-BE32-E72D297353CC}">
                <c16:uniqueId val="{0000000B-1F56-4C9F-8C78-F5B2B3ED4EE6}"/>
              </c:ext>
            </c:extLst>
          </c:dPt>
          <c:dPt>
            <c:idx val="6"/>
            <c:bubble3D val="0"/>
            <c:spPr>
              <a:solidFill>
                <a:srgbClr val="D79895"/>
              </a:solidFill>
              <a:ln w="19050">
                <a:solidFill>
                  <a:schemeClr val="lt1"/>
                </a:solidFill>
              </a:ln>
              <a:effectLst/>
            </c:spPr>
            <c:extLst>
              <c:ext xmlns:c16="http://schemas.microsoft.com/office/drawing/2014/chart" uri="{C3380CC4-5D6E-409C-BE32-E72D297353CC}">
                <c16:uniqueId val="{0000000D-1F56-4C9F-8C78-F5B2B3ED4EE6}"/>
              </c:ext>
            </c:extLst>
          </c:dPt>
          <c:dPt>
            <c:idx val="7"/>
            <c:bubble3D val="0"/>
            <c:spPr>
              <a:solidFill>
                <a:srgbClr val="EBCDCB"/>
              </a:solidFill>
              <a:ln w="19050">
                <a:solidFill>
                  <a:schemeClr val="lt1"/>
                </a:solidFill>
              </a:ln>
              <a:effectLst/>
            </c:spPr>
            <c:extLst>
              <c:ext xmlns:c16="http://schemas.microsoft.com/office/drawing/2014/chart" uri="{C3380CC4-5D6E-409C-BE32-E72D297353CC}">
                <c16:uniqueId val="{0000000F-1F56-4C9F-8C78-F5B2B3ED4EE6}"/>
              </c:ext>
            </c:extLst>
          </c:dPt>
          <c:dPt>
            <c:idx val="8"/>
            <c:bubble3D val="0"/>
            <c:spPr>
              <a:solidFill>
                <a:srgbClr val="E2B6B4"/>
              </a:solidFill>
              <a:ln w="19050">
                <a:solidFill>
                  <a:schemeClr val="lt1"/>
                </a:solidFill>
              </a:ln>
              <a:effectLst/>
            </c:spPr>
            <c:extLst>
              <c:ext xmlns:c16="http://schemas.microsoft.com/office/drawing/2014/chart" uri="{C3380CC4-5D6E-409C-BE32-E72D297353CC}">
                <c16:uniqueId val="{00000011-1F56-4C9F-8C78-F5B2B3ED4EE6}"/>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1F56-4C9F-8C78-F5B2B3ED4EE6}"/>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1F56-4C9F-8C78-F5B2B3ED4EE6}"/>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1F56-4C9F-8C78-F5B2B3ED4EE6}"/>
              </c:ext>
            </c:extLst>
          </c:dPt>
          <c:dLbls>
            <c:dLbl>
              <c:idx val="0"/>
              <c:layout>
                <c:manualLayout>
                  <c:x val="0.12651308303031888"/>
                  <c:y val="0.19857330693548142"/>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783804640698981"/>
                      <c:h val="0.15744736802333489"/>
                    </c:manualLayout>
                  </c15:layout>
                </c:ext>
                <c:ext xmlns:c16="http://schemas.microsoft.com/office/drawing/2014/chart" uri="{C3380CC4-5D6E-409C-BE32-E72D297353CC}">
                  <c16:uniqueId val="{00000001-1F56-4C9F-8C78-F5B2B3ED4EE6}"/>
                </c:ext>
              </c:extLst>
            </c:dLbl>
            <c:dLbl>
              <c:idx val="1"/>
              <c:layout>
                <c:manualLayout>
                  <c:x val="-9.0196065608078066E-2"/>
                  <c:y val="0.1333882448954917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390725141915401"/>
                      <c:h val="0.20224280985989995"/>
                    </c:manualLayout>
                  </c15:layout>
                </c:ext>
                <c:ext xmlns:c16="http://schemas.microsoft.com/office/drawing/2014/chart" uri="{C3380CC4-5D6E-409C-BE32-E72D297353CC}">
                  <c16:uniqueId val="{00000003-1F56-4C9F-8C78-F5B2B3ED4EE6}"/>
                </c:ext>
              </c:extLst>
            </c:dLbl>
            <c:dLbl>
              <c:idx val="2"/>
              <c:layout>
                <c:manualLayout>
                  <c:x val="-9.6425383236979176E-2"/>
                  <c:y val="0.10722565629392296"/>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15:layout>
                    <c:manualLayout>
                      <c:w val="0.10481727574750829"/>
                      <c:h val="0.14737044145873321"/>
                    </c:manualLayout>
                  </c15:layout>
                </c:ext>
                <c:ext xmlns:c16="http://schemas.microsoft.com/office/drawing/2014/chart" uri="{C3380CC4-5D6E-409C-BE32-E72D297353CC}">
                  <c16:uniqueId val="{00000005-1F56-4C9F-8C78-F5B2B3ED4EE6}"/>
                </c:ext>
              </c:extLst>
            </c:dLbl>
            <c:dLbl>
              <c:idx val="3"/>
              <c:layout>
                <c:manualLayout>
                  <c:x val="-1.7564319721662711E-2"/>
                  <c:y val="-0.1225523297111853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483669919167079"/>
                      <c:h val="0.13314492118427615"/>
                    </c:manualLayout>
                  </c15:layout>
                </c:ext>
                <c:ext xmlns:c16="http://schemas.microsoft.com/office/drawing/2014/chart" uri="{C3380CC4-5D6E-409C-BE32-E72D297353CC}">
                  <c16:uniqueId val="{00000007-1F56-4C9F-8C78-F5B2B3ED4EE6}"/>
                </c:ext>
              </c:extLst>
            </c:dLbl>
            <c:dLbl>
              <c:idx val="4"/>
              <c:layout>
                <c:manualLayout>
                  <c:x val="0.14665027336699199"/>
                  <c:y val="-0.1410694152674293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733483532581682"/>
                      <c:h val="0.12349993199026706"/>
                    </c:manualLayout>
                  </c15:layout>
                </c:ext>
                <c:ext xmlns:c16="http://schemas.microsoft.com/office/drawing/2014/chart" uri="{C3380CC4-5D6E-409C-BE32-E72D297353CC}">
                  <c16:uniqueId val="{00000009-1F56-4C9F-8C78-F5B2B3ED4EE6}"/>
                </c:ext>
              </c:extLst>
            </c:dLbl>
            <c:dLbl>
              <c:idx val="5"/>
              <c:layout>
                <c:manualLayout>
                  <c:x val="0.1314347516153504"/>
                  <c:y val="-0.1040376622787794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F56-4C9F-8C78-F5B2B3ED4EE6}"/>
                </c:ext>
              </c:extLst>
            </c:dLbl>
            <c:dLbl>
              <c:idx val="6"/>
              <c:layout>
                <c:manualLayout>
                  <c:x val="0.14494058518847935"/>
                  <c:y val="-5.3820786797043919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22250192926465587"/>
                      <c:h val="0.10452521649764988"/>
                    </c:manualLayout>
                  </c15:layout>
                </c:ext>
                <c:ext xmlns:c16="http://schemas.microsoft.com/office/drawing/2014/chart" uri="{C3380CC4-5D6E-409C-BE32-E72D297353CC}">
                  <c16:uniqueId val="{0000000D-1F56-4C9F-8C78-F5B2B3ED4EE6}"/>
                </c:ext>
              </c:extLst>
            </c:dLbl>
            <c:dLbl>
              <c:idx val="7"/>
              <c:layout>
                <c:manualLayout>
                  <c:x val="0.13201026107201716"/>
                  <c:y val="-3.867486813668445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042159337640935"/>
                      <c:h val="8.6698807562682306E-2"/>
                    </c:manualLayout>
                  </c15:layout>
                </c:ext>
                <c:ext xmlns:c16="http://schemas.microsoft.com/office/drawing/2014/chart" uri="{C3380CC4-5D6E-409C-BE32-E72D297353CC}">
                  <c16:uniqueId val="{0000000F-1F56-4C9F-8C78-F5B2B3ED4EE6}"/>
                </c:ext>
              </c:extLst>
            </c:dLbl>
            <c:dLbl>
              <c:idx val="8"/>
              <c:layout>
                <c:manualLayout>
                  <c:x val="0.15173053404661621"/>
                  <c:y val="3.996947118654314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792142987940463"/>
                      <c:h val="8.6698807562682306E-2"/>
                    </c:manualLayout>
                  </c15:layout>
                </c:ext>
                <c:ext xmlns:c16="http://schemas.microsoft.com/office/drawing/2014/chart" uri="{C3380CC4-5D6E-409C-BE32-E72D297353CC}">
                  <c16:uniqueId val="{00000011-1F56-4C9F-8C78-F5B2B3ED4EE6}"/>
                </c:ext>
              </c:extLst>
            </c:dLbl>
            <c:dLbl>
              <c:idx val="9"/>
              <c:layout>
                <c:manualLayout>
                  <c:x val="9.8916505349621847E-2"/>
                  <c:y val="7.976226820016020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2580980066445183"/>
                      <c:h val="9.3627639155470233E-2"/>
                    </c:manualLayout>
                  </c15:layout>
                </c:ext>
                <c:ext xmlns:c16="http://schemas.microsoft.com/office/drawing/2014/chart" uri="{C3380CC4-5D6E-409C-BE32-E72D297353CC}">
                  <c16:uniqueId val="{00000013-1F56-4C9F-8C78-F5B2B3ED4EE6}"/>
                </c:ext>
              </c:extLst>
            </c:dLbl>
            <c:dLbl>
              <c:idx val="10"/>
              <c:layout>
                <c:manualLayout>
                  <c:x val="3.3986776362256894E-2"/>
                  <c:y val="0.14433237112155606"/>
                </c:manualLayout>
              </c:layout>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1F56-4C9F-8C78-F5B2B3ED4EE6}"/>
                </c:ext>
              </c:extLst>
            </c:dLbl>
            <c:numFmt formatCode="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'3.1'!$G$4:$G$15</c:f>
              <c:strCache>
                <c:ptCount val="12"/>
                <c:pt idx="0">
                  <c:v>   nemoci dýchací soustavy</c:v>
                </c:pt>
                <c:pt idx="1">
                  <c:v>   nemoci pohybové soustavy</c:v>
                </c:pt>
                <c:pt idx="2">
                  <c:v>   úrazy, otravy</c:v>
                </c:pt>
                <c:pt idx="3">
                  <c:v>   nemoci trávicí soustavy</c:v>
                </c:pt>
                <c:pt idx="4">
                  <c:v>   nemoci močové a pohlavní soustavy</c:v>
                </c:pt>
                <c:pt idx="5">
                  <c:v>   nemoci duševní</c:v>
                </c:pt>
                <c:pt idx="6">
                  <c:v>   nemoci oběhové soustavy</c:v>
                </c:pt>
                <c:pt idx="7">
                  <c:v>   nemoci nervové soustavy</c:v>
                </c:pt>
                <c:pt idx="8">
                  <c:v>   těhotenství, porod, šestinedělí</c:v>
                </c:pt>
                <c:pt idx="9">
                  <c:v>   nemoci kůže</c:v>
                </c:pt>
                <c:pt idx="10">
                  <c:v>   zhoubné novotvary</c:v>
                </c:pt>
                <c:pt idx="11">
                  <c:v>   nemoci ostatní</c:v>
                </c:pt>
              </c:strCache>
            </c:strRef>
          </c:cat>
          <c:val>
            <c:numRef>
              <c:f>'3.1'!$H$4:$H$15</c:f>
              <c:numCache>
                <c:formatCode>0.00000%</c:formatCode>
                <c:ptCount val="12"/>
                <c:pt idx="0">
                  <c:v>0.16228737098913948</c:v>
                </c:pt>
                <c:pt idx="1">
                  <c:v>0.13958961055022148</c:v>
                </c:pt>
                <c:pt idx="2">
                  <c:v>6.3242023250061841E-2</c:v>
                </c:pt>
                <c:pt idx="3">
                  <c:v>4.1443684932430912E-2</c:v>
                </c:pt>
                <c:pt idx="4">
                  <c:v>2.4019489353090638E-2</c:v>
                </c:pt>
                <c:pt idx="5">
                  <c:v>1.9237795966091785E-2</c:v>
                </c:pt>
                <c:pt idx="6">
                  <c:v>1.7460031929485306E-2</c:v>
                </c:pt>
                <c:pt idx="7">
                  <c:v>1.1490820272974614E-2</c:v>
                </c:pt>
                <c:pt idx="8">
                  <c:v>1.0663773525509859E-2</c:v>
                </c:pt>
                <c:pt idx="9">
                  <c:v>9.8676444134643496E-3</c:v>
                </c:pt>
                <c:pt idx="10">
                  <c:v>4.9861713848852116E-3</c:v>
                </c:pt>
                <c:pt idx="11">
                  <c:v>0.4956848818384188</c:v>
                </c:pt>
              </c:numCache>
            </c:numRef>
          </c:val>
          <c:extLst>
            <c:ext xmlns:c16="http://schemas.microsoft.com/office/drawing/2014/chart" uri="{C3380CC4-5D6E-409C-BE32-E72D297353CC}">
              <c16:uniqueId val="{00000018-1F56-4C9F-8C78-F5B2B3ED4EE6}"/>
            </c:ext>
          </c:extLst>
        </c:ser>
        <c:dLbls>
          <c:showLegendKey val="0"/>
          <c:showVal val="0"/>
          <c:showCatName val="0"/>
          <c:showSerName val="0"/>
          <c:showPercent val="0"/>
          <c:showBubbleSize val="0"/>
          <c:showLeaderLines val="1"/>
        </c:dLbls>
        <c:firstSliceAng val="29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4"/>
          <c:order val="0"/>
          <c:tx>
            <c:strRef>
              <c:f>'1.1'!$A$19</c:f>
              <c:strCache>
                <c:ptCount val="1"/>
                <c:pt idx="0">
                  <c:v> 500 a více zaměstnanců</c:v>
                </c:pt>
              </c:strCache>
            </c:strRef>
          </c:tx>
          <c:spPr>
            <a:solidFill>
              <a:srgbClr val="E8C1BE"/>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2011</c:v>
                </c:pt>
                <c:pt idx="1">
                  <c:v>1. pol. 2016</c:v>
                </c:pt>
                <c:pt idx="2">
                  <c:v>1. pol. 2021</c:v>
                </c:pt>
              </c:strCache>
            </c:strRef>
          </c:cat>
          <c:val>
            <c:numRef>
              <c:f>'1.1'!$B$19:$D$19</c:f>
              <c:numCache>
                <c:formatCode>0.0%</c:formatCode>
                <c:ptCount val="3"/>
                <c:pt idx="0">
                  <c:v>0.29512311615057452</c:v>
                </c:pt>
                <c:pt idx="1">
                  <c:v>0.33122569845849525</c:v>
                </c:pt>
                <c:pt idx="2">
                  <c:v>0.32741901847981603</c:v>
                </c:pt>
              </c:numCache>
            </c:numRef>
          </c:val>
          <c:extLst>
            <c:ext xmlns:c16="http://schemas.microsoft.com/office/drawing/2014/chart" uri="{C3380CC4-5D6E-409C-BE32-E72D297353CC}">
              <c16:uniqueId val="{00000000-A6FA-4830-84C1-ED5EB9BFAF52}"/>
            </c:ext>
          </c:extLst>
        </c:ser>
        <c:ser>
          <c:idx val="3"/>
          <c:order val="1"/>
          <c:tx>
            <c:strRef>
              <c:f>'1.1'!$A$18</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2011</c:v>
                </c:pt>
                <c:pt idx="1">
                  <c:v>1. pol. 2016</c:v>
                </c:pt>
                <c:pt idx="2">
                  <c:v>1. pol. 2021</c:v>
                </c:pt>
              </c:strCache>
            </c:strRef>
          </c:cat>
          <c:val>
            <c:numRef>
              <c:f>'1.1'!$B$18:$D$18</c:f>
              <c:numCache>
                <c:formatCode>0.0%</c:formatCode>
                <c:ptCount val="3"/>
                <c:pt idx="0">
                  <c:v>9.3377082240627116E-2</c:v>
                </c:pt>
                <c:pt idx="1">
                  <c:v>9.5596008232811364E-2</c:v>
                </c:pt>
                <c:pt idx="2">
                  <c:v>9.6054517884085505E-2</c:v>
                </c:pt>
              </c:numCache>
            </c:numRef>
          </c:val>
          <c:extLst>
            <c:ext xmlns:c16="http://schemas.microsoft.com/office/drawing/2014/chart" uri="{C3380CC4-5D6E-409C-BE32-E72D297353CC}">
              <c16:uniqueId val="{00000001-A6FA-4830-84C1-ED5EB9BFAF52}"/>
            </c:ext>
          </c:extLst>
        </c:ser>
        <c:ser>
          <c:idx val="2"/>
          <c:order val="2"/>
          <c:tx>
            <c:strRef>
              <c:f>'1.1'!$A$17</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2011</c:v>
                </c:pt>
                <c:pt idx="1">
                  <c:v>1. pol. 2016</c:v>
                </c:pt>
                <c:pt idx="2">
                  <c:v>1. pol. 2021</c:v>
                </c:pt>
              </c:strCache>
            </c:strRef>
          </c:cat>
          <c:val>
            <c:numRef>
              <c:f>'1.1'!$B$17:$D$17</c:f>
              <c:numCache>
                <c:formatCode>0.0%</c:formatCode>
                <c:ptCount val="3"/>
                <c:pt idx="0">
                  <c:v>0.22770861390919639</c:v>
                </c:pt>
                <c:pt idx="1">
                  <c:v>0.23327257715946637</c:v>
                </c:pt>
                <c:pt idx="2">
                  <c:v>0.23900576557793432</c:v>
                </c:pt>
              </c:numCache>
            </c:numRef>
          </c:val>
          <c:extLst>
            <c:ext xmlns:c16="http://schemas.microsoft.com/office/drawing/2014/chart" uri="{C3380CC4-5D6E-409C-BE32-E72D297353CC}">
              <c16:uniqueId val="{00000002-A6FA-4830-84C1-ED5EB9BFAF52}"/>
            </c:ext>
          </c:extLst>
        </c:ser>
        <c:ser>
          <c:idx val="1"/>
          <c:order val="3"/>
          <c:tx>
            <c:strRef>
              <c:f>'1.1'!$A$16</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2011</c:v>
                </c:pt>
                <c:pt idx="1">
                  <c:v>1. pol. 2016</c:v>
                </c:pt>
                <c:pt idx="2">
                  <c:v>1. pol. 2021</c:v>
                </c:pt>
              </c:strCache>
            </c:strRef>
          </c:cat>
          <c:val>
            <c:numRef>
              <c:f>'1.1'!$B$16:$D$16</c:f>
              <c:numCache>
                <c:formatCode>0.0%</c:formatCode>
                <c:ptCount val="3"/>
                <c:pt idx="0">
                  <c:v>0.34956697144051624</c:v>
                </c:pt>
                <c:pt idx="1">
                  <c:v>0.32039355851466145</c:v>
                </c:pt>
                <c:pt idx="2">
                  <c:v>0.31675776675628908</c:v>
                </c:pt>
              </c:numCache>
            </c:numRef>
          </c:val>
          <c:extLst>
            <c:ext xmlns:c16="http://schemas.microsoft.com/office/drawing/2014/chart" uri="{C3380CC4-5D6E-409C-BE32-E72D297353CC}">
              <c16:uniqueId val="{00000003-A6FA-4830-84C1-ED5EB9BFAF52}"/>
            </c:ext>
          </c:extLst>
        </c:ser>
        <c:ser>
          <c:idx val="0"/>
          <c:order val="4"/>
          <c:tx>
            <c:strRef>
              <c:f>'1.1'!$A$15</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'1.1'!$B$14:$D$14</c:f>
              <c:strCache>
                <c:ptCount val="3"/>
                <c:pt idx="0">
                  <c:v>1. pol. 2011</c:v>
                </c:pt>
                <c:pt idx="1">
                  <c:v>1. pol. 2016</c:v>
                </c:pt>
                <c:pt idx="2">
                  <c:v>1. pol. 2021</c:v>
                </c:pt>
              </c:strCache>
            </c:strRef>
          </c:cat>
          <c:val>
            <c:numRef>
              <c:f>'1.1'!$B$15:$D$15</c:f>
              <c:numCache>
                <c:formatCode>0.0%</c:formatCode>
                <c:ptCount val="3"/>
                <c:pt idx="0">
                  <c:v>3.4224216259085755E-2</c:v>
                </c:pt>
                <c:pt idx="1">
                  <c:v>1.951215763456551E-2</c:v>
                </c:pt>
                <c:pt idx="2">
                  <c:v>2.0762931301875152E-2</c:v>
                </c:pt>
              </c:numCache>
            </c:numRef>
          </c:val>
          <c:extLst>
            <c:ext xmlns:c16="http://schemas.microsoft.com/office/drawing/2014/chart" uri="{C3380CC4-5D6E-409C-BE32-E72D297353CC}">
              <c16:uniqueId val="{00000004-A6FA-4830-84C1-ED5EB9BFAF52}"/>
            </c:ext>
          </c:extLst>
        </c:ser>
        <c:dLbls>
          <c:showLegendKey val="0"/>
          <c:showVal val="0"/>
          <c:showCatName val="0"/>
          <c:showSerName val="0"/>
          <c:showPercent val="0"/>
          <c:showBubbleSize val="0"/>
        </c:dLbls>
        <c:gapWidth val="85"/>
        <c:overlap val="100"/>
        <c:axId val="1985728400"/>
        <c:axId val="1985730064"/>
      </c:barChart>
      <c:catAx>
        <c:axId val="198572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5730064"/>
        <c:crosses val="autoZero"/>
        <c:auto val="1"/>
        <c:lblAlgn val="ctr"/>
        <c:lblOffset val="100"/>
        <c:noMultiLvlLbl val="0"/>
      </c:catAx>
      <c:valAx>
        <c:axId val="1985730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85728400"/>
        <c:crosses val="autoZero"/>
        <c:crossBetween val="between"/>
      </c:valAx>
      <c:spPr>
        <a:noFill/>
        <a:ln>
          <a:noFill/>
        </a:ln>
        <a:effectLst/>
      </c:spPr>
    </c:plotArea>
    <c:legend>
      <c:legendPos val="l"/>
      <c:layout>
        <c:manualLayout>
          <c:xMode val="edge"/>
          <c:yMode val="edge"/>
          <c:x val="0"/>
          <c:y val="0.22579651501895595"/>
          <c:w val="0.3805716100531038"/>
          <c:h val="0.548406969962088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849693452426"/>
          <c:y val="4.8404840484048403E-2"/>
          <c:w val="0.83967576989536574"/>
          <c:h val="0.72521930509394539"/>
        </c:manualLayout>
      </c:layout>
      <c:barChart>
        <c:barDir val="col"/>
        <c:grouping val="clustered"/>
        <c:varyColors val="0"/>
        <c:ser>
          <c:idx val="0"/>
          <c:order val="0"/>
          <c:tx>
            <c:strRef>
              <c:f>'4.1'!$B$3</c:f>
              <c:strCache>
                <c:ptCount val="1"/>
                <c:pt idx="0">
                  <c:v> nemocenské</c:v>
                </c:pt>
              </c:strCache>
            </c:strRef>
          </c:tx>
          <c:spPr>
            <a:solidFill>
              <a:srgbClr val="9A40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'4.1'!$B$4:$B$14</c:f>
              <c:numCache>
                <c:formatCode>#,##0.00</c:formatCode>
                <c:ptCount val="11"/>
                <c:pt idx="0">
                  <c:v>7.5798220235400002</c:v>
                </c:pt>
                <c:pt idx="1">
                  <c:v>6.2087213491500002</c:v>
                </c:pt>
                <c:pt idx="2">
                  <c:v>6.4451856920499999</c:v>
                </c:pt>
                <c:pt idx="3">
                  <c:v>7.0990587236899998</c:v>
                </c:pt>
                <c:pt idx="4">
                  <c:v>8.0224034105699999</c:v>
                </c:pt>
                <c:pt idx="5">
                  <c:v>8.8471537781199991</c:v>
                </c:pt>
                <c:pt idx="6">
                  <c:v>9.6800929760399992</c:v>
                </c:pt>
                <c:pt idx="7">
                  <c:v>11.60475287349</c:v>
                </c:pt>
                <c:pt idx="8">
                  <c:v>13.78</c:v>
                </c:pt>
                <c:pt idx="9">
                  <c:v>17.03</c:v>
                </c:pt>
                <c:pt idx="10">
                  <c:v>18.38838624568</c:v>
                </c:pt>
              </c:numCache>
            </c:numRef>
          </c:val>
          <c:extLst>
            <c:ext xmlns:c16="http://schemas.microsoft.com/office/drawing/2014/chart" uri="{C3380CC4-5D6E-409C-BE32-E72D297353CC}">
              <c16:uniqueId val="{00000000-1EF7-45A7-A8C4-97D7FF22441F}"/>
            </c:ext>
          </c:extLst>
        </c:ser>
        <c:dLbls>
          <c:showLegendKey val="0"/>
          <c:showVal val="0"/>
          <c:showCatName val="0"/>
          <c:showSerName val="0"/>
          <c:showPercent val="0"/>
          <c:showBubbleSize val="0"/>
        </c:dLbls>
        <c:gapWidth val="39"/>
        <c:overlap val="-27"/>
        <c:axId val="1503469919"/>
        <c:axId val="1503464095"/>
      </c:barChart>
      <c:scatterChart>
        <c:scatterStyle val="lineMarker"/>
        <c:varyColors val="0"/>
        <c:ser>
          <c:idx val="1"/>
          <c:order val="1"/>
          <c:tx>
            <c:strRef>
              <c:f>'4.1'!$C$3</c:f>
              <c:strCache>
                <c:ptCount val="1"/>
                <c:pt idx="0">
                  <c:v> výdaje na 1 pojištěnce</c:v>
                </c:pt>
              </c:strCache>
            </c:strRef>
          </c:tx>
          <c:spPr>
            <a:ln w="25400" cap="rnd">
              <a:noFill/>
              <a:round/>
            </a:ln>
            <a:effectLst/>
          </c:spPr>
          <c:marker>
            <c:symbol val="circle"/>
            <c:size val="5"/>
            <c:spPr>
              <a:solidFill>
                <a:srgbClr val="4E201E"/>
              </a:solidFill>
              <a:ln w="9525">
                <a:solidFill>
                  <a:srgbClr val="4E201E"/>
                </a:solidFill>
              </a:ln>
              <a:effectLst/>
            </c:spPr>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'4.1'!$A$4:$A$14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xVal>
          <c:yVal>
            <c:numRef>
              <c:f>'4.1'!$C$4:$C$14</c:f>
              <c:numCache>
                <c:formatCode>#\ ##0.0</c:formatCode>
                <c:ptCount val="11"/>
                <c:pt idx="0">
                  <c:v>1812.8631697532703</c:v>
                </c:pt>
                <c:pt idx="1">
                  <c:v>1392.3965656003184</c:v>
                </c:pt>
                <c:pt idx="2">
                  <c:v>1459.6910825635921</c:v>
                </c:pt>
                <c:pt idx="3">
                  <c:v>1608.4862123555822</c:v>
                </c:pt>
                <c:pt idx="4">
                  <c:v>1794.1792547150189</c:v>
                </c:pt>
                <c:pt idx="5">
                  <c:v>1948.914045753635</c:v>
                </c:pt>
                <c:pt idx="6">
                  <c:v>2089.7812741161788</c:v>
                </c:pt>
                <c:pt idx="7">
                  <c:v>2463.4419705344412</c:v>
                </c:pt>
                <c:pt idx="8">
                  <c:v>2909.0792405318762</c:v>
                </c:pt>
                <c:pt idx="9">
                  <c:v>3633.2148382750302</c:v>
                </c:pt>
                <c:pt idx="10">
                  <c:v>3921.9294949873802</c:v>
                </c:pt>
              </c:numCache>
            </c:numRef>
          </c:yVal>
          <c:smooth val="0"/>
          <c:extLst>
            <c:ext xmlns:c16="http://schemas.microsoft.com/office/drawing/2014/chart" uri="{C3380CC4-5D6E-409C-BE32-E72D297353CC}">
              <c16:uniqueId val="{00000001-1EF7-45A7-A8C4-97D7FF22441F}"/>
            </c:ext>
          </c:extLst>
        </c:ser>
        <c:dLbls>
          <c:showLegendKey val="0"/>
          <c:showVal val="0"/>
          <c:showCatName val="0"/>
          <c:showSerName val="0"/>
          <c:showPercent val="0"/>
          <c:showBubbleSize val="0"/>
        </c:dLbls>
        <c:axId val="1503477407"/>
        <c:axId val="1503468671"/>
      </c:scatterChart>
      <c:catAx>
        <c:axId val="150346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4095"/>
        <c:crosses val="autoZero"/>
        <c:auto val="1"/>
        <c:lblAlgn val="ctr"/>
        <c:lblOffset val="100"/>
        <c:noMultiLvlLbl val="0"/>
      </c:catAx>
      <c:valAx>
        <c:axId val="1503464095"/>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3469919"/>
        <c:crosses val="autoZero"/>
        <c:crossBetween val="between"/>
        <c:majorUnit val="2"/>
      </c:valAx>
      <c:valAx>
        <c:axId val="1503468671"/>
        <c:scaling>
          <c:orientation val="minMax"/>
          <c:max val="4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503477407"/>
        <c:crosses val="max"/>
        <c:crossBetween val="midCat"/>
        <c:majorUnit val="400"/>
      </c:valAx>
      <c:valAx>
        <c:axId val="1503477407"/>
        <c:scaling>
          <c:orientation val="minMax"/>
        </c:scaling>
        <c:delete val="1"/>
        <c:axPos val="b"/>
        <c:numFmt formatCode="General" sourceLinked="1"/>
        <c:majorTickMark val="out"/>
        <c:minorTickMark val="none"/>
        <c:tickLblPos val="nextTo"/>
        <c:crossAx val="15034686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'4.2'!$B$4</c:f>
              <c:strCache>
                <c:ptCount val="1"/>
                <c:pt idx="0">
                  <c:v> neschopenky z důvodu karantény či izolace</c:v>
                </c:pt>
              </c:strCache>
            </c:strRef>
          </c:tx>
          <c:spPr>
            <a:solidFill>
              <a:srgbClr val="B44946"/>
            </a:solidFill>
            <a:ln>
              <a:noFill/>
            </a:ln>
            <a:effectLst/>
          </c:spPr>
          <c:invertIfNegative val="0"/>
          <c:dLbls>
            <c:dLbl>
              <c:idx val="5"/>
              <c:layout>
                <c:manualLayout>
                  <c:x val="6.0941819393225245E-2"/>
                  <c:y val="2.630983292170570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40-46EF-A51F-AA17326DA5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'4.2'!$A$5:$A$10</c:f>
              <c:strCache>
                <c:ptCount val="6"/>
                <c:pt idx="0">
                  <c:v>leden</c:v>
                </c:pt>
                <c:pt idx="1">
                  <c:v>únor</c:v>
                </c:pt>
                <c:pt idx="2">
                  <c:v>březen</c:v>
                </c:pt>
                <c:pt idx="3">
                  <c:v>duben</c:v>
                </c:pt>
                <c:pt idx="4">
                  <c:v>květen</c:v>
                </c:pt>
                <c:pt idx="5">
                  <c:v>červen</c:v>
                </c:pt>
              </c:strCache>
            </c:strRef>
          </c:cat>
          <c:val>
            <c:numRef>
              <c:f>'4.2'!$B$5:$B$10</c:f>
              <c:numCache>
                <c:formatCode>#,##0</c:formatCode>
                <c:ptCount val="6"/>
                <c:pt idx="0">
                  <c:v>144053</c:v>
                </c:pt>
                <c:pt idx="1">
                  <c:v>141617</c:v>
                </c:pt>
                <c:pt idx="2">
                  <c:v>184438</c:v>
                </c:pt>
                <c:pt idx="3">
                  <c:v>59015</c:v>
                </c:pt>
                <c:pt idx="4">
                  <c:v>21221</c:v>
                </c:pt>
                <c:pt idx="5">
                  <c:v>4922</c:v>
                </c:pt>
              </c:numCache>
            </c:numRef>
          </c:val>
          <c:extLst>
            <c:ext xmlns:c16="http://schemas.microsoft.com/office/drawing/2014/chart" uri="{C3380CC4-5D6E-409C-BE32-E72D297353CC}">
              <c16:uniqueId val="{00000001-BA40-46EF-A51F-AA17326DA5B3}"/>
            </c:ext>
          </c:extLst>
        </c:ser>
        <c:dLbls>
          <c:showLegendKey val="0"/>
          <c:showVal val="0"/>
          <c:showCatName val="0"/>
          <c:showSerName val="0"/>
          <c:showPercent val="0"/>
          <c:showBubbleSize val="0"/>
        </c:dLbls>
        <c:gapWidth val="150"/>
        <c:overlap val="-27"/>
        <c:axId val="684523359"/>
        <c:axId val="684534175"/>
      </c:barChart>
      <c:lineChart>
        <c:grouping val="stacked"/>
        <c:varyColors val="0"/>
        <c:ser>
          <c:idx val="1"/>
          <c:order val="1"/>
          <c:tx>
            <c:strRef>
              <c:f>'4.2'!$C$4</c:f>
              <c:strCache>
                <c:ptCount val="1"/>
                <c:pt idx="0">
                  <c:v> podíl na počtu vydaných neschopenek</c:v>
                </c:pt>
              </c:strCache>
            </c:strRef>
          </c:tx>
          <c:spPr>
            <a:ln w="25400" cap="rnd">
              <a:noFill/>
              <a:round/>
            </a:ln>
            <a:effectLst/>
          </c:spPr>
          <c:marker>
            <c:symbol val="circle"/>
            <c:size val="5"/>
            <c:spPr>
              <a:solidFill>
                <a:schemeClr val="accent2">
                  <a:lumMod val="40000"/>
                  <a:lumOff val="60000"/>
                </a:schemeClr>
              </a:solidFill>
              <a:ln w="9525">
                <a:solidFill>
                  <a:srgbClr val="632827"/>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5-BA40-46EF-A51F-AA17326DA5B3}"/>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4-BA40-46EF-A51F-AA17326DA5B3}"/>
                </c:ext>
              </c:extLst>
            </c:dLbl>
            <c:dLbl>
              <c:idx val="2"/>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3-BA40-46EF-A51F-AA17326DA5B3}"/>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'4.2'!$A$5:$A$10</c:f>
              <c:strCache>
                <c:ptCount val="6"/>
                <c:pt idx="0">
                  <c:v>leden</c:v>
                </c:pt>
                <c:pt idx="1">
                  <c:v>únor</c:v>
                </c:pt>
                <c:pt idx="2">
                  <c:v>březen</c:v>
                </c:pt>
                <c:pt idx="3">
                  <c:v>duben</c:v>
                </c:pt>
                <c:pt idx="4">
                  <c:v>květen</c:v>
                </c:pt>
                <c:pt idx="5">
                  <c:v>červen</c:v>
                </c:pt>
              </c:strCache>
            </c:strRef>
          </c:cat>
          <c:val>
            <c:numRef>
              <c:f>'4.2'!$C$5:$C$10</c:f>
              <c:numCache>
                <c:formatCode>General</c:formatCode>
                <c:ptCount val="6"/>
                <c:pt idx="0">
                  <c:v>0.44409402697495182</c:v>
                </c:pt>
                <c:pt idx="1">
                  <c:v>0.45015941232004525</c:v>
                </c:pt>
                <c:pt idx="2">
                  <c:v>0.51218408168819307</c:v>
                </c:pt>
                <c:pt idx="3">
                  <c:v>0.3194420387130299</c:v>
                </c:pt>
                <c:pt idx="4">
                  <c:v>0.13062292256555461</c:v>
                </c:pt>
                <c:pt idx="5">
                  <c:v>3.0171145547273442E-2</c:v>
                </c:pt>
              </c:numCache>
            </c:numRef>
          </c:val>
          <c:smooth val="0"/>
          <c:extLst>
            <c:ext xmlns:c16="http://schemas.microsoft.com/office/drawing/2014/chart" uri="{C3380CC4-5D6E-409C-BE32-E72D297353CC}">
              <c16:uniqueId val="{00000002-BA40-46EF-A51F-AA17326DA5B3}"/>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min val="0"/>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majorUnit val="0.1"/>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'4.3'!$B$4</c:f>
              <c:strCache>
                <c:ptCount val="1"/>
                <c:pt idx="0">
                  <c:v>Celkové denní součty v ČR:</c:v>
                </c:pt>
              </c:strCache>
            </c:strRef>
          </c:tx>
          <c:spPr>
            <a:ln w="28575" cap="rnd">
              <a:solidFill>
                <a:srgbClr val="632827"/>
              </a:solidFill>
              <a:round/>
            </a:ln>
            <a:effectLst/>
          </c:spPr>
          <c:marker>
            <c:symbol val="none"/>
          </c:marker>
          <c:cat>
            <c:strRef>
              <c:f>'4.3'!$A$5:$A$185</c:f>
              <c:strCache>
                <c:ptCount val="181"/>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strCache>
            </c:strRef>
          </c:cat>
          <c:val>
            <c:numRef>
              <c:f>'4.3'!$B$5:$B$185</c:f>
              <c:numCache>
                <c:formatCode>#,##0</c:formatCode>
                <c:ptCount val="181"/>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numCache>
            </c:numRef>
          </c:val>
          <c:smooth val="0"/>
          <c:extLst>
            <c:ext xmlns:c16="http://schemas.microsoft.com/office/drawing/2014/chart" uri="{C3380CC4-5D6E-409C-BE32-E72D297353CC}">
              <c16:uniqueId val="{00000000-BCE7-4BAD-B864-C206068D547B}"/>
            </c:ext>
          </c:extLst>
        </c:ser>
        <c:dLbls>
          <c:showLegendKey val="0"/>
          <c:showVal val="0"/>
          <c:showCatName val="0"/>
          <c:showSerName val="0"/>
          <c:showPercent val="0"/>
          <c:showBubbleSize val="0"/>
        </c:dLbls>
        <c:smooth val="0"/>
        <c:axId val="666642335"/>
        <c:axId val="666646079"/>
      </c:lineChart>
      <c:catAx>
        <c:axId val="6666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6079"/>
        <c:crosses val="autoZero"/>
        <c:auto val="1"/>
        <c:lblAlgn val="ctr"/>
        <c:lblOffset val="100"/>
        <c:tickLblSkip val="7"/>
        <c:tickMarkSkip val="7"/>
        <c:noMultiLvlLbl val="0"/>
      </c:catAx>
      <c:valAx>
        <c:axId val="666646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66642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'5.1'!$D$3</c:f>
              <c:strCache>
                <c:ptCount val="1"/>
                <c:pt idx="0">
                  <c:v> celkem</c:v>
                </c:pt>
              </c:strCache>
            </c:strRef>
          </c:tx>
          <c:spPr>
            <a:solidFill>
              <a:srgbClr val="632827"/>
            </a:solidFill>
            <a:ln>
              <a:noFill/>
            </a:ln>
            <a:effectLst/>
          </c:spPr>
          <c:invertIfNegative val="0"/>
          <c:cat>
            <c:strRef>
              <c:f>'5.1'!$A$4:$A$14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'5.1'!$D$4:$D$14</c:f>
              <c:numCache>
                <c:formatCode>General</c:formatCode>
                <c:ptCount val="11"/>
                <c:pt idx="0">
                  <c:v>559.36991241369265</c:v>
                </c:pt>
                <c:pt idx="1">
                  <c:v>478.9395333232564</c:v>
                </c:pt>
                <c:pt idx="2">
                  <c:v>487.87834521775267</c:v>
                </c:pt>
                <c:pt idx="3">
                  <c:v>492.89645888991129</c:v>
                </c:pt>
                <c:pt idx="4">
                  <c:v>511.25499010365996</c:v>
                </c:pt>
                <c:pt idx="5">
                  <c:v>532.16962989560591</c:v>
                </c:pt>
                <c:pt idx="6">
                  <c:v>519.11568041523731</c:v>
                </c:pt>
                <c:pt idx="7">
                  <c:v>499.38566541309012</c:v>
                </c:pt>
                <c:pt idx="8">
                  <c:v>481.91916475226174</c:v>
                </c:pt>
                <c:pt idx="9">
                  <c:v>423.63327682693637</c:v>
                </c:pt>
                <c:pt idx="10">
                  <c:v>479.22548855299397</c:v>
                </c:pt>
              </c:numCache>
            </c:numRef>
          </c:val>
          <c:extLst>
            <c:ext xmlns:c16="http://schemas.microsoft.com/office/drawing/2014/chart" uri="{C3380CC4-5D6E-409C-BE32-E72D297353CC}">
              <c16:uniqueId val="{00000000-3AA8-4B6E-98D6-4FA4F1F80657}"/>
            </c:ext>
          </c:extLst>
        </c:ser>
        <c:ser>
          <c:idx val="0"/>
          <c:order val="1"/>
          <c:tx>
            <c:strRef>
              <c:f>'5.1'!$B$3</c:f>
              <c:strCache>
                <c:ptCount val="1"/>
                <c:pt idx="0">
                  <c:v> muži</c:v>
                </c:pt>
              </c:strCache>
            </c:strRef>
          </c:tx>
          <c:spPr>
            <a:solidFill>
              <a:srgbClr val="B44946"/>
            </a:solidFill>
            <a:ln>
              <a:noFill/>
            </a:ln>
            <a:effectLst/>
          </c:spPr>
          <c:invertIfNegative val="0"/>
          <c:cat>
            <c:strRef>
              <c:f>'5.1'!$A$4:$A$14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'5.1'!$B$4:$B$14</c:f>
              <c:numCache>
                <c:formatCode>General</c:formatCode>
                <c:ptCount val="11"/>
                <c:pt idx="0">
                  <c:v>768.49187958847688</c:v>
                </c:pt>
                <c:pt idx="1">
                  <c:v>667.92118565265105</c:v>
                </c:pt>
                <c:pt idx="2">
                  <c:v>667.51624087875348</c:v>
                </c:pt>
                <c:pt idx="3">
                  <c:v>678.62362281090054</c:v>
                </c:pt>
                <c:pt idx="4">
                  <c:v>687.72617955433293</c:v>
                </c:pt>
                <c:pt idx="5">
                  <c:v>717.41080554638006</c:v>
                </c:pt>
                <c:pt idx="6">
                  <c:v>698.61964391251627</c:v>
                </c:pt>
                <c:pt idx="7">
                  <c:v>663.88515164799742</c:v>
                </c:pt>
                <c:pt idx="8">
                  <c:v>642.20025870705979</c:v>
                </c:pt>
                <c:pt idx="9">
                  <c:v>584.37284759399131</c:v>
                </c:pt>
                <c:pt idx="10">
                  <c:v>663.35356297287649</c:v>
                </c:pt>
              </c:numCache>
            </c:numRef>
          </c:val>
          <c:extLst>
            <c:ext xmlns:c16="http://schemas.microsoft.com/office/drawing/2014/chart" uri="{C3380CC4-5D6E-409C-BE32-E72D297353CC}">
              <c16:uniqueId val="{00000001-3AA8-4B6E-98D6-4FA4F1F80657}"/>
            </c:ext>
          </c:extLst>
        </c:ser>
        <c:ser>
          <c:idx val="1"/>
          <c:order val="2"/>
          <c:tx>
            <c:strRef>
              <c:f>'5.1'!$C$3</c:f>
              <c:strCache>
                <c:ptCount val="1"/>
                <c:pt idx="0">
                  <c:v> ženy</c:v>
                </c:pt>
              </c:strCache>
            </c:strRef>
          </c:tx>
          <c:spPr>
            <a:solidFill>
              <a:srgbClr val="F07373"/>
            </a:solidFill>
            <a:ln>
              <a:noFill/>
            </a:ln>
            <a:effectLst/>
          </c:spPr>
          <c:invertIfNegative val="0"/>
          <c:cat>
            <c:strRef>
              <c:f>'5.1'!$A$4:$A$14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'5.1'!$C$4:$C$14</c:f>
              <c:numCache>
                <c:formatCode>General</c:formatCode>
                <c:ptCount val="11"/>
                <c:pt idx="0">
                  <c:v>339.37251175902441</c:v>
                </c:pt>
                <c:pt idx="1">
                  <c:v>283.11950200192888</c:v>
                </c:pt>
                <c:pt idx="2">
                  <c:v>301.5328110148298</c:v>
                </c:pt>
                <c:pt idx="3">
                  <c:v>300.13141138412294</c:v>
                </c:pt>
                <c:pt idx="4">
                  <c:v>327.60070138862903</c:v>
                </c:pt>
                <c:pt idx="5">
                  <c:v>339.86939334899176</c:v>
                </c:pt>
                <c:pt idx="6">
                  <c:v>333.98707277091205</c:v>
                </c:pt>
                <c:pt idx="7">
                  <c:v>331.20799260910331</c:v>
                </c:pt>
                <c:pt idx="8">
                  <c:v>319.17822031976533</c:v>
                </c:pt>
                <c:pt idx="9">
                  <c:v>261.42418098663086</c:v>
                </c:pt>
                <c:pt idx="10">
                  <c:v>294.59994792041869</c:v>
                </c:pt>
              </c:numCache>
            </c:numRef>
          </c:val>
          <c:extLst>
            <c:ext xmlns:c16="http://schemas.microsoft.com/office/drawing/2014/chart" uri="{C3380CC4-5D6E-409C-BE32-E72D297353CC}">
              <c16:uniqueId val="{00000002-3AA8-4B6E-98D6-4FA4F1F80657}"/>
            </c:ext>
          </c:extLst>
        </c:ser>
        <c:dLbls>
          <c:showLegendKey val="0"/>
          <c:showVal val="0"/>
          <c:showCatName val="0"/>
          <c:showSerName val="0"/>
          <c:showPercent val="0"/>
          <c:showBubbleSize val="0"/>
        </c:dLbls>
        <c:gapWidth val="150"/>
        <c:axId val="1502895791"/>
        <c:axId val="1502899951"/>
      </c:barChart>
      <c:catAx>
        <c:axId val="150289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9951"/>
        <c:crosses val="autoZero"/>
        <c:auto val="1"/>
        <c:lblAlgn val="ctr"/>
        <c:lblOffset val="100"/>
        <c:noMultiLvlLbl val="0"/>
      </c:catAx>
      <c:valAx>
        <c:axId val="1502899951"/>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0289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81259973317283"/>
          <c:y val="3.3572409583396919E-2"/>
          <c:w val="0.44655675308028364"/>
          <c:h val="0.84295225724588496"/>
        </c:manualLayout>
      </c:layout>
      <c:barChart>
        <c:barDir val="bar"/>
        <c:grouping val="clustered"/>
        <c:varyColors val="0"/>
        <c:ser>
          <c:idx val="0"/>
          <c:order val="0"/>
          <c:spPr>
            <a:solidFill>
              <a:srgbClr val="C46A68"/>
            </a:solidFill>
            <a:ln>
              <a:noFill/>
            </a:ln>
            <a:effectLst/>
          </c:spPr>
          <c:invertIfNegative val="0"/>
          <c:dPt>
            <c:idx val="12"/>
            <c:invertIfNegative val="0"/>
            <c:bubble3D val="0"/>
            <c:spPr>
              <a:solidFill>
                <a:srgbClr val="632827"/>
              </a:solidFill>
              <a:ln>
                <a:noFill/>
              </a:ln>
              <a:effectLst/>
            </c:spPr>
            <c:extLst>
              <c:ext xmlns:c16="http://schemas.microsoft.com/office/drawing/2014/chart" uri="{C3380CC4-5D6E-409C-BE32-E72D297353CC}">
                <c16:uniqueId val="{00000001-8D6C-434A-AADC-0F9376E7A123}"/>
              </c:ext>
            </c:extLst>
          </c:dPt>
          <c:cat>
            <c:strRef>
              <c:f>'5.2'!$A$4:$A$23</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S – Ostatní činnosti</c:v>
                </c:pt>
                <c:pt idx="6">
                  <c:v>O – Veřejná správa a obrana; povinné sociální zabezpečení</c:v>
                </c:pt>
                <c:pt idx="7">
                  <c:v>R – Kulturní, zábavní a rekreační činnosti</c:v>
                </c:pt>
                <c:pt idx="8">
                  <c:v>D – Výroba a rozvod elektřiny, plynu, tepla a klimatiz. vzduchu</c:v>
                </c:pt>
                <c:pt idx="9">
                  <c:v>I – Ubytování, stravování a pohostinství</c:v>
                </c:pt>
                <c:pt idx="10">
                  <c:v>Q – Zdravotní a sociální péče</c:v>
                </c:pt>
                <c:pt idx="11">
                  <c:v>G – Velkoobchod a maloobchod; opravy a údržba motor. vozidel</c:v>
                </c:pt>
                <c:pt idx="12">
                  <c:v>CELKEM</c:v>
                </c:pt>
                <c:pt idx="13">
                  <c:v>N – Administrativní a podpůrné činnosti</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'5.2'!$B$4:$B$23</c:f>
              <c:numCache>
                <c:formatCode>General</c:formatCode>
                <c:ptCount val="20"/>
                <c:pt idx="0">
                  <c:v>29.170726642098394</c:v>
                </c:pt>
                <c:pt idx="1">
                  <c:v>37.399113811836472</c:v>
                </c:pt>
                <c:pt idx="2">
                  <c:v>99.35145179475785</c:v>
                </c:pt>
                <c:pt idx="3">
                  <c:v>147.52875012181659</c:v>
                </c:pt>
                <c:pt idx="4">
                  <c:v>154.77063058350498</c:v>
                </c:pt>
                <c:pt idx="5">
                  <c:v>155.08434104726493</c:v>
                </c:pt>
                <c:pt idx="6">
                  <c:v>192.16285889758802</c:v>
                </c:pt>
                <c:pt idx="7">
                  <c:v>205.52314650629302</c:v>
                </c:pt>
                <c:pt idx="8">
                  <c:v>220.69361573198395</c:v>
                </c:pt>
                <c:pt idx="9">
                  <c:v>224.29469537445704</c:v>
                </c:pt>
                <c:pt idx="10">
                  <c:v>333.90624121668702</c:v>
                </c:pt>
                <c:pt idx="11">
                  <c:v>416.77794433162734</c:v>
                </c:pt>
                <c:pt idx="12">
                  <c:v>479.22548855299397</c:v>
                </c:pt>
                <c:pt idx="13">
                  <c:v>484.85735429340434</c:v>
                </c:pt>
                <c:pt idx="14">
                  <c:v>621.48958245909535</c:v>
                </c:pt>
                <c:pt idx="15">
                  <c:v>765.9247680650808</c:v>
                </c:pt>
                <c:pt idx="16">
                  <c:v>802.71240648050673</c:v>
                </c:pt>
                <c:pt idx="17">
                  <c:v>957.06868608159425</c:v>
                </c:pt>
                <c:pt idx="18">
                  <c:v>1061.2461366110917</c:v>
                </c:pt>
                <c:pt idx="19">
                  <c:v>1276.8239165996988</c:v>
                </c:pt>
              </c:numCache>
            </c:numRef>
          </c:val>
          <c:extLst>
            <c:ext xmlns:c16="http://schemas.microsoft.com/office/drawing/2014/chart" uri="{C3380CC4-5D6E-409C-BE32-E72D297353CC}">
              <c16:uniqueId val="{00000002-8D6C-434A-AADC-0F9376E7A123}"/>
            </c:ext>
          </c:extLst>
        </c:ser>
        <c:dLbls>
          <c:showLegendKey val="0"/>
          <c:showVal val="0"/>
          <c:showCatName val="0"/>
          <c:showSerName val="0"/>
          <c:showPercent val="0"/>
          <c:showBubbleSize val="0"/>
        </c:dLbls>
        <c:gapWidth val="182"/>
        <c:axId val="1666018287"/>
        <c:axId val="1666019119"/>
      </c:barChart>
      <c:catAx>
        <c:axId val="166601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9119"/>
        <c:crosses val="autoZero"/>
        <c:auto val="1"/>
        <c:lblAlgn val="ctr"/>
        <c:lblOffset val="100"/>
        <c:noMultiLvlLbl val="0"/>
      </c:catAx>
      <c:valAx>
        <c:axId val="1666019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layout>
            <c:manualLayout>
              <c:xMode val="edge"/>
              <c:yMode val="edge"/>
              <c:x val="0.58944597286784939"/>
              <c:y val="0.942999140697613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66018287"/>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3335469694195"/>
          <c:y val="4.0508193702817163E-2"/>
          <c:w val="0.76917002380516386"/>
          <c:h val="0.80314235715932303"/>
        </c:manualLayout>
      </c:layout>
      <c:barChart>
        <c:barDir val="bar"/>
        <c:grouping val="clustered"/>
        <c:varyColors val="0"/>
        <c:ser>
          <c:idx val="1"/>
          <c:order val="0"/>
          <c:tx>
            <c:strRef>
              <c:f>'5.3'!$C$3</c:f>
              <c:strCache>
                <c:ptCount val="1"/>
                <c:pt idx="0">
                  <c:v> 1. pol. 2020</c:v>
                </c:pt>
              </c:strCache>
            </c:strRef>
          </c:tx>
          <c:spPr>
            <a:solidFill>
              <a:srgbClr val="B44946"/>
            </a:solidFill>
            <a:ln>
              <a:noFill/>
            </a:ln>
            <a:effectLst/>
          </c:spPr>
          <c:invertIfNegative val="0"/>
          <c:dPt>
            <c:idx val="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1516-4933-99D7-3D877EBCE9EB}"/>
              </c:ext>
            </c:extLst>
          </c:dPt>
          <c:cat>
            <c:strRef>
              <c:f>'5.3'!$A$4:$A$18</c:f>
              <c:strCache>
                <c:ptCount val="15"/>
                <c:pt idx="0">
                  <c:v>Hlavní město Praha</c:v>
                </c:pt>
                <c:pt idx="1">
                  <c:v>Jihomoravský kraj</c:v>
                </c:pt>
                <c:pt idx="2">
                  <c:v>ČR CELKEM</c:v>
                </c:pt>
                <c:pt idx="3">
                  <c:v>Moravskoslezský kraj</c:v>
                </c:pt>
                <c:pt idx="4">
                  <c:v>Středočeský kraj</c:v>
                </c:pt>
                <c:pt idx="5">
                  <c:v>Zlínský kraj</c:v>
                </c:pt>
                <c:pt idx="6">
                  <c:v>Olomoucký kraj</c:v>
                </c:pt>
                <c:pt idx="7">
                  <c:v>Liberecký kraj</c:v>
                </c:pt>
                <c:pt idx="8">
                  <c:v>Pardubický kraj</c:v>
                </c:pt>
                <c:pt idx="9">
                  <c:v>Karlovarský kraj</c:v>
                </c:pt>
                <c:pt idx="10">
                  <c:v>Královéhradecký kraj</c:v>
                </c:pt>
                <c:pt idx="11">
                  <c:v>Plzeňský kraj</c:v>
                </c:pt>
                <c:pt idx="12">
                  <c:v>Ústecký kraj</c:v>
                </c:pt>
                <c:pt idx="13">
                  <c:v>Jihočeský kraj</c:v>
                </c:pt>
                <c:pt idx="14">
                  <c:v>Kraj Vysočina</c:v>
                </c:pt>
              </c:strCache>
            </c:strRef>
          </c:cat>
          <c:val>
            <c:numRef>
              <c:f>'5.3'!$C$4:$C$18</c:f>
              <c:numCache>
                <c:formatCode>General</c:formatCode>
                <c:ptCount val="15"/>
                <c:pt idx="0">
                  <c:v>245.66595900464429</c:v>
                </c:pt>
                <c:pt idx="1">
                  <c:v>399.77868624923752</c:v>
                </c:pt>
                <c:pt idx="2">
                  <c:v>423.63327682693637</c:v>
                </c:pt>
                <c:pt idx="3">
                  <c:v>422.6887987997161</c:v>
                </c:pt>
                <c:pt idx="4">
                  <c:v>428.98864098039593</c:v>
                </c:pt>
                <c:pt idx="5">
                  <c:v>442.31226774720619</c:v>
                </c:pt>
                <c:pt idx="6">
                  <c:v>457.94988913009968</c:v>
                </c:pt>
                <c:pt idx="7">
                  <c:v>455.28272475090841</c:v>
                </c:pt>
                <c:pt idx="8">
                  <c:v>511.20497276800052</c:v>
                </c:pt>
                <c:pt idx="9">
                  <c:v>496.12858611927163</c:v>
                </c:pt>
                <c:pt idx="10">
                  <c:v>551.88779913144162</c:v>
                </c:pt>
                <c:pt idx="11">
                  <c:v>616.84637238672121</c:v>
                </c:pt>
                <c:pt idx="12">
                  <c:v>569.91671957276685</c:v>
                </c:pt>
                <c:pt idx="13">
                  <c:v>599.25319131983292</c:v>
                </c:pt>
                <c:pt idx="14">
                  <c:v>665.82915937890584</c:v>
                </c:pt>
              </c:numCache>
            </c:numRef>
          </c:val>
          <c:extLst>
            <c:ext xmlns:c16="http://schemas.microsoft.com/office/drawing/2014/chart" uri="{C3380CC4-5D6E-409C-BE32-E72D297353CC}">
              <c16:uniqueId val="{00000002-1516-4933-99D7-3D877EBCE9EB}"/>
            </c:ext>
          </c:extLst>
        </c:ser>
        <c:ser>
          <c:idx val="0"/>
          <c:order val="1"/>
          <c:tx>
            <c:strRef>
              <c:f>'5.3'!$B$3</c:f>
              <c:strCache>
                <c:ptCount val="1"/>
                <c:pt idx="0">
                  <c:v> 1. pol. 2021</c:v>
                </c:pt>
              </c:strCache>
            </c:strRef>
          </c:tx>
          <c:spPr>
            <a:solidFill>
              <a:srgbClr val="632827"/>
            </a:solidFill>
            <a:ln>
              <a:noFill/>
            </a:ln>
            <a:effectLst/>
          </c:spPr>
          <c:invertIfNegative val="0"/>
          <c:dPt>
            <c:idx val="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1516-4933-99D7-3D877EBCE9EB}"/>
              </c:ext>
            </c:extLst>
          </c:dPt>
          <c:cat>
            <c:strRef>
              <c:f>'5.3'!$A$4:$A$18</c:f>
              <c:strCache>
                <c:ptCount val="15"/>
                <c:pt idx="0">
                  <c:v>Hlavní město Praha</c:v>
                </c:pt>
                <c:pt idx="1">
                  <c:v>Jihomoravský kraj</c:v>
                </c:pt>
                <c:pt idx="2">
                  <c:v>ČR CELKEM</c:v>
                </c:pt>
                <c:pt idx="3">
                  <c:v>Moravskoslezský kraj</c:v>
                </c:pt>
                <c:pt idx="4">
                  <c:v>Středočeský kraj</c:v>
                </c:pt>
                <c:pt idx="5">
                  <c:v>Zlínský kraj</c:v>
                </c:pt>
                <c:pt idx="6">
                  <c:v>Olomoucký kraj</c:v>
                </c:pt>
                <c:pt idx="7">
                  <c:v>Liberecký kraj</c:v>
                </c:pt>
                <c:pt idx="8">
                  <c:v>Pardubický kraj</c:v>
                </c:pt>
                <c:pt idx="9">
                  <c:v>Karlovarský kraj</c:v>
                </c:pt>
                <c:pt idx="10">
                  <c:v>Královéhradecký kraj</c:v>
                </c:pt>
                <c:pt idx="11">
                  <c:v>Plzeňský kraj</c:v>
                </c:pt>
                <c:pt idx="12">
                  <c:v>Ústecký kraj</c:v>
                </c:pt>
                <c:pt idx="13">
                  <c:v>Jihočeský kraj</c:v>
                </c:pt>
                <c:pt idx="14">
                  <c:v>Kraj Vysočina</c:v>
                </c:pt>
              </c:strCache>
            </c:strRef>
          </c:cat>
          <c:val>
            <c:numRef>
              <c:f>'5.3'!$B$4:$B$18</c:f>
              <c:numCache>
                <c:formatCode>General</c:formatCode>
                <c:ptCount val="15"/>
                <c:pt idx="0">
                  <c:v>280.52657859342639</c:v>
                </c:pt>
                <c:pt idx="1">
                  <c:v>416.13974352565145</c:v>
                </c:pt>
                <c:pt idx="2">
                  <c:v>479.22548855299397</c:v>
                </c:pt>
                <c:pt idx="3">
                  <c:v>492.98319519422648</c:v>
                </c:pt>
                <c:pt idx="4">
                  <c:v>495.84288658566214</c:v>
                </c:pt>
                <c:pt idx="5">
                  <c:v>512.94941078465763</c:v>
                </c:pt>
                <c:pt idx="6">
                  <c:v>537.49346249028292</c:v>
                </c:pt>
                <c:pt idx="7">
                  <c:v>539.16022146215914</c:v>
                </c:pt>
                <c:pt idx="8">
                  <c:v>566.20894474350303</c:v>
                </c:pt>
                <c:pt idx="9">
                  <c:v>601.54105263061001</c:v>
                </c:pt>
                <c:pt idx="10">
                  <c:v>616.96855809130545</c:v>
                </c:pt>
                <c:pt idx="11">
                  <c:v>645.74335941577783</c:v>
                </c:pt>
                <c:pt idx="12">
                  <c:v>661.65308473169671</c:v>
                </c:pt>
                <c:pt idx="13">
                  <c:v>693.74281515548444</c:v>
                </c:pt>
                <c:pt idx="14">
                  <c:v>734.1266762709688</c:v>
                </c:pt>
              </c:numCache>
            </c:numRef>
          </c:val>
          <c:extLst>
            <c:ext xmlns:c16="http://schemas.microsoft.com/office/drawing/2014/chart" uri="{C3380CC4-5D6E-409C-BE32-E72D297353CC}">
              <c16:uniqueId val="{00000005-1516-4933-99D7-3D877EBCE9EB}"/>
            </c:ext>
          </c:extLst>
        </c:ser>
        <c:dLbls>
          <c:showLegendKey val="0"/>
          <c:showVal val="0"/>
          <c:showCatName val="0"/>
          <c:showSerName val="0"/>
          <c:showPercent val="0"/>
          <c:showBubbleSize val="0"/>
        </c:dLbls>
        <c:gapWidth val="182"/>
        <c:axId val="1528547167"/>
        <c:axId val="1528541759"/>
      </c:barChart>
      <c:catAx>
        <c:axId val="1528547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1759"/>
        <c:crosses val="autoZero"/>
        <c:auto val="1"/>
        <c:lblAlgn val="ctr"/>
        <c:lblOffset val="100"/>
        <c:noMultiLvlLbl val="0"/>
      </c:catAx>
      <c:valAx>
        <c:axId val="15285417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a:t>
                </a:r>
                <a:r>
                  <a:rPr lang="cs-CZ" baseline="0"/>
                  <a:t> 100 tis. pojištěnců</a:t>
                </a:r>
              </a:p>
            </c:rich>
          </c:tx>
          <c:layout>
            <c:manualLayout>
              <c:xMode val="edge"/>
              <c:yMode val="edge"/>
              <c:x val="0.44149440427753223"/>
              <c:y val="0.933840984864606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7167"/>
        <c:crosses val="autoZero"/>
        <c:crossBetween val="between"/>
      </c:valAx>
      <c:spPr>
        <a:noFill/>
        <a:ln>
          <a:noFill/>
        </a:ln>
        <a:effectLst/>
      </c:spPr>
    </c:plotArea>
    <c:legend>
      <c:legendPos val="r"/>
      <c:layout>
        <c:manualLayout>
          <c:xMode val="edge"/>
          <c:yMode val="edge"/>
          <c:x val="0.80047397781672636"/>
          <c:y val="0.57790230189188052"/>
          <c:w val="0.12062236769822376"/>
          <c:h val="0.1093396468509011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83111676471872"/>
          <c:y val="2.9100529100529099E-2"/>
          <c:w val="0.41634556782290572"/>
          <c:h val="0.90634367671877969"/>
        </c:manualLayout>
      </c:layout>
      <c:barChart>
        <c:barDir val="bar"/>
        <c:grouping val="clustered"/>
        <c:varyColors val="0"/>
        <c:ser>
          <c:idx val="0"/>
          <c:order val="0"/>
          <c:tx>
            <c:strRef>
              <c:f>'1.2'!$H$32</c:f>
              <c:strCache>
                <c:ptCount val="1"/>
                <c:pt idx="0">
                  <c:v> 1. pol. 2011</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D-8EE0-4113-A61F-4C79F7574B0B}"/>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C-8EE0-4113-A61F-4C79F7574B0B}"/>
                </c:ext>
              </c:extLst>
            </c:dLbl>
            <c:dLbl>
              <c:idx val="2"/>
              <c:layout>
                <c:manualLayout>
                  <c:x val="-4.73489942207109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E0-4113-A61F-4C79F7574B0B}"/>
                </c:ext>
              </c:extLst>
            </c:dLbl>
            <c:dLbl>
              <c:idx val="3"/>
              <c:layout>
                <c:manualLayout>
                  <c:x val="-4.5301815484311683E-2"/>
                  <c:y val="-9.00226935799105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E0-4113-A61F-4C79F7574B0B}"/>
                </c:ext>
              </c:extLst>
            </c:dLbl>
            <c:dLbl>
              <c:idx val="4"/>
              <c:layout>
                <c:manualLayout>
                  <c:x val="-4.51253486445550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E0-4113-A61F-4C79F7574B0B}"/>
                </c:ext>
              </c:extLst>
            </c:dLbl>
            <c:dLbl>
              <c:idx val="5"/>
              <c:layout>
                <c:manualLayout>
                  <c:x val="-4.436131258649742E-2"/>
                  <c:y val="9.00226935799105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E0-4113-A61F-4C79F7574B0B}"/>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E0-4113-A61F-4C79F7574B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'1.2'!$G$33:$G$51</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'1.2'!$H$33:$H$51</c:f>
              <c:numCache>
                <c:formatCode>#\ ###\ ###\ ##0</c:formatCode>
                <c:ptCount val="19"/>
                <c:pt idx="0">
                  <c:v>35.146000000000001</c:v>
                </c:pt>
                <c:pt idx="1">
                  <c:v>29.972999999999999</c:v>
                </c:pt>
                <c:pt idx="2">
                  <c:v>53.755000000000003</c:v>
                </c:pt>
                <c:pt idx="3">
                  <c:v>61.588000000000001</c:v>
                </c:pt>
                <c:pt idx="4">
                  <c:v>61.256999999999998</c:v>
                </c:pt>
                <c:pt idx="5">
                  <c:v>63.715000000000003</c:v>
                </c:pt>
                <c:pt idx="6">
                  <c:v>81.688000000000002</c:v>
                </c:pt>
                <c:pt idx="7">
                  <c:v>110.378</c:v>
                </c:pt>
                <c:pt idx="8">
                  <c:v>133.56800000000001</c:v>
                </c:pt>
                <c:pt idx="9">
                  <c:v>104.127</c:v>
                </c:pt>
                <c:pt idx="10">
                  <c:v>182.501</c:v>
                </c:pt>
                <c:pt idx="11">
                  <c:v>261.09100000000001</c:v>
                </c:pt>
                <c:pt idx="12">
                  <c:v>175.55500000000001</c:v>
                </c:pt>
                <c:pt idx="13">
                  <c:v>235.97</c:v>
                </c:pt>
                <c:pt idx="14">
                  <c:v>261.59199999999998</c:v>
                </c:pt>
                <c:pt idx="15">
                  <c:v>319.99299999999999</c:v>
                </c:pt>
                <c:pt idx="16">
                  <c:v>311.721</c:v>
                </c:pt>
                <c:pt idx="17">
                  <c:v>578.98900000000003</c:v>
                </c:pt>
                <c:pt idx="18">
                  <c:v>1108.211</c:v>
                </c:pt>
              </c:numCache>
            </c:numRef>
          </c:val>
          <c:extLst>
            <c:ext xmlns:c16="http://schemas.microsoft.com/office/drawing/2014/chart" uri="{C3380CC4-5D6E-409C-BE32-E72D297353CC}">
              <c16:uniqueId val="{00000001-8EE0-4113-A61F-4C79F7574B0B}"/>
            </c:ext>
          </c:extLst>
        </c:ser>
        <c:ser>
          <c:idx val="1"/>
          <c:order val="1"/>
          <c:tx>
            <c:strRef>
              <c:f>'1.2'!$I$32</c:f>
              <c:strCache>
                <c:ptCount val="1"/>
                <c:pt idx="0">
                  <c:v> 1. pol. 2021</c:v>
                </c:pt>
              </c:strCache>
            </c:strRef>
          </c:tx>
          <c:spPr>
            <a:solidFill>
              <a:srgbClr val="632827"/>
            </a:solidFill>
            <a:ln>
              <a:noFill/>
            </a:ln>
            <a:effectLst/>
          </c:spPr>
          <c:invertIfNegative val="0"/>
          <c:dLbls>
            <c:dLbl>
              <c:idx val="0"/>
              <c:layout>
                <c:manualLayout>
                  <c:x val="-2.0747637118847867E-3"/>
                  <c:y val="-2.218524681087077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E0-4113-A61F-4C79F7574B0B}"/>
                </c:ext>
              </c:extLst>
            </c:dLbl>
            <c:dLbl>
              <c:idx val="1"/>
              <c:layout>
                <c:manualLayout>
                  <c:x val="-6.3111439292362148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0-4113-A61F-4C79F7574B0B}"/>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E0-4113-A61F-4C79F7574B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'1.2'!$G$33:$G$51</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'1.2'!$I$33:$I$51</c:f>
              <c:numCache>
                <c:formatCode>#,##0</c:formatCode>
                <c:ptCount val="19"/>
                <c:pt idx="0">
                  <c:v>20.270227500000001</c:v>
                </c:pt>
                <c:pt idx="1">
                  <c:v>38.514933800000001</c:v>
                </c:pt>
                <c:pt idx="2">
                  <c:v>57.950741000000001</c:v>
                </c:pt>
                <c:pt idx="3">
                  <c:v>61.793526499999999</c:v>
                </c:pt>
                <c:pt idx="4">
                  <c:v>71.172567999999998</c:v>
                </c:pt>
                <c:pt idx="5">
                  <c:v>72.218767700000001</c:v>
                </c:pt>
                <c:pt idx="6">
                  <c:v>92.558544500000011</c:v>
                </c:pt>
                <c:pt idx="7">
                  <c:v>108.00236289999999</c:v>
                </c:pt>
                <c:pt idx="8">
                  <c:v>131.0775538</c:v>
                </c:pt>
                <c:pt idx="9">
                  <c:v>149.7361683</c:v>
                </c:pt>
                <c:pt idx="10">
                  <c:v>222.4426478</c:v>
                </c:pt>
                <c:pt idx="11">
                  <c:v>240.7119994</c:v>
                </c:pt>
                <c:pt idx="12">
                  <c:v>246.6704876</c:v>
                </c:pt>
                <c:pt idx="13">
                  <c:v>271.6445847</c:v>
                </c:pt>
                <c:pt idx="14">
                  <c:v>293.75402459999998</c:v>
                </c:pt>
                <c:pt idx="15">
                  <c:v>392.83938929999999</c:v>
                </c:pt>
                <c:pt idx="16">
                  <c:v>401.01077329999998</c:v>
                </c:pt>
                <c:pt idx="17">
                  <c:v>623.11358730000006</c:v>
                </c:pt>
                <c:pt idx="18">
                  <c:v>1193.0675675999998</c:v>
                </c:pt>
              </c:numCache>
            </c:numRef>
          </c:val>
          <c:extLst>
            <c:ext xmlns:c16="http://schemas.microsoft.com/office/drawing/2014/chart" uri="{C3380CC4-5D6E-409C-BE32-E72D297353CC}">
              <c16:uniqueId val="{00000005-8EE0-4113-A61F-4C79F7574B0B}"/>
            </c:ext>
          </c:extLst>
        </c:ser>
        <c:dLbls>
          <c:showLegendKey val="0"/>
          <c:showVal val="0"/>
          <c:showCatName val="0"/>
          <c:showSerName val="0"/>
          <c:showPercent val="0"/>
          <c:showBubbleSize val="0"/>
        </c:dLbls>
        <c:gapWidth val="57"/>
        <c:axId val="895602015"/>
        <c:axId val="895596191"/>
      </c:barChart>
      <c:catAx>
        <c:axId val="895602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95596191"/>
        <c:crosses val="autoZero"/>
        <c:auto val="1"/>
        <c:lblAlgn val="ctr"/>
        <c:lblOffset val="100"/>
        <c:noMultiLvlLbl val="0"/>
      </c:catAx>
      <c:valAx>
        <c:axId val="895596191"/>
        <c:scaling>
          <c:orientation val="minMax"/>
          <c:max val="80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počet </a:t>
                </a:r>
                <a:r>
                  <a:rPr lang="cs-CZ">
                    <a:solidFill>
                      <a:sysClr val="windowText" lastClr="000000"/>
                    </a:solidFill>
                  </a:rPr>
                  <a:t>osob</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crossAx val="895602015"/>
        <c:crosses val="autoZero"/>
        <c:crossBetween val="between"/>
      </c:valAx>
      <c:spPr>
        <a:noFill/>
        <a:ln>
          <a:noFill/>
        </a:ln>
        <a:effectLst/>
      </c:spPr>
    </c:plotArea>
    <c:legend>
      <c:legendPos val="r"/>
      <c:layout>
        <c:manualLayout>
          <c:xMode val="edge"/>
          <c:yMode val="edge"/>
          <c:x val="0.77961262699636158"/>
          <c:y val="0.46706460361340024"/>
          <c:w val="0.11735705358419686"/>
          <c:h val="6.5870618086216762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ženy</a:t>
            </a:r>
          </a:p>
        </c:rich>
      </c:tx>
      <c:layout>
        <c:manualLayout>
          <c:xMode val="edge"/>
          <c:yMode val="edge"/>
          <c:x val="6.7158632609948157E-2"/>
          <c:y val="7.231257664844295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35408360540298317"/>
          <c:y val="0.12902520372726334"/>
          <c:w val="0.51064144420971769"/>
          <c:h val="0.73139909913007595"/>
        </c:manualLayout>
      </c:layout>
      <c:doughnutChart>
        <c:varyColors val="1"/>
        <c:ser>
          <c:idx val="0"/>
          <c:order val="0"/>
          <c:tx>
            <c:strRef>
              <c:f>'2.1'!$A$20</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B422-43D7-BDB3-26DCF627B333}"/>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B422-43D7-BDB3-26DCF627B333}"/>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B422-43D7-BDB3-26DCF627B333}"/>
              </c:ext>
            </c:extLst>
          </c:dPt>
          <c:dLbls>
            <c:dLbl>
              <c:idx val="0"/>
              <c:layout>
                <c:manualLayout>
                  <c:x val="5.5555555555555558E-3"/>
                  <c:y val="-4.499186205076321E-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254859BD-F039-4986-929D-D99F3B9ED12A}" type="CELLRANGE">
                      <a:rPr lang="en-US"/>
                      <a:pPr>
                        <a:defRPr>
                          <a:solidFill>
                            <a:schemeClr val="bg1"/>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B422-43D7-BDB3-26DCF627B333}"/>
                </c:ext>
              </c:extLst>
            </c:dLbl>
            <c:dLbl>
              <c:idx val="1"/>
              <c:layout>
                <c:manualLayout>
                  <c:x val="-8.380769476986108E-2"/>
                  <c:y val="-0.11307820146935782"/>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F5C7DCA8-C1BF-4CAF-8F6E-44443FF027EF}"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422-43D7-BDB3-26DCF627B333}"/>
                </c:ext>
              </c:extLst>
            </c:dLbl>
            <c:dLbl>
              <c:idx val="2"/>
              <c:layout>
                <c:manualLayout>
                  <c:x val="2.7776710837974523E-3"/>
                  <c:y val="-0.14663961764604752"/>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B466C28A-940B-488C-9A39-A3CCCB8088C2}" type="CELLRANGE">
                      <a:rPr lang="en-US"/>
                      <a:pPr>
                        <a:defRPr>
                          <a:solidFill>
                            <a:sysClr val="windowText" lastClr="000000"/>
                          </a:solidFill>
                        </a:defRPr>
                      </a:pPr>
                      <a:t>[OBLAST BUNĚK]</a:t>
                    </a:fld>
                    <a:endParaRPr lang="cs-CZ"/>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B422-43D7-BDB3-26DCF627B33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'2.1'!$B$10:$D$10</c:f>
              <c:strCache>
                <c:ptCount val="3"/>
                <c:pt idx="0">
                  <c:v> nemoc</c:v>
                </c:pt>
                <c:pt idx="1">
                  <c:v> pracovní úraz</c:v>
                </c:pt>
                <c:pt idx="2">
                  <c:v> ostatní úraz</c:v>
                </c:pt>
              </c:strCache>
            </c:strRef>
          </c:cat>
          <c:val>
            <c:numRef>
              <c:f>'2.1'!$B$20:$D$20</c:f>
              <c:numCache>
                <c:formatCode>#\ ##0.0</c:formatCode>
                <c:ptCount val="3"/>
                <c:pt idx="0">
                  <c:v>661.33699999999999</c:v>
                </c:pt>
                <c:pt idx="1">
                  <c:v>7.1230000000000002</c:v>
                </c:pt>
                <c:pt idx="2">
                  <c:v>30.106000000000002</c:v>
                </c:pt>
              </c:numCache>
            </c:numRef>
          </c:val>
          <c:extLst>
            <c:ext xmlns:c15="http://schemas.microsoft.com/office/drawing/2012/chart" uri="{02D57815-91ED-43cb-92C2-25804820EDAC}">
              <c15:datalabelsRange>
                <c15:f>'2.1'!$F$25:$F$27</c15:f>
                <c15:dlblRangeCache>
                  <c:ptCount val="3"/>
                  <c:pt idx="0">
                    <c:v>661,3 tis.
95 %</c:v>
                  </c:pt>
                  <c:pt idx="1">
                    <c:v>7,1 tis.
1 %</c:v>
                  </c:pt>
                  <c:pt idx="2">
                    <c:v>30,1 tis.
4 %</c:v>
                  </c:pt>
                </c15:dlblRangeCache>
              </c15:datalabelsRange>
            </c:ext>
            <c:ext xmlns:c16="http://schemas.microsoft.com/office/drawing/2014/chart" uri="{C3380CC4-5D6E-409C-BE32-E72D297353CC}">
              <c16:uniqueId val="{00000006-B422-43D7-BDB3-26DCF627B333}"/>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9951887534177439E-2"/>
          <c:y val="6.189320221435201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27736308483049155"/>
          <c:y val="0.12277321230042751"/>
          <c:w val="0.46851068448783695"/>
          <c:h val="0.73215876399729507"/>
        </c:manualLayout>
      </c:layout>
      <c:doughnutChart>
        <c:varyColors val="1"/>
        <c:ser>
          <c:idx val="0"/>
          <c:order val="0"/>
          <c:tx>
            <c:strRef>
              <c:f>'2.1'!$A$23</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E344-4720-B225-B9B84483B004}"/>
              </c:ext>
            </c:extLst>
          </c:dPt>
          <c:dPt>
            <c:idx val="1"/>
            <c:bubble3D val="0"/>
            <c:spPr>
              <a:solidFill>
                <a:srgbClr val="C46A68"/>
              </a:solidFill>
              <a:ln w="19050">
                <a:solidFill>
                  <a:schemeClr val="lt1"/>
                </a:solidFill>
              </a:ln>
              <a:effectLst/>
            </c:spPr>
            <c:extLst>
              <c:ext xmlns:c16="http://schemas.microsoft.com/office/drawing/2014/chart" uri="{C3380CC4-5D6E-409C-BE32-E72D297353CC}">
                <c16:uniqueId val="{00000003-E344-4720-B225-B9B84483B004}"/>
              </c:ext>
            </c:extLst>
          </c:dPt>
          <c:dPt>
            <c:idx val="2"/>
            <c:bubble3D val="0"/>
            <c:spPr>
              <a:solidFill>
                <a:srgbClr val="B44946"/>
              </a:solidFill>
              <a:ln w="19050">
                <a:solidFill>
                  <a:schemeClr val="lt1"/>
                </a:solidFill>
              </a:ln>
              <a:effectLst/>
            </c:spPr>
            <c:extLst>
              <c:ext xmlns:c16="http://schemas.microsoft.com/office/drawing/2014/chart" uri="{C3380CC4-5D6E-409C-BE32-E72D297353CC}">
                <c16:uniqueId val="{00000005-E344-4720-B225-B9B84483B004}"/>
              </c:ext>
            </c:extLst>
          </c:dPt>
          <c:dLbls>
            <c:dLbl>
              <c:idx val="0"/>
              <c:tx>
                <c:rich>
                  <a:bodyPr/>
                  <a:lstStyle/>
                  <a:p>
                    <a:fld id="{717408C7-4D5C-4FAB-9CED-53C2B1A9EDF1}" type="CELLRANGE">
                      <a:rPr lang="en-US"/>
                      <a:pPr/>
                      <a:t>[OBLAST BUNĚK]</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344-4720-B225-B9B84483B004}"/>
                </c:ext>
              </c:extLst>
            </c:dLbl>
            <c:dLbl>
              <c:idx val="1"/>
              <c:layout>
                <c:manualLayout>
                  <c:x val="-7.0392351291409055E-2"/>
                  <c:y val="-0.13721738931105226"/>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6FDDEB6-9B76-4806-9487-C2932E9F090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344-4720-B225-B9B84483B004}"/>
                </c:ext>
              </c:extLst>
            </c:dLbl>
            <c:dLbl>
              <c:idx val="2"/>
              <c:layout>
                <c:manualLayout>
                  <c:x val="-1.6732870201955009E-2"/>
                  <c:y val="-0.15457827596877902"/>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25FA99C6-4008-4DD8-884D-9E7E4CB57DDD}" type="CELLRANGE">
                      <a:rPr lang="en-US">
                        <a:solidFill>
                          <a:sysClr val="windowText" lastClr="000000"/>
                        </a:solidFill>
                      </a:rPr>
                      <a:pPr>
                        <a:defRPr>
                          <a:solidFill>
                            <a:sysClr val="windowText" lastClr="000000"/>
                          </a:solidFill>
                        </a:defRPr>
                      </a:pPr>
                      <a:t>[OBLAST BUNĚK]</a:t>
                    </a:fld>
                    <a:endParaRPr lang="cs-CZ"/>
                  </a:p>
                </c:rich>
              </c:tx>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344-4720-B225-B9B84483B00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'2.1'!$B$14:$D$14</c:f>
              <c:strCache>
                <c:ptCount val="3"/>
                <c:pt idx="0">
                  <c:v>nemoc</c:v>
                </c:pt>
                <c:pt idx="1">
                  <c:v>pracovní úraz</c:v>
                </c:pt>
                <c:pt idx="2">
                  <c:v>ostatní úraz</c:v>
                </c:pt>
              </c:strCache>
            </c:strRef>
          </c:cat>
          <c:val>
            <c:numRef>
              <c:f>'2.1'!$B$23:$D$23</c:f>
              <c:numCache>
                <c:formatCode>#\ ##0.0</c:formatCode>
                <c:ptCount val="3"/>
                <c:pt idx="0">
                  <c:v>638.87699999999995</c:v>
                </c:pt>
                <c:pt idx="1">
                  <c:v>16.202999999999999</c:v>
                </c:pt>
                <c:pt idx="2">
                  <c:v>45.787999999999997</c:v>
                </c:pt>
              </c:numCache>
            </c:numRef>
          </c:val>
          <c:extLst>
            <c:ext xmlns:c15="http://schemas.microsoft.com/office/drawing/2012/chart" uri="{02D57815-91ED-43cb-92C2-25804820EDAC}">
              <c15:datalabelsRange>
                <c15:f>'2.1'!$D$26:$D$28</c15:f>
                <c15:dlblRangeCache>
                  <c:ptCount val="3"/>
                  <c:pt idx="0">
                    <c:v>638,9 tis.
91 %</c:v>
                  </c:pt>
                  <c:pt idx="1">
                    <c:v>16,2 tis.
2 %</c:v>
                  </c:pt>
                  <c:pt idx="2">
                    <c:v>45,8 tis.
7 %</c:v>
                  </c:pt>
                </c15:dlblRangeCache>
              </c15:datalabelsRange>
            </c:ext>
            <c:ext xmlns:c16="http://schemas.microsoft.com/office/drawing/2014/chart" uri="{C3380CC4-5D6E-409C-BE32-E72D297353CC}">
              <c16:uniqueId val="{00000006-E344-4720-B225-B9B84483B00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'2.2'!$A$5</c:f>
              <c:strCache>
                <c:ptCount val="1"/>
                <c:pt idx="0">
                  <c:v> 1. pololetí</c:v>
                </c:pt>
              </c:strCache>
            </c:strRef>
          </c:tx>
          <c:spPr>
            <a:solidFill>
              <a:srgbClr val="632827"/>
            </a:solidFill>
            <a:ln>
              <a:noFill/>
            </a:ln>
            <a:effectLst/>
          </c:spPr>
          <c:invertIfNegative val="0"/>
          <c:dLbls>
            <c:dLbl>
              <c:idx val="0"/>
              <c:layout>
                <c:manualLayout>
                  <c:x val="-2.43309002433094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36-414D-817D-1AABD09157C7}"/>
                </c:ext>
              </c:extLst>
            </c:dLbl>
            <c:dLbl>
              <c:idx val="1"/>
              <c:layout>
                <c:manualLayout>
                  <c:x val="-2.4330900243309003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36-414D-817D-1AABD09157C7}"/>
                </c:ext>
              </c:extLst>
            </c:dLbl>
            <c:dLbl>
              <c:idx val="2"/>
              <c:layout>
                <c:manualLayout>
                  <c:x val="-7.299270072992700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36-414D-817D-1AABD09157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'2.2'!$B$4:$H$4</c:f>
              <c:numCache>
                <c:formatCode>General</c:formatCode>
                <c:ptCount val="6"/>
                <c:pt idx="0">
                  <c:v>2016</c:v>
                </c:pt>
                <c:pt idx="1">
                  <c:v>2017</c:v>
                </c:pt>
                <c:pt idx="2">
                  <c:v>2018</c:v>
                </c:pt>
                <c:pt idx="3">
                  <c:v>2019</c:v>
                </c:pt>
                <c:pt idx="4">
                  <c:v>2020</c:v>
                </c:pt>
                <c:pt idx="5">
                  <c:v>2021</c:v>
                </c:pt>
              </c:numCache>
            </c:numRef>
          </c:cat>
          <c:val>
            <c:numRef>
              <c:f>'2.2'!$B$5:$H$5</c:f>
              <c:numCache>
                <c:formatCode>_-* #\ ##0_-;\-* #\ ##0_-;_-* "-"??_-;_-@_-</c:formatCode>
                <c:ptCount val="6"/>
                <c:pt idx="0">
                  <c:v>777.09199999999998</c:v>
                </c:pt>
                <c:pt idx="1">
                  <c:v>841.59900000000005</c:v>
                </c:pt>
                <c:pt idx="2">
                  <c:v>937.75099999999998</c:v>
                </c:pt>
                <c:pt idx="3">
                  <c:v>872.71400000000006</c:v>
                </c:pt>
                <c:pt idx="4" formatCode="#,##0">
                  <c:v>976.90099999999995</c:v>
                </c:pt>
                <c:pt idx="5" formatCode="#,##0">
                  <c:v>1300.2139999999999</c:v>
                </c:pt>
              </c:numCache>
            </c:numRef>
          </c:val>
          <c:extLst>
            <c:ext xmlns:c16="http://schemas.microsoft.com/office/drawing/2014/chart" uri="{C3380CC4-5D6E-409C-BE32-E72D297353CC}">
              <c16:uniqueId val="{00000004-1936-414D-817D-1AABD09157C7}"/>
            </c:ext>
          </c:extLst>
        </c:ser>
        <c:ser>
          <c:idx val="1"/>
          <c:order val="1"/>
          <c:tx>
            <c:strRef>
              <c:f>'2.2'!$A$6</c:f>
              <c:strCache>
                <c:ptCount val="1"/>
                <c:pt idx="0">
                  <c:v> 2. pololetí</c:v>
                </c:pt>
              </c:strCache>
            </c:strRef>
          </c:tx>
          <c:spPr>
            <a:solidFill>
              <a:srgbClr val="B44946"/>
            </a:solidFill>
            <a:ln>
              <a:noFill/>
            </a:ln>
            <a:effectLst/>
          </c:spPr>
          <c:invertIfNegative val="0"/>
          <c:dLbls>
            <c:dLbl>
              <c:idx val="0"/>
              <c:layout>
                <c:manualLayout>
                  <c:x val="-4.8661800486618006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36-414D-817D-1AABD09157C7}"/>
                </c:ext>
              </c:extLst>
            </c:dLbl>
            <c:dLbl>
              <c:idx val="1"/>
              <c:layout>
                <c:manualLayout>
                  <c:x val="-9.7323600973236897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36-414D-817D-1AABD09157C7}"/>
                </c:ext>
              </c:extLst>
            </c:dLbl>
            <c:dLbl>
              <c:idx val="2"/>
              <c:layout>
                <c:manualLayout>
                  <c:x val="-2.4330900243309003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36-414D-817D-1AABD09157C7}"/>
                </c:ext>
              </c:extLst>
            </c:dLbl>
            <c:dLbl>
              <c:idx val="3"/>
              <c:layout>
                <c:manualLayout>
                  <c:x val="-7.2992700729927005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36-414D-817D-1AABD09157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'2.2'!$B$4:$H$4</c:f>
              <c:numCache>
                <c:formatCode>General</c:formatCode>
                <c:ptCount val="6"/>
                <c:pt idx="0">
                  <c:v>2016</c:v>
                </c:pt>
                <c:pt idx="1">
                  <c:v>2017</c:v>
                </c:pt>
                <c:pt idx="2">
                  <c:v>2018</c:v>
                </c:pt>
                <c:pt idx="3">
                  <c:v>2019</c:v>
                </c:pt>
                <c:pt idx="4">
                  <c:v>2020</c:v>
                </c:pt>
                <c:pt idx="5">
                  <c:v>2021</c:v>
                </c:pt>
              </c:numCache>
            </c:numRef>
          </c:cat>
          <c:val>
            <c:numRef>
              <c:f>'2.2'!$B$6:$H$6</c:f>
              <c:numCache>
                <c:formatCode>_-* #\ ##0_-;\-* #\ ##0_-;_-* "-"??_-;_-@_-</c:formatCode>
                <c:ptCount val="6"/>
                <c:pt idx="0">
                  <c:v>663.84400000000005</c:v>
                </c:pt>
                <c:pt idx="1">
                  <c:v>669.27800000000002</c:v>
                </c:pt>
                <c:pt idx="2">
                  <c:v>712.51800000000003</c:v>
                </c:pt>
                <c:pt idx="3">
                  <c:v>838.52499999999998</c:v>
                </c:pt>
                <c:pt idx="4" formatCode="#,##0">
                  <c:v>1225.809</c:v>
                </c:pt>
              </c:numCache>
            </c:numRef>
          </c:val>
          <c:extLst>
            <c:ext xmlns:c16="http://schemas.microsoft.com/office/drawing/2014/chart" uri="{C3380CC4-5D6E-409C-BE32-E72D297353CC}">
              <c16:uniqueId val="{0000000A-1936-414D-817D-1AABD09157C7}"/>
            </c:ext>
          </c:extLst>
        </c:ser>
        <c:dLbls>
          <c:showLegendKey val="0"/>
          <c:showVal val="0"/>
          <c:showCatName val="0"/>
          <c:showSerName val="0"/>
          <c:showPercent val="0"/>
          <c:showBubbleSize val="0"/>
        </c:dLbls>
        <c:gapWidth val="60"/>
        <c:overlap val="-11"/>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'2.3'!$I$3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'2.3'!$H$4:$H$14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'2.3'!$I$4:$I$14</c:f>
              <c:numCache>
                <c:formatCode>#\ ##0.0</c:formatCode>
                <c:ptCount val="11"/>
                <c:pt idx="0">
                  <c:v>15.489533578577863</c:v>
                </c:pt>
                <c:pt idx="1">
                  <c:v>11.93368136212951</c:v>
                </c:pt>
                <c:pt idx="2">
                  <c:v>15.22353919027414</c:v>
                </c:pt>
                <c:pt idx="3">
                  <c:v>13.124563413687495</c:v>
                </c:pt>
                <c:pt idx="4">
                  <c:v>17.529538058975476</c:v>
                </c:pt>
                <c:pt idx="5">
                  <c:v>17.118336039193487</c:v>
                </c:pt>
                <c:pt idx="6">
                  <c:v>18.168811341669436</c:v>
                </c:pt>
                <c:pt idx="7">
                  <c:v>19.906457263625533</c:v>
                </c:pt>
                <c:pt idx="8">
                  <c:v>18.423758849983905</c:v>
                </c:pt>
                <c:pt idx="9">
                  <c:v>20.841404631389988</c:v>
                </c:pt>
                <c:pt idx="10">
                  <c:v>27.731349386863791</c:v>
                </c:pt>
              </c:numCache>
            </c:numRef>
          </c:val>
          <c:extLst>
            <c:ext xmlns:c16="http://schemas.microsoft.com/office/drawing/2014/chart" uri="{C3380CC4-5D6E-409C-BE32-E72D297353CC}">
              <c16:uniqueId val="{00000000-7480-490C-9FD7-1DDBCBA314A4}"/>
            </c:ext>
          </c:extLst>
        </c:ser>
        <c:ser>
          <c:idx val="1"/>
          <c:order val="1"/>
          <c:tx>
            <c:strRef>
              <c:f>'2.3'!$J$3</c:f>
              <c:strCache>
                <c:ptCount val="1"/>
                <c:pt idx="0">
                  <c:v> pracovní úrazy</c:v>
                </c:pt>
              </c:strCache>
            </c:strRef>
          </c:tx>
          <c:spPr>
            <a:solidFill>
              <a:srgbClr val="B44946"/>
            </a:solidFill>
            <a:ln>
              <a:noFill/>
            </a:ln>
            <a:effectLst/>
          </c:spPr>
          <c:invertIfNegative val="0"/>
          <c:cat>
            <c:strRef>
              <c:f>'2.3'!$H$4:$H$14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'2.3'!$J$4:$J$14</c:f>
              <c:numCache>
                <c:formatCode>#,##0.00</c:formatCode>
                <c:ptCount val="11"/>
                <c:pt idx="0">
                  <c:v>0.58113434803437247</c:v>
                </c:pt>
                <c:pt idx="1">
                  <c:v>0.48925570607698826</c:v>
                </c:pt>
                <c:pt idx="2">
                  <c:v>0.49677892035797072</c:v>
                </c:pt>
                <c:pt idx="3">
                  <c:v>0.5035229385818929</c:v>
                </c:pt>
                <c:pt idx="4">
                  <c:v>0.52469612085835371</c:v>
                </c:pt>
                <c:pt idx="5">
                  <c:v>0.54785407299874656</c:v>
                </c:pt>
                <c:pt idx="6">
                  <c:v>0.53392535174372657</c:v>
                </c:pt>
                <c:pt idx="7">
                  <c:v>0.51078503214324233</c:v>
                </c:pt>
                <c:pt idx="8">
                  <c:v>0.49015236718893734</c:v>
                </c:pt>
                <c:pt idx="9">
                  <c:v>0.436988488152598</c:v>
                </c:pt>
                <c:pt idx="10">
                  <c:v>0.49750383844350604</c:v>
                </c:pt>
              </c:numCache>
            </c:numRef>
          </c:val>
          <c:extLst>
            <c:ext xmlns:c16="http://schemas.microsoft.com/office/drawing/2014/chart" uri="{C3380CC4-5D6E-409C-BE32-E72D297353CC}">
              <c16:uniqueId val="{00000001-7480-490C-9FD7-1DDBCBA314A4}"/>
            </c:ext>
          </c:extLst>
        </c:ser>
        <c:ser>
          <c:idx val="2"/>
          <c:order val="2"/>
          <c:tx>
            <c:strRef>
              <c:f>'2.3'!$K$3</c:f>
              <c:strCache>
                <c:ptCount val="1"/>
                <c:pt idx="0">
                  <c:v> ostatní úrazy</c:v>
                </c:pt>
              </c:strCache>
            </c:strRef>
          </c:tx>
          <c:spPr>
            <a:solidFill>
              <a:srgbClr val="C46A68"/>
            </a:solidFill>
            <a:ln>
              <a:noFill/>
            </a:ln>
            <a:effectLst/>
          </c:spPr>
          <c:invertIfNegative val="0"/>
          <c:cat>
            <c:strRef>
              <c:f>'2.3'!$H$4:$H$14</c:f>
              <c:strCache>
                <c:ptCount val="11"/>
                <c:pt idx="0">
                  <c:v>1. pol.
2011</c:v>
                </c:pt>
                <c:pt idx="1">
                  <c:v>1. pol. 
2012</c:v>
                </c:pt>
                <c:pt idx="2">
                  <c:v>1. pol. 
2013</c:v>
                </c:pt>
                <c:pt idx="3">
                  <c:v>1. pol. 
2014</c:v>
                </c:pt>
                <c:pt idx="4">
                  <c:v>1. pol. 
2015</c:v>
                </c:pt>
                <c:pt idx="5">
                  <c:v>1. pol. 
2016</c:v>
                </c:pt>
                <c:pt idx="6">
                  <c:v>1. pol. 
2017</c:v>
                </c:pt>
                <c:pt idx="7">
                  <c:v>1. pol. 
2018</c:v>
                </c:pt>
                <c:pt idx="8">
                  <c:v>1. pol. 
2019</c:v>
                </c:pt>
                <c:pt idx="9">
                  <c:v>1. pol. 2020</c:v>
                </c:pt>
                <c:pt idx="10">
                  <c:v>1. pol. 2021</c:v>
                </c:pt>
              </c:strCache>
            </c:strRef>
          </c:cat>
          <c:val>
            <c:numRef>
              <c:f>'2.3'!$K$4:$K$14</c:f>
              <c:numCache>
                <c:formatCode>#,##0.00</c:formatCode>
                <c:ptCount val="11"/>
                <c:pt idx="0">
                  <c:v>0.92173580701690183</c:v>
                </c:pt>
                <c:pt idx="1">
                  <c:v>1.1980664801084004</c:v>
                </c:pt>
                <c:pt idx="2">
                  <c:v>1.3692391140643809</c:v>
                </c:pt>
                <c:pt idx="3">
                  <c:v>1.41934875766483</c:v>
                </c:pt>
                <c:pt idx="4">
                  <c:v>1.4892593959318774</c:v>
                </c:pt>
                <c:pt idx="5">
                  <c:v>1.6412271755005474</c:v>
                </c:pt>
                <c:pt idx="6">
                  <c:v>1.6923611585756999</c:v>
                </c:pt>
                <c:pt idx="7">
                  <c:v>1.6646259606673024</c:v>
                </c:pt>
                <c:pt idx="8">
                  <c:v>1.6686460249525363</c:v>
                </c:pt>
                <c:pt idx="9">
                  <c:v>1.5506339054042513</c:v>
                </c:pt>
                <c:pt idx="10">
                  <c:v>1.61868971597494</c:v>
                </c:pt>
              </c:numCache>
            </c:numRef>
          </c:val>
          <c:extLst>
            <c:ext xmlns:c16="http://schemas.microsoft.com/office/drawing/2014/chart" uri="{C3380CC4-5D6E-409C-BE32-E72D297353CC}">
              <c16:uniqueId val="{00000002-7480-490C-9FD7-1DDBCBA314A4}"/>
            </c:ext>
          </c:extLst>
        </c:ser>
        <c:dLbls>
          <c:showLegendKey val="0"/>
          <c:showVal val="0"/>
          <c:showCatName val="0"/>
          <c:showSerName val="0"/>
          <c:showPercent val="0"/>
          <c:showBubbleSize val="0"/>
        </c:dLbls>
        <c:gapWidth val="60"/>
        <c:overlap val="100"/>
        <c:axId val="870931312"/>
        <c:axId val="870925488"/>
      </c:barChart>
      <c:catAx>
        <c:axId val="8709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25488"/>
        <c:crosses val="autoZero"/>
        <c:auto val="1"/>
        <c:lblAlgn val="ctr"/>
        <c:lblOffset val="100"/>
        <c:noMultiLvlLbl val="0"/>
      </c:catAx>
      <c:valAx>
        <c:axId val="870925488"/>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layout>
            <c:manualLayout>
              <c:xMode val="edge"/>
              <c:yMode val="edge"/>
              <c:x val="1.6666639669424166E-2"/>
              <c:y val="0.1123546889377454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093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65368055907311"/>
          <c:y val="2.9392117568470273E-2"/>
          <c:w val="0.46166633715296895"/>
          <c:h val="0.82423084071012864"/>
        </c:manualLayout>
      </c:layout>
      <c:barChart>
        <c:barDir val="bar"/>
        <c:grouping val="clustered"/>
        <c:varyColors val="0"/>
        <c:ser>
          <c:idx val="0"/>
          <c:order val="0"/>
          <c:tx>
            <c:strRef>
              <c:f>'2.4'!$G$3</c:f>
              <c:strCache>
                <c:ptCount val="1"/>
                <c:pt idx="0">
                  <c:v> 1. pol. 2011</c:v>
                </c:pt>
              </c:strCache>
            </c:strRef>
          </c:tx>
          <c:spPr>
            <a:solidFill>
              <a:srgbClr val="B44946"/>
            </a:solidFill>
            <a:ln>
              <a:noFill/>
            </a:ln>
            <a:effectLst/>
          </c:spPr>
          <c:invertIfNegative val="0"/>
          <c:dPt>
            <c:idx val="14"/>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4-7511-4082-AA49-2B9A5D950118}"/>
              </c:ext>
            </c:extLst>
          </c:dPt>
          <c:cat>
            <c:strRef>
              <c:f>'2.4'!$E$4:$E$23</c:f>
              <c:strCache>
                <c:ptCount val="20"/>
                <c:pt idx="0">
                  <c:v>J – Informační a komunikační činnosti</c:v>
                </c:pt>
                <c:pt idx="1">
                  <c:v>L – Činnosti v oblasti nemovitostí</c:v>
                </c:pt>
                <c:pt idx="2">
                  <c:v>K – Peněžnictví a pojišťovnictví</c:v>
                </c:pt>
                <c:pt idx="3">
                  <c:v>M – Profesní, vědecké a technické činnosti</c:v>
                </c:pt>
                <c:pt idx="4">
                  <c:v>R – Kulturní, zábavní a rekreační činnosti</c:v>
                </c:pt>
                <c:pt idx="5">
                  <c:v>I – Ubytování, stravování a pohostinství</c:v>
                </c:pt>
                <c:pt idx="6">
                  <c:v>S – Ostatní činnosti</c:v>
                </c:pt>
                <c:pt idx="7">
                  <c:v>D – Výroba a rozvod elektřiny, plynu, tepla a klimatiz. vzduchu</c:v>
                </c:pt>
                <c:pt idx="8">
                  <c:v>P – Vzdělávání</c:v>
                </c:pt>
                <c:pt idx="9">
                  <c:v>Q – Zdravotní a sociální péče</c:v>
                </c:pt>
                <c:pt idx="10">
                  <c:v>O – Veřejná správa a obrana; povinné sociální zabezpečení</c:v>
                </c:pt>
                <c:pt idx="11">
                  <c:v>F – Stavebnictví</c:v>
                </c:pt>
                <c:pt idx="12">
                  <c:v>G – Velkoobchod a maloobchod; opravy a údržba motor. vozidel</c:v>
                </c:pt>
                <c:pt idx="13">
                  <c:v>A – Zemědělství, lesnictví, rybářství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'2.4'!$G$4:$G$23</c:f>
              <c:numCache>
                <c:formatCode>##0.00</c:formatCode>
                <c:ptCount val="20"/>
                <c:pt idx="0">
                  <c:v>14.98</c:v>
                </c:pt>
                <c:pt idx="1">
                  <c:v>10.51</c:v>
                </c:pt>
                <c:pt idx="2">
                  <c:v>17</c:v>
                </c:pt>
                <c:pt idx="3">
                  <c:v>11.76</c:v>
                </c:pt>
                <c:pt idx="4">
                  <c:v>12.81</c:v>
                </c:pt>
                <c:pt idx="5">
                  <c:v>13.82</c:v>
                </c:pt>
                <c:pt idx="6">
                  <c:v>13.76</c:v>
                </c:pt>
                <c:pt idx="7">
                  <c:v>11.18</c:v>
                </c:pt>
                <c:pt idx="8">
                  <c:v>16.600000000000001</c:v>
                </c:pt>
                <c:pt idx="9">
                  <c:v>14.65</c:v>
                </c:pt>
                <c:pt idx="10">
                  <c:v>17.059999999999999</c:v>
                </c:pt>
                <c:pt idx="11">
                  <c:v>15.84</c:v>
                </c:pt>
                <c:pt idx="12">
                  <c:v>15.48</c:v>
                </c:pt>
                <c:pt idx="13">
                  <c:v>15.23</c:v>
                </c:pt>
                <c:pt idx="14">
                  <c:v>16.989999999999998</c:v>
                </c:pt>
                <c:pt idx="15">
                  <c:v>15.89</c:v>
                </c:pt>
                <c:pt idx="16">
                  <c:v>16.52</c:v>
                </c:pt>
                <c:pt idx="17">
                  <c:v>21.79</c:v>
                </c:pt>
                <c:pt idx="18">
                  <c:v>19.059999999999999</c:v>
                </c:pt>
                <c:pt idx="19">
                  <c:v>20.92</c:v>
                </c:pt>
              </c:numCache>
            </c:numRef>
          </c:val>
          <c:extLst>
            <c:ext xmlns:c16="http://schemas.microsoft.com/office/drawing/2014/chart" uri="{C3380CC4-5D6E-409C-BE32-E72D297353CC}">
              <c16:uniqueId val="{00000005-7511-4082-AA49-2B9A5D950118}"/>
            </c:ext>
          </c:extLst>
        </c:ser>
        <c:ser>
          <c:idx val="1"/>
          <c:order val="1"/>
          <c:tx>
            <c:strRef>
              <c:f>'2.4'!$F$3</c:f>
              <c:strCache>
                <c:ptCount val="1"/>
                <c:pt idx="0">
                  <c:v> 1. pol. 2021</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1-7511-4082-AA49-2B9A5D950118}"/>
              </c:ext>
            </c:extLst>
          </c:dPt>
          <c:cat>
            <c:strRef>
              <c:f>'2.4'!$E$4:$E$23</c:f>
              <c:strCache>
                <c:ptCount val="20"/>
                <c:pt idx="0">
                  <c:v>J – Informační a komunikační činnosti</c:v>
                </c:pt>
                <c:pt idx="1">
                  <c:v>L – Činnosti v oblasti nemovitostí</c:v>
                </c:pt>
                <c:pt idx="2">
                  <c:v>K – Peněžnictví a pojišťovnictví</c:v>
                </c:pt>
                <c:pt idx="3">
                  <c:v>M – Profesní, vědecké a technické činnosti</c:v>
                </c:pt>
                <c:pt idx="4">
                  <c:v>R – Kulturní, zábavní a rekreační činnosti</c:v>
                </c:pt>
                <c:pt idx="5">
                  <c:v>I – Ubytování, stravování a pohostinství</c:v>
                </c:pt>
                <c:pt idx="6">
                  <c:v>S – Ostatní činnosti</c:v>
                </c:pt>
                <c:pt idx="7">
                  <c:v>D – Výroba a rozvod elektřiny, plynu, tepla a klimatiz. vzduchu</c:v>
                </c:pt>
                <c:pt idx="8">
                  <c:v>P – Vzdělávání</c:v>
                </c:pt>
                <c:pt idx="9">
                  <c:v>Q – Zdravotní a sociální péče</c:v>
                </c:pt>
                <c:pt idx="10">
                  <c:v>O – Veřejná správa a obrana; povinné sociální zabezpečení</c:v>
                </c:pt>
                <c:pt idx="11">
                  <c:v>F – Stavebnictví</c:v>
                </c:pt>
                <c:pt idx="12">
                  <c:v>G – Velkoobchod a maloobchod; opravy a údržba motor. vozidel</c:v>
                </c:pt>
                <c:pt idx="13">
                  <c:v>A – Zemědělství, lesnictví, rybářství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'2.4'!$F$4:$F$23</c:f>
              <c:numCache>
                <c:formatCode>0.00</c:formatCode>
                <c:ptCount val="20"/>
                <c:pt idx="0">
                  <c:v>13.201219334299999</c:v>
                </c:pt>
                <c:pt idx="1">
                  <c:v>14.0264715473</c:v>
                </c:pt>
                <c:pt idx="2">
                  <c:v>14.8878745603</c:v>
                </c:pt>
                <c:pt idx="3">
                  <c:v>15.2956280356</c:v>
                </c:pt>
                <c:pt idx="4">
                  <c:v>15.948272510400001</c:v>
                </c:pt>
                <c:pt idx="5">
                  <c:v>16.844226459800002</c:v>
                </c:pt>
                <c:pt idx="6">
                  <c:v>21.110855925100001</c:v>
                </c:pt>
                <c:pt idx="7">
                  <c:v>21.900595867100002</c:v>
                </c:pt>
                <c:pt idx="8">
                  <c:v>23.883297488899998</c:v>
                </c:pt>
                <c:pt idx="9">
                  <c:v>26.3406888375</c:v>
                </c:pt>
                <c:pt idx="10">
                  <c:v>27.2565713326</c:v>
                </c:pt>
                <c:pt idx="11">
                  <c:v>28.170593974999999</c:v>
                </c:pt>
                <c:pt idx="12">
                  <c:v>28.601687338000001</c:v>
                </c:pt>
                <c:pt idx="13">
                  <c:v>29.315099364400002</c:v>
                </c:pt>
                <c:pt idx="14">
                  <c:v>29.847542941299999</c:v>
                </c:pt>
                <c:pt idx="15">
                  <c:v>32.040071664800003</c:v>
                </c:pt>
                <c:pt idx="16">
                  <c:v>34.7484771592</c:v>
                </c:pt>
                <c:pt idx="17">
                  <c:v>35.252697169400001</c:v>
                </c:pt>
                <c:pt idx="18">
                  <c:v>40.591552314799998</c:v>
                </c:pt>
                <c:pt idx="19">
                  <c:v>42.381254317200003</c:v>
                </c:pt>
              </c:numCache>
            </c:numRef>
          </c:val>
          <c:extLst>
            <c:ext xmlns:c16="http://schemas.microsoft.com/office/drawing/2014/chart" uri="{C3380CC4-5D6E-409C-BE32-E72D297353CC}">
              <c16:uniqueId val="{00000002-7511-4082-AA49-2B9A5D950118}"/>
            </c:ext>
          </c:extLst>
        </c:ser>
        <c:dLbls>
          <c:showLegendKey val="0"/>
          <c:showVal val="0"/>
          <c:showCatName val="0"/>
          <c:showSerName val="0"/>
          <c:showPercent val="0"/>
          <c:showBubbleSize val="0"/>
        </c:dLbls>
        <c:gapWidth val="182"/>
        <c:axId val="807607888"/>
        <c:axId val="807615792"/>
      </c:barChart>
      <c:catAx>
        <c:axId val="80760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807615792"/>
        <c:crosses val="autoZero"/>
        <c:auto val="1"/>
        <c:lblAlgn val="ctr"/>
        <c:lblOffset val="100"/>
        <c:noMultiLvlLbl val="0"/>
      </c:catAx>
      <c:valAx>
        <c:axId val="807615792"/>
        <c:scaling>
          <c:orientation val="minMax"/>
          <c:max val="4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layout>
            <c:manualLayout>
              <c:xMode val="edge"/>
              <c:yMode val="edge"/>
              <c:x val="0.61009373983885973"/>
              <c:y val="0.898993495378295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807607888"/>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849449814222538"/>
          <c:y val="3.1473540710247647E-2"/>
          <c:w val="0.43237101885103013"/>
          <c:h val="0.83539773079546165"/>
        </c:manualLayout>
      </c:layout>
      <c:barChart>
        <c:barDir val="bar"/>
        <c:grouping val="clustered"/>
        <c:varyColors val="0"/>
        <c:ser>
          <c:idx val="0"/>
          <c:order val="0"/>
          <c:tx>
            <c:strRef>
              <c:f>'2.5'!$H$3</c:f>
              <c:strCache>
                <c:ptCount val="1"/>
                <c:pt idx="0">
                  <c:v> 1. pol. 2020</c:v>
                </c:pt>
              </c:strCache>
            </c:strRef>
          </c:tx>
          <c:spPr>
            <a:solidFill>
              <a:srgbClr val="B44946"/>
            </a:solidFill>
            <a:ln>
              <a:noFill/>
            </a:ln>
            <a:effectLst/>
          </c:spPr>
          <c:invertIfNegative val="0"/>
          <c:dPt>
            <c:idx val="14"/>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4-D216-428A-9628-BF7FE7F3A40B}"/>
              </c:ext>
            </c:extLst>
          </c:dPt>
          <c:cat>
            <c:strRef>
              <c:f>'2.5'!$F$4:$F$23</c:f>
              <c:strCache>
                <c:ptCount val="20"/>
                <c:pt idx="0">
                  <c:v>J – Informační a komunikační činnosti</c:v>
                </c:pt>
                <c:pt idx="1">
                  <c:v>L – Činnosti v oblasti nemovitostí</c:v>
                </c:pt>
                <c:pt idx="2">
                  <c:v>K – Peněžnictví a pojišťovnictví</c:v>
                </c:pt>
                <c:pt idx="3">
                  <c:v>M – Profesní, vědecké a technické činnosti</c:v>
                </c:pt>
                <c:pt idx="4">
                  <c:v>R – Kulturní, zábavní a rekreační činnosti</c:v>
                </c:pt>
                <c:pt idx="5">
                  <c:v>I – Ubytování, stravování a pohostinství</c:v>
                </c:pt>
                <c:pt idx="6">
                  <c:v>S – Ostatní činnosti</c:v>
                </c:pt>
                <c:pt idx="7">
                  <c:v>D – Výroba a rozvod elektřiny, plynu, tepla a klimatiz. vzduchu</c:v>
                </c:pt>
                <c:pt idx="8">
                  <c:v>P – Vzdělávání</c:v>
                </c:pt>
                <c:pt idx="9">
                  <c:v>Q – Zdravotní a sociální péče</c:v>
                </c:pt>
                <c:pt idx="10">
                  <c:v>F – Stavebnictví</c:v>
                </c:pt>
                <c:pt idx="11">
                  <c:v>O – Veřejná správa a obrana; povinné sociální zabezpečení</c:v>
                </c:pt>
                <c:pt idx="12">
                  <c:v>A – Zemědělství, lesnictví, rybářství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'2.5'!$H$4:$H$23</c:f>
              <c:numCache>
                <c:formatCode>General</c:formatCode>
                <c:ptCount val="20"/>
                <c:pt idx="0">
                  <c:v>12.2713009452</c:v>
                </c:pt>
                <c:pt idx="1">
                  <c:v>10.3626779326</c:v>
                </c:pt>
                <c:pt idx="2">
                  <c:v>13.954024023200001</c:v>
                </c:pt>
                <c:pt idx="3">
                  <c:v>11.948458457499999</c:v>
                </c:pt>
                <c:pt idx="4">
                  <c:v>14.8928404756</c:v>
                </c:pt>
                <c:pt idx="5">
                  <c:v>19.749370679399998</c:v>
                </c:pt>
                <c:pt idx="6">
                  <c:v>17.390524075399998</c:v>
                </c:pt>
                <c:pt idx="7">
                  <c:v>13.3998365465</c:v>
                </c:pt>
                <c:pt idx="8">
                  <c:v>16.689465033200001</c:v>
                </c:pt>
                <c:pt idx="9">
                  <c:v>21.958519775999999</c:v>
                </c:pt>
                <c:pt idx="10">
                  <c:v>17.260763971900001</c:v>
                </c:pt>
                <c:pt idx="11">
                  <c:v>17.838199246799999</c:v>
                </c:pt>
                <c:pt idx="12">
                  <c:v>15.9405964187</c:v>
                </c:pt>
                <c:pt idx="13">
                  <c:v>21.1318548112</c:v>
                </c:pt>
                <c:pt idx="14">
                  <c:v>20.8414046314</c:v>
                </c:pt>
                <c:pt idx="15">
                  <c:v>20.7211600306</c:v>
                </c:pt>
                <c:pt idx="16">
                  <c:v>19.6251668092</c:v>
                </c:pt>
                <c:pt idx="17">
                  <c:v>24.8608125672</c:v>
                </c:pt>
                <c:pt idx="18">
                  <c:v>29.9344549339</c:v>
                </c:pt>
                <c:pt idx="19">
                  <c:v>27.312097461600001</c:v>
                </c:pt>
              </c:numCache>
            </c:numRef>
          </c:val>
          <c:extLst>
            <c:ext xmlns:c16="http://schemas.microsoft.com/office/drawing/2014/chart" uri="{C3380CC4-5D6E-409C-BE32-E72D297353CC}">
              <c16:uniqueId val="{00000005-D216-428A-9628-BF7FE7F3A40B}"/>
            </c:ext>
          </c:extLst>
        </c:ser>
        <c:ser>
          <c:idx val="1"/>
          <c:order val="1"/>
          <c:tx>
            <c:strRef>
              <c:f>'2.5'!$G$3</c:f>
              <c:strCache>
                <c:ptCount val="1"/>
                <c:pt idx="0">
                  <c:v> 1. pol. 2021</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1-D216-428A-9628-BF7FE7F3A40B}"/>
              </c:ext>
            </c:extLst>
          </c:dPt>
          <c:cat>
            <c:strRef>
              <c:f>'2.5'!$F$4:$F$23</c:f>
              <c:strCache>
                <c:ptCount val="20"/>
                <c:pt idx="0">
                  <c:v>J – Informační a komunikační činnosti</c:v>
                </c:pt>
                <c:pt idx="1">
                  <c:v>L – Činnosti v oblasti nemovitostí</c:v>
                </c:pt>
                <c:pt idx="2">
                  <c:v>K – Peněžnictví a pojišťovnictví</c:v>
                </c:pt>
                <c:pt idx="3">
                  <c:v>M – Profesní, vědecké a technické činnosti</c:v>
                </c:pt>
                <c:pt idx="4">
                  <c:v>R – Kulturní, zábavní a rekreační činnosti</c:v>
                </c:pt>
                <c:pt idx="5">
                  <c:v>I – Ubytování, stravování a pohostinství</c:v>
                </c:pt>
                <c:pt idx="6">
                  <c:v>S – Ostatní činnosti</c:v>
                </c:pt>
                <c:pt idx="7">
                  <c:v>D – Výroba a rozvod elektřiny, plynu, tepla a klimatiz. vzduchu</c:v>
                </c:pt>
                <c:pt idx="8">
                  <c:v>P – Vzdělávání</c:v>
                </c:pt>
                <c:pt idx="9">
                  <c:v>Q – Zdravotní a sociální péče</c:v>
                </c:pt>
                <c:pt idx="10">
                  <c:v>F – Stavebnictví</c:v>
                </c:pt>
                <c:pt idx="11">
                  <c:v>O – Veřejná správa a obrana; povinné sociální zabezpečení</c:v>
                </c:pt>
                <c:pt idx="12">
                  <c:v>A – Zemědělství, lesnictví, rybářství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'2.5'!$G$4:$G$23</c:f>
              <c:numCache>
                <c:formatCode>0.00</c:formatCode>
                <c:ptCount val="20"/>
                <c:pt idx="0">
                  <c:v>12.6362255792</c:v>
                </c:pt>
                <c:pt idx="1">
                  <c:v>13.1075781894</c:v>
                </c:pt>
                <c:pt idx="2">
                  <c:v>14.3433543296</c:v>
                </c:pt>
                <c:pt idx="3">
                  <c:v>14.4945226641</c:v>
                </c:pt>
                <c:pt idx="4">
                  <c:v>14.851070200700001</c:v>
                </c:pt>
                <c:pt idx="5">
                  <c:v>15.385548032699999</c:v>
                </c:pt>
                <c:pt idx="6">
                  <c:v>19.925568461299999</c:v>
                </c:pt>
                <c:pt idx="7">
                  <c:v>20.6075909184</c:v>
                </c:pt>
                <c:pt idx="8">
                  <c:v>22.839104846400001</c:v>
                </c:pt>
                <c:pt idx="9">
                  <c:v>24.666918343900001</c:v>
                </c:pt>
                <c:pt idx="10">
                  <c:v>25.490627867699999</c:v>
                </c:pt>
                <c:pt idx="11">
                  <c:v>26.027023538200002</c:v>
                </c:pt>
                <c:pt idx="12">
                  <c:v>26.175353243099998</c:v>
                </c:pt>
                <c:pt idx="13">
                  <c:v>26.6144092153</c:v>
                </c:pt>
                <c:pt idx="14">
                  <c:v>27.7313493869</c:v>
                </c:pt>
                <c:pt idx="15">
                  <c:v>29.416788456799999</c:v>
                </c:pt>
                <c:pt idx="16">
                  <c:v>31.594074008500002</c:v>
                </c:pt>
                <c:pt idx="17">
                  <c:v>32.723412024399998</c:v>
                </c:pt>
                <c:pt idx="18">
                  <c:v>37.577279288100002</c:v>
                </c:pt>
                <c:pt idx="19">
                  <c:v>39.135252074599997</c:v>
                </c:pt>
              </c:numCache>
            </c:numRef>
          </c:val>
          <c:extLst>
            <c:ext xmlns:c16="http://schemas.microsoft.com/office/drawing/2014/chart" uri="{C3380CC4-5D6E-409C-BE32-E72D297353CC}">
              <c16:uniqueId val="{00000002-D216-428A-9628-BF7FE7F3A40B}"/>
            </c:ext>
          </c:extLst>
        </c:ser>
        <c:dLbls>
          <c:showLegendKey val="0"/>
          <c:showVal val="0"/>
          <c:showCatName val="0"/>
          <c:showSerName val="0"/>
          <c:showPercent val="0"/>
          <c:showBubbleSize val="0"/>
        </c:dLbls>
        <c:gapWidth val="182"/>
        <c:axId val="704834064"/>
        <c:axId val="704822416"/>
      </c:barChart>
      <c:catAx>
        <c:axId val="7048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22416"/>
        <c:crosses val="autoZero"/>
        <c:auto val="1"/>
        <c:lblAlgn val="ctr"/>
        <c:lblOffset val="100"/>
        <c:noMultiLvlLbl val="0"/>
      </c:catAx>
      <c:valAx>
        <c:axId val="704822416"/>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340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0.88452</cdr:x>
      <cdr:y>0.01903</cdr:y>
    </cdr:from>
    <cdr:to>
      <cdr:x>0.94677</cdr:x>
      <cdr:y>0.07611</cdr:y>
    </cdr:to>
    <cdr:sp macro="" textlink="">
      <cdr:nvSpPr>
        <cdr:cNvPr id="2" name="TextovéPole 2"/>
        <cdr:cNvSpPr txBox="1"/>
      </cdr:nvSpPr>
      <cdr:spPr>
        <a:xfrm xmlns:a="http://schemas.openxmlformats.org/drawingml/2006/main">
          <a:off x="5413375" y="98425"/>
          <a:ext cx="381000" cy="2952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4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0.49019</cdr:x>
      <cdr:y>0.42677</cdr:y>
    </cdr:from>
    <cdr:to>
      <cdr:x>0.72256</cdr:x>
      <cdr:y>0.59691</cdr:y>
    </cdr:to>
    <cdr:sp macro="" textlink="">
      <cdr:nvSpPr>
        <cdr:cNvPr id="2" name="TextovéPole 1"/>
        <cdr:cNvSpPr txBox="1"/>
      </cdr:nvSpPr>
      <cdr:spPr>
        <a:xfrm xmlns:a="http://schemas.openxmlformats.org/drawingml/2006/main">
          <a:off x="1531452" y="930880"/>
          <a:ext cx="725973" cy="371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900" b="1">
              <a:latin typeface="Arial" panose="020B0604020202020204" pitchFamily="34" charset="0"/>
              <a:cs typeface="Arial" panose="020B0604020202020204" pitchFamily="34" charset="0"/>
            </a:rPr>
            <a:t>698,6</a:t>
          </a:r>
          <a:r>
            <a:rPr lang="cs-CZ" sz="800" b="1">
              <a:latin typeface="Arial" panose="020B0604020202020204" pitchFamily="34" charset="0"/>
              <a:cs typeface="Arial" panose="020B0604020202020204" pitchFamily="34" charset="0"/>
            </a:rPr>
            <a:t> tis.</a:t>
          </a:r>
        </a:p>
      </cdr:txBody>
    </cdr:sp>
  </cdr:relSizeAnchor>
</c:userShapes>
</file>

<file path=word/drawings/drawing3.xml><?xml version="1.0" encoding="utf-8"?>
<c:userShapes xmlns:c="http://schemas.openxmlformats.org/drawingml/2006/chart">
  <cdr:relSizeAnchor xmlns:cdr="http://schemas.openxmlformats.org/drawingml/2006/chartDrawing">
    <cdr:from>
      <cdr:x>0.42194</cdr:x>
      <cdr:y>0.42506</cdr:y>
    </cdr:from>
    <cdr:to>
      <cdr:x>0.61755</cdr:x>
      <cdr:y>0.53545</cdr:y>
    </cdr:to>
    <cdr:sp macro="" textlink="">
      <cdr:nvSpPr>
        <cdr:cNvPr id="2" name="TextovéPole 3"/>
        <cdr:cNvSpPr txBox="1"/>
      </cdr:nvSpPr>
      <cdr:spPr>
        <a:xfrm xmlns:a="http://schemas.openxmlformats.org/drawingml/2006/main">
          <a:off x="1438275" y="927158"/>
          <a:ext cx="666749" cy="24078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900" b="1">
              <a:latin typeface="Arial" panose="020B0604020202020204" pitchFamily="34" charset="0"/>
              <a:cs typeface="Arial" panose="020B0604020202020204" pitchFamily="34" charset="0"/>
            </a:rPr>
            <a:t>700,9</a:t>
          </a:r>
          <a:r>
            <a:rPr lang="cs-CZ" sz="800" b="1">
              <a:latin typeface="Arial" panose="020B0604020202020204" pitchFamily="34" charset="0"/>
              <a:cs typeface="Arial" panose="020B0604020202020204" pitchFamily="34" charset="0"/>
            </a:rPr>
            <a:t>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F009C-271A-477C-8825-FFCC1EC0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35</Pages>
  <Words>12786</Words>
  <Characters>75444</Characters>
  <Application>Microsoft Office Word</Application>
  <DocSecurity>0</DocSecurity>
  <Lines>628</Lines>
  <Paragraphs>176</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Pracovní neschopnost pro nemoc a úraz v České republice za rok 2020</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88054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neschopnost pro nemoc a úraz v České republice za 1. pol. 2021</dc:title>
  <dc:subject/>
  <dc:creator>Ing. Alena Hykyšová</dc:creator>
  <cp:keywords/>
  <dc:description/>
  <cp:lastModifiedBy>Hykyšová Alena</cp:lastModifiedBy>
  <cp:revision>2</cp:revision>
  <cp:lastPrinted>2014-07-17T14:07:00Z</cp:lastPrinted>
  <dcterms:created xsi:type="dcterms:W3CDTF">2021-10-27T11:37:00Z</dcterms:created>
  <dcterms:modified xsi:type="dcterms:W3CDTF">2021-10-27T11:37:00Z</dcterms:modified>
  <cp:category/>
</cp:coreProperties>
</file>