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690576" w:rsidRPr="00324A32" w:rsidTr="005B6819">
        <w:trPr>
          <w:trHeight w:val="510"/>
        </w:trPr>
        <w:tc>
          <w:tcPr>
            <w:tcW w:w="666" w:type="pct"/>
            <w:tcMar>
              <w:top w:w="15" w:type="dxa"/>
              <w:left w:w="15" w:type="dxa"/>
              <w:bottom w:w="0" w:type="dxa"/>
              <w:right w:w="15" w:type="dxa"/>
            </w:tcMar>
            <w:vAlign w:val="bottom"/>
          </w:tcPr>
          <w:p w:rsidR="00690576" w:rsidRPr="007528EB" w:rsidRDefault="00690576" w:rsidP="00690576">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690576" w:rsidRPr="007528EB" w:rsidRDefault="00690576" w:rsidP="00690576">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20</w:t>
            </w:r>
          </w:p>
        </w:tc>
        <w:tc>
          <w:tcPr>
            <w:tcW w:w="450" w:type="pct"/>
            <w:tcMar>
              <w:top w:w="15" w:type="dxa"/>
              <w:left w:w="15" w:type="dxa"/>
              <w:bottom w:w="0" w:type="dxa"/>
              <w:right w:w="15" w:type="dxa"/>
            </w:tcMar>
            <w:vAlign w:val="center"/>
          </w:tcPr>
          <w:p w:rsidR="00690576" w:rsidRPr="007528EB" w:rsidRDefault="00690576" w:rsidP="00690576">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20</w:t>
            </w:r>
          </w:p>
        </w:tc>
        <w:tc>
          <w:tcPr>
            <w:tcW w:w="450" w:type="pct"/>
            <w:tcMar>
              <w:top w:w="15" w:type="dxa"/>
              <w:left w:w="15" w:type="dxa"/>
              <w:bottom w:w="0" w:type="dxa"/>
              <w:right w:w="15" w:type="dxa"/>
            </w:tcMar>
            <w:vAlign w:val="center"/>
          </w:tcPr>
          <w:p w:rsidR="00690576" w:rsidRPr="007528EB" w:rsidRDefault="00690576" w:rsidP="00690576">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w:t>
            </w:r>
            <w:r>
              <w:rPr>
                <w:rFonts w:cs="Arial"/>
                <w:b/>
                <w:bCs/>
                <w:sz w:val="16"/>
                <w:szCs w:val="16"/>
                <w:lang w:val="en-GB"/>
              </w:rPr>
              <w:t>20</w:t>
            </w:r>
          </w:p>
        </w:tc>
        <w:tc>
          <w:tcPr>
            <w:tcW w:w="450" w:type="pct"/>
            <w:tcMar>
              <w:top w:w="15" w:type="dxa"/>
              <w:left w:w="15" w:type="dxa"/>
              <w:bottom w:w="0" w:type="dxa"/>
              <w:right w:w="15" w:type="dxa"/>
            </w:tcMar>
            <w:vAlign w:val="center"/>
          </w:tcPr>
          <w:p w:rsidR="00690576" w:rsidRPr="007528EB" w:rsidRDefault="00690576" w:rsidP="00690576">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21</w:t>
            </w:r>
          </w:p>
        </w:tc>
        <w:tc>
          <w:tcPr>
            <w:tcW w:w="738" w:type="pct"/>
            <w:tcMar>
              <w:top w:w="15" w:type="dxa"/>
              <w:left w:w="15" w:type="dxa"/>
              <w:bottom w:w="0" w:type="dxa"/>
              <w:right w:w="15" w:type="dxa"/>
            </w:tcMar>
            <w:vAlign w:val="center"/>
          </w:tcPr>
          <w:p w:rsidR="00690576" w:rsidRPr="007528EB" w:rsidRDefault="00690576" w:rsidP="00690576">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690576" w:rsidRPr="007528EB" w:rsidRDefault="00690576" w:rsidP="00690576">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20</w:t>
            </w:r>
          </w:p>
        </w:tc>
        <w:tc>
          <w:tcPr>
            <w:tcW w:w="449" w:type="pct"/>
            <w:tcMar>
              <w:top w:w="15" w:type="dxa"/>
              <w:left w:w="15" w:type="dxa"/>
              <w:bottom w:w="0" w:type="dxa"/>
              <w:right w:w="15" w:type="dxa"/>
            </w:tcMar>
            <w:vAlign w:val="center"/>
          </w:tcPr>
          <w:p w:rsidR="00690576" w:rsidRPr="007528EB" w:rsidRDefault="00690576" w:rsidP="00690576">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20</w:t>
            </w:r>
          </w:p>
        </w:tc>
        <w:tc>
          <w:tcPr>
            <w:tcW w:w="449" w:type="pct"/>
            <w:vAlign w:val="center"/>
          </w:tcPr>
          <w:p w:rsidR="00690576" w:rsidRPr="007528EB" w:rsidRDefault="00690576" w:rsidP="00690576">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w:t>
            </w:r>
            <w:r>
              <w:rPr>
                <w:rFonts w:cs="Arial"/>
                <w:b/>
                <w:bCs/>
                <w:sz w:val="16"/>
                <w:szCs w:val="16"/>
                <w:lang w:val="en-GB"/>
              </w:rPr>
              <w:t>20</w:t>
            </w:r>
          </w:p>
        </w:tc>
        <w:tc>
          <w:tcPr>
            <w:tcW w:w="449" w:type="pct"/>
            <w:tcMar>
              <w:top w:w="15" w:type="dxa"/>
              <w:left w:w="15" w:type="dxa"/>
              <w:bottom w:w="0" w:type="dxa"/>
              <w:right w:w="15" w:type="dxa"/>
            </w:tcMar>
            <w:vAlign w:val="center"/>
          </w:tcPr>
          <w:p w:rsidR="00690576" w:rsidRPr="007528EB" w:rsidRDefault="00690576" w:rsidP="00690576">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21</w:t>
            </w:r>
          </w:p>
        </w:tc>
      </w:tr>
      <w:tr w:rsidR="00690576" w:rsidRPr="00324A32" w:rsidTr="005B6819">
        <w:trPr>
          <w:trHeight w:val="340"/>
        </w:trPr>
        <w:tc>
          <w:tcPr>
            <w:tcW w:w="666" w:type="pct"/>
            <w:noWrap/>
            <w:tcMar>
              <w:top w:w="15" w:type="dxa"/>
              <w:left w:w="15" w:type="dxa"/>
              <w:bottom w:w="0" w:type="dxa"/>
              <w:right w:w="15" w:type="dxa"/>
            </w:tcMar>
            <w:vAlign w:val="bottom"/>
          </w:tcPr>
          <w:p w:rsidR="00690576" w:rsidRPr="007C4B31" w:rsidRDefault="00690576" w:rsidP="00690576">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690576" w:rsidRPr="00A8789C" w:rsidRDefault="00690576" w:rsidP="00690576">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690576" w:rsidRPr="00A8789C" w:rsidRDefault="00690576" w:rsidP="00690576">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690576" w:rsidRPr="00A8789C" w:rsidRDefault="00690576" w:rsidP="00690576">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690576" w:rsidRPr="00A8789C" w:rsidRDefault="00690576" w:rsidP="00690576">
            <w:pPr>
              <w:spacing w:after="0" w:line="240" w:lineRule="auto"/>
              <w:ind w:right="85"/>
              <w:jc w:val="right"/>
              <w:rPr>
                <w:rFonts w:cs="Arial"/>
                <w:sz w:val="16"/>
                <w:szCs w:val="16"/>
              </w:rPr>
            </w:pPr>
            <w:r>
              <w:rPr>
                <w:rFonts w:cs="Arial"/>
                <w:sz w:val="16"/>
                <w:szCs w:val="16"/>
              </w:rPr>
              <w:t>101,2</w:t>
            </w:r>
          </w:p>
        </w:tc>
        <w:tc>
          <w:tcPr>
            <w:tcW w:w="738"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99,6</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99,3</w:t>
            </w:r>
          </w:p>
        </w:tc>
        <w:tc>
          <w:tcPr>
            <w:tcW w:w="449" w:type="pct"/>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99,7</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101,1</w:t>
            </w:r>
          </w:p>
        </w:tc>
      </w:tr>
      <w:tr w:rsidR="00690576" w:rsidRPr="00324A32" w:rsidTr="005B6819">
        <w:trPr>
          <w:trHeight w:val="340"/>
        </w:trPr>
        <w:tc>
          <w:tcPr>
            <w:tcW w:w="666" w:type="pct"/>
            <w:noWrap/>
            <w:tcMar>
              <w:top w:w="15" w:type="dxa"/>
              <w:left w:w="15" w:type="dxa"/>
              <w:bottom w:w="0" w:type="dxa"/>
              <w:right w:w="15" w:type="dxa"/>
            </w:tcMar>
            <w:vAlign w:val="bottom"/>
          </w:tcPr>
          <w:p w:rsidR="00690576" w:rsidRPr="007528EB" w:rsidRDefault="00690576" w:rsidP="00690576">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100,6</w:t>
            </w:r>
          </w:p>
        </w:tc>
        <w:tc>
          <w:tcPr>
            <w:tcW w:w="738" w:type="pct"/>
            <w:noWrap/>
            <w:tcMar>
              <w:top w:w="15" w:type="dxa"/>
              <w:left w:w="15" w:type="dxa"/>
              <w:bottom w:w="0" w:type="dxa"/>
              <w:right w:w="15" w:type="dxa"/>
            </w:tcMar>
            <w:vAlign w:val="bottom"/>
          </w:tcPr>
          <w:p w:rsidR="00690576" w:rsidRPr="007528EB" w:rsidRDefault="00690576" w:rsidP="00690576">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103,0</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102,8</w:t>
            </w:r>
          </w:p>
        </w:tc>
        <w:tc>
          <w:tcPr>
            <w:tcW w:w="449" w:type="pct"/>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102,8</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102,9</w:t>
            </w:r>
          </w:p>
        </w:tc>
      </w:tr>
      <w:tr w:rsidR="00690576" w:rsidRPr="00324A32" w:rsidTr="005B6819">
        <w:trPr>
          <w:trHeight w:val="340"/>
        </w:trPr>
        <w:tc>
          <w:tcPr>
            <w:tcW w:w="666"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100,6</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100,0</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(p) 99,6</w:t>
            </w:r>
          </w:p>
        </w:tc>
        <w:tc>
          <w:tcPr>
            <w:tcW w:w="738" w:type="pct"/>
            <w:noWrap/>
            <w:tcMar>
              <w:top w:w="15" w:type="dxa"/>
              <w:left w:w="15" w:type="dxa"/>
              <w:bottom w:w="0" w:type="dxa"/>
              <w:right w:w="15" w:type="dxa"/>
            </w:tcMar>
            <w:vAlign w:val="bottom"/>
          </w:tcPr>
          <w:p w:rsidR="00690576" w:rsidRPr="007528EB" w:rsidRDefault="00690576" w:rsidP="00690576">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100,6</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100,2</w:t>
            </w:r>
          </w:p>
        </w:tc>
        <w:tc>
          <w:tcPr>
            <w:tcW w:w="449" w:type="pct"/>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100,2</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100,2</w:t>
            </w:r>
          </w:p>
        </w:tc>
      </w:tr>
      <w:tr w:rsidR="00690576" w:rsidRPr="00324A32" w:rsidTr="005B6819">
        <w:trPr>
          <w:trHeight w:val="340"/>
        </w:trPr>
        <w:tc>
          <w:tcPr>
            <w:tcW w:w="666" w:type="pct"/>
            <w:noWrap/>
            <w:tcMar>
              <w:top w:w="15" w:type="dxa"/>
              <w:left w:w="15" w:type="dxa"/>
              <w:bottom w:w="0" w:type="dxa"/>
              <w:right w:w="15" w:type="dxa"/>
            </w:tcMar>
            <w:vAlign w:val="bottom"/>
          </w:tcPr>
          <w:p w:rsidR="00690576" w:rsidRPr="00140AE9" w:rsidRDefault="00690576" w:rsidP="00690576">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102,9</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102,8</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102,4</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102,2</w:t>
            </w:r>
          </w:p>
        </w:tc>
        <w:tc>
          <w:tcPr>
            <w:tcW w:w="738"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99,5</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99,3</w:t>
            </w:r>
          </w:p>
        </w:tc>
        <w:tc>
          <w:tcPr>
            <w:tcW w:w="449" w:type="pct"/>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99,3</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101,6</w:t>
            </w:r>
          </w:p>
        </w:tc>
      </w:tr>
      <w:tr w:rsidR="00690576" w:rsidRPr="00324A32" w:rsidTr="005B6819">
        <w:trPr>
          <w:trHeight w:val="340"/>
        </w:trPr>
        <w:tc>
          <w:tcPr>
            <w:tcW w:w="666"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100,4</w:t>
            </w:r>
          </w:p>
        </w:tc>
        <w:tc>
          <w:tcPr>
            <w:tcW w:w="738"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101,2</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100,7</w:t>
            </w:r>
          </w:p>
        </w:tc>
        <w:tc>
          <w:tcPr>
            <w:tcW w:w="449" w:type="pct"/>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100,9</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101,6</w:t>
            </w:r>
          </w:p>
        </w:tc>
      </w:tr>
      <w:tr w:rsidR="00690576" w:rsidRPr="00324A32" w:rsidTr="005B6819">
        <w:trPr>
          <w:trHeight w:val="340"/>
        </w:trPr>
        <w:tc>
          <w:tcPr>
            <w:tcW w:w="666"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98,3</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98,8</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99,1</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100,3</w:t>
            </w:r>
          </w:p>
        </w:tc>
        <w:tc>
          <w:tcPr>
            <w:tcW w:w="738"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103,8</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103,7</w:t>
            </w:r>
          </w:p>
        </w:tc>
        <w:tc>
          <w:tcPr>
            <w:tcW w:w="449" w:type="pct"/>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103,4</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103,6</w:t>
            </w:r>
          </w:p>
        </w:tc>
      </w:tr>
      <w:tr w:rsidR="00690576" w:rsidRPr="00324A32" w:rsidTr="005B6819">
        <w:trPr>
          <w:trHeight w:val="340"/>
        </w:trPr>
        <w:tc>
          <w:tcPr>
            <w:tcW w:w="666"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101,0</w:t>
            </w:r>
          </w:p>
        </w:tc>
        <w:tc>
          <w:tcPr>
            <w:tcW w:w="738"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99,4</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99,6</w:t>
            </w:r>
          </w:p>
        </w:tc>
        <w:tc>
          <w:tcPr>
            <w:tcW w:w="449" w:type="pct"/>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99,7</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100,2</w:t>
            </w:r>
          </w:p>
        </w:tc>
      </w:tr>
      <w:tr w:rsidR="00690576" w:rsidRPr="00324A32" w:rsidTr="005B6819">
        <w:trPr>
          <w:trHeight w:val="340"/>
        </w:trPr>
        <w:tc>
          <w:tcPr>
            <w:tcW w:w="666"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100,1</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100,0</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100,8</w:t>
            </w:r>
          </w:p>
        </w:tc>
        <w:tc>
          <w:tcPr>
            <w:tcW w:w="738"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101,1</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101,1</w:t>
            </w:r>
          </w:p>
        </w:tc>
        <w:tc>
          <w:tcPr>
            <w:tcW w:w="449" w:type="pct"/>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101,0</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101,0</w:t>
            </w:r>
          </w:p>
        </w:tc>
      </w:tr>
      <w:tr w:rsidR="00690576" w:rsidRPr="00324A32" w:rsidTr="005B6819">
        <w:trPr>
          <w:trHeight w:val="340"/>
        </w:trPr>
        <w:tc>
          <w:tcPr>
            <w:tcW w:w="666"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99,8</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100,0</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99,7</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100,0</w:t>
            </w:r>
          </w:p>
        </w:tc>
        <w:tc>
          <w:tcPr>
            <w:tcW w:w="738"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101,8</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101,7</w:t>
            </w:r>
          </w:p>
        </w:tc>
        <w:tc>
          <w:tcPr>
            <w:tcW w:w="449" w:type="pct"/>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101,8</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102,0</w:t>
            </w:r>
          </w:p>
        </w:tc>
      </w:tr>
      <w:tr w:rsidR="00690576" w:rsidRPr="00324A32" w:rsidTr="005B6819">
        <w:trPr>
          <w:trHeight w:val="340"/>
        </w:trPr>
        <w:tc>
          <w:tcPr>
            <w:tcW w:w="666"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98,5</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99,0</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99,0</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99,9</w:t>
            </w:r>
          </w:p>
        </w:tc>
        <w:tc>
          <w:tcPr>
            <w:tcW w:w="738"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98,0</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97,9</w:t>
            </w:r>
          </w:p>
        </w:tc>
        <w:tc>
          <w:tcPr>
            <w:tcW w:w="449" w:type="pct"/>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97,6</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97,6</w:t>
            </w:r>
          </w:p>
        </w:tc>
      </w:tr>
      <w:tr w:rsidR="00690576" w:rsidRPr="00324A32" w:rsidTr="005B6819">
        <w:trPr>
          <w:trHeight w:val="340"/>
        </w:trPr>
        <w:tc>
          <w:tcPr>
            <w:tcW w:w="666"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99,4</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99,7</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99,7</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100,7</w:t>
            </w:r>
          </w:p>
        </w:tc>
        <w:tc>
          <w:tcPr>
            <w:tcW w:w="738"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101,6</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101,6</w:t>
            </w:r>
          </w:p>
        </w:tc>
        <w:tc>
          <w:tcPr>
            <w:tcW w:w="449" w:type="pct"/>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101,6</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100,7</w:t>
            </w:r>
          </w:p>
        </w:tc>
      </w:tr>
      <w:tr w:rsidR="00690576" w:rsidRPr="00324A32" w:rsidTr="005B6819">
        <w:trPr>
          <w:trHeight w:val="340"/>
        </w:trPr>
        <w:tc>
          <w:tcPr>
            <w:tcW w:w="666"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98,6</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98,9</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99,2</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99,2</w:t>
            </w:r>
          </w:p>
        </w:tc>
        <w:tc>
          <w:tcPr>
            <w:tcW w:w="738"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99,5</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98,9</w:t>
            </w:r>
          </w:p>
        </w:tc>
        <w:tc>
          <w:tcPr>
            <w:tcW w:w="449" w:type="pct"/>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98,8</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99,1</w:t>
            </w:r>
          </w:p>
        </w:tc>
      </w:tr>
      <w:tr w:rsidR="00690576" w:rsidRPr="00324A32" w:rsidTr="005B6819">
        <w:trPr>
          <w:trHeight w:val="340"/>
        </w:trPr>
        <w:tc>
          <w:tcPr>
            <w:tcW w:w="666"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100,5</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99,9</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100,2</w:t>
            </w:r>
          </w:p>
        </w:tc>
        <w:tc>
          <w:tcPr>
            <w:tcW w:w="738"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99,1</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99,2</w:t>
            </w:r>
          </w:p>
        </w:tc>
        <w:tc>
          <w:tcPr>
            <w:tcW w:w="449" w:type="pct"/>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99,4</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100,4</w:t>
            </w:r>
          </w:p>
        </w:tc>
      </w:tr>
      <w:tr w:rsidR="00690576" w:rsidRPr="00324A32" w:rsidTr="005B6819">
        <w:trPr>
          <w:trHeight w:val="340"/>
        </w:trPr>
        <w:tc>
          <w:tcPr>
            <w:tcW w:w="666"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99,3</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99,3</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99,5</w:t>
            </w:r>
          </w:p>
        </w:tc>
        <w:tc>
          <w:tcPr>
            <w:tcW w:w="450"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99,5</w:t>
            </w:r>
          </w:p>
        </w:tc>
        <w:tc>
          <w:tcPr>
            <w:tcW w:w="738" w:type="pct"/>
            <w:noWrap/>
            <w:tcMar>
              <w:top w:w="15" w:type="dxa"/>
              <w:left w:w="15" w:type="dxa"/>
              <w:bottom w:w="0" w:type="dxa"/>
              <w:right w:w="15" w:type="dxa"/>
            </w:tcMar>
            <w:vAlign w:val="bottom"/>
          </w:tcPr>
          <w:p w:rsidR="00690576" w:rsidRPr="007528EB" w:rsidRDefault="00690576" w:rsidP="00690576">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100,4</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100,2</w:t>
            </w:r>
          </w:p>
        </w:tc>
        <w:tc>
          <w:tcPr>
            <w:tcW w:w="449" w:type="pct"/>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100,6</w:t>
            </w:r>
          </w:p>
        </w:tc>
        <w:tc>
          <w:tcPr>
            <w:tcW w:w="449" w:type="pct"/>
            <w:noWrap/>
            <w:tcMar>
              <w:top w:w="15" w:type="dxa"/>
              <w:left w:w="15" w:type="dxa"/>
              <w:bottom w:w="0" w:type="dxa"/>
              <w:right w:w="15" w:type="dxa"/>
            </w:tcMar>
            <w:vAlign w:val="bottom"/>
          </w:tcPr>
          <w:p w:rsidR="00690576" w:rsidRPr="00245E4D" w:rsidRDefault="00690576" w:rsidP="00690576">
            <w:pPr>
              <w:spacing w:after="0" w:line="240" w:lineRule="auto"/>
              <w:ind w:right="85"/>
              <w:jc w:val="right"/>
              <w:rPr>
                <w:rFonts w:cs="Arial"/>
                <w:sz w:val="16"/>
                <w:szCs w:val="16"/>
              </w:rPr>
            </w:pPr>
            <w:r>
              <w:rPr>
                <w:rFonts w:cs="Arial"/>
                <w:sz w:val="16"/>
                <w:szCs w:val="16"/>
              </w:rPr>
              <w:t>101,9</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97D" w:rsidRDefault="0028197D" w:rsidP="00E71A58">
      <w:r>
        <w:separator/>
      </w:r>
    </w:p>
  </w:endnote>
  <w:endnote w:type="continuationSeparator" w:id="0">
    <w:p w:rsidR="0028197D" w:rsidRDefault="0028197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690576">
      <w:rPr>
        <w:szCs w:val="16"/>
      </w:rPr>
      <w:t>únor</w:t>
    </w:r>
    <w:r w:rsidR="002B3630">
      <w:rPr>
        <w:rStyle w:val="ZpatChar"/>
        <w:szCs w:val="16"/>
      </w:rPr>
      <w:t xml:space="preserve"> 202</w:t>
    </w:r>
    <w:r w:rsidR="00451F70">
      <w:rPr>
        <w:rStyle w:val="ZpatChar"/>
        <w:szCs w:val="16"/>
      </w:rPr>
      <w:t>1</w:t>
    </w:r>
    <w:r w:rsidRPr="00F1639F">
      <w:rPr>
        <w:rStyle w:val="ZpatChar"/>
        <w:szCs w:val="16"/>
      </w:rPr>
      <w:t xml:space="preserve"> / </w:t>
    </w:r>
    <w:r w:rsidR="00690576">
      <w:rPr>
        <w:rStyle w:val="ZpatChar"/>
        <w:i/>
        <w:szCs w:val="16"/>
      </w:rPr>
      <w:t>Febr</w:t>
    </w:r>
    <w:r w:rsidR="00451F70">
      <w:rPr>
        <w:rStyle w:val="ZpatChar"/>
        <w:i/>
        <w:szCs w:val="16"/>
      </w:rPr>
      <w:t>uary</w:t>
    </w:r>
    <w:r>
      <w:rPr>
        <w:rStyle w:val="ZpatChar"/>
        <w:i/>
        <w:szCs w:val="16"/>
      </w:rPr>
      <w:t xml:space="preserve"> 20</w:t>
    </w:r>
    <w:r w:rsidR="00451F70">
      <w:rPr>
        <w:rStyle w:val="ZpatChar"/>
        <w:i/>
        <w:szCs w:val="16"/>
      </w:rPr>
      <w:t>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97D" w:rsidRDefault="0028197D" w:rsidP="00E71A58">
      <w:r>
        <w:separator/>
      </w:r>
    </w:p>
  </w:footnote>
  <w:footnote w:type="continuationSeparator" w:id="0">
    <w:p w:rsidR="0028197D" w:rsidRDefault="0028197D"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F4597"/>
    <w:rsid w:val="002118B9"/>
    <w:rsid w:val="00217C5B"/>
    <w:rsid w:val="0022139E"/>
    <w:rsid w:val="00222F4B"/>
    <w:rsid w:val="002252E0"/>
    <w:rsid w:val="002255F6"/>
    <w:rsid w:val="00227850"/>
    <w:rsid w:val="002279F7"/>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5412"/>
    <w:rsid w:val="002A052B"/>
    <w:rsid w:val="002A16D4"/>
    <w:rsid w:val="002A230C"/>
    <w:rsid w:val="002B3598"/>
    <w:rsid w:val="002B3630"/>
    <w:rsid w:val="002B6FD1"/>
    <w:rsid w:val="002C4142"/>
    <w:rsid w:val="002C43BD"/>
    <w:rsid w:val="002C6258"/>
    <w:rsid w:val="002D0E59"/>
    <w:rsid w:val="002D5C71"/>
    <w:rsid w:val="002D68D1"/>
    <w:rsid w:val="002E02A1"/>
    <w:rsid w:val="002E16B1"/>
    <w:rsid w:val="002E2306"/>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1A19"/>
    <w:rsid w:val="0040527B"/>
    <w:rsid w:val="00407C13"/>
    <w:rsid w:val="00410638"/>
    <w:rsid w:val="00431DE0"/>
    <w:rsid w:val="0043293A"/>
    <w:rsid w:val="00432A58"/>
    <w:rsid w:val="004335C3"/>
    <w:rsid w:val="00434617"/>
    <w:rsid w:val="00437D86"/>
    <w:rsid w:val="00440900"/>
    <w:rsid w:val="004441A0"/>
    <w:rsid w:val="00451F7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5256"/>
    <w:rsid w:val="004F06F5"/>
    <w:rsid w:val="004F1C34"/>
    <w:rsid w:val="004F2CB5"/>
    <w:rsid w:val="004F33A0"/>
    <w:rsid w:val="004F37AE"/>
    <w:rsid w:val="004F4CC8"/>
    <w:rsid w:val="00500157"/>
    <w:rsid w:val="005026B9"/>
    <w:rsid w:val="005108C0"/>
    <w:rsid w:val="00511873"/>
    <w:rsid w:val="00512A2F"/>
    <w:rsid w:val="00513B7E"/>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1368"/>
    <w:rsid w:val="005D5802"/>
    <w:rsid w:val="005D7890"/>
    <w:rsid w:val="005E7C78"/>
    <w:rsid w:val="005F3EB1"/>
    <w:rsid w:val="00604307"/>
    <w:rsid w:val="0060487F"/>
    <w:rsid w:val="00604EAD"/>
    <w:rsid w:val="006104FB"/>
    <w:rsid w:val="00612A2F"/>
    <w:rsid w:val="00615E27"/>
    <w:rsid w:val="00616E05"/>
    <w:rsid w:val="0061794E"/>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414A"/>
    <w:rsid w:val="00A46DE0"/>
    <w:rsid w:val="00A50D73"/>
    <w:rsid w:val="00A52CAD"/>
    <w:rsid w:val="00A53FC7"/>
    <w:rsid w:val="00A544CF"/>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A15EC"/>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66F00"/>
    <w:rsid w:val="00D71F20"/>
    <w:rsid w:val="00D76A85"/>
    <w:rsid w:val="00D8084C"/>
    <w:rsid w:val="00D838BD"/>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023C780"/>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D594-22F0-43B3-A7F9-ABCEAF81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TotalTime>
  <Pages>1</Pages>
  <Words>389</Words>
  <Characters>2300</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cp:revision>
  <cp:lastPrinted>2017-01-18T13:33:00Z</cp:lastPrinted>
  <dcterms:created xsi:type="dcterms:W3CDTF">2021-02-19T11:48:00Z</dcterms:created>
  <dcterms:modified xsi:type="dcterms:W3CDTF">2021-03-03T10:24:00Z</dcterms:modified>
</cp:coreProperties>
</file>