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4184C" w14:textId="77777777" w:rsidR="00F05D89" w:rsidRDefault="00F05D89">
      <w:pPr>
        <w:rPr>
          <w:rFonts w:ascii="Arial" w:hAnsi="Arial" w:cs="Arial"/>
          <w:sz w:val="20"/>
        </w:rPr>
      </w:pPr>
      <w:r>
        <w:rPr>
          <w:rFonts w:ascii="Arial" w:hAnsi="Arial" w:cs="Arial"/>
          <w:b/>
          <w:bCs/>
          <w:sz w:val="20"/>
        </w:rPr>
        <w:t>5. SOCIÁLNÍ ZABEZPEČENÍ</w:t>
      </w:r>
    </w:p>
    <w:p w14:paraId="0FE500D7" w14:textId="77777777" w:rsidR="00F05D89" w:rsidRDefault="00F05D89">
      <w:pPr>
        <w:pStyle w:val="Zkladntext"/>
        <w:tabs>
          <w:tab w:val="left" w:pos="567"/>
        </w:tabs>
        <w:rPr>
          <w:lang w:val="cs-CZ"/>
        </w:rPr>
      </w:pPr>
      <w:bookmarkStart w:id="0" w:name="_GoBack"/>
      <w:bookmarkEnd w:id="0"/>
    </w:p>
    <w:p w14:paraId="5F5DFACA" w14:textId="77777777" w:rsidR="009073FD" w:rsidRPr="009073FD" w:rsidRDefault="009073FD" w:rsidP="00195EB4">
      <w:pPr>
        <w:pStyle w:val="Zkladntext"/>
        <w:tabs>
          <w:tab w:val="left" w:pos="720"/>
        </w:tabs>
        <w:jc w:val="both"/>
        <w:rPr>
          <w:i w:val="0"/>
          <w:iCs w:val="0"/>
          <w:color w:val="FF0000"/>
          <w:lang w:val="cs-CZ"/>
        </w:rPr>
      </w:pPr>
      <w:r>
        <w:rPr>
          <w:i w:val="0"/>
          <w:iCs w:val="0"/>
          <w:lang w:val="cs-CZ"/>
        </w:rPr>
        <w:tab/>
      </w:r>
    </w:p>
    <w:p w14:paraId="336B0A8C" w14:textId="77777777" w:rsidR="009073FD" w:rsidRPr="002D3AAA" w:rsidRDefault="009073FD" w:rsidP="009073F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0"/>
        </w:rPr>
      </w:pPr>
      <w:r w:rsidRPr="002D3AAA">
        <w:rPr>
          <w:rFonts w:ascii="Arial" w:hAnsi="Arial" w:cs="Arial"/>
          <w:b/>
          <w:bCs/>
          <w:sz w:val="20"/>
        </w:rPr>
        <w:t>Dávky důchodového pojištění</w:t>
      </w:r>
    </w:p>
    <w:p w14:paraId="2C807DAB" w14:textId="77777777" w:rsidR="009073FD" w:rsidRPr="009073FD" w:rsidRDefault="009073FD" w:rsidP="009073FD">
      <w:pPr>
        <w:pStyle w:val="Zkladntext"/>
        <w:rPr>
          <w:i w:val="0"/>
          <w:iCs w:val="0"/>
          <w:color w:val="FF0000"/>
          <w:lang w:val="cs-CZ"/>
        </w:rPr>
      </w:pPr>
    </w:p>
    <w:p w14:paraId="5861D6AC" w14:textId="17E63BA4" w:rsidR="009073FD" w:rsidRDefault="009073FD" w:rsidP="009073FD">
      <w:pPr>
        <w:pStyle w:val="Zkladntext"/>
        <w:tabs>
          <w:tab w:val="left" w:pos="720"/>
        </w:tabs>
        <w:jc w:val="both"/>
        <w:rPr>
          <w:i w:val="0"/>
          <w:color w:val="FF0000"/>
          <w:lang w:val="cs-CZ"/>
        </w:rPr>
      </w:pPr>
      <w:r w:rsidRPr="009073FD">
        <w:rPr>
          <w:i w:val="0"/>
          <w:color w:val="FF0000"/>
          <w:lang w:val="cs-CZ"/>
        </w:rPr>
        <w:tab/>
      </w:r>
      <w:r w:rsidRPr="00A92474">
        <w:rPr>
          <w:i w:val="0"/>
          <w:lang w:val="cs-CZ"/>
        </w:rPr>
        <w:t>Důchodové pojištění zajišťuje občany pro případ stáří, invalidity nebo při ztrátě živitele.</w:t>
      </w:r>
      <w:r w:rsidRPr="009073FD">
        <w:rPr>
          <w:i w:val="0"/>
          <w:color w:val="FF0000"/>
          <w:lang w:val="cs-CZ"/>
        </w:rPr>
        <w:t xml:space="preserve"> </w:t>
      </w:r>
      <w:r w:rsidRPr="00A92474">
        <w:rPr>
          <w:i w:val="0"/>
          <w:lang w:val="cs-CZ"/>
        </w:rPr>
        <w:t>V rámci důchodového pojištění se poskytují</w:t>
      </w:r>
      <w:r w:rsidRPr="009073FD">
        <w:rPr>
          <w:i w:val="0"/>
          <w:color w:val="FF0000"/>
          <w:lang w:val="cs-CZ"/>
        </w:rPr>
        <w:t xml:space="preserve"> </w:t>
      </w:r>
      <w:r w:rsidRPr="002D3AAA">
        <w:rPr>
          <w:i w:val="0"/>
          <w:lang w:val="cs-CZ"/>
        </w:rPr>
        <w:t>důchody starobní,</w:t>
      </w:r>
      <w:r w:rsidRPr="009073FD">
        <w:rPr>
          <w:i w:val="0"/>
          <w:color w:val="FF0000"/>
          <w:lang w:val="cs-CZ"/>
        </w:rPr>
        <w:t xml:space="preserve"> </w:t>
      </w:r>
      <w:r w:rsidRPr="002D3AAA">
        <w:rPr>
          <w:i w:val="0"/>
          <w:lang w:val="cs-CZ"/>
        </w:rPr>
        <w:t>invalidní, vdovské</w:t>
      </w:r>
      <w:r w:rsidRPr="00552D55">
        <w:rPr>
          <w:i w:val="0"/>
          <w:iCs w:val="0"/>
          <w:lang w:val="cs-CZ"/>
        </w:rPr>
        <w:t>,</w:t>
      </w:r>
      <w:r w:rsidRPr="009073FD">
        <w:rPr>
          <w:i w:val="0"/>
          <w:iCs w:val="0"/>
          <w:color w:val="FF0000"/>
          <w:lang w:val="cs-CZ"/>
        </w:rPr>
        <w:t xml:space="preserve"> </w:t>
      </w:r>
      <w:r w:rsidRPr="002D3AAA">
        <w:rPr>
          <w:i w:val="0"/>
          <w:lang w:val="cs-CZ"/>
        </w:rPr>
        <w:t>vdovecké</w:t>
      </w:r>
      <w:r w:rsidRPr="009073FD">
        <w:rPr>
          <w:i w:val="0"/>
          <w:iCs w:val="0"/>
          <w:color w:val="FF0000"/>
          <w:lang w:val="cs-CZ"/>
        </w:rPr>
        <w:t xml:space="preserve"> </w:t>
      </w:r>
      <w:r w:rsidRPr="00552D55">
        <w:rPr>
          <w:i w:val="0"/>
          <w:iCs w:val="0"/>
          <w:lang w:val="cs-CZ"/>
        </w:rPr>
        <w:t>a</w:t>
      </w:r>
      <w:r w:rsidRPr="009073FD">
        <w:rPr>
          <w:i w:val="0"/>
          <w:color w:val="FF0000"/>
          <w:lang w:val="cs-CZ"/>
        </w:rPr>
        <w:t xml:space="preserve"> </w:t>
      </w:r>
      <w:r w:rsidRPr="002D3AAA">
        <w:rPr>
          <w:i w:val="0"/>
          <w:lang w:val="cs-CZ"/>
        </w:rPr>
        <w:t>sirotčí</w:t>
      </w:r>
      <w:r w:rsidRPr="009073FD">
        <w:rPr>
          <w:i w:val="0"/>
          <w:iCs w:val="0"/>
          <w:color w:val="FF0000"/>
          <w:lang w:val="cs-CZ"/>
        </w:rPr>
        <w:t xml:space="preserve"> </w:t>
      </w:r>
      <w:r w:rsidRPr="00552D55">
        <w:rPr>
          <w:i w:val="0"/>
          <w:iCs w:val="0"/>
          <w:lang w:val="cs-CZ"/>
        </w:rPr>
        <w:t>(zákon č. 155/1995 Sb., o důchodovém pojištění, ve znění pozdějších předpisů).</w:t>
      </w:r>
      <w:r w:rsidRPr="009073FD">
        <w:rPr>
          <w:i w:val="0"/>
          <w:color w:val="FF0000"/>
          <w:lang w:val="cs-CZ"/>
        </w:rPr>
        <w:t xml:space="preserve"> </w:t>
      </w:r>
    </w:p>
    <w:p w14:paraId="768AC1D1" w14:textId="77777777" w:rsidR="004F4932" w:rsidRDefault="004F4932" w:rsidP="009073FD">
      <w:pPr>
        <w:pStyle w:val="Zkladntext"/>
        <w:tabs>
          <w:tab w:val="left" w:pos="720"/>
        </w:tabs>
        <w:jc w:val="both"/>
        <w:rPr>
          <w:i w:val="0"/>
          <w:color w:val="FF0000"/>
          <w:lang w:val="cs-CZ"/>
        </w:rPr>
      </w:pPr>
    </w:p>
    <w:p w14:paraId="6525112D" w14:textId="47580C8C" w:rsidR="004F4932" w:rsidRPr="004F4932" w:rsidRDefault="004F4932" w:rsidP="004F4932">
      <w:pPr>
        <w:pStyle w:val="Zkladntext"/>
        <w:tabs>
          <w:tab w:val="left" w:pos="720"/>
        </w:tabs>
        <w:jc w:val="both"/>
        <w:rPr>
          <w:i w:val="0"/>
          <w:color w:val="000000" w:themeColor="text1"/>
          <w:lang w:val="cs-CZ"/>
        </w:rPr>
      </w:pPr>
      <w:r>
        <w:rPr>
          <w:i w:val="0"/>
          <w:color w:val="000000" w:themeColor="text1"/>
          <w:lang w:val="cs-CZ"/>
        </w:rPr>
        <w:tab/>
      </w:r>
      <w:r w:rsidRPr="004F4932">
        <w:rPr>
          <w:i w:val="0"/>
          <w:color w:val="000000" w:themeColor="text1"/>
          <w:lang w:val="cs-CZ"/>
        </w:rPr>
        <w:t>Vymezení jednotlivých druhů důchodů:</w:t>
      </w:r>
    </w:p>
    <w:p w14:paraId="5A10E0C2" w14:textId="63849C49" w:rsidR="004F4932" w:rsidRPr="004F4932" w:rsidRDefault="004F4932" w:rsidP="004F4932">
      <w:pPr>
        <w:pStyle w:val="Zkladntext"/>
        <w:tabs>
          <w:tab w:val="left" w:pos="720"/>
        </w:tabs>
        <w:jc w:val="both"/>
        <w:rPr>
          <w:i w:val="0"/>
          <w:color w:val="000000" w:themeColor="text1"/>
          <w:lang w:val="cs-CZ"/>
        </w:rPr>
      </w:pPr>
      <w:r w:rsidRPr="004F4932">
        <w:rPr>
          <w:i w:val="0"/>
          <w:color w:val="000000" w:themeColor="text1"/>
          <w:lang w:val="cs-CZ"/>
        </w:rPr>
        <w:t xml:space="preserve">– </w:t>
      </w:r>
      <w:r w:rsidRPr="004F4932">
        <w:rPr>
          <w:b/>
          <w:bCs/>
          <w:i w:val="0"/>
          <w:color w:val="000000" w:themeColor="text1"/>
          <w:lang w:val="cs-CZ"/>
        </w:rPr>
        <w:t>plný starobní důchod</w:t>
      </w:r>
      <w:r w:rsidRPr="004F4932">
        <w:rPr>
          <w:i w:val="0"/>
          <w:color w:val="000000" w:themeColor="text1"/>
          <w:lang w:val="cs-CZ"/>
        </w:rPr>
        <w:t xml:space="preserve"> může být pobírán buď po dosažení důchodového věku, a pak se jedná o </w:t>
      </w:r>
      <w:r w:rsidRPr="004F4932">
        <w:rPr>
          <w:b/>
          <w:bCs/>
          <w:i w:val="0"/>
          <w:color w:val="000000" w:themeColor="text1"/>
          <w:lang w:val="cs-CZ"/>
        </w:rPr>
        <w:t>řádný starobní důchod</w:t>
      </w:r>
      <w:r w:rsidRPr="004F4932">
        <w:rPr>
          <w:i w:val="0"/>
          <w:color w:val="000000" w:themeColor="text1"/>
          <w:lang w:val="cs-CZ"/>
        </w:rPr>
        <w:t xml:space="preserve">, nebo v zákonem stanovené době před dosažením důchodového věku, a pak se jedná o </w:t>
      </w:r>
      <w:r w:rsidRPr="004F4932">
        <w:rPr>
          <w:b/>
          <w:bCs/>
          <w:i w:val="0"/>
          <w:color w:val="000000" w:themeColor="text1"/>
          <w:lang w:val="cs-CZ"/>
        </w:rPr>
        <w:t>předčasný starobní důchod</w:t>
      </w:r>
      <w:r w:rsidRPr="004F4932">
        <w:rPr>
          <w:i w:val="0"/>
          <w:color w:val="000000" w:themeColor="text1"/>
          <w:lang w:val="cs-CZ"/>
        </w:rPr>
        <w:t>. Nárok na řádný i předčasný starobní důchod je zároveň podmíněn získáním potřebné doby pojištění. Při odchodu do předčasného důchodu je důchod krácen v souladu s</w:t>
      </w:r>
      <w:r>
        <w:rPr>
          <w:i w:val="0"/>
          <w:color w:val="000000" w:themeColor="text1"/>
          <w:lang w:val="cs-CZ"/>
        </w:rPr>
        <w:t> </w:t>
      </w:r>
      <w:r w:rsidRPr="004F4932">
        <w:rPr>
          <w:i w:val="0"/>
          <w:color w:val="000000" w:themeColor="text1"/>
          <w:lang w:val="cs-CZ"/>
        </w:rPr>
        <w:t xml:space="preserve">tím, kolik času zbývá do dosažení důchodového věku. Při nesplnění potřebné doby pojištění na plný starobní důchod může pojištěnec po dosažení určené nižší doby pojištění a vyššího zákonem stanoveného věku pobírat </w:t>
      </w:r>
      <w:r w:rsidRPr="004F4932">
        <w:rPr>
          <w:b/>
          <w:bCs/>
          <w:i w:val="0"/>
          <w:color w:val="000000" w:themeColor="text1"/>
          <w:lang w:val="cs-CZ"/>
        </w:rPr>
        <w:t>poměrný důchod</w:t>
      </w:r>
      <w:r w:rsidRPr="004F4932">
        <w:rPr>
          <w:i w:val="0"/>
          <w:color w:val="000000" w:themeColor="text1"/>
          <w:lang w:val="cs-CZ"/>
        </w:rPr>
        <w:t>;</w:t>
      </w:r>
    </w:p>
    <w:p w14:paraId="548B6484" w14:textId="536CDE74" w:rsidR="004F4932" w:rsidRPr="004F4932" w:rsidRDefault="004F4932" w:rsidP="004F4932">
      <w:pPr>
        <w:pStyle w:val="Zkladntext"/>
        <w:tabs>
          <w:tab w:val="left" w:pos="720"/>
        </w:tabs>
        <w:jc w:val="both"/>
        <w:rPr>
          <w:i w:val="0"/>
          <w:color w:val="000000" w:themeColor="text1"/>
          <w:lang w:val="cs-CZ"/>
        </w:rPr>
      </w:pPr>
      <w:r w:rsidRPr="004F4932">
        <w:rPr>
          <w:i w:val="0"/>
          <w:color w:val="000000" w:themeColor="text1"/>
          <w:lang w:val="cs-CZ"/>
        </w:rPr>
        <w:t xml:space="preserve">– </w:t>
      </w:r>
      <w:r w:rsidRPr="004F4932">
        <w:rPr>
          <w:b/>
          <w:bCs/>
          <w:i w:val="0"/>
          <w:color w:val="000000" w:themeColor="text1"/>
          <w:lang w:val="cs-CZ"/>
        </w:rPr>
        <w:t>invalidní důchod</w:t>
      </w:r>
      <w:r w:rsidRPr="004F4932">
        <w:rPr>
          <w:i w:val="0"/>
          <w:color w:val="000000" w:themeColor="text1"/>
          <w:lang w:val="cs-CZ"/>
        </w:rPr>
        <w:t xml:space="preserve"> získá pojištěnec, jehož pracovní schopnost poklesla z důvodu dlouhodobě nepříznivého zdravotního stavu nejméně o 35 % a který nedosáhl věku 65 let nebo důchodového věku, je-li vyšší. Aby mohl být invalidní důchod přiznán, musí být splněna též podmínka potřebné doby pojištění pro nárok na invalidní důchod, nejde-li o invaliditu vzniklou následkem pracovního úrazu, nemoci z povolání nebo z některých příčin souvisejících s obranou státu. Ve věku 65 let nárok na invalidní důchod zaniká a dochází k přeměně na starobní důchod. Podle míry poklesu pracovní schopnosti se invalidita dělí na invaliditu prvního stupně (pokles o 35 % až 49 %), druhého stupně (pokles o 50 % až 69 %) a třetího stupně (pokles o 70 a více %) a od toho se také odvíjí výše invalidního důchodu</w:t>
      </w:r>
      <w:r>
        <w:rPr>
          <w:i w:val="0"/>
          <w:color w:val="000000" w:themeColor="text1"/>
          <w:lang w:val="cs-CZ"/>
        </w:rPr>
        <w:t xml:space="preserve">. </w:t>
      </w:r>
      <w:r w:rsidRPr="00552D55">
        <w:rPr>
          <w:i w:val="0"/>
          <w:iCs w:val="0"/>
          <w:lang w:val="cs-CZ"/>
        </w:rPr>
        <w:t>S účinností od 1. ledna 2010 došlo k </w:t>
      </w:r>
      <w:r>
        <w:rPr>
          <w:i w:val="0"/>
          <w:iCs w:val="0"/>
          <w:lang w:val="cs-CZ"/>
        </w:rPr>
        <w:t xml:space="preserve">zavedení třístupňové invalidity, kdy dosavadní </w:t>
      </w:r>
      <w:r w:rsidRPr="00552D55">
        <w:rPr>
          <w:i w:val="0"/>
          <w:iCs w:val="0"/>
          <w:lang w:val="cs-CZ"/>
        </w:rPr>
        <w:t>pln</w:t>
      </w:r>
      <w:r>
        <w:rPr>
          <w:i w:val="0"/>
          <w:iCs w:val="0"/>
          <w:lang w:val="cs-CZ"/>
        </w:rPr>
        <w:t>é</w:t>
      </w:r>
      <w:r w:rsidRPr="00552D55">
        <w:rPr>
          <w:i w:val="0"/>
          <w:iCs w:val="0"/>
          <w:lang w:val="cs-CZ"/>
        </w:rPr>
        <w:t xml:space="preserve"> </w:t>
      </w:r>
      <w:r>
        <w:rPr>
          <w:i w:val="0"/>
          <w:iCs w:val="0"/>
          <w:lang w:val="cs-CZ"/>
        </w:rPr>
        <w:t>a částečné invalidní důchody byly nahrazeny</w:t>
      </w:r>
      <w:r w:rsidRPr="00552D55">
        <w:rPr>
          <w:i w:val="0"/>
          <w:iCs w:val="0"/>
          <w:lang w:val="cs-CZ"/>
        </w:rPr>
        <w:t xml:space="preserve"> </w:t>
      </w:r>
      <w:r w:rsidRPr="004F4932">
        <w:rPr>
          <w:b/>
          <w:bCs/>
          <w:i w:val="0"/>
          <w:iCs w:val="0"/>
          <w:lang w:val="cs-CZ"/>
        </w:rPr>
        <w:t>invalidními důchody pro invaliditu I., II., a III. stupně</w:t>
      </w:r>
      <w:r w:rsidRPr="00552D55">
        <w:rPr>
          <w:i w:val="0"/>
          <w:iCs w:val="0"/>
          <w:lang w:val="cs-CZ"/>
        </w:rPr>
        <w:t xml:space="preserve"> (zákon č.</w:t>
      </w:r>
      <w:r>
        <w:rPr>
          <w:i w:val="0"/>
          <w:iCs w:val="0"/>
          <w:lang w:val="cs-CZ"/>
        </w:rPr>
        <w:t> </w:t>
      </w:r>
      <w:r w:rsidRPr="00552D55">
        <w:rPr>
          <w:i w:val="0"/>
          <w:iCs w:val="0"/>
          <w:lang w:val="cs-CZ"/>
        </w:rPr>
        <w:t>306/2008</w:t>
      </w:r>
      <w:r>
        <w:rPr>
          <w:i w:val="0"/>
          <w:iCs w:val="0"/>
          <w:lang w:val="cs-CZ"/>
        </w:rPr>
        <w:t> </w:t>
      </w:r>
      <w:r w:rsidRPr="00552D55">
        <w:rPr>
          <w:i w:val="0"/>
          <w:iCs w:val="0"/>
          <w:lang w:val="cs-CZ"/>
        </w:rPr>
        <w:t>Sb.)</w:t>
      </w:r>
      <w:r w:rsidRPr="004F4932">
        <w:rPr>
          <w:i w:val="0"/>
          <w:color w:val="000000" w:themeColor="text1"/>
          <w:lang w:val="cs-CZ"/>
        </w:rPr>
        <w:t>;</w:t>
      </w:r>
    </w:p>
    <w:p w14:paraId="029C0754" w14:textId="7350575D" w:rsidR="004F4932" w:rsidRPr="004F4932" w:rsidRDefault="004F4932" w:rsidP="004F4932">
      <w:pPr>
        <w:pStyle w:val="Zkladntext"/>
        <w:tabs>
          <w:tab w:val="left" w:pos="720"/>
        </w:tabs>
        <w:jc w:val="both"/>
        <w:rPr>
          <w:i w:val="0"/>
          <w:color w:val="000000" w:themeColor="text1"/>
          <w:lang w:val="cs-CZ"/>
        </w:rPr>
      </w:pPr>
      <w:r w:rsidRPr="004F4932">
        <w:rPr>
          <w:i w:val="0"/>
          <w:color w:val="000000" w:themeColor="text1"/>
          <w:lang w:val="cs-CZ"/>
        </w:rPr>
        <w:t xml:space="preserve">– pozůstalá manželka / pozůstalý manžel má nárok na </w:t>
      </w:r>
      <w:r w:rsidRPr="004F4932">
        <w:rPr>
          <w:b/>
          <w:bCs/>
          <w:i w:val="0"/>
          <w:color w:val="000000" w:themeColor="text1"/>
          <w:lang w:val="cs-CZ"/>
        </w:rPr>
        <w:t>vdovský/vdovecký důchod</w:t>
      </w:r>
      <w:r w:rsidRPr="004F4932">
        <w:rPr>
          <w:i w:val="0"/>
          <w:color w:val="000000" w:themeColor="text1"/>
          <w:lang w:val="cs-CZ"/>
        </w:rPr>
        <w:t xml:space="preserve"> pod podmínkou, že zesnulý byl poživatelem starobního nebo invalidního důchodu anebo ke dni smrti splnil podmínky potřebné k nároku na invalidní nebo starobní důchod, anebo zemřel následkem pracovního úrazu (nemoci z povolání). Pokud nejsou splněny zvláštní podmínky pro další výplatu vdovského a</w:t>
      </w:r>
      <w:r>
        <w:rPr>
          <w:i w:val="0"/>
          <w:color w:val="000000" w:themeColor="text1"/>
          <w:lang w:val="cs-CZ"/>
        </w:rPr>
        <w:t> </w:t>
      </w:r>
      <w:r w:rsidRPr="004F4932">
        <w:rPr>
          <w:i w:val="0"/>
          <w:color w:val="000000" w:themeColor="text1"/>
          <w:lang w:val="cs-CZ"/>
        </w:rPr>
        <w:t>vdoveckého důchodu, nárok na tyto důchody zaniká po jednom roce;</w:t>
      </w:r>
    </w:p>
    <w:p w14:paraId="36D1E028" w14:textId="37EBE9DA" w:rsidR="004F4932" w:rsidRDefault="004F4932" w:rsidP="004F4932">
      <w:pPr>
        <w:pStyle w:val="Zkladntext"/>
        <w:tabs>
          <w:tab w:val="left" w:pos="720"/>
        </w:tabs>
        <w:jc w:val="both"/>
        <w:rPr>
          <w:i w:val="0"/>
          <w:color w:val="000000" w:themeColor="text1"/>
          <w:lang w:val="cs-CZ"/>
        </w:rPr>
      </w:pPr>
      <w:r w:rsidRPr="004F4932">
        <w:rPr>
          <w:i w:val="0"/>
          <w:color w:val="000000" w:themeColor="text1"/>
          <w:lang w:val="cs-CZ"/>
        </w:rPr>
        <w:t xml:space="preserve">– nárok na </w:t>
      </w:r>
      <w:r w:rsidRPr="004F4932">
        <w:rPr>
          <w:b/>
          <w:bCs/>
          <w:i w:val="0"/>
          <w:color w:val="000000" w:themeColor="text1"/>
          <w:lang w:val="cs-CZ"/>
        </w:rPr>
        <w:t>sirotčí důchod</w:t>
      </w:r>
      <w:r w:rsidRPr="004F4932">
        <w:rPr>
          <w:i w:val="0"/>
          <w:color w:val="000000" w:themeColor="text1"/>
          <w:lang w:val="cs-CZ"/>
        </w:rPr>
        <w:t xml:space="preserve"> může mít pouze nezaopatřené dítě, jehož zesnulý rodič (osoba, která převzala dítě do péče) splňoval podmínku zákonem stanovené potřebné doby pojištění nebo byl poživatelem starobního nebo invalidního důchodu, anebo zemřel následkem pracovního úrazu (nemoci z povolání)</w:t>
      </w:r>
      <w:r>
        <w:rPr>
          <w:i w:val="0"/>
          <w:color w:val="000000" w:themeColor="text1"/>
          <w:lang w:val="cs-CZ"/>
        </w:rPr>
        <w:t>.</w:t>
      </w:r>
    </w:p>
    <w:p w14:paraId="70771B92" w14:textId="2469A5E7" w:rsidR="004F4932" w:rsidRDefault="004F4932" w:rsidP="004F4932">
      <w:pPr>
        <w:pStyle w:val="Zkladntext"/>
        <w:tabs>
          <w:tab w:val="left" w:pos="720"/>
        </w:tabs>
        <w:jc w:val="both"/>
        <w:rPr>
          <w:i w:val="0"/>
          <w:color w:val="000000" w:themeColor="text1"/>
          <w:lang w:val="cs-CZ"/>
        </w:rPr>
      </w:pPr>
    </w:p>
    <w:p w14:paraId="743B5BCD" w14:textId="00CA0BA3" w:rsidR="004F4932" w:rsidRPr="004F4932" w:rsidRDefault="004F4932" w:rsidP="004F4932">
      <w:pPr>
        <w:pStyle w:val="Zkladntext"/>
        <w:tabs>
          <w:tab w:val="left" w:pos="720"/>
        </w:tabs>
        <w:jc w:val="both"/>
        <w:rPr>
          <w:i w:val="0"/>
          <w:color w:val="000000" w:themeColor="text1"/>
          <w:lang w:val="cs-CZ"/>
        </w:rPr>
      </w:pPr>
      <w:r>
        <w:rPr>
          <w:i w:val="0"/>
          <w:color w:val="000000" w:themeColor="text1"/>
          <w:lang w:val="cs-CZ"/>
        </w:rPr>
        <w:tab/>
        <w:t>U</w:t>
      </w:r>
      <w:r w:rsidRPr="004F4932">
        <w:rPr>
          <w:i w:val="0"/>
          <w:color w:val="000000" w:themeColor="text1"/>
          <w:lang w:val="cs-CZ"/>
        </w:rPr>
        <w:t>vedené druhy důchodů mohou být vypláceny samostatně, a pak se jedná o tzv. sólo důchody. Vdovské a vdovecké důchody mohou být vypláceny v souběhu se starobním nebo invalidním důchodem (kombinované důchody). Jsou-li současně splněny podmínky nároku na výplatu vdovského nebo vdoveckého důchodu a zároveň starobního nebo invalidního důchodu, platí pravidla pro souběh důchodů.</w:t>
      </w:r>
    </w:p>
    <w:p w14:paraId="40646AE0" w14:textId="55259FE5" w:rsidR="00AD0D90" w:rsidRPr="003744C2" w:rsidRDefault="009073FD" w:rsidP="004F4932">
      <w:pPr>
        <w:pStyle w:val="Zkladntext"/>
        <w:tabs>
          <w:tab w:val="left" w:pos="-1099"/>
          <w:tab w:val="left" w:pos="-720"/>
          <w:tab w:val="left" w:pos="-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9073FD">
        <w:rPr>
          <w:color w:val="FF0000"/>
          <w:lang w:val="cs-CZ"/>
        </w:rPr>
        <w:tab/>
      </w:r>
    </w:p>
    <w:p w14:paraId="6764DD07" w14:textId="77777777" w:rsidR="009073FD" w:rsidRPr="00195EB4" w:rsidRDefault="00C71600" w:rsidP="009073FD">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FF0000"/>
          <w:sz w:val="16"/>
        </w:rPr>
      </w:pPr>
      <w:r>
        <w:rPr>
          <w:rFonts w:ascii="Arial" w:hAnsi="Arial" w:cs="Arial"/>
          <w:sz w:val="20"/>
        </w:rPr>
        <w:tab/>
      </w:r>
      <w:r w:rsidR="00195EB4" w:rsidRPr="00195EB4">
        <w:rPr>
          <w:rFonts w:ascii="Arial" w:hAnsi="Arial" w:cs="Arial"/>
          <w:sz w:val="20"/>
        </w:rPr>
        <w:t>Pro potřeby statistiky</w:t>
      </w:r>
      <w:r w:rsidR="00195EB4" w:rsidRPr="00195EB4">
        <w:rPr>
          <w:rFonts w:ascii="Arial" w:hAnsi="Arial" w:cs="Arial"/>
          <w:color w:val="FF0000"/>
          <w:sz w:val="20"/>
        </w:rPr>
        <w:t xml:space="preserve"> </w:t>
      </w:r>
      <w:r w:rsidR="00195EB4" w:rsidRPr="00195EB4">
        <w:rPr>
          <w:rFonts w:ascii="Arial" w:hAnsi="Arial" w:cs="Arial"/>
          <w:iCs/>
          <w:sz w:val="20"/>
        </w:rPr>
        <w:t>o</w:t>
      </w:r>
      <w:r w:rsidR="00195EB4" w:rsidRPr="00195EB4">
        <w:rPr>
          <w:rFonts w:ascii="Arial" w:hAnsi="Arial" w:cs="Arial"/>
          <w:iCs/>
          <w:color w:val="FF0000"/>
          <w:sz w:val="20"/>
        </w:rPr>
        <w:t xml:space="preserve"> </w:t>
      </w:r>
      <w:r w:rsidR="00195EB4" w:rsidRPr="00195EB4">
        <w:rPr>
          <w:rFonts w:ascii="Arial" w:hAnsi="Arial" w:cs="Arial"/>
          <w:iCs/>
          <w:sz w:val="20"/>
        </w:rPr>
        <w:t>dávkách důchodového pojištění jsou využívány výstupy z informačních systémů České správy sociálního zabezpečení, které nezahrnují údaje týkající se důchodového pojištění prováděného Ministerstvem obrany, Ministerstvem vnitra a Ministerstvem spravedlnosti.</w:t>
      </w:r>
    </w:p>
    <w:p w14:paraId="23804497" w14:textId="73FC344E" w:rsidR="009073FD" w:rsidRDefault="009073FD" w:rsidP="009073FD">
      <w:pPr>
        <w:pStyle w:val="Zkladntext"/>
        <w:rPr>
          <w:i w:val="0"/>
          <w:color w:val="FF0000"/>
          <w:lang w:val="cs-CZ"/>
        </w:rPr>
      </w:pPr>
    </w:p>
    <w:p w14:paraId="2D6F984A" w14:textId="77777777" w:rsidR="002001B1" w:rsidRDefault="002001B1" w:rsidP="009073FD">
      <w:pPr>
        <w:pStyle w:val="Zkladntext"/>
        <w:rPr>
          <w:i w:val="0"/>
          <w:color w:val="FF0000"/>
          <w:lang w:val="cs-CZ"/>
        </w:rPr>
      </w:pPr>
    </w:p>
    <w:p w14:paraId="0AD40FAE" w14:textId="77777777" w:rsidR="00626A0E" w:rsidRPr="009073FD" w:rsidRDefault="00626A0E" w:rsidP="009073FD">
      <w:pPr>
        <w:pStyle w:val="Zkladntext"/>
        <w:rPr>
          <w:i w:val="0"/>
          <w:color w:val="FF0000"/>
          <w:lang w:val="cs-CZ"/>
        </w:rPr>
      </w:pPr>
    </w:p>
    <w:p w14:paraId="046A29E1" w14:textId="77777777" w:rsidR="009073FD" w:rsidRPr="00367E5E" w:rsidRDefault="009073FD" w:rsidP="00B82612">
      <w:pPr>
        <w:tabs>
          <w:tab w:val="left" w:pos="-1099"/>
          <w:tab w:val="left" w:pos="-720"/>
          <w:tab w:val="left" w:pos="-80"/>
          <w:tab w:val="left" w:pos="714"/>
          <w:tab w:val="left" w:pos="7755"/>
        </w:tabs>
        <w:jc w:val="both"/>
        <w:rPr>
          <w:rFonts w:ascii="Arial" w:hAnsi="Arial"/>
          <w:sz w:val="20"/>
        </w:rPr>
      </w:pPr>
      <w:r w:rsidRPr="00367E5E">
        <w:rPr>
          <w:rFonts w:ascii="Arial" w:hAnsi="Arial"/>
          <w:b/>
          <w:sz w:val="20"/>
        </w:rPr>
        <w:t>Průměrná měsíční výše důchodu</w:t>
      </w:r>
      <w:r w:rsidR="00B82612">
        <w:rPr>
          <w:rFonts w:ascii="Arial" w:hAnsi="Arial"/>
          <w:b/>
          <w:sz w:val="20"/>
        </w:rPr>
        <w:tab/>
      </w:r>
    </w:p>
    <w:p w14:paraId="77D561E5" w14:textId="77777777" w:rsidR="009073FD" w:rsidRPr="009073FD" w:rsidRDefault="009073FD" w:rsidP="009073FD">
      <w:pPr>
        <w:pStyle w:val="Zkladntext"/>
        <w:rPr>
          <w:i w:val="0"/>
          <w:color w:val="FF0000"/>
          <w:lang w:val="cs-CZ"/>
        </w:rPr>
      </w:pPr>
    </w:p>
    <w:p w14:paraId="50198121" w14:textId="5F743637" w:rsidR="009073FD" w:rsidRDefault="009073FD"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Cs/>
          <w:lang w:val="cs-CZ"/>
        </w:rPr>
      </w:pPr>
      <w:r w:rsidRPr="009073FD">
        <w:rPr>
          <w:color w:val="FF0000"/>
          <w:lang w:val="cs-CZ"/>
        </w:rPr>
        <w:tab/>
      </w:r>
      <w:r w:rsidRPr="00552D55">
        <w:rPr>
          <w:iCs/>
          <w:lang w:val="cs-CZ"/>
        </w:rPr>
        <w:t>Průměrná měsíční výše důchodu k 31. 12. sledovaného roku představuje výši důchodu vypláceného v prosinci v průměru na jednoho důchodce.</w:t>
      </w:r>
      <w:r w:rsidR="004F4932" w:rsidRPr="004F4932">
        <w:rPr>
          <w:lang w:val="cs-CZ"/>
        </w:rPr>
        <w:t xml:space="preserve"> </w:t>
      </w:r>
      <w:r w:rsidR="004F4932" w:rsidRPr="00FE1712">
        <w:rPr>
          <w:lang w:val="cs-CZ"/>
        </w:rPr>
        <w:t xml:space="preserve">Do výše důchodu není zahrnováno zvýšení důchodu </w:t>
      </w:r>
      <w:r w:rsidR="004F4932">
        <w:rPr>
          <w:lang w:val="cs-CZ"/>
        </w:rPr>
        <w:t xml:space="preserve">poskytované </w:t>
      </w:r>
      <w:r w:rsidR="004F4932" w:rsidRPr="00FE1712">
        <w:rPr>
          <w:lang w:val="cs-CZ"/>
        </w:rPr>
        <w:t>pro</w:t>
      </w:r>
      <w:r w:rsidR="004F4932">
        <w:rPr>
          <w:lang w:val="cs-CZ"/>
        </w:rPr>
        <w:t> </w:t>
      </w:r>
      <w:r w:rsidR="004F4932" w:rsidRPr="00FE1712">
        <w:rPr>
          <w:lang w:val="cs-CZ"/>
        </w:rPr>
        <w:t xml:space="preserve">bezmocnost </w:t>
      </w:r>
      <w:r w:rsidR="004F4932">
        <w:rPr>
          <w:lang w:val="cs-CZ"/>
        </w:rPr>
        <w:t>do roku 2006</w:t>
      </w:r>
      <w:r w:rsidR="004F4932" w:rsidRPr="00FE1712">
        <w:rPr>
          <w:lang w:val="cs-CZ"/>
        </w:rPr>
        <w:t>.</w:t>
      </w:r>
      <w:r w:rsidR="004F4932" w:rsidRPr="004F4932">
        <w:rPr>
          <w:lang w:val="cs-CZ"/>
        </w:rPr>
        <w:t xml:space="preserve"> </w:t>
      </w:r>
      <w:r w:rsidR="002001B1" w:rsidRPr="002001B1">
        <w:rPr>
          <w:color w:val="000000" w:themeColor="text1"/>
          <w:lang w:val="cs-CZ"/>
        </w:rPr>
        <w:t>V tabulkách 5-7. až 5-10. je uvedena průměrná výše důchodů, které byly vypláceny samostatně (sólo). Výjimku tvoří vdovské/vdovecké důchody, které jsou uvedeny i pro případ souběhu. Průměrná výše je zde uvedena za celkovou měsíční výplatu důchodu, tj. včetně souběhového starobního nebo invalidního důchodu.</w:t>
      </w:r>
    </w:p>
    <w:p w14:paraId="7D7BC166" w14:textId="77777777" w:rsidR="00C71600"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Cs/>
          <w:lang w:val="cs-CZ"/>
        </w:rPr>
      </w:pPr>
    </w:p>
    <w:p w14:paraId="0FB77446" w14:textId="77777777" w:rsidR="00C71600"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Cs/>
          <w:lang w:val="cs-CZ"/>
        </w:rPr>
      </w:pPr>
    </w:p>
    <w:p w14:paraId="0BF44B9E" w14:textId="7E875520" w:rsidR="00C71600" w:rsidRPr="00C71600"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r w:rsidRPr="00C71600">
        <w:rPr>
          <w:b/>
          <w:iCs/>
          <w:lang w:val="cs-CZ"/>
        </w:rPr>
        <w:lastRenderedPageBreak/>
        <w:t>Počet důchodců</w:t>
      </w:r>
      <w:r w:rsidR="002001B1">
        <w:rPr>
          <w:b/>
          <w:iCs/>
          <w:lang w:val="cs-CZ"/>
        </w:rPr>
        <w:t xml:space="preserve"> – mezinárodní srovnání</w:t>
      </w:r>
    </w:p>
    <w:p w14:paraId="3605A9FE" w14:textId="77777777" w:rsidR="00C71600"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Cs/>
          <w:lang w:val="cs-CZ"/>
        </w:rPr>
      </w:pPr>
    </w:p>
    <w:p w14:paraId="12573497" w14:textId="50B1792E" w:rsidR="00FB20D2"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r>
        <w:rPr>
          <w:lang w:val="cs-CZ"/>
        </w:rPr>
        <w:tab/>
      </w:r>
      <w:r w:rsidR="002001B1" w:rsidRPr="002001B1">
        <w:rPr>
          <w:lang w:val="cs-CZ"/>
        </w:rPr>
        <w:t>Údaje v tabulce 5-11. vychází z metodiky ESSPROS, která se liší od národní metodiky použité v</w:t>
      </w:r>
      <w:r w:rsidR="002001B1">
        <w:rPr>
          <w:lang w:val="cs-CZ"/>
        </w:rPr>
        <w:t> </w:t>
      </w:r>
      <w:r w:rsidR="002001B1" w:rsidRPr="002001B1">
        <w:rPr>
          <w:lang w:val="cs-CZ"/>
        </w:rPr>
        <w:t>ostatních tabulkách za důchody.</w:t>
      </w:r>
    </w:p>
    <w:p w14:paraId="4091A0BB" w14:textId="010AA99B" w:rsidR="002001B1" w:rsidRDefault="002001B1"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p>
    <w:p w14:paraId="111954BC" w14:textId="13D47755" w:rsidR="002001B1" w:rsidRDefault="002001B1"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p>
    <w:p w14:paraId="5766A884"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r w:rsidRPr="003A3E1F">
        <w:rPr>
          <w:b/>
          <w:iCs/>
          <w:lang w:val="cs-CZ"/>
        </w:rPr>
        <w:t>Dávky nemocenského pojištění</w:t>
      </w:r>
    </w:p>
    <w:p w14:paraId="185BC1D9"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p>
    <w:p w14:paraId="0DE7832B" w14:textId="720EE19C"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Cs/>
        </w:rPr>
      </w:pPr>
      <w:r>
        <w:rPr>
          <w:iCs/>
          <w:lang w:val="cs-CZ"/>
        </w:rPr>
        <w:tab/>
      </w:r>
      <w:r w:rsidRPr="00FD3798">
        <w:rPr>
          <w:iCs/>
          <w:lang w:val="cs-CZ"/>
        </w:rPr>
        <w:t>Systém nemocenského pojištění je určen pro výdělečně činné osoby, které při ztrátě příjmu v</w:t>
      </w:r>
      <w:r>
        <w:rPr>
          <w:iCs/>
          <w:lang w:val="cs-CZ"/>
        </w:rPr>
        <w:t> </w:t>
      </w:r>
      <w:r w:rsidRPr="00FD3798">
        <w:rPr>
          <w:iCs/>
          <w:lang w:val="cs-CZ"/>
        </w:rPr>
        <w:t>případech</w:t>
      </w:r>
      <w:r>
        <w:rPr>
          <w:iCs/>
          <w:lang w:val="cs-CZ"/>
        </w:rPr>
        <w:t xml:space="preserve"> </w:t>
      </w:r>
      <w:r w:rsidRPr="00FD3798">
        <w:rPr>
          <w:iCs/>
          <w:lang w:val="cs-CZ"/>
        </w:rPr>
        <w:t>tzv. krátkodobých sociálních událostí (dočasné pracovní neschopnosti z důvodu nemoci nebo úrazu či karantény,</w:t>
      </w:r>
      <w:r>
        <w:rPr>
          <w:iCs/>
        </w:rPr>
        <w:t xml:space="preserve"> </w:t>
      </w:r>
      <w:r w:rsidRPr="00FD3798">
        <w:rPr>
          <w:iCs/>
          <w:lang w:val="cs-CZ"/>
        </w:rPr>
        <w:t>ošetřování člena rodiny, těhotenství a mateřství, péče o dítě) zabezpečuje peněžitými dávkami nemocenského</w:t>
      </w:r>
      <w:r>
        <w:rPr>
          <w:iCs/>
        </w:rPr>
        <w:t xml:space="preserve"> </w:t>
      </w:r>
      <w:r w:rsidRPr="00FD3798">
        <w:rPr>
          <w:iCs/>
          <w:lang w:val="cs-CZ"/>
        </w:rPr>
        <w:t>pojištění.</w:t>
      </w:r>
      <w:r>
        <w:rPr>
          <w:iCs/>
        </w:rPr>
        <w:t xml:space="preserve"> </w:t>
      </w:r>
      <w:r w:rsidRPr="00FD3798">
        <w:rPr>
          <w:iCs/>
          <w:lang w:val="cs-CZ"/>
        </w:rPr>
        <w:t>Od roku 2009 je toto pojištění komplexně upraveno zákonem č.</w:t>
      </w:r>
      <w:r>
        <w:rPr>
          <w:iCs/>
        </w:rPr>
        <w:t> </w:t>
      </w:r>
      <w:r w:rsidRPr="00FD3798">
        <w:rPr>
          <w:iCs/>
          <w:lang w:val="cs-CZ"/>
        </w:rPr>
        <w:t>187/2006 Sb., o nemocenském pojištění, ve znění</w:t>
      </w:r>
      <w:r>
        <w:rPr>
          <w:iCs/>
        </w:rPr>
        <w:t xml:space="preserve"> </w:t>
      </w:r>
      <w:r w:rsidRPr="00FD3798">
        <w:rPr>
          <w:iCs/>
          <w:lang w:val="cs-CZ"/>
        </w:rPr>
        <w:t>pozdějších předpisů</w:t>
      </w:r>
      <w:r>
        <w:rPr>
          <w:iCs/>
        </w:rPr>
        <w:t>.</w:t>
      </w:r>
    </w:p>
    <w:p w14:paraId="059FB5A8" w14:textId="77777777" w:rsidR="002001B1" w:rsidRDefault="002001B1" w:rsidP="002001B1">
      <w:pPr>
        <w:autoSpaceDE w:val="0"/>
        <w:autoSpaceDN w:val="0"/>
        <w:adjustRightInd w:val="0"/>
        <w:jc w:val="both"/>
        <w:rPr>
          <w:iCs/>
        </w:rPr>
      </w:pPr>
    </w:p>
    <w:p w14:paraId="5B08A7E0" w14:textId="77777777" w:rsidR="002001B1" w:rsidRPr="00FD3798" w:rsidRDefault="002001B1" w:rsidP="002001B1">
      <w:pPr>
        <w:autoSpaceDE w:val="0"/>
        <w:autoSpaceDN w:val="0"/>
        <w:adjustRightInd w:val="0"/>
        <w:rPr>
          <w:rFonts w:ascii="Arial obyeejné" w:hAnsi="Arial obyeejné"/>
          <w:iCs/>
          <w:sz w:val="20"/>
          <w:szCs w:val="20"/>
        </w:rPr>
      </w:pPr>
      <w:r w:rsidRPr="00FD3798">
        <w:rPr>
          <w:rFonts w:ascii="Arial obyeejné" w:hAnsi="Arial obyeejné"/>
          <w:iCs/>
          <w:sz w:val="20"/>
          <w:szCs w:val="20"/>
        </w:rPr>
        <w:t>Vymezení jednotlivých druhů dávek nemocenského pojištění</w:t>
      </w:r>
      <w:r>
        <w:rPr>
          <w:rFonts w:ascii="Arial obyeejné" w:hAnsi="Arial obyeejné"/>
          <w:iCs/>
          <w:sz w:val="20"/>
          <w:szCs w:val="20"/>
        </w:rPr>
        <w:t xml:space="preserve"> uvedených v tabulce 5-12.</w:t>
      </w:r>
      <w:r w:rsidRPr="00FD3798">
        <w:rPr>
          <w:rFonts w:ascii="Arial obyeejné" w:hAnsi="Arial obyeejné"/>
          <w:iCs/>
          <w:sz w:val="20"/>
          <w:szCs w:val="20"/>
        </w:rPr>
        <w:t>:</w:t>
      </w:r>
    </w:p>
    <w:p w14:paraId="761D1EE7" w14:textId="77777777" w:rsidR="002001B1" w:rsidRPr="00FD3798" w:rsidRDefault="002001B1" w:rsidP="002001B1">
      <w:pPr>
        <w:autoSpaceDE w:val="0"/>
        <w:autoSpaceDN w:val="0"/>
        <w:adjustRightInd w:val="0"/>
        <w:jc w:val="both"/>
        <w:rPr>
          <w:rFonts w:ascii="Arial obyeejné" w:hAnsi="Arial obyeejné"/>
          <w:iCs/>
          <w:sz w:val="20"/>
          <w:szCs w:val="20"/>
        </w:rPr>
      </w:pPr>
      <w:r w:rsidRPr="00FD3798">
        <w:rPr>
          <w:rFonts w:ascii="Arial obyeejné" w:hAnsi="Arial obyeejné"/>
          <w:iCs/>
          <w:sz w:val="20"/>
          <w:szCs w:val="20"/>
        </w:rPr>
        <w:t xml:space="preserve">– </w:t>
      </w:r>
      <w:r w:rsidRPr="00FD3798">
        <w:rPr>
          <w:rFonts w:ascii="Arial obyeejné" w:hAnsi="Arial obyeejné"/>
          <w:b/>
          <w:iCs/>
          <w:sz w:val="20"/>
          <w:szCs w:val="20"/>
        </w:rPr>
        <w:t>nemocenské</w:t>
      </w:r>
      <w:r w:rsidRPr="00FD3798">
        <w:rPr>
          <w:rFonts w:ascii="Arial obyeejné" w:hAnsi="Arial obyeejné"/>
          <w:iCs/>
          <w:sz w:val="20"/>
          <w:szCs w:val="20"/>
        </w:rPr>
        <w:t xml:space="preserve"> – zaměstnanec nebo OSVČ, který je uznán ošetřujícím lékařem dočasně práce neschopným,</w:t>
      </w:r>
      <w:r>
        <w:rPr>
          <w:rFonts w:ascii="Arial obyeejné" w:hAnsi="Arial obyeejné"/>
          <w:iCs/>
          <w:sz w:val="20"/>
          <w:szCs w:val="20"/>
        </w:rPr>
        <w:t xml:space="preserve"> </w:t>
      </w:r>
      <w:r w:rsidRPr="00FD3798">
        <w:rPr>
          <w:rFonts w:ascii="Arial obyeejné" w:hAnsi="Arial obyeejné"/>
          <w:iCs/>
          <w:sz w:val="20"/>
          <w:szCs w:val="20"/>
        </w:rPr>
        <w:t>případně při nařízené karanténě, má nárok po zákonem stanovenou dobu na vyplácení nemocenské;</w:t>
      </w:r>
    </w:p>
    <w:p w14:paraId="56377EA6" w14:textId="77777777" w:rsidR="002001B1" w:rsidRPr="00FD3798" w:rsidRDefault="002001B1" w:rsidP="002001B1">
      <w:pPr>
        <w:autoSpaceDE w:val="0"/>
        <w:autoSpaceDN w:val="0"/>
        <w:adjustRightInd w:val="0"/>
        <w:jc w:val="both"/>
        <w:rPr>
          <w:rFonts w:ascii="Arial obyeejné" w:hAnsi="Arial obyeejné"/>
          <w:iCs/>
          <w:sz w:val="20"/>
          <w:szCs w:val="20"/>
        </w:rPr>
      </w:pPr>
      <w:r w:rsidRPr="00FD3798">
        <w:rPr>
          <w:rFonts w:ascii="Arial obyeejné" w:hAnsi="Arial obyeejné"/>
          <w:iCs/>
          <w:sz w:val="20"/>
          <w:szCs w:val="20"/>
        </w:rPr>
        <w:t xml:space="preserve">– </w:t>
      </w:r>
      <w:r w:rsidRPr="00FD3798">
        <w:rPr>
          <w:rFonts w:ascii="Arial obyeejné" w:hAnsi="Arial obyeejné"/>
          <w:b/>
          <w:iCs/>
          <w:sz w:val="20"/>
          <w:szCs w:val="20"/>
        </w:rPr>
        <w:t>ošetřovné</w:t>
      </w:r>
      <w:r w:rsidRPr="00FD3798">
        <w:rPr>
          <w:rFonts w:ascii="Arial obyeejné" w:hAnsi="Arial obyeejné"/>
          <w:iCs/>
          <w:sz w:val="20"/>
          <w:szCs w:val="20"/>
        </w:rPr>
        <w:t xml:space="preserve"> – je vypláceno zaměstnanci z důvodu ošetřování nemocného člena domácnosti nebo péče o zdravé</w:t>
      </w:r>
      <w:r>
        <w:rPr>
          <w:rFonts w:ascii="Arial obyeejné" w:hAnsi="Arial obyeejné"/>
          <w:iCs/>
          <w:sz w:val="20"/>
          <w:szCs w:val="20"/>
        </w:rPr>
        <w:t xml:space="preserve"> </w:t>
      </w:r>
      <w:r w:rsidRPr="00FD3798">
        <w:rPr>
          <w:rFonts w:ascii="Arial obyeejné" w:hAnsi="Arial obyeejné"/>
          <w:iCs/>
          <w:sz w:val="20"/>
          <w:szCs w:val="20"/>
        </w:rPr>
        <w:t>dítě mladší 10 let (protože školské nebo dětské zařízení bylo uzavřeno, dítěti byla nařízena karanténa, nebo</w:t>
      </w:r>
      <w:r>
        <w:rPr>
          <w:rFonts w:ascii="Arial obyeejné" w:hAnsi="Arial obyeejné"/>
          <w:iCs/>
          <w:sz w:val="20"/>
          <w:szCs w:val="20"/>
        </w:rPr>
        <w:t xml:space="preserve"> </w:t>
      </w:r>
      <w:r w:rsidRPr="00FD3798">
        <w:rPr>
          <w:rFonts w:ascii="Arial obyeejné" w:hAnsi="Arial obyeejné"/>
          <w:iCs/>
          <w:sz w:val="20"/>
          <w:szCs w:val="20"/>
        </w:rPr>
        <w:t>osoba, která jinak o dítě pečuje, sama onemocněla);</w:t>
      </w:r>
    </w:p>
    <w:p w14:paraId="2A029487" w14:textId="77777777" w:rsidR="002001B1" w:rsidRPr="00FD3798" w:rsidRDefault="002001B1" w:rsidP="002001B1">
      <w:pPr>
        <w:autoSpaceDE w:val="0"/>
        <w:autoSpaceDN w:val="0"/>
        <w:adjustRightInd w:val="0"/>
        <w:jc w:val="both"/>
        <w:rPr>
          <w:rFonts w:ascii="Arial obyeejné" w:hAnsi="Arial obyeejné"/>
          <w:iCs/>
          <w:sz w:val="20"/>
          <w:szCs w:val="20"/>
        </w:rPr>
      </w:pPr>
      <w:r w:rsidRPr="00FD3798">
        <w:rPr>
          <w:rFonts w:ascii="Arial obyeejné" w:hAnsi="Arial obyeejné"/>
          <w:iCs/>
          <w:sz w:val="20"/>
          <w:szCs w:val="20"/>
        </w:rPr>
        <w:t xml:space="preserve">– </w:t>
      </w:r>
      <w:r w:rsidRPr="00FD3798">
        <w:rPr>
          <w:rFonts w:ascii="Arial obyeejné" w:hAnsi="Arial obyeejné"/>
          <w:b/>
          <w:iCs/>
          <w:sz w:val="20"/>
          <w:szCs w:val="20"/>
        </w:rPr>
        <w:t>peněžitá pomoc v mateřství</w:t>
      </w:r>
      <w:r w:rsidRPr="00FD3798">
        <w:rPr>
          <w:rFonts w:ascii="Arial obyeejné" w:hAnsi="Arial obyeejné"/>
          <w:iCs/>
          <w:sz w:val="20"/>
          <w:szCs w:val="20"/>
        </w:rPr>
        <w:t xml:space="preserve"> – od roku 2011 je vyplácena ode dne, který určí sama pojištěnka, a to v</w:t>
      </w:r>
      <w:r>
        <w:rPr>
          <w:rFonts w:ascii="Arial obyeejné" w:hAnsi="Arial obyeejné"/>
          <w:iCs/>
          <w:sz w:val="20"/>
          <w:szCs w:val="20"/>
        </w:rPr>
        <w:t> </w:t>
      </w:r>
      <w:r w:rsidRPr="00FD3798">
        <w:rPr>
          <w:rFonts w:ascii="Arial obyeejné" w:hAnsi="Arial obyeejné"/>
          <w:iCs/>
          <w:sz w:val="20"/>
          <w:szCs w:val="20"/>
        </w:rPr>
        <w:t>období</w:t>
      </w:r>
      <w:r>
        <w:rPr>
          <w:rFonts w:ascii="Arial obyeejné" w:hAnsi="Arial obyeejné"/>
          <w:iCs/>
          <w:sz w:val="20"/>
          <w:szCs w:val="20"/>
        </w:rPr>
        <w:t xml:space="preserve"> </w:t>
      </w:r>
      <w:r w:rsidRPr="00FD3798">
        <w:rPr>
          <w:rFonts w:ascii="Arial obyeejné" w:hAnsi="Arial obyeejné"/>
          <w:iCs/>
          <w:sz w:val="20"/>
          <w:szCs w:val="20"/>
        </w:rPr>
        <w:t>od počátku osmého do počátku šestého týdne před očekávaným dnem porodu; podpůrčí doba činí 28 týdnů</w:t>
      </w:r>
      <w:r>
        <w:rPr>
          <w:rFonts w:ascii="Arial obyeejné" w:hAnsi="Arial obyeejné"/>
          <w:iCs/>
          <w:sz w:val="20"/>
          <w:szCs w:val="20"/>
        </w:rPr>
        <w:t xml:space="preserve"> </w:t>
      </w:r>
      <w:r w:rsidRPr="00FD3798">
        <w:rPr>
          <w:rFonts w:ascii="Arial obyeejné" w:hAnsi="Arial obyeejné"/>
          <w:iCs/>
          <w:sz w:val="20"/>
          <w:szCs w:val="20"/>
        </w:rPr>
        <w:t>(v případě porodu dvou nebo více dětí činí podpůrčí doba 37 týdnů);</w:t>
      </w:r>
    </w:p>
    <w:p w14:paraId="4008B9F0" w14:textId="77777777" w:rsidR="002001B1" w:rsidRPr="00FD3798" w:rsidRDefault="002001B1" w:rsidP="002001B1">
      <w:pPr>
        <w:autoSpaceDE w:val="0"/>
        <w:autoSpaceDN w:val="0"/>
        <w:adjustRightInd w:val="0"/>
        <w:jc w:val="both"/>
        <w:rPr>
          <w:rFonts w:ascii="Arial obyeejné" w:hAnsi="Arial obyeejné"/>
          <w:iCs/>
          <w:sz w:val="20"/>
          <w:szCs w:val="20"/>
        </w:rPr>
      </w:pPr>
      <w:r w:rsidRPr="00FD3798">
        <w:rPr>
          <w:rFonts w:ascii="Arial obyeejné" w:hAnsi="Arial obyeejné"/>
          <w:iCs/>
          <w:sz w:val="20"/>
          <w:szCs w:val="20"/>
        </w:rPr>
        <w:t xml:space="preserve">– </w:t>
      </w:r>
      <w:r w:rsidRPr="00FD3798">
        <w:rPr>
          <w:rFonts w:ascii="Arial obyeejné" w:hAnsi="Arial obyeejné"/>
          <w:b/>
          <w:iCs/>
          <w:sz w:val="20"/>
          <w:szCs w:val="20"/>
        </w:rPr>
        <w:t>dávka otcovské poporodní péče (otcovská)</w:t>
      </w:r>
      <w:r w:rsidRPr="00FD3798">
        <w:rPr>
          <w:rFonts w:ascii="Arial obyeejné" w:hAnsi="Arial obyeejné"/>
          <w:iCs/>
          <w:sz w:val="20"/>
          <w:szCs w:val="20"/>
        </w:rPr>
        <w:t xml:space="preserve"> – nárok na dávku má otec dítěte, který o dítě pečuje, pokud</w:t>
      </w:r>
      <w:r>
        <w:rPr>
          <w:rFonts w:ascii="Arial obyeejné" w:hAnsi="Arial obyeejné"/>
          <w:iCs/>
          <w:sz w:val="20"/>
          <w:szCs w:val="20"/>
        </w:rPr>
        <w:t xml:space="preserve"> </w:t>
      </w:r>
      <w:r w:rsidRPr="00FD3798">
        <w:rPr>
          <w:rFonts w:ascii="Arial obyeejné" w:hAnsi="Arial obyeejné"/>
          <w:iCs/>
          <w:sz w:val="20"/>
          <w:szCs w:val="20"/>
        </w:rPr>
        <w:t>nastoupil na otcovskou v období 6 týdnů ode dne narození dítěte; za otce dítěte je považován ten, kdo je</w:t>
      </w:r>
      <w:r>
        <w:rPr>
          <w:rFonts w:ascii="Arial obyeejné" w:hAnsi="Arial obyeejné"/>
          <w:iCs/>
          <w:sz w:val="20"/>
          <w:szCs w:val="20"/>
        </w:rPr>
        <w:t xml:space="preserve"> </w:t>
      </w:r>
      <w:r w:rsidRPr="00FD3798">
        <w:rPr>
          <w:rFonts w:ascii="Arial obyeejné" w:hAnsi="Arial obyeejné"/>
          <w:iCs/>
          <w:sz w:val="20"/>
          <w:szCs w:val="20"/>
        </w:rPr>
        <w:t>v matrice zapsán jako otec; podpůrčí doba činí maximálně 1 týden;</w:t>
      </w:r>
    </w:p>
    <w:p w14:paraId="29D1FD30" w14:textId="7217979F" w:rsidR="002001B1" w:rsidRPr="00FD3798" w:rsidRDefault="002001B1" w:rsidP="002001B1">
      <w:pPr>
        <w:autoSpaceDE w:val="0"/>
        <w:autoSpaceDN w:val="0"/>
        <w:adjustRightInd w:val="0"/>
        <w:jc w:val="both"/>
        <w:rPr>
          <w:iCs/>
        </w:rPr>
      </w:pPr>
      <w:r w:rsidRPr="00FD3798">
        <w:rPr>
          <w:rFonts w:ascii="Arial obyeejné" w:hAnsi="Arial obyeejné"/>
          <w:iCs/>
          <w:sz w:val="20"/>
          <w:szCs w:val="20"/>
        </w:rPr>
        <w:t xml:space="preserve">– </w:t>
      </w:r>
      <w:r w:rsidRPr="00FD3798">
        <w:rPr>
          <w:rFonts w:ascii="Arial obyeejné" w:hAnsi="Arial obyeejné"/>
          <w:b/>
          <w:iCs/>
          <w:sz w:val="20"/>
          <w:szCs w:val="20"/>
        </w:rPr>
        <w:t>dlouhodobé ošetřovné</w:t>
      </w:r>
      <w:r w:rsidRPr="00FD3798">
        <w:rPr>
          <w:rFonts w:ascii="Arial obyeejné" w:hAnsi="Arial obyeejné"/>
          <w:iCs/>
          <w:sz w:val="20"/>
          <w:szCs w:val="20"/>
        </w:rPr>
        <w:t xml:space="preserve"> – dávka náleží osobě, která dlouhodobě pečuje o osobu, u níž došlo k</w:t>
      </w:r>
      <w:r>
        <w:rPr>
          <w:rFonts w:ascii="Arial obyeejné" w:hAnsi="Arial obyeejné"/>
          <w:iCs/>
          <w:sz w:val="20"/>
          <w:szCs w:val="20"/>
        </w:rPr>
        <w:t> </w:t>
      </w:r>
      <w:r w:rsidRPr="00FD3798">
        <w:rPr>
          <w:rFonts w:ascii="Arial obyeejné" w:hAnsi="Arial obyeejné"/>
          <w:iCs/>
          <w:sz w:val="20"/>
          <w:szCs w:val="20"/>
        </w:rPr>
        <w:t>závažnému</w:t>
      </w:r>
      <w:r>
        <w:rPr>
          <w:rFonts w:ascii="Arial obyeejné" w:hAnsi="Arial obyeejné"/>
          <w:iCs/>
          <w:sz w:val="20"/>
          <w:szCs w:val="20"/>
        </w:rPr>
        <w:t xml:space="preserve"> </w:t>
      </w:r>
      <w:r w:rsidRPr="00FD3798">
        <w:rPr>
          <w:rFonts w:ascii="Arial obyeejné" w:hAnsi="Arial obyeejné"/>
          <w:iCs/>
          <w:sz w:val="20"/>
          <w:szCs w:val="20"/>
        </w:rPr>
        <w:t>zhoršení zdravotního stavu, který vyžadoval alespoň sedmidenní hospitalizaci v</w:t>
      </w:r>
      <w:r w:rsidR="00FB165B">
        <w:rPr>
          <w:rFonts w:ascii="Arial obyeejné" w:hAnsi="Arial obyeejné"/>
          <w:iCs/>
          <w:sz w:val="20"/>
          <w:szCs w:val="20"/>
        </w:rPr>
        <w:t> </w:t>
      </w:r>
      <w:r w:rsidRPr="00FD3798">
        <w:rPr>
          <w:rFonts w:ascii="Arial obyeejné" w:hAnsi="Arial obyeejné"/>
          <w:iCs/>
          <w:sz w:val="20"/>
          <w:szCs w:val="20"/>
        </w:rPr>
        <w:t>nemocnici, a v den propuštění</w:t>
      </w:r>
      <w:r>
        <w:rPr>
          <w:rFonts w:ascii="Arial obyeejné" w:hAnsi="Arial obyeejné"/>
          <w:iCs/>
          <w:sz w:val="20"/>
          <w:szCs w:val="20"/>
        </w:rPr>
        <w:t xml:space="preserve"> </w:t>
      </w:r>
      <w:r w:rsidRPr="00FD3798">
        <w:rPr>
          <w:rFonts w:ascii="Arial obyeejné" w:hAnsi="Arial obyeejné"/>
          <w:iCs/>
          <w:sz w:val="20"/>
          <w:szCs w:val="20"/>
        </w:rPr>
        <w:t>bylo potvrzeno, že potřeba celodenní péče bude trvat nejméně dalších 30 dnů; výplata dávky nenáleží</w:t>
      </w:r>
      <w:r>
        <w:rPr>
          <w:rFonts w:ascii="Arial obyeejné" w:hAnsi="Arial obyeejné"/>
          <w:iCs/>
          <w:sz w:val="20"/>
          <w:szCs w:val="20"/>
        </w:rPr>
        <w:t xml:space="preserve"> </w:t>
      </w:r>
      <w:r w:rsidRPr="00FD3798">
        <w:rPr>
          <w:rFonts w:ascii="Arial obyeejné" w:hAnsi="Arial obyeejné"/>
          <w:iCs/>
          <w:sz w:val="20"/>
          <w:szCs w:val="20"/>
        </w:rPr>
        <w:t>po dobu, kdy byla ošetřovaná osoba znovu hospitalizována; podpůrčí doba činí maximálně 90 kalendářních</w:t>
      </w:r>
      <w:r>
        <w:rPr>
          <w:rFonts w:ascii="Arial obyeejné" w:hAnsi="Arial obyeejné"/>
          <w:iCs/>
          <w:sz w:val="20"/>
          <w:szCs w:val="20"/>
        </w:rPr>
        <w:t xml:space="preserve"> </w:t>
      </w:r>
      <w:r w:rsidRPr="00FD3798">
        <w:rPr>
          <w:rFonts w:ascii="Arial obyeejné" w:hAnsi="Arial obyeejné"/>
          <w:iCs/>
          <w:sz w:val="20"/>
          <w:szCs w:val="20"/>
        </w:rPr>
        <w:t>dnů.</w:t>
      </w:r>
    </w:p>
    <w:p w14:paraId="77EADB79" w14:textId="3E0ACA6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r>
        <w:rPr>
          <w:lang w:val="cs-CZ"/>
        </w:rPr>
        <w:t xml:space="preserve"> </w:t>
      </w:r>
    </w:p>
    <w:p w14:paraId="3F039E98" w14:textId="77777777" w:rsidR="009F166E" w:rsidRDefault="009F166E"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p>
    <w:p w14:paraId="07F2A447"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r w:rsidRPr="00FD3798">
        <w:rPr>
          <w:b/>
          <w:iCs/>
          <w:lang w:val="cs-CZ"/>
        </w:rPr>
        <w:t>P</w:t>
      </w:r>
      <w:r w:rsidRPr="00FD3798">
        <w:rPr>
          <w:rFonts w:hint="eastAsia"/>
          <w:b/>
          <w:iCs/>
          <w:lang w:val="cs-CZ"/>
        </w:rPr>
        <w:t>ří</w:t>
      </w:r>
      <w:r w:rsidRPr="00FD3798">
        <w:rPr>
          <w:b/>
          <w:iCs/>
          <w:lang w:val="cs-CZ"/>
        </w:rPr>
        <w:t>jemci p</w:t>
      </w:r>
      <w:r w:rsidRPr="00FD3798">
        <w:rPr>
          <w:rFonts w:hint="eastAsia"/>
          <w:b/>
          <w:iCs/>
          <w:lang w:val="cs-CZ"/>
        </w:rPr>
        <w:t>ří</w:t>
      </w:r>
      <w:r w:rsidRPr="00FD3798">
        <w:rPr>
          <w:b/>
          <w:iCs/>
          <w:lang w:val="cs-CZ"/>
        </w:rPr>
        <w:t>sp</w:t>
      </w:r>
      <w:r w:rsidRPr="00FD3798">
        <w:rPr>
          <w:rFonts w:hint="eastAsia"/>
          <w:b/>
          <w:iCs/>
          <w:lang w:val="cs-CZ"/>
        </w:rPr>
        <w:t>ě</w:t>
      </w:r>
      <w:r w:rsidRPr="00FD3798">
        <w:rPr>
          <w:b/>
          <w:iCs/>
          <w:lang w:val="cs-CZ"/>
        </w:rPr>
        <w:t>vku na pé</w:t>
      </w:r>
      <w:r w:rsidRPr="00FD3798">
        <w:rPr>
          <w:rFonts w:hint="eastAsia"/>
          <w:b/>
          <w:iCs/>
          <w:lang w:val="cs-CZ"/>
        </w:rPr>
        <w:t>č</w:t>
      </w:r>
      <w:r w:rsidRPr="00FD3798">
        <w:rPr>
          <w:b/>
          <w:iCs/>
          <w:lang w:val="cs-CZ"/>
        </w:rPr>
        <w:t>i</w:t>
      </w:r>
    </w:p>
    <w:p w14:paraId="0294D9E4" w14:textId="77777777" w:rsidR="002001B1" w:rsidRPr="00FD3798"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p>
    <w:p w14:paraId="401E406B" w14:textId="0F9C384B" w:rsidR="002001B1" w:rsidRDefault="002001B1" w:rsidP="009F166E">
      <w:pPr>
        <w:autoSpaceDE w:val="0"/>
        <w:autoSpaceDN w:val="0"/>
        <w:adjustRightInd w:val="0"/>
        <w:ind w:firstLine="708"/>
        <w:jc w:val="both"/>
        <w:rPr>
          <w:iCs/>
        </w:rPr>
      </w:pPr>
      <w:r w:rsidRPr="00FD3798">
        <w:rPr>
          <w:rFonts w:ascii="Arial obyeejné" w:hAnsi="Arial obyeejné"/>
          <w:iCs/>
          <w:sz w:val="20"/>
          <w:szCs w:val="20"/>
        </w:rPr>
        <w:t>Zákonem č. 108/2006 Sb., o sociálních službách (s účinností od 1. ledna 2007) byl zaveden příspěvek</w:t>
      </w:r>
      <w:r w:rsidR="009F166E">
        <w:rPr>
          <w:rFonts w:ascii="Arial obyeejné" w:hAnsi="Arial obyeejné"/>
          <w:iCs/>
          <w:sz w:val="20"/>
          <w:szCs w:val="20"/>
        </w:rPr>
        <w:t xml:space="preserve"> </w:t>
      </w:r>
      <w:r w:rsidRPr="00FD3798">
        <w:rPr>
          <w:rFonts w:ascii="Arial obyeejné" w:hAnsi="Arial obyeejné"/>
          <w:iCs/>
          <w:sz w:val="20"/>
          <w:szCs w:val="20"/>
        </w:rPr>
        <w:t>na péči. Na tuto dávku má nárok osoba, která z důvodu dlouhodobě nepříznivého zdravotního stavu potřebuje</w:t>
      </w:r>
      <w:r>
        <w:rPr>
          <w:rFonts w:ascii="Arial obyeejné" w:hAnsi="Arial obyeejné"/>
          <w:iCs/>
          <w:sz w:val="20"/>
          <w:szCs w:val="20"/>
        </w:rPr>
        <w:t xml:space="preserve"> </w:t>
      </w:r>
      <w:r w:rsidRPr="00FD3798">
        <w:rPr>
          <w:rFonts w:ascii="Arial obyeejné" w:hAnsi="Arial obyeejné"/>
          <w:iCs/>
          <w:sz w:val="20"/>
          <w:szCs w:val="20"/>
        </w:rPr>
        <w:t>pomoc jiné fyzické osoby při zvládání základních životních potřeb v rozsahu stanoveném v jednom ze čtyř stupňů</w:t>
      </w:r>
      <w:r>
        <w:rPr>
          <w:rFonts w:ascii="Arial obyeejné" w:hAnsi="Arial obyeejné"/>
          <w:iCs/>
          <w:sz w:val="20"/>
          <w:szCs w:val="20"/>
        </w:rPr>
        <w:t xml:space="preserve"> </w:t>
      </w:r>
      <w:r w:rsidRPr="00FD3798">
        <w:rPr>
          <w:rFonts w:ascii="Arial obyeejné" w:hAnsi="Arial obyeejné"/>
          <w:iCs/>
          <w:sz w:val="20"/>
          <w:szCs w:val="20"/>
        </w:rPr>
        <w:t xml:space="preserve">závislosti podle zákona. Osoba může z příspěvku na základě vlastní svobodné volby hradit </w:t>
      </w:r>
      <w:r>
        <w:rPr>
          <w:rFonts w:ascii="Arial obyeejné" w:hAnsi="Arial obyeejné"/>
          <w:iCs/>
          <w:sz w:val="20"/>
          <w:szCs w:val="20"/>
        </w:rPr>
        <w:t>p</w:t>
      </w:r>
      <w:r w:rsidRPr="00FD3798">
        <w:rPr>
          <w:rFonts w:ascii="Arial obyeejné" w:hAnsi="Arial obyeejné"/>
          <w:iCs/>
          <w:sz w:val="20"/>
          <w:szCs w:val="20"/>
        </w:rPr>
        <w:t>rofesionální sociální službu nebo jej použít</w:t>
      </w:r>
      <w:r>
        <w:rPr>
          <w:rFonts w:ascii="Arial obyeejné" w:hAnsi="Arial obyeejné"/>
          <w:iCs/>
          <w:sz w:val="20"/>
          <w:szCs w:val="20"/>
        </w:rPr>
        <w:t xml:space="preserve"> </w:t>
      </w:r>
      <w:r w:rsidRPr="00FD3798">
        <w:rPr>
          <w:rFonts w:ascii="Arial obyeejné" w:hAnsi="Arial obyeejné"/>
          <w:iCs/>
          <w:sz w:val="20"/>
          <w:szCs w:val="20"/>
        </w:rPr>
        <w:t>k pokrytí nezbytných nákladů při zajištění péče v rodině.</w:t>
      </w:r>
    </w:p>
    <w:p w14:paraId="2B606FB9" w14:textId="227B36D4" w:rsidR="002001B1" w:rsidRDefault="002001B1" w:rsidP="009F166E">
      <w:pPr>
        <w:autoSpaceDE w:val="0"/>
        <w:autoSpaceDN w:val="0"/>
        <w:adjustRightInd w:val="0"/>
        <w:ind w:firstLine="708"/>
        <w:jc w:val="both"/>
        <w:rPr>
          <w:iCs/>
        </w:rPr>
      </w:pPr>
      <w:r w:rsidRPr="00FD3798">
        <w:rPr>
          <w:rFonts w:ascii="Arial obyeejné" w:hAnsi="Arial obyeejné"/>
          <w:iCs/>
          <w:sz w:val="20"/>
          <w:szCs w:val="20"/>
        </w:rPr>
        <w:t xml:space="preserve">Počet příjemců příspěvku na péči představuje </w:t>
      </w:r>
      <w:r w:rsidR="009F166E">
        <w:rPr>
          <w:rFonts w:ascii="Arial obyeejné" w:hAnsi="Arial obyeejné"/>
          <w:iCs/>
          <w:sz w:val="20"/>
          <w:szCs w:val="20"/>
        </w:rPr>
        <w:t xml:space="preserve">v tabulce 5-13. </w:t>
      </w:r>
      <w:r w:rsidRPr="00FD3798">
        <w:rPr>
          <w:rFonts w:ascii="Arial obyeejné" w:hAnsi="Arial obyeejné"/>
          <w:iCs/>
          <w:sz w:val="20"/>
          <w:szCs w:val="20"/>
        </w:rPr>
        <w:t>počet osob, které měly v prosinci daného roku nárok na</w:t>
      </w:r>
      <w:r w:rsidR="009F166E">
        <w:rPr>
          <w:rFonts w:ascii="Arial obyeejné" w:hAnsi="Arial obyeejné"/>
          <w:iCs/>
          <w:sz w:val="20"/>
          <w:szCs w:val="20"/>
        </w:rPr>
        <w:t xml:space="preserve"> </w:t>
      </w:r>
      <w:r w:rsidRPr="00FD3798">
        <w:rPr>
          <w:rFonts w:ascii="Arial obyeejné" w:hAnsi="Arial obyeejné"/>
          <w:iCs/>
          <w:sz w:val="20"/>
          <w:szCs w:val="20"/>
        </w:rPr>
        <w:t>příspěvek na péči bez ohledu na to, kdy byla dávka vyplacena.</w:t>
      </w:r>
    </w:p>
    <w:p w14:paraId="2DAACA06" w14:textId="46F2419C" w:rsidR="002001B1" w:rsidRDefault="002001B1" w:rsidP="002001B1">
      <w:pPr>
        <w:autoSpaceDE w:val="0"/>
        <w:autoSpaceDN w:val="0"/>
        <w:adjustRightInd w:val="0"/>
        <w:jc w:val="both"/>
        <w:rPr>
          <w:iCs/>
        </w:rPr>
      </w:pPr>
    </w:p>
    <w:p w14:paraId="56CBE1DA" w14:textId="77777777" w:rsidR="009F166E" w:rsidRPr="00913C02" w:rsidRDefault="009F166E" w:rsidP="002001B1">
      <w:pPr>
        <w:autoSpaceDE w:val="0"/>
        <w:autoSpaceDN w:val="0"/>
        <w:adjustRightInd w:val="0"/>
        <w:jc w:val="both"/>
        <w:rPr>
          <w:iCs/>
        </w:rPr>
      </w:pPr>
    </w:p>
    <w:p w14:paraId="0C151C67"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r w:rsidRPr="00FD3798">
        <w:rPr>
          <w:b/>
          <w:iCs/>
          <w:lang w:val="cs-CZ"/>
        </w:rPr>
        <w:t>P</w:t>
      </w:r>
      <w:r w:rsidRPr="00FD3798">
        <w:rPr>
          <w:rFonts w:hint="eastAsia"/>
          <w:b/>
          <w:iCs/>
          <w:lang w:val="cs-CZ"/>
        </w:rPr>
        <w:t>ří</w:t>
      </w:r>
      <w:r w:rsidRPr="00FD3798">
        <w:rPr>
          <w:b/>
          <w:iCs/>
          <w:lang w:val="cs-CZ"/>
        </w:rPr>
        <w:t>jemci rodi</w:t>
      </w:r>
      <w:r w:rsidRPr="00FD3798">
        <w:rPr>
          <w:rFonts w:hint="eastAsia"/>
          <w:b/>
          <w:iCs/>
          <w:lang w:val="cs-CZ"/>
        </w:rPr>
        <w:t>č</w:t>
      </w:r>
      <w:r w:rsidRPr="00FD3798">
        <w:rPr>
          <w:b/>
          <w:iCs/>
          <w:lang w:val="cs-CZ"/>
        </w:rPr>
        <w:t>ovského p</w:t>
      </w:r>
      <w:r w:rsidRPr="00FD3798">
        <w:rPr>
          <w:rFonts w:hint="eastAsia"/>
          <w:b/>
          <w:iCs/>
          <w:lang w:val="cs-CZ"/>
        </w:rPr>
        <w:t>ří</w:t>
      </w:r>
      <w:r w:rsidRPr="00FD3798">
        <w:rPr>
          <w:b/>
          <w:iCs/>
          <w:lang w:val="cs-CZ"/>
        </w:rPr>
        <w:t>sp</w:t>
      </w:r>
      <w:r w:rsidRPr="00FD3798">
        <w:rPr>
          <w:rFonts w:hint="eastAsia"/>
          <w:b/>
          <w:iCs/>
          <w:lang w:val="cs-CZ"/>
        </w:rPr>
        <w:t>ě</w:t>
      </w:r>
      <w:r w:rsidRPr="00FD3798">
        <w:rPr>
          <w:b/>
          <w:iCs/>
          <w:lang w:val="cs-CZ"/>
        </w:rPr>
        <w:t>vku</w:t>
      </w:r>
    </w:p>
    <w:p w14:paraId="20EF5531"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p>
    <w:p w14:paraId="58F2BE59" w14:textId="3C28035D" w:rsidR="002001B1" w:rsidRPr="00C71600" w:rsidRDefault="002001B1" w:rsidP="009F166E">
      <w:pPr>
        <w:autoSpaceDE w:val="0"/>
        <w:autoSpaceDN w:val="0"/>
        <w:adjustRightInd w:val="0"/>
        <w:ind w:firstLine="708"/>
        <w:jc w:val="both"/>
        <w:rPr>
          <w:color w:val="FF0000"/>
        </w:rPr>
      </w:pPr>
      <w:r>
        <w:rPr>
          <w:rFonts w:ascii="Arial obyeejné" w:hAnsi="Arial obyeejné"/>
          <w:iCs/>
          <w:sz w:val="20"/>
          <w:szCs w:val="20"/>
        </w:rPr>
        <w:t>R</w:t>
      </w:r>
      <w:r w:rsidRPr="00FD3798">
        <w:rPr>
          <w:rFonts w:ascii="Arial obyeejné" w:hAnsi="Arial obyeejné"/>
          <w:iCs/>
          <w:sz w:val="20"/>
          <w:szCs w:val="20"/>
        </w:rPr>
        <w:t xml:space="preserve">odičovský příspěvek </w:t>
      </w:r>
      <w:r>
        <w:rPr>
          <w:rFonts w:ascii="Arial obyeejné" w:hAnsi="Arial obyeejné"/>
          <w:iCs/>
          <w:sz w:val="20"/>
          <w:szCs w:val="20"/>
        </w:rPr>
        <w:t>je jednou z dávek státní sociální podpory. Příspěvek je</w:t>
      </w:r>
      <w:r w:rsidRPr="00FD3798">
        <w:rPr>
          <w:rFonts w:ascii="Arial obyeejné" w:hAnsi="Arial obyeejné"/>
          <w:iCs/>
          <w:sz w:val="20"/>
          <w:szCs w:val="20"/>
        </w:rPr>
        <w:t xml:space="preserve"> určen pro rodiče, který po celý kalendářní měsíc osobně, celodenně</w:t>
      </w:r>
      <w:r>
        <w:rPr>
          <w:rFonts w:ascii="Arial obyeejné" w:hAnsi="Arial obyeejné"/>
          <w:iCs/>
          <w:sz w:val="20"/>
          <w:szCs w:val="20"/>
        </w:rPr>
        <w:t xml:space="preserve"> </w:t>
      </w:r>
      <w:r w:rsidRPr="00FD3798">
        <w:rPr>
          <w:rFonts w:ascii="Arial obyeejné" w:hAnsi="Arial obyeejné"/>
          <w:iCs/>
          <w:sz w:val="20"/>
          <w:szCs w:val="20"/>
        </w:rPr>
        <w:t>a řádně pečuje o dítě, které je nejmladší v</w:t>
      </w:r>
      <w:r w:rsidR="009F166E">
        <w:rPr>
          <w:rFonts w:ascii="Arial obyeejné" w:hAnsi="Arial obyeejné"/>
          <w:iCs/>
          <w:sz w:val="20"/>
          <w:szCs w:val="20"/>
        </w:rPr>
        <w:t> </w:t>
      </w:r>
      <w:r w:rsidRPr="00FD3798">
        <w:rPr>
          <w:rFonts w:ascii="Arial obyeejné" w:hAnsi="Arial obyeejné"/>
          <w:iCs/>
          <w:sz w:val="20"/>
          <w:szCs w:val="20"/>
        </w:rPr>
        <w:t>rodině, a</w:t>
      </w:r>
      <w:r w:rsidR="009F166E">
        <w:rPr>
          <w:rFonts w:ascii="Arial obyeejné" w:hAnsi="Arial obyeejné"/>
          <w:iCs/>
          <w:sz w:val="20"/>
          <w:szCs w:val="20"/>
        </w:rPr>
        <w:t> </w:t>
      </w:r>
      <w:r w:rsidRPr="00FD3798">
        <w:rPr>
          <w:rFonts w:ascii="Arial obyeejné" w:hAnsi="Arial obyeejné"/>
          <w:iCs/>
          <w:sz w:val="20"/>
          <w:szCs w:val="20"/>
        </w:rPr>
        <w:t>to až do vyčerpání celkové částky 300 000 Kč, nejdéle</w:t>
      </w:r>
      <w:r>
        <w:rPr>
          <w:rFonts w:ascii="Arial obyeejné" w:hAnsi="Arial obyeejné"/>
          <w:iCs/>
          <w:sz w:val="20"/>
          <w:szCs w:val="20"/>
        </w:rPr>
        <w:t xml:space="preserve"> </w:t>
      </w:r>
      <w:r w:rsidRPr="00FD3798">
        <w:rPr>
          <w:rFonts w:ascii="Arial obyeejné" w:hAnsi="Arial obyeejné"/>
          <w:iCs/>
          <w:sz w:val="20"/>
          <w:szCs w:val="20"/>
        </w:rPr>
        <w:t>do čtyř let věku dítěte. V případě, že jsou nejmladšími dětmi v rodině dvojčata nebo vícerčata, má rodič nárok</w:t>
      </w:r>
      <w:r>
        <w:rPr>
          <w:rFonts w:ascii="Arial obyeejné" w:hAnsi="Arial obyeejné"/>
          <w:iCs/>
          <w:sz w:val="20"/>
          <w:szCs w:val="20"/>
        </w:rPr>
        <w:t xml:space="preserve"> </w:t>
      </w:r>
      <w:r w:rsidRPr="00FD3798">
        <w:rPr>
          <w:rFonts w:ascii="Arial obyeejné" w:hAnsi="Arial obyeejné"/>
          <w:iCs/>
          <w:sz w:val="20"/>
          <w:szCs w:val="20"/>
        </w:rPr>
        <w:t>na rodičovský příspěvek až</w:t>
      </w:r>
      <w:r w:rsidR="00FB165B">
        <w:rPr>
          <w:rFonts w:ascii="Arial obyeejné" w:hAnsi="Arial obyeejné"/>
          <w:iCs/>
          <w:sz w:val="20"/>
          <w:szCs w:val="20"/>
        </w:rPr>
        <w:t> </w:t>
      </w:r>
      <w:r w:rsidRPr="00FD3798">
        <w:rPr>
          <w:rFonts w:ascii="Arial obyeejné" w:hAnsi="Arial obyeejné"/>
          <w:iCs/>
          <w:sz w:val="20"/>
          <w:szCs w:val="20"/>
        </w:rPr>
        <w:t>do</w:t>
      </w:r>
      <w:r w:rsidR="00FB165B">
        <w:rPr>
          <w:rFonts w:ascii="Arial obyeejné" w:hAnsi="Arial obyeejné"/>
          <w:iCs/>
          <w:sz w:val="20"/>
          <w:szCs w:val="20"/>
        </w:rPr>
        <w:t> </w:t>
      </w:r>
      <w:r w:rsidRPr="00FD3798">
        <w:rPr>
          <w:rFonts w:ascii="Arial obyeejné" w:hAnsi="Arial obyeejné"/>
          <w:iCs/>
          <w:sz w:val="20"/>
          <w:szCs w:val="20"/>
        </w:rPr>
        <w:t xml:space="preserve">vyčerpání celkové částky 450 000 Kč. Do konce roku 2019 se jednalo o </w:t>
      </w:r>
      <w:r w:rsidR="00FB165B">
        <w:rPr>
          <w:rFonts w:ascii="Arial obyeejné" w:hAnsi="Arial obyeejné"/>
          <w:iCs/>
          <w:sz w:val="20"/>
          <w:szCs w:val="20"/>
        </w:rPr>
        <w:t xml:space="preserve">celkovou </w:t>
      </w:r>
      <w:r w:rsidRPr="00FD3798">
        <w:rPr>
          <w:rFonts w:ascii="Arial obyeejné" w:hAnsi="Arial obyeejné"/>
          <w:iCs/>
          <w:sz w:val="20"/>
          <w:szCs w:val="20"/>
        </w:rPr>
        <w:t>částku</w:t>
      </w:r>
      <w:r>
        <w:rPr>
          <w:rFonts w:ascii="Arial obyeejné" w:hAnsi="Arial obyeejné"/>
          <w:iCs/>
          <w:sz w:val="20"/>
          <w:szCs w:val="20"/>
        </w:rPr>
        <w:t xml:space="preserve"> </w:t>
      </w:r>
      <w:r w:rsidRPr="00FD3798">
        <w:rPr>
          <w:rFonts w:ascii="Arial obyeejné" w:hAnsi="Arial obyeejné"/>
          <w:iCs/>
          <w:sz w:val="20"/>
          <w:szCs w:val="20"/>
        </w:rPr>
        <w:t>220 000 Kč, respektive 330 000 Kč v případě vícerčat.</w:t>
      </w:r>
    </w:p>
    <w:p w14:paraId="36894AFD" w14:textId="77777777" w:rsidR="009073FD" w:rsidRPr="00C71600" w:rsidRDefault="009073FD" w:rsidP="009073FD">
      <w:pPr>
        <w:pStyle w:val="Zkladntext"/>
        <w:tabs>
          <w:tab w:val="left" w:pos="-1099"/>
          <w:tab w:val="left" w:pos="-720"/>
          <w:tab w:val="left" w:pos="-22"/>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val="0"/>
          <w:iCs w:val="0"/>
          <w:color w:val="FF0000"/>
          <w:lang w:val="cs-CZ"/>
        </w:rPr>
      </w:pPr>
    </w:p>
    <w:p w14:paraId="4C0EA659" w14:textId="77777777" w:rsidR="00F05D89" w:rsidRDefault="00F05D89">
      <w:pPr>
        <w:pStyle w:val="Zkladntext"/>
        <w:tabs>
          <w:tab w:val="left" w:pos="-1099"/>
          <w:tab w:val="left" w:pos="-720"/>
          <w:tab w:val="left" w:pos="-22"/>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trike/>
          <w:lang w:val="cs-CZ"/>
        </w:rPr>
      </w:pPr>
      <w:r>
        <w:rPr>
          <w:i w:val="0"/>
          <w:iCs w:val="0"/>
          <w:lang w:val="cs-CZ"/>
        </w:rPr>
        <w:tab/>
      </w:r>
    </w:p>
    <w:p w14:paraId="69108763" w14:textId="77777777" w:rsidR="00F05D89" w:rsidRDefault="00F05D8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before="120"/>
        <w:rPr>
          <w:rFonts w:ascii="Arial" w:hAnsi="Arial" w:cs="Arial"/>
        </w:rPr>
      </w:pPr>
    </w:p>
    <w:sectPr w:rsidR="00F05D89" w:rsidSect="00CE1BD3">
      <w:headerReference w:type="default" r:id="rId7"/>
      <w:footerReference w:type="even" r:id="rId8"/>
      <w:footerReference w:type="default" r:id="rId9"/>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0BF3" w14:textId="77777777" w:rsidR="00CB4FA6" w:rsidRDefault="00CB4FA6">
      <w:r>
        <w:separator/>
      </w:r>
    </w:p>
  </w:endnote>
  <w:endnote w:type="continuationSeparator" w:id="0">
    <w:p w14:paraId="0F39B62C" w14:textId="77777777" w:rsidR="00CB4FA6" w:rsidRDefault="00CB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E676" w14:textId="77777777" w:rsidR="00C71600" w:rsidRDefault="00B31453">
    <w:pPr>
      <w:pStyle w:val="Zpat"/>
      <w:framePr w:wrap="around" w:vAnchor="text" w:hAnchor="margin" w:xAlign="center" w:y="1"/>
      <w:rPr>
        <w:rStyle w:val="slostrnky"/>
      </w:rPr>
    </w:pPr>
    <w:r>
      <w:rPr>
        <w:rStyle w:val="slostrnky"/>
      </w:rPr>
      <w:fldChar w:fldCharType="begin"/>
    </w:r>
    <w:r w:rsidR="00C71600">
      <w:rPr>
        <w:rStyle w:val="slostrnky"/>
      </w:rPr>
      <w:instrText xml:space="preserve">PAGE  </w:instrText>
    </w:r>
    <w:r>
      <w:rPr>
        <w:rStyle w:val="slostrnky"/>
      </w:rPr>
      <w:fldChar w:fldCharType="end"/>
    </w:r>
  </w:p>
  <w:p w14:paraId="18E70B05" w14:textId="77777777" w:rsidR="00C71600" w:rsidRDefault="00C716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7B0B" w14:textId="77777777" w:rsidR="00C71600" w:rsidRDefault="00C716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A5A9" w14:textId="77777777" w:rsidR="00CB4FA6" w:rsidRDefault="00CB4FA6">
      <w:r>
        <w:separator/>
      </w:r>
    </w:p>
  </w:footnote>
  <w:footnote w:type="continuationSeparator" w:id="0">
    <w:p w14:paraId="3ADF5100" w14:textId="77777777" w:rsidR="00CB4FA6" w:rsidRDefault="00CB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1270" w14:textId="77777777" w:rsidR="00C71600" w:rsidRDefault="00C716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9E0"/>
    <w:multiLevelType w:val="hybridMultilevel"/>
    <w:tmpl w:val="195EB4C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8ED347E"/>
    <w:multiLevelType w:val="hybridMultilevel"/>
    <w:tmpl w:val="4970C0E4"/>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D0"/>
    <w:rsid w:val="00033015"/>
    <w:rsid w:val="000A3AB2"/>
    <w:rsid w:val="000B0EC2"/>
    <w:rsid w:val="000B464B"/>
    <w:rsid w:val="000D135E"/>
    <w:rsid w:val="00144F0A"/>
    <w:rsid w:val="00153D7B"/>
    <w:rsid w:val="001729DA"/>
    <w:rsid w:val="00186D5C"/>
    <w:rsid w:val="00195EB4"/>
    <w:rsid w:val="001A38E0"/>
    <w:rsid w:val="001B7D27"/>
    <w:rsid w:val="001D5D00"/>
    <w:rsid w:val="002001B1"/>
    <w:rsid w:val="0020770C"/>
    <w:rsid w:val="00270D60"/>
    <w:rsid w:val="00282E51"/>
    <w:rsid w:val="00290056"/>
    <w:rsid w:val="002B0848"/>
    <w:rsid w:val="002B33A2"/>
    <w:rsid w:val="002D3AAA"/>
    <w:rsid w:val="00323C66"/>
    <w:rsid w:val="0033698E"/>
    <w:rsid w:val="00367E5E"/>
    <w:rsid w:val="003744C2"/>
    <w:rsid w:val="003A4D63"/>
    <w:rsid w:val="003F01C5"/>
    <w:rsid w:val="00467525"/>
    <w:rsid w:val="00476708"/>
    <w:rsid w:val="004779F0"/>
    <w:rsid w:val="004A46D1"/>
    <w:rsid w:val="004A794C"/>
    <w:rsid w:val="004B585F"/>
    <w:rsid w:val="004D2E7F"/>
    <w:rsid w:val="004F4932"/>
    <w:rsid w:val="00514F30"/>
    <w:rsid w:val="00531982"/>
    <w:rsid w:val="00545BE7"/>
    <w:rsid w:val="00552D55"/>
    <w:rsid w:val="0055339C"/>
    <w:rsid w:val="00556565"/>
    <w:rsid w:val="00560D08"/>
    <w:rsid w:val="005A0C41"/>
    <w:rsid w:val="005A0DD4"/>
    <w:rsid w:val="005B518D"/>
    <w:rsid w:val="005F12BF"/>
    <w:rsid w:val="00604C19"/>
    <w:rsid w:val="00626A0E"/>
    <w:rsid w:val="006641F3"/>
    <w:rsid w:val="006729B4"/>
    <w:rsid w:val="00697BA4"/>
    <w:rsid w:val="006A76B8"/>
    <w:rsid w:val="006B0EC1"/>
    <w:rsid w:val="006D5456"/>
    <w:rsid w:val="006D7346"/>
    <w:rsid w:val="006E3513"/>
    <w:rsid w:val="006E4F6F"/>
    <w:rsid w:val="00774E18"/>
    <w:rsid w:val="007A1A5C"/>
    <w:rsid w:val="007A70B7"/>
    <w:rsid w:val="007C2E92"/>
    <w:rsid w:val="00833ECE"/>
    <w:rsid w:val="0086514F"/>
    <w:rsid w:val="0088211F"/>
    <w:rsid w:val="00892042"/>
    <w:rsid w:val="008970E8"/>
    <w:rsid w:val="008A6EDD"/>
    <w:rsid w:val="009073FD"/>
    <w:rsid w:val="00940352"/>
    <w:rsid w:val="009547CD"/>
    <w:rsid w:val="009A2C06"/>
    <w:rsid w:val="009C33C5"/>
    <w:rsid w:val="009C5748"/>
    <w:rsid w:val="009E29B0"/>
    <w:rsid w:val="009F166E"/>
    <w:rsid w:val="00A00FCA"/>
    <w:rsid w:val="00A055E0"/>
    <w:rsid w:val="00A16073"/>
    <w:rsid w:val="00A36160"/>
    <w:rsid w:val="00A4312A"/>
    <w:rsid w:val="00A70B3D"/>
    <w:rsid w:val="00A92474"/>
    <w:rsid w:val="00A9348C"/>
    <w:rsid w:val="00AA05DB"/>
    <w:rsid w:val="00AD0D90"/>
    <w:rsid w:val="00B31453"/>
    <w:rsid w:val="00B34863"/>
    <w:rsid w:val="00B469A2"/>
    <w:rsid w:val="00B66C70"/>
    <w:rsid w:val="00B82612"/>
    <w:rsid w:val="00BB2BFB"/>
    <w:rsid w:val="00BD5C01"/>
    <w:rsid w:val="00BF4522"/>
    <w:rsid w:val="00C02CFF"/>
    <w:rsid w:val="00C71600"/>
    <w:rsid w:val="00CB4FA6"/>
    <w:rsid w:val="00CE1BD3"/>
    <w:rsid w:val="00CF2209"/>
    <w:rsid w:val="00D15450"/>
    <w:rsid w:val="00D8778B"/>
    <w:rsid w:val="00D97CD0"/>
    <w:rsid w:val="00DD5570"/>
    <w:rsid w:val="00E708F2"/>
    <w:rsid w:val="00E922A9"/>
    <w:rsid w:val="00EF7E0D"/>
    <w:rsid w:val="00F05D89"/>
    <w:rsid w:val="00F203E8"/>
    <w:rsid w:val="00F86D7B"/>
    <w:rsid w:val="00FB165B"/>
    <w:rsid w:val="00FB20D2"/>
    <w:rsid w:val="00FB64E8"/>
    <w:rsid w:val="00FC262E"/>
    <w:rsid w:val="00FC64DE"/>
    <w:rsid w:val="00FE1712"/>
    <w:rsid w:val="00FF1A5B"/>
    <w:rsid w:val="00FF3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78807"/>
  <w15:docId w15:val="{25ACE1E0-2892-46DE-8AD4-27741CE3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1453"/>
    <w:rPr>
      <w:sz w:val="24"/>
      <w:szCs w:val="24"/>
    </w:rPr>
  </w:style>
  <w:style w:type="paragraph" w:styleId="Nadpis1">
    <w:name w:val="heading 1"/>
    <w:basedOn w:val="Normln"/>
    <w:next w:val="Normln"/>
    <w:qFormat/>
    <w:rsid w:val="00B31453"/>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31453"/>
    <w:rPr>
      <w:rFonts w:ascii="Arial" w:hAnsi="Arial" w:cs="Arial"/>
      <w:i/>
      <w:iCs/>
      <w:sz w:val="20"/>
      <w:lang w:val="en-GB"/>
    </w:rPr>
  </w:style>
  <w:style w:type="paragraph" w:styleId="Zkladntextodsazen">
    <w:name w:val="Body Text Indent"/>
    <w:basedOn w:val="Normln"/>
    <w:rsid w:val="00B31453"/>
    <w:pPr>
      <w:ind w:firstLine="567"/>
      <w:jc w:val="both"/>
    </w:pPr>
    <w:rPr>
      <w:rFonts w:ascii="Arial" w:hAnsi="Arial" w:cs="Arial"/>
      <w:color w:val="FF0000"/>
      <w:sz w:val="20"/>
      <w:szCs w:val="20"/>
    </w:rPr>
  </w:style>
  <w:style w:type="paragraph" w:styleId="Zkladntextodsazen2">
    <w:name w:val="Body Text Indent 2"/>
    <w:basedOn w:val="Normln"/>
    <w:rsid w:val="00B31453"/>
    <w:pPr>
      <w:ind w:firstLine="720"/>
      <w:jc w:val="both"/>
    </w:pPr>
    <w:rPr>
      <w:rFonts w:ascii="Arial" w:hAnsi="Arial" w:cs="Arial"/>
      <w:sz w:val="20"/>
      <w:szCs w:val="20"/>
    </w:rPr>
  </w:style>
  <w:style w:type="paragraph" w:styleId="Zkladntext2">
    <w:name w:val="Body Text 2"/>
    <w:basedOn w:val="Normln"/>
    <w:rsid w:val="00B31453"/>
    <w:pPr>
      <w:spacing w:line="360" w:lineRule="auto"/>
      <w:jc w:val="both"/>
    </w:pPr>
    <w:rPr>
      <w:rFonts w:ascii="Arial" w:hAnsi="Arial"/>
      <w:sz w:val="20"/>
    </w:rPr>
  </w:style>
  <w:style w:type="paragraph" w:customStyle="1" w:styleId="podraeny">
    <w:name w:val="podraženy"/>
    <w:basedOn w:val="Normln"/>
    <w:rsid w:val="00B31453"/>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styleId="Zpat">
    <w:name w:val="footer"/>
    <w:basedOn w:val="Normln"/>
    <w:rsid w:val="00B31453"/>
    <w:pPr>
      <w:tabs>
        <w:tab w:val="center" w:pos="4536"/>
        <w:tab w:val="right" w:pos="9072"/>
      </w:tabs>
      <w:overflowPunct w:val="0"/>
      <w:autoSpaceDE w:val="0"/>
      <w:autoSpaceDN w:val="0"/>
      <w:adjustRightInd w:val="0"/>
      <w:textAlignment w:val="baseline"/>
    </w:pPr>
    <w:rPr>
      <w:sz w:val="20"/>
      <w:szCs w:val="20"/>
      <w:lang w:val="en-US"/>
    </w:rPr>
  </w:style>
  <w:style w:type="character" w:styleId="slostrnky">
    <w:name w:val="page number"/>
    <w:basedOn w:val="Standardnpsmoodstavce"/>
    <w:rsid w:val="00B31453"/>
  </w:style>
  <w:style w:type="paragraph" w:styleId="Zhlav">
    <w:name w:val="header"/>
    <w:basedOn w:val="Normln"/>
    <w:rsid w:val="00B31453"/>
    <w:pPr>
      <w:tabs>
        <w:tab w:val="center" w:pos="4536"/>
        <w:tab w:val="right" w:pos="9072"/>
      </w:tabs>
    </w:pPr>
  </w:style>
  <w:style w:type="paragraph" w:styleId="Textbubliny">
    <w:name w:val="Balloon Text"/>
    <w:basedOn w:val="Normln"/>
    <w:semiHidden/>
    <w:rsid w:val="00B31453"/>
    <w:rPr>
      <w:rFonts w:ascii="Tahoma" w:hAnsi="Tahoma" w:cs="Tahoma"/>
      <w:sz w:val="16"/>
      <w:szCs w:val="16"/>
    </w:rPr>
  </w:style>
  <w:style w:type="paragraph" w:styleId="Zkladntextodsazen3">
    <w:name w:val="Body Text Indent 3"/>
    <w:basedOn w:val="Normln"/>
    <w:rsid w:val="00B31453"/>
    <w:pPr>
      <w:tabs>
        <w:tab w:val="left" w:pos="-1099"/>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jc w:val="both"/>
    </w:pPr>
    <w:rPr>
      <w:rFonts w:ascii="Arial" w:hAnsi="Arial" w:cs="Arial"/>
      <w:sz w:val="20"/>
    </w:rPr>
  </w:style>
  <w:style w:type="paragraph" w:styleId="Revize">
    <w:name w:val="Revision"/>
    <w:hidden/>
    <w:uiPriority w:val="99"/>
    <w:semiHidden/>
    <w:rsid w:val="006D7346"/>
    <w:rPr>
      <w:sz w:val="24"/>
      <w:szCs w:val="24"/>
    </w:rPr>
  </w:style>
  <w:style w:type="paragraph" w:styleId="Odstavecseseznamem">
    <w:name w:val="List Paragraph"/>
    <w:basedOn w:val="Normln"/>
    <w:uiPriority w:val="34"/>
    <w:qFormat/>
    <w:rsid w:val="00C71600"/>
    <w:pPr>
      <w:ind w:left="720"/>
      <w:contextualSpacing/>
    </w:pPr>
  </w:style>
  <w:style w:type="character" w:styleId="Odkaznakoment">
    <w:name w:val="annotation reference"/>
    <w:basedOn w:val="Standardnpsmoodstavce"/>
    <w:rsid w:val="00940352"/>
    <w:rPr>
      <w:sz w:val="16"/>
      <w:szCs w:val="16"/>
    </w:rPr>
  </w:style>
  <w:style w:type="paragraph" w:styleId="Textkomente">
    <w:name w:val="annotation text"/>
    <w:basedOn w:val="Normln"/>
    <w:link w:val="TextkomenteChar"/>
    <w:rsid w:val="00940352"/>
    <w:rPr>
      <w:sz w:val="20"/>
      <w:szCs w:val="20"/>
    </w:rPr>
  </w:style>
  <w:style w:type="character" w:customStyle="1" w:styleId="TextkomenteChar">
    <w:name w:val="Text komentáře Char"/>
    <w:basedOn w:val="Standardnpsmoodstavce"/>
    <w:link w:val="Textkomente"/>
    <w:rsid w:val="00940352"/>
  </w:style>
  <w:style w:type="paragraph" w:styleId="Pedmtkomente">
    <w:name w:val="annotation subject"/>
    <w:basedOn w:val="Textkomente"/>
    <w:next w:val="Textkomente"/>
    <w:link w:val="PedmtkomenteChar"/>
    <w:rsid w:val="00940352"/>
    <w:rPr>
      <w:b/>
      <w:bCs/>
    </w:rPr>
  </w:style>
  <w:style w:type="character" w:customStyle="1" w:styleId="PedmtkomenteChar">
    <w:name w:val="Předmět komentáře Char"/>
    <w:basedOn w:val="TextkomenteChar"/>
    <w:link w:val="Pedmtkomente"/>
    <w:rsid w:val="0094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6337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jileckova</dc:creator>
  <cp:lastModifiedBy>rezanka7131</cp:lastModifiedBy>
  <cp:revision>2</cp:revision>
  <cp:lastPrinted>2016-09-23T10:23:00Z</cp:lastPrinted>
  <dcterms:created xsi:type="dcterms:W3CDTF">2021-12-09T08:24:00Z</dcterms:created>
  <dcterms:modified xsi:type="dcterms:W3CDTF">2021-12-09T08:24:00Z</dcterms:modified>
</cp:coreProperties>
</file>