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16E02" w14:textId="77777777" w:rsidR="00DC0D11" w:rsidRPr="008B5BAD" w:rsidRDefault="00DC0D11">
      <w:pPr>
        <w:rPr>
          <w:rFonts w:ascii="Arial" w:hAnsi="Arial" w:cs="Arial"/>
          <w:b/>
          <w:bCs/>
          <w:i/>
          <w:iCs/>
          <w:sz w:val="20"/>
          <w:lang w:val="en-GB"/>
        </w:rPr>
      </w:pPr>
      <w:bookmarkStart w:id="0" w:name="_GoBack"/>
      <w:bookmarkEnd w:id="0"/>
      <w:r w:rsidRPr="008B5BAD">
        <w:rPr>
          <w:rFonts w:ascii="Arial" w:hAnsi="Arial" w:cs="Arial"/>
          <w:b/>
          <w:bCs/>
          <w:i/>
          <w:iCs/>
          <w:sz w:val="20"/>
          <w:lang w:val="en-GB"/>
        </w:rPr>
        <w:t>3. EDUCATION</w:t>
      </w:r>
    </w:p>
    <w:p w14:paraId="71A61824" w14:textId="77777777" w:rsidR="00DC0D11" w:rsidRPr="008B5BAD" w:rsidRDefault="00DC0D11">
      <w:pPr>
        <w:rPr>
          <w:rFonts w:ascii="Arial" w:hAnsi="Arial" w:cs="Arial"/>
          <w:sz w:val="20"/>
          <w:lang w:val="en-GB"/>
        </w:rPr>
      </w:pPr>
    </w:p>
    <w:p w14:paraId="0BF91FFB" w14:textId="77777777" w:rsidR="00CF6C10" w:rsidRPr="008B5BAD" w:rsidRDefault="00C17023" w:rsidP="00AA036F">
      <w:pPr>
        <w:pStyle w:val="Zkladntextodsazen"/>
        <w:ind w:firstLine="709"/>
        <w:rPr>
          <w:i/>
          <w:iCs/>
          <w:color w:val="auto"/>
          <w:szCs w:val="16"/>
          <w:lang w:val="en-GB"/>
        </w:rPr>
      </w:pPr>
      <w:r w:rsidRPr="008B5BAD">
        <w:rPr>
          <w:i/>
          <w:iCs/>
          <w:color w:val="auto"/>
          <w:szCs w:val="16"/>
          <w:lang w:val="en-GB"/>
        </w:rPr>
        <w:t xml:space="preserve">A vast majority of data in this chapter was </w:t>
      </w:r>
      <w:r w:rsidRPr="008B5BAD">
        <w:rPr>
          <w:i/>
          <w:iCs/>
          <w:color w:val="auto"/>
          <w:lang w:val="en-GB"/>
        </w:rPr>
        <w:t>received</w:t>
      </w:r>
      <w:r w:rsidRPr="008B5BAD">
        <w:rPr>
          <w:i/>
          <w:iCs/>
          <w:color w:val="auto"/>
          <w:szCs w:val="16"/>
          <w:lang w:val="en-GB"/>
        </w:rPr>
        <w:t xml:space="preserve"> from sources of the ministerial workplace of the State Statistical Service at the </w:t>
      </w:r>
      <w:r w:rsidRPr="008B5BAD">
        <w:rPr>
          <w:b/>
          <w:i/>
          <w:iCs/>
          <w:color w:val="auto"/>
          <w:szCs w:val="16"/>
          <w:lang w:val="en-GB"/>
        </w:rPr>
        <w:t>Ministry of Education, Youth, and Sports</w:t>
      </w:r>
      <w:r w:rsidR="005C77C8" w:rsidRPr="008B5BAD">
        <w:rPr>
          <w:b/>
          <w:i/>
          <w:iCs/>
          <w:color w:val="auto"/>
          <w:szCs w:val="16"/>
          <w:lang w:val="en-GB"/>
        </w:rPr>
        <w:t xml:space="preserve"> </w:t>
      </w:r>
      <w:r w:rsidR="005C77C8" w:rsidRPr="008B5BAD">
        <w:rPr>
          <w:i/>
          <w:iCs/>
          <w:color w:val="auto"/>
          <w:szCs w:val="16"/>
          <w:lang w:val="en-GB"/>
        </w:rPr>
        <w:t>(</w:t>
      </w:r>
      <w:r w:rsidR="005C77C8" w:rsidRPr="008B5BAD">
        <w:rPr>
          <w:i/>
          <w:color w:val="auto"/>
          <w:lang w:val="en-GB"/>
        </w:rPr>
        <w:t>MEYS)</w:t>
      </w:r>
      <w:r w:rsidRPr="008B5BAD">
        <w:rPr>
          <w:i/>
          <w:iCs/>
          <w:color w:val="auto"/>
          <w:szCs w:val="16"/>
          <w:lang w:val="en-GB"/>
        </w:rPr>
        <w:t xml:space="preserve">. It mainly applies to the </w:t>
      </w:r>
      <w:r w:rsidRPr="008B5BAD">
        <w:rPr>
          <w:b/>
          <w:i/>
          <w:iCs/>
          <w:color w:val="auto"/>
          <w:szCs w:val="16"/>
          <w:lang w:val="en-GB"/>
        </w:rPr>
        <w:t>Statistical Yearbook of Education</w:t>
      </w:r>
      <w:r w:rsidRPr="008B5BAD">
        <w:rPr>
          <w:i/>
          <w:iCs/>
          <w:color w:val="auto"/>
          <w:szCs w:val="16"/>
          <w:lang w:val="en-GB"/>
        </w:rPr>
        <w:t xml:space="preserve"> (Tables 30</w:t>
      </w:r>
      <w:r w:rsidR="00687F89" w:rsidRPr="008B5BAD">
        <w:rPr>
          <w:color w:val="000000" w:themeColor="text1"/>
          <w:lang w:val="en-GB"/>
        </w:rPr>
        <w:t>–</w:t>
      </w:r>
      <w:r w:rsidRPr="008B5BAD">
        <w:rPr>
          <w:i/>
          <w:iCs/>
          <w:color w:val="auto"/>
          <w:szCs w:val="16"/>
          <w:lang w:val="en-GB"/>
        </w:rPr>
        <w:t>1 t</w:t>
      </w:r>
      <w:r w:rsidR="005427B9" w:rsidRPr="008B5BAD">
        <w:rPr>
          <w:i/>
          <w:iCs/>
          <w:color w:val="auto"/>
          <w:szCs w:val="16"/>
          <w:lang w:val="en-GB"/>
        </w:rPr>
        <w:t>hrough</w:t>
      </w:r>
      <w:r w:rsidRPr="008B5BAD">
        <w:rPr>
          <w:i/>
          <w:iCs/>
          <w:color w:val="auto"/>
          <w:szCs w:val="16"/>
          <w:lang w:val="en-GB"/>
        </w:rPr>
        <w:t xml:space="preserve"> 30</w:t>
      </w:r>
      <w:r w:rsidR="00687F89" w:rsidRPr="008B5BAD">
        <w:rPr>
          <w:color w:val="000000" w:themeColor="text1"/>
          <w:lang w:val="en-GB"/>
        </w:rPr>
        <w:t>–</w:t>
      </w:r>
      <w:r w:rsidRPr="008B5BAD">
        <w:rPr>
          <w:i/>
          <w:iCs/>
          <w:color w:val="auto"/>
          <w:szCs w:val="16"/>
          <w:lang w:val="en-GB"/>
        </w:rPr>
        <w:t>19) and an online database with data from the system of</w:t>
      </w:r>
      <w:r w:rsidR="008D30E1" w:rsidRPr="008B5BAD">
        <w:rPr>
          <w:i/>
          <w:iCs/>
          <w:color w:val="auto"/>
          <w:szCs w:val="16"/>
          <w:lang w:val="en-GB"/>
        </w:rPr>
        <w:t xml:space="preserve"> the</w:t>
      </w:r>
      <w:r w:rsidRPr="008B5BAD">
        <w:rPr>
          <w:i/>
          <w:iCs/>
          <w:color w:val="auto"/>
          <w:szCs w:val="16"/>
          <w:lang w:val="en-GB"/>
        </w:rPr>
        <w:t xml:space="preserve"> </w:t>
      </w:r>
      <w:r w:rsidR="008D30E1" w:rsidRPr="008B5BAD">
        <w:rPr>
          <w:b/>
          <w:i/>
          <w:color w:val="auto"/>
          <w:lang w:val="en-GB"/>
        </w:rPr>
        <w:t>Union Information from Students’ Registers</w:t>
      </w:r>
      <w:r w:rsidR="008D30E1" w:rsidRPr="008B5BAD">
        <w:rPr>
          <w:i/>
          <w:color w:val="auto"/>
          <w:lang w:val="en-GB"/>
        </w:rPr>
        <w:t xml:space="preserve"> (</w:t>
      </w:r>
      <w:r w:rsidR="005051CF" w:rsidRPr="008B5BAD">
        <w:rPr>
          <w:i/>
          <w:iCs/>
          <w:color w:val="auto"/>
          <w:szCs w:val="16"/>
          <w:lang w:val="en-GB"/>
        </w:rPr>
        <w:t>the </w:t>
      </w:r>
      <w:r w:rsidR="005051CF" w:rsidRPr="008B5BAD">
        <w:rPr>
          <w:iCs/>
          <w:color w:val="auto"/>
          <w:szCs w:val="16"/>
          <w:lang w:val="en-GB"/>
        </w:rPr>
        <w:t>SIMS</w:t>
      </w:r>
      <w:r w:rsidR="005051CF" w:rsidRPr="008B5BAD">
        <w:rPr>
          <w:i/>
          <w:iCs/>
          <w:color w:val="auto"/>
          <w:szCs w:val="16"/>
          <w:lang w:val="en-GB"/>
        </w:rPr>
        <w:t xml:space="preserve"> database</w:t>
      </w:r>
      <w:r w:rsidR="008D30E1" w:rsidRPr="008B5BAD">
        <w:rPr>
          <w:i/>
          <w:iCs/>
          <w:color w:val="auto"/>
          <w:szCs w:val="16"/>
          <w:lang w:val="en-GB"/>
        </w:rPr>
        <w:t>)</w:t>
      </w:r>
      <w:r w:rsidR="005051CF" w:rsidRPr="008B5BAD">
        <w:rPr>
          <w:color w:val="auto"/>
          <w:lang w:val="en-GB"/>
        </w:rPr>
        <w:t xml:space="preserve">, </w:t>
      </w:r>
      <w:r w:rsidR="005051CF" w:rsidRPr="008B5BAD">
        <w:rPr>
          <w:i/>
          <w:iCs/>
          <w:color w:val="auto"/>
          <w:szCs w:val="16"/>
          <w:lang w:val="en-GB"/>
        </w:rPr>
        <w:t>to which the universities, both public and private, transmit data on students, students enrolled for the first time</w:t>
      </w:r>
      <w:r w:rsidR="00537370" w:rsidRPr="008B5BAD">
        <w:rPr>
          <w:i/>
          <w:iCs/>
          <w:color w:val="auto"/>
          <w:szCs w:val="16"/>
          <w:lang w:val="en-GB"/>
        </w:rPr>
        <w:t xml:space="preserve"> </w:t>
      </w:r>
      <w:r w:rsidR="00537370" w:rsidRPr="008B5BAD">
        <w:rPr>
          <w:i/>
          <w:iCs/>
          <w:color w:val="auto"/>
          <w:lang w:val="en-GB"/>
        </w:rPr>
        <w:t>(hereinafter abbreviated as the first-time enrolled)</w:t>
      </w:r>
      <w:r w:rsidR="005051CF" w:rsidRPr="008B5BAD">
        <w:rPr>
          <w:i/>
          <w:iCs/>
          <w:color w:val="auto"/>
          <w:szCs w:val="16"/>
          <w:lang w:val="en-GB"/>
        </w:rPr>
        <w:t>, and graduates</w:t>
      </w:r>
      <w:r w:rsidR="008D30E1" w:rsidRPr="008B5BAD">
        <w:rPr>
          <w:i/>
          <w:iCs/>
          <w:color w:val="auto"/>
          <w:szCs w:val="16"/>
          <w:lang w:val="en-GB"/>
        </w:rPr>
        <w:t xml:space="preserve"> (Table</w:t>
      </w:r>
      <w:r w:rsidR="00CF6C10" w:rsidRPr="008B5BAD">
        <w:rPr>
          <w:i/>
          <w:iCs/>
          <w:color w:val="auto"/>
          <w:szCs w:val="16"/>
          <w:lang w:val="en-GB"/>
        </w:rPr>
        <w:t>s</w:t>
      </w:r>
      <w:r w:rsidR="008D30E1" w:rsidRPr="008B5BAD">
        <w:rPr>
          <w:i/>
          <w:iCs/>
          <w:color w:val="auto"/>
          <w:szCs w:val="16"/>
          <w:lang w:val="en-GB"/>
        </w:rPr>
        <w:t xml:space="preserve"> 30</w:t>
      </w:r>
      <w:r w:rsidR="00687F89" w:rsidRPr="008B5BAD">
        <w:rPr>
          <w:color w:val="000000" w:themeColor="text1"/>
          <w:lang w:val="en-GB"/>
        </w:rPr>
        <w:t>–</w:t>
      </w:r>
      <w:r w:rsidR="008D30E1" w:rsidRPr="008B5BAD">
        <w:rPr>
          <w:i/>
          <w:iCs/>
          <w:color w:val="auto"/>
          <w:szCs w:val="16"/>
          <w:lang w:val="en-GB"/>
        </w:rPr>
        <w:t>20 through 3</w:t>
      </w:r>
      <w:r w:rsidR="00687F89" w:rsidRPr="008B5BAD">
        <w:rPr>
          <w:color w:val="000000" w:themeColor="text1"/>
          <w:lang w:val="en-GB"/>
        </w:rPr>
        <w:t>–</w:t>
      </w:r>
      <w:r w:rsidR="008D30E1" w:rsidRPr="008B5BAD">
        <w:rPr>
          <w:i/>
          <w:iCs/>
          <w:color w:val="auto"/>
          <w:szCs w:val="16"/>
          <w:lang w:val="en-GB"/>
        </w:rPr>
        <w:t xml:space="preserve">26). </w:t>
      </w:r>
    </w:p>
    <w:p w14:paraId="6F4CA03F" w14:textId="77777777" w:rsidR="00437BEA" w:rsidRPr="008B5BAD" w:rsidRDefault="004C3505" w:rsidP="00AA036F">
      <w:pPr>
        <w:pStyle w:val="Zkladntextodsazen"/>
        <w:ind w:firstLine="709"/>
        <w:rPr>
          <w:i/>
          <w:iCs/>
          <w:color w:val="auto"/>
          <w:szCs w:val="16"/>
          <w:lang w:val="en-GB"/>
        </w:rPr>
      </w:pPr>
      <w:r w:rsidRPr="008B5BAD">
        <w:rPr>
          <w:i/>
          <w:iCs/>
          <w:color w:val="auto"/>
          <w:szCs w:val="16"/>
          <w:lang w:val="en-GB"/>
        </w:rPr>
        <w:t xml:space="preserve">In the Statistical Yearbook of Education, data for </w:t>
      </w:r>
      <w:r w:rsidR="003F4A46" w:rsidRPr="008B5BAD">
        <w:rPr>
          <w:i/>
          <w:iCs/>
          <w:color w:val="auto"/>
          <w:szCs w:val="16"/>
          <w:lang w:val="en-GB"/>
        </w:rPr>
        <w:t xml:space="preserve">the </w:t>
      </w:r>
      <w:r w:rsidRPr="008B5BAD">
        <w:rPr>
          <w:i/>
          <w:iCs/>
          <w:color w:val="auto"/>
          <w:szCs w:val="16"/>
          <w:lang w:val="en-GB"/>
        </w:rPr>
        <w:t xml:space="preserve">school year are reported </w:t>
      </w:r>
      <w:r w:rsidR="00766FA5" w:rsidRPr="008B5BAD">
        <w:rPr>
          <w:i/>
          <w:iCs/>
          <w:color w:val="auto"/>
          <w:szCs w:val="16"/>
          <w:lang w:val="en-GB"/>
        </w:rPr>
        <w:t>with the</w:t>
      </w:r>
      <w:r w:rsidRPr="008B5BAD">
        <w:rPr>
          <w:i/>
          <w:iCs/>
          <w:color w:val="auto"/>
          <w:szCs w:val="16"/>
          <w:lang w:val="en-GB"/>
        </w:rPr>
        <w:t xml:space="preserve"> status </w:t>
      </w:r>
      <w:r w:rsidRPr="008B5BAD">
        <w:rPr>
          <w:b/>
          <w:i/>
          <w:iCs/>
          <w:color w:val="auto"/>
          <w:szCs w:val="16"/>
          <w:lang w:val="en-GB"/>
        </w:rPr>
        <w:t>as at 30 September</w:t>
      </w:r>
      <w:r w:rsidRPr="008B5BAD">
        <w:rPr>
          <w:i/>
          <w:iCs/>
          <w:color w:val="auto"/>
          <w:szCs w:val="16"/>
          <w:lang w:val="en-GB"/>
        </w:rPr>
        <w:t xml:space="preserve">. </w:t>
      </w:r>
      <w:r w:rsidR="00922D4F" w:rsidRPr="008B5BAD">
        <w:rPr>
          <w:i/>
          <w:iCs/>
          <w:color w:val="auto"/>
          <w:szCs w:val="16"/>
          <w:lang w:val="en-GB"/>
        </w:rPr>
        <w:t xml:space="preserve">The school year period is applied in this publication in case of nursery </w:t>
      </w:r>
      <w:r w:rsidR="00656A56" w:rsidRPr="008B5BAD">
        <w:rPr>
          <w:i/>
          <w:iCs/>
          <w:color w:val="auto"/>
          <w:szCs w:val="16"/>
          <w:lang w:val="en-GB"/>
        </w:rPr>
        <w:t xml:space="preserve">schools, basic schools, secondary schools, and higher professional schools, and also in case of conservatoires and of basic schools of art. The school year starts on 1 September and terminates on 31 August of the following calendar year. </w:t>
      </w:r>
    </w:p>
    <w:p w14:paraId="69AC7656" w14:textId="77777777" w:rsidR="00437BEA" w:rsidRPr="008B5BAD" w:rsidRDefault="00AA036F" w:rsidP="00437BEA">
      <w:pPr>
        <w:pStyle w:val="Zkladntextodsazen"/>
        <w:tabs>
          <w:tab w:val="left" w:pos="708"/>
        </w:tabs>
        <w:spacing w:after="120"/>
        <w:ind w:firstLine="709"/>
        <w:rPr>
          <w:color w:val="auto"/>
          <w:lang w:val="en-GB"/>
        </w:rPr>
      </w:pPr>
      <w:r w:rsidRPr="008B5BAD">
        <w:rPr>
          <w:i/>
          <w:iCs/>
          <w:color w:val="auto"/>
          <w:szCs w:val="16"/>
          <w:lang w:val="en-GB"/>
        </w:rPr>
        <w:t xml:space="preserve">Data from the system of the </w:t>
      </w:r>
      <w:r w:rsidRPr="008B5BAD">
        <w:rPr>
          <w:i/>
          <w:color w:val="auto"/>
          <w:lang w:val="en-GB"/>
        </w:rPr>
        <w:t>Union Information from Students’ Registers (</w:t>
      </w:r>
      <w:r w:rsidRPr="008B5BAD">
        <w:rPr>
          <w:i/>
          <w:iCs/>
          <w:color w:val="auto"/>
          <w:szCs w:val="16"/>
          <w:lang w:val="en-GB"/>
        </w:rPr>
        <w:t>the </w:t>
      </w:r>
      <w:r w:rsidRPr="008B5BAD">
        <w:rPr>
          <w:iCs/>
          <w:color w:val="auto"/>
          <w:szCs w:val="16"/>
          <w:lang w:val="en-GB"/>
        </w:rPr>
        <w:t>SIMS</w:t>
      </w:r>
      <w:r w:rsidRPr="008B5BAD">
        <w:rPr>
          <w:i/>
          <w:iCs/>
          <w:color w:val="auto"/>
          <w:szCs w:val="16"/>
          <w:lang w:val="en-GB"/>
        </w:rPr>
        <w:t xml:space="preserve"> database) are a</w:t>
      </w:r>
      <w:r w:rsidR="00437BEA" w:rsidRPr="008B5BAD">
        <w:rPr>
          <w:i/>
          <w:iCs/>
          <w:color w:val="auto"/>
          <w:szCs w:val="16"/>
          <w:lang w:val="en-GB"/>
        </w:rPr>
        <w:t>s for the number of students</w:t>
      </w:r>
      <w:r w:rsidRPr="008B5BAD">
        <w:rPr>
          <w:i/>
          <w:iCs/>
          <w:color w:val="auto"/>
          <w:szCs w:val="16"/>
          <w:lang w:val="en-GB"/>
        </w:rPr>
        <w:t xml:space="preserve"> according to the status</w:t>
      </w:r>
      <w:r w:rsidR="00437BEA" w:rsidRPr="008B5BAD">
        <w:rPr>
          <w:i/>
          <w:iCs/>
          <w:color w:val="auto"/>
          <w:szCs w:val="16"/>
          <w:lang w:val="en-GB"/>
        </w:rPr>
        <w:t xml:space="preserve"> </w:t>
      </w:r>
      <w:r w:rsidR="00437BEA" w:rsidRPr="008B5BAD">
        <w:rPr>
          <w:b/>
          <w:i/>
          <w:iCs/>
          <w:color w:val="auto"/>
          <w:szCs w:val="16"/>
          <w:lang w:val="en-GB"/>
        </w:rPr>
        <w:t>as at 31 December</w:t>
      </w:r>
      <w:r w:rsidR="00437BEA" w:rsidRPr="008B5BAD">
        <w:rPr>
          <w:i/>
          <w:iCs/>
          <w:color w:val="auto"/>
          <w:szCs w:val="16"/>
          <w:lang w:val="en-GB"/>
        </w:rPr>
        <w:t xml:space="preserve"> of a given year; the data for students enrolled for the first time and for graduates are for the calendar year. The source </w:t>
      </w:r>
      <w:r w:rsidR="00437BEA" w:rsidRPr="008B5BAD">
        <w:rPr>
          <w:iCs/>
          <w:color w:val="auto"/>
          <w:szCs w:val="16"/>
          <w:lang w:val="en-GB"/>
        </w:rPr>
        <w:t xml:space="preserve">SIMS </w:t>
      </w:r>
      <w:r w:rsidR="00437BEA" w:rsidRPr="008B5BAD">
        <w:rPr>
          <w:i/>
          <w:iCs/>
          <w:color w:val="auto"/>
          <w:szCs w:val="16"/>
          <w:lang w:val="en-GB"/>
        </w:rPr>
        <w:t>database is continually completed and updated</w:t>
      </w:r>
      <w:r w:rsidR="003F4A46" w:rsidRPr="008B5BAD">
        <w:rPr>
          <w:i/>
          <w:iCs/>
          <w:color w:val="auto"/>
          <w:szCs w:val="16"/>
          <w:lang w:val="en-GB"/>
        </w:rPr>
        <w:t>,</w:t>
      </w:r>
      <w:r w:rsidR="00437BEA" w:rsidRPr="008B5BAD">
        <w:rPr>
          <w:i/>
          <w:iCs/>
          <w:color w:val="auto"/>
          <w:szCs w:val="16"/>
          <w:lang w:val="en-GB"/>
        </w:rPr>
        <w:t xml:space="preserve"> including retrospective corrections; the data presented in this </w:t>
      </w:r>
      <w:r w:rsidR="008C16E6" w:rsidRPr="008B5BAD">
        <w:rPr>
          <w:i/>
          <w:iCs/>
          <w:color w:val="auto"/>
          <w:szCs w:val="16"/>
          <w:lang w:val="en-GB"/>
        </w:rPr>
        <w:t>y</w:t>
      </w:r>
      <w:r w:rsidR="00437BEA" w:rsidRPr="008B5BAD">
        <w:rPr>
          <w:i/>
          <w:iCs/>
          <w:color w:val="auto"/>
          <w:szCs w:val="16"/>
          <w:lang w:val="en-GB"/>
        </w:rPr>
        <w:t>earbook refer to the database status as at 20 January 2021.</w:t>
      </w:r>
    </w:p>
    <w:p w14:paraId="1844BF59" w14:textId="77777777" w:rsidR="00194EBF" w:rsidRPr="008B5BAD" w:rsidRDefault="00025792" w:rsidP="00D12660">
      <w:pPr>
        <w:pStyle w:val="Zkladntextodsazen"/>
        <w:ind w:firstLine="709"/>
        <w:rPr>
          <w:bCs/>
          <w:i/>
          <w:color w:val="auto"/>
          <w:lang w:val="en-GB"/>
        </w:rPr>
      </w:pPr>
      <w:r w:rsidRPr="008B5BAD">
        <w:rPr>
          <w:i/>
          <w:iCs/>
          <w:color w:val="auto"/>
          <w:lang w:val="en-GB"/>
        </w:rPr>
        <w:t>Besides</w:t>
      </w:r>
      <w:r w:rsidR="001334BB" w:rsidRPr="008B5BAD">
        <w:rPr>
          <w:i/>
          <w:iCs/>
          <w:color w:val="auto"/>
          <w:lang w:val="en-GB"/>
        </w:rPr>
        <w:t xml:space="preserve"> </w:t>
      </w:r>
      <w:r w:rsidRPr="008B5BAD">
        <w:rPr>
          <w:i/>
          <w:iCs/>
          <w:color w:val="auto"/>
          <w:lang w:val="en-GB"/>
        </w:rPr>
        <w:t>sources of the Ministry of Education, Youth, and Sports, this chapter</w:t>
      </w:r>
      <w:r w:rsidR="00EF4A06" w:rsidRPr="008B5BAD">
        <w:rPr>
          <w:i/>
          <w:iCs/>
          <w:color w:val="auto"/>
          <w:lang w:val="en-GB"/>
        </w:rPr>
        <w:t xml:space="preserve"> also</w:t>
      </w:r>
      <w:r w:rsidRPr="008B5BAD">
        <w:rPr>
          <w:i/>
          <w:iCs/>
          <w:color w:val="auto"/>
          <w:lang w:val="en-GB"/>
        </w:rPr>
        <w:t xml:space="preserve"> uses</w:t>
      </w:r>
      <w:r w:rsidR="00EF4A06" w:rsidRPr="008B5BAD">
        <w:rPr>
          <w:i/>
          <w:iCs/>
          <w:color w:val="auto"/>
          <w:lang w:val="en-GB"/>
        </w:rPr>
        <w:t xml:space="preserve"> </w:t>
      </w:r>
      <w:r w:rsidR="00EF4A06" w:rsidRPr="008B5BAD">
        <w:rPr>
          <w:b/>
          <w:i/>
          <w:iCs/>
          <w:color w:val="auto"/>
          <w:lang w:val="en-GB"/>
        </w:rPr>
        <w:t>structural wage statistics</w:t>
      </w:r>
      <w:r w:rsidR="00EF4A06" w:rsidRPr="008B5BAD">
        <w:rPr>
          <w:i/>
          <w:iCs/>
          <w:color w:val="auto"/>
          <w:lang w:val="en-GB"/>
        </w:rPr>
        <w:t xml:space="preserve">, namely as for data on the average gross monthly wage of teachers, </w:t>
      </w:r>
      <w:r w:rsidR="007424B5" w:rsidRPr="008B5BAD">
        <w:rPr>
          <w:i/>
          <w:color w:val="auto"/>
          <w:lang w:val="en-GB"/>
        </w:rPr>
        <w:t>educators,</w:t>
      </w:r>
      <w:r w:rsidR="00B62D0E" w:rsidRPr="008B5BAD">
        <w:rPr>
          <w:i/>
          <w:color w:val="auto"/>
          <w:lang w:val="en-GB"/>
        </w:rPr>
        <w:t xml:space="preserve"> a</w:t>
      </w:r>
      <w:r w:rsidR="00A01636" w:rsidRPr="008B5BAD">
        <w:rPr>
          <w:i/>
          <w:color w:val="auto"/>
          <w:lang w:val="en-GB"/>
        </w:rPr>
        <w:t>nd</w:t>
      </w:r>
      <w:r w:rsidR="00B62D0E" w:rsidRPr="008B5BAD">
        <w:rPr>
          <w:i/>
          <w:color w:val="auto"/>
          <w:lang w:val="en-GB"/>
        </w:rPr>
        <w:t xml:space="preserve"> </w:t>
      </w:r>
      <w:r w:rsidR="0036638A" w:rsidRPr="008B5BAD">
        <w:rPr>
          <w:i/>
          <w:color w:val="auto"/>
          <w:lang w:val="en-GB"/>
        </w:rPr>
        <w:t>teaching assistants</w:t>
      </w:r>
      <w:r w:rsidR="00B62D0E" w:rsidRPr="008B5BAD">
        <w:rPr>
          <w:i/>
          <w:color w:val="auto"/>
          <w:lang w:val="en-GB"/>
        </w:rPr>
        <w:t xml:space="preserve"> </w:t>
      </w:r>
      <w:r w:rsidR="00A01636" w:rsidRPr="008B5BAD">
        <w:rPr>
          <w:i/>
          <w:color w:val="auto"/>
          <w:lang w:val="en-GB"/>
        </w:rPr>
        <w:t>working</w:t>
      </w:r>
      <w:r w:rsidR="00B62D0E" w:rsidRPr="008B5BAD">
        <w:rPr>
          <w:i/>
          <w:color w:val="auto"/>
          <w:lang w:val="en-GB"/>
        </w:rPr>
        <w:t xml:space="preserve"> in regional education (Tables 3</w:t>
      </w:r>
      <w:r w:rsidR="00B62D0E" w:rsidRPr="008B5BAD">
        <w:rPr>
          <w:color w:val="000000" w:themeColor="text1"/>
          <w:lang w:val="en-GB"/>
        </w:rPr>
        <w:t>–</w:t>
      </w:r>
      <w:r w:rsidR="00B62D0E" w:rsidRPr="008B5BAD">
        <w:rPr>
          <w:i/>
          <w:color w:val="auto"/>
          <w:lang w:val="en-GB"/>
        </w:rPr>
        <w:t>30 and 3</w:t>
      </w:r>
      <w:r w:rsidR="00B62D0E" w:rsidRPr="008B5BAD">
        <w:rPr>
          <w:color w:val="000000" w:themeColor="text1"/>
          <w:lang w:val="en-GB"/>
        </w:rPr>
        <w:t>–</w:t>
      </w:r>
      <w:r w:rsidR="00B62D0E" w:rsidRPr="008B5BAD">
        <w:rPr>
          <w:i/>
          <w:color w:val="auto"/>
          <w:lang w:val="en-GB"/>
        </w:rPr>
        <w:t xml:space="preserve">31). </w:t>
      </w:r>
      <w:r w:rsidR="005440EA" w:rsidRPr="008B5BAD">
        <w:rPr>
          <w:i/>
          <w:color w:val="auto"/>
          <w:lang w:val="en-GB" w:eastAsia="en-US"/>
        </w:rPr>
        <w:t xml:space="preserve">The structural wage statistics is currently generated by merging of </w:t>
      </w:r>
      <w:r w:rsidR="004F76E1" w:rsidRPr="008B5BAD">
        <w:rPr>
          <w:bCs/>
          <w:i/>
          <w:color w:val="auto"/>
          <w:lang w:val="en-GB"/>
        </w:rPr>
        <w:t>resulting databases of</w:t>
      </w:r>
      <w:r w:rsidR="005440EA" w:rsidRPr="008B5BAD">
        <w:rPr>
          <w:bCs/>
          <w:i/>
          <w:color w:val="auto"/>
          <w:lang w:val="en-GB"/>
        </w:rPr>
        <w:t xml:space="preserve"> the sample survey of the Information System on Average Earnings of the Ministry of Labour and Social Affairs, which covers the wage sphere, and of the administrative data source of the Salary Information System of the Ministry of Finance, which exhaustively covers the salary sphere. Another exclusion are tables with international comparisons, which were received from the sources of </w:t>
      </w:r>
      <w:r w:rsidR="005440EA" w:rsidRPr="008B5BAD">
        <w:rPr>
          <w:b/>
          <w:bCs/>
          <w:i/>
          <w:color w:val="auto"/>
          <w:lang w:val="en-GB"/>
        </w:rPr>
        <w:t>Eurostat</w:t>
      </w:r>
      <w:r w:rsidR="005440EA" w:rsidRPr="008B5BAD">
        <w:rPr>
          <w:bCs/>
          <w:i/>
          <w:color w:val="auto"/>
          <w:lang w:val="en-GB"/>
        </w:rPr>
        <w:t>.</w:t>
      </w:r>
    </w:p>
    <w:p w14:paraId="206D87B6" w14:textId="77777777" w:rsidR="0081651D" w:rsidRPr="008B5BAD" w:rsidRDefault="0081651D" w:rsidP="00D12660">
      <w:pPr>
        <w:pStyle w:val="Zkladntextodsazen"/>
        <w:ind w:firstLine="709"/>
        <w:rPr>
          <w:bCs/>
          <w:i/>
          <w:color w:val="auto"/>
          <w:lang w:val="en-GB"/>
        </w:rPr>
      </w:pPr>
      <w:r w:rsidRPr="008B5BAD">
        <w:rPr>
          <w:bCs/>
          <w:i/>
          <w:color w:val="auto"/>
          <w:lang w:val="en-GB"/>
        </w:rPr>
        <w:t xml:space="preserve">Participants of higher professional and university education are referred to as </w:t>
      </w:r>
      <w:r w:rsidRPr="008B5BAD">
        <w:rPr>
          <w:b/>
          <w:bCs/>
          <w:i/>
          <w:color w:val="auto"/>
          <w:lang w:val="en-GB"/>
        </w:rPr>
        <w:t>students</w:t>
      </w:r>
      <w:r w:rsidRPr="008B5BAD">
        <w:rPr>
          <w:bCs/>
          <w:i/>
          <w:color w:val="auto"/>
          <w:lang w:val="en-GB"/>
        </w:rPr>
        <w:t xml:space="preserve">. Participants of </w:t>
      </w:r>
      <w:r w:rsidR="005D0654" w:rsidRPr="008B5BAD">
        <w:rPr>
          <w:bCs/>
          <w:i/>
          <w:color w:val="auto"/>
          <w:lang w:val="en-GB"/>
        </w:rPr>
        <w:t>primary</w:t>
      </w:r>
      <w:r w:rsidRPr="008B5BAD">
        <w:rPr>
          <w:bCs/>
          <w:i/>
          <w:color w:val="auto"/>
          <w:lang w:val="en-GB"/>
        </w:rPr>
        <w:t xml:space="preserve"> and secondary education are officially called </w:t>
      </w:r>
      <w:r w:rsidRPr="008B5BAD">
        <w:rPr>
          <w:b/>
          <w:bCs/>
          <w:i/>
          <w:color w:val="auto"/>
          <w:lang w:val="en-GB"/>
        </w:rPr>
        <w:t>pupils</w:t>
      </w:r>
      <w:r w:rsidRPr="008B5BAD">
        <w:rPr>
          <w:bCs/>
          <w:i/>
          <w:color w:val="auto"/>
          <w:lang w:val="en-GB"/>
        </w:rPr>
        <w:t xml:space="preserve">. </w:t>
      </w:r>
    </w:p>
    <w:p w14:paraId="24FC0472" w14:textId="77777777" w:rsidR="00A81778" w:rsidRPr="008B5BAD" w:rsidRDefault="00C82F12" w:rsidP="0051670A">
      <w:pPr>
        <w:pStyle w:val="Zkladntextodsazen"/>
        <w:ind w:firstLine="709"/>
        <w:rPr>
          <w:i/>
          <w:iCs/>
          <w:color w:val="auto"/>
          <w:szCs w:val="16"/>
          <w:lang w:val="en-GB"/>
        </w:rPr>
      </w:pPr>
      <w:r w:rsidRPr="008B5BAD">
        <w:rPr>
          <w:b/>
          <w:i/>
          <w:iCs/>
          <w:color w:val="auto"/>
          <w:szCs w:val="16"/>
          <w:lang w:val="en-GB"/>
        </w:rPr>
        <w:t>Children</w:t>
      </w:r>
      <w:r w:rsidRPr="008B5BAD">
        <w:rPr>
          <w:i/>
          <w:iCs/>
          <w:color w:val="auto"/>
          <w:szCs w:val="16"/>
          <w:lang w:val="en-GB"/>
        </w:rPr>
        <w:t xml:space="preserve"> in nursery schools and </w:t>
      </w:r>
      <w:r w:rsidRPr="008B5BAD">
        <w:rPr>
          <w:b/>
          <w:i/>
          <w:iCs/>
          <w:color w:val="auto"/>
          <w:szCs w:val="16"/>
          <w:lang w:val="en-GB"/>
        </w:rPr>
        <w:t>pupils</w:t>
      </w:r>
      <w:r w:rsidRPr="008B5BAD">
        <w:rPr>
          <w:i/>
          <w:iCs/>
          <w:color w:val="auto"/>
          <w:szCs w:val="16"/>
          <w:lang w:val="en-GB"/>
        </w:rPr>
        <w:t xml:space="preserve"> in basic schools up to higher professional schools are reported as numbers of studies (i.e., for example, </w:t>
      </w:r>
      <w:r w:rsidR="0008490F" w:rsidRPr="008B5BAD">
        <w:rPr>
          <w:i/>
          <w:iCs/>
          <w:color w:val="auto"/>
          <w:szCs w:val="16"/>
          <w:lang w:val="en-GB"/>
        </w:rPr>
        <w:t>if</w:t>
      </w:r>
      <w:r w:rsidRPr="008B5BAD">
        <w:rPr>
          <w:i/>
          <w:iCs/>
          <w:color w:val="auto"/>
          <w:szCs w:val="16"/>
          <w:lang w:val="en-GB"/>
        </w:rPr>
        <w:t xml:space="preserve"> a </w:t>
      </w:r>
      <w:r w:rsidR="0008490F" w:rsidRPr="008B5BAD">
        <w:rPr>
          <w:i/>
          <w:iCs/>
          <w:color w:val="auto"/>
          <w:szCs w:val="16"/>
          <w:lang w:val="en-GB"/>
        </w:rPr>
        <w:t>pupil</w:t>
      </w:r>
      <w:r w:rsidRPr="008B5BAD">
        <w:rPr>
          <w:i/>
          <w:iCs/>
          <w:color w:val="auto"/>
          <w:szCs w:val="16"/>
          <w:lang w:val="en-GB"/>
        </w:rPr>
        <w:t xml:space="preserve"> is enrolled in multiple study programmes or in multiple schools, he or she </w:t>
      </w:r>
      <w:r w:rsidR="0008490F" w:rsidRPr="008B5BAD">
        <w:rPr>
          <w:i/>
          <w:iCs/>
          <w:color w:val="auto"/>
          <w:szCs w:val="16"/>
          <w:lang w:val="en-GB"/>
        </w:rPr>
        <w:t>would be</w:t>
      </w:r>
      <w:r w:rsidRPr="008B5BAD">
        <w:rPr>
          <w:i/>
          <w:iCs/>
          <w:color w:val="auto"/>
          <w:szCs w:val="16"/>
          <w:lang w:val="en-GB"/>
        </w:rPr>
        <w:t xml:space="preserve"> counted multiple times in the relevant piece of data).</w:t>
      </w:r>
      <w:r w:rsidR="0008490F" w:rsidRPr="008B5BAD">
        <w:rPr>
          <w:i/>
          <w:iCs/>
          <w:color w:val="auto"/>
          <w:szCs w:val="16"/>
          <w:lang w:val="en-GB"/>
        </w:rPr>
        <w:t xml:space="preserve"> </w:t>
      </w:r>
      <w:r w:rsidR="0051670A" w:rsidRPr="008B5BAD">
        <w:rPr>
          <w:i/>
          <w:iCs/>
          <w:color w:val="auto"/>
          <w:szCs w:val="16"/>
          <w:lang w:val="en-GB"/>
        </w:rPr>
        <w:t xml:space="preserve">Unlike that, students of public and private universities are reported as headcount (i.e. one student, regardless how many schools or programmes he/she studies in, is counted only once in every piece of data). Total numbers of students and graduates of public and private universities thus may not be equal to the sums for individual universities or individual types of </w:t>
      </w:r>
      <w:r w:rsidR="007E48C2" w:rsidRPr="008B5BAD">
        <w:rPr>
          <w:i/>
          <w:iCs/>
          <w:color w:val="auto"/>
          <w:szCs w:val="16"/>
          <w:lang w:val="en-GB"/>
        </w:rPr>
        <w:t>education (</w:t>
      </w:r>
      <w:r w:rsidR="0051670A" w:rsidRPr="008B5BAD">
        <w:rPr>
          <w:i/>
          <w:iCs/>
          <w:color w:val="auto"/>
          <w:szCs w:val="16"/>
          <w:lang w:val="en-GB"/>
        </w:rPr>
        <w:t>studies</w:t>
      </w:r>
      <w:r w:rsidR="007E48C2" w:rsidRPr="008B5BAD">
        <w:rPr>
          <w:i/>
          <w:iCs/>
          <w:color w:val="auto"/>
          <w:szCs w:val="16"/>
          <w:lang w:val="en-GB"/>
        </w:rPr>
        <w:t>)</w:t>
      </w:r>
      <w:r w:rsidR="0051670A" w:rsidRPr="008B5BAD">
        <w:rPr>
          <w:i/>
          <w:iCs/>
          <w:color w:val="auto"/>
          <w:szCs w:val="16"/>
          <w:lang w:val="en-GB"/>
        </w:rPr>
        <w:t xml:space="preserve"> and types of study programmes. Students of state universities are only available as the number of studies.</w:t>
      </w:r>
    </w:p>
    <w:p w14:paraId="73434D25" w14:textId="77777777" w:rsidR="0009253D" w:rsidRPr="008B5BAD" w:rsidRDefault="0009253D" w:rsidP="0051670A">
      <w:pPr>
        <w:pStyle w:val="Zkladntextodsazen"/>
        <w:ind w:firstLine="709"/>
        <w:rPr>
          <w:i/>
          <w:iCs/>
          <w:color w:val="auto"/>
          <w:szCs w:val="16"/>
          <w:lang w:val="en-GB"/>
        </w:rPr>
      </w:pPr>
      <w:r w:rsidRPr="008B5BAD">
        <w:rPr>
          <w:i/>
          <w:iCs/>
          <w:color w:val="auto"/>
          <w:szCs w:val="16"/>
          <w:lang w:val="en-GB"/>
        </w:rPr>
        <w:t xml:space="preserve">Those children and pupils are deemed to be </w:t>
      </w:r>
      <w:r w:rsidRPr="008B5BAD">
        <w:rPr>
          <w:b/>
          <w:i/>
          <w:iCs/>
          <w:color w:val="auto"/>
          <w:szCs w:val="16"/>
          <w:lang w:val="en-GB"/>
        </w:rPr>
        <w:t>foreigners</w:t>
      </w:r>
      <w:r w:rsidRPr="008B5BAD">
        <w:rPr>
          <w:i/>
          <w:iCs/>
          <w:color w:val="auto"/>
          <w:szCs w:val="16"/>
          <w:lang w:val="en-GB"/>
        </w:rPr>
        <w:t xml:space="preserve"> whose state citizenship is other than Czech. Only a single citizenship is recorded for children, pupils, and students of nursery schools up to higher professional schools; it is that one, which was stated during the enrolment in school or its most recently updated version. </w:t>
      </w:r>
      <w:r w:rsidR="004A2C25" w:rsidRPr="008B5BAD">
        <w:rPr>
          <w:i/>
          <w:iCs/>
          <w:color w:val="auto"/>
          <w:szCs w:val="16"/>
          <w:lang w:val="en-GB"/>
        </w:rPr>
        <w:t>When a child has dual</w:t>
      </w:r>
      <w:r w:rsidR="00A7585F" w:rsidRPr="008B5BAD">
        <w:rPr>
          <w:i/>
          <w:iCs/>
          <w:color w:val="auto"/>
          <w:szCs w:val="16"/>
          <w:lang w:val="en-GB"/>
        </w:rPr>
        <w:t xml:space="preserve"> citizenship,</w:t>
      </w:r>
      <w:r w:rsidR="00E34E1D" w:rsidRPr="008B5BAD">
        <w:rPr>
          <w:i/>
          <w:iCs/>
          <w:color w:val="auto"/>
          <w:szCs w:val="16"/>
          <w:lang w:val="en-GB"/>
        </w:rPr>
        <w:t xml:space="preserve"> the Czech one is </w:t>
      </w:r>
      <w:r w:rsidR="00D050AA" w:rsidRPr="008B5BAD">
        <w:rPr>
          <w:i/>
          <w:iCs/>
          <w:color w:val="auto"/>
          <w:szCs w:val="16"/>
          <w:lang w:val="en-GB"/>
        </w:rPr>
        <w:t>given preference to</w:t>
      </w:r>
      <w:r w:rsidR="009B7166" w:rsidRPr="008B5BAD">
        <w:rPr>
          <w:i/>
          <w:iCs/>
          <w:color w:val="auto"/>
          <w:szCs w:val="16"/>
          <w:lang w:val="en-GB"/>
        </w:rPr>
        <w:t>;</w:t>
      </w:r>
      <w:r w:rsidR="00E34E1D" w:rsidRPr="008B5BAD">
        <w:rPr>
          <w:i/>
          <w:iCs/>
          <w:color w:val="auto"/>
          <w:szCs w:val="16"/>
          <w:lang w:val="en-GB"/>
        </w:rPr>
        <w:t xml:space="preserve"> further</w:t>
      </w:r>
      <w:r w:rsidR="009B7166" w:rsidRPr="008B5BAD">
        <w:rPr>
          <w:i/>
          <w:iCs/>
          <w:color w:val="auto"/>
          <w:szCs w:val="16"/>
          <w:lang w:val="en-GB"/>
        </w:rPr>
        <w:t>,</w:t>
      </w:r>
      <w:r w:rsidR="00E34E1D" w:rsidRPr="008B5BAD">
        <w:rPr>
          <w:i/>
          <w:iCs/>
          <w:color w:val="auto"/>
          <w:szCs w:val="16"/>
          <w:lang w:val="en-GB"/>
        </w:rPr>
        <w:t xml:space="preserve"> </w:t>
      </w:r>
      <w:r w:rsidR="009B7166" w:rsidRPr="008B5BAD">
        <w:rPr>
          <w:i/>
          <w:iCs/>
          <w:color w:val="auto"/>
          <w:szCs w:val="16"/>
          <w:lang w:val="en-GB"/>
        </w:rPr>
        <w:t xml:space="preserve">a </w:t>
      </w:r>
      <w:r w:rsidR="00E34E1D" w:rsidRPr="008B5BAD">
        <w:rPr>
          <w:i/>
          <w:iCs/>
          <w:color w:val="auto"/>
          <w:szCs w:val="16"/>
          <w:lang w:val="en-GB"/>
        </w:rPr>
        <w:t>citizenship of a Member State of the EU is preferred.</w:t>
      </w:r>
      <w:r w:rsidR="00BC6479" w:rsidRPr="008B5BAD">
        <w:rPr>
          <w:i/>
          <w:color w:val="auto"/>
          <w:lang w:val="en-GB"/>
        </w:rPr>
        <w:t xml:space="preserve"> </w:t>
      </w:r>
      <w:r w:rsidRPr="008B5BAD">
        <w:rPr>
          <w:i/>
          <w:iCs/>
          <w:color w:val="auto"/>
          <w:szCs w:val="16"/>
          <w:lang w:val="en-GB"/>
        </w:rPr>
        <w:t>For students of public and private universities, more than one citizenship can be recorded.</w:t>
      </w:r>
    </w:p>
    <w:p w14:paraId="77F38C6F" w14:textId="4D581F4C" w:rsidR="009071D4" w:rsidRPr="008B5BAD" w:rsidRDefault="009071D4" w:rsidP="0051670A">
      <w:pPr>
        <w:pStyle w:val="Zkladntextodsazen"/>
        <w:ind w:firstLine="709"/>
        <w:rPr>
          <w:i/>
          <w:iCs/>
          <w:color w:val="auto"/>
          <w:szCs w:val="16"/>
          <w:lang w:val="en-GB"/>
        </w:rPr>
      </w:pPr>
      <w:r w:rsidRPr="008B5BAD">
        <w:rPr>
          <w:i/>
          <w:iCs/>
          <w:color w:val="auto"/>
          <w:szCs w:val="16"/>
          <w:lang w:val="en-GB"/>
        </w:rPr>
        <w:t xml:space="preserve">Children or pupils </w:t>
      </w:r>
      <w:r w:rsidRPr="008B5BAD">
        <w:rPr>
          <w:b/>
          <w:i/>
          <w:iCs/>
          <w:color w:val="auto"/>
          <w:szCs w:val="16"/>
          <w:lang w:val="en-GB"/>
        </w:rPr>
        <w:t>with disabilities</w:t>
      </w:r>
      <w:r w:rsidRPr="008B5BAD">
        <w:rPr>
          <w:i/>
          <w:iCs/>
          <w:color w:val="auto"/>
          <w:szCs w:val="16"/>
          <w:lang w:val="en-GB"/>
        </w:rPr>
        <w:t xml:space="preserve"> are children/pupils with a mental disability, with hearing impairment, with severe speech impediments, with physical disability, with multiple disabilities, with severe developmental learning disabilities and developmental behaviour disorders, and with autistic spectrum disorders. They can be individually integrated within common classes, included in special classes in regular schools, or attend schools focusing primarily on education of pupils with special education needs.</w:t>
      </w:r>
    </w:p>
    <w:p w14:paraId="555F723D" w14:textId="366BF40C" w:rsidR="00BE72A1" w:rsidRPr="008B5BAD" w:rsidRDefault="00193ED2" w:rsidP="005C7591">
      <w:pPr>
        <w:pStyle w:val="Zkladntextodsazen"/>
        <w:ind w:firstLine="709"/>
        <w:rPr>
          <w:i/>
          <w:iCs/>
          <w:color w:val="auto"/>
          <w:szCs w:val="16"/>
          <w:lang w:val="en-GB"/>
        </w:rPr>
      </w:pPr>
      <w:r w:rsidRPr="008B5BAD">
        <w:rPr>
          <w:i/>
          <w:iCs/>
          <w:color w:val="auto"/>
          <w:szCs w:val="16"/>
          <w:lang w:val="en-GB"/>
        </w:rPr>
        <w:t xml:space="preserve">The numbers of </w:t>
      </w:r>
      <w:r w:rsidRPr="008B5BAD">
        <w:rPr>
          <w:b/>
          <w:i/>
          <w:iCs/>
          <w:color w:val="auto"/>
          <w:szCs w:val="16"/>
          <w:lang w:val="en-GB"/>
        </w:rPr>
        <w:t>teachers</w:t>
      </w:r>
      <w:r w:rsidRPr="008B5BAD">
        <w:rPr>
          <w:i/>
          <w:iCs/>
          <w:color w:val="auto"/>
          <w:szCs w:val="16"/>
          <w:lang w:val="en-GB"/>
        </w:rPr>
        <w:t xml:space="preserve"> or</w:t>
      </w:r>
      <w:r w:rsidR="00A47B1F" w:rsidRPr="008B5BAD">
        <w:rPr>
          <w:i/>
          <w:iCs/>
          <w:color w:val="auto"/>
          <w:szCs w:val="16"/>
          <w:lang w:val="en-GB"/>
        </w:rPr>
        <w:t>,</w:t>
      </w:r>
      <w:r w:rsidRPr="008B5BAD">
        <w:rPr>
          <w:i/>
          <w:iCs/>
          <w:color w:val="auto"/>
          <w:szCs w:val="16"/>
          <w:lang w:val="en-GB"/>
        </w:rPr>
        <w:t xml:space="preserve"> </w:t>
      </w:r>
      <w:r w:rsidR="00A47B1F" w:rsidRPr="008B5BAD">
        <w:rPr>
          <w:i/>
          <w:iCs/>
          <w:color w:val="auto"/>
          <w:szCs w:val="16"/>
          <w:lang w:val="en-GB"/>
        </w:rPr>
        <w:t>in case of universities, the numbers of</w:t>
      </w:r>
      <w:r w:rsidR="00A47B1F" w:rsidRPr="008B5BAD">
        <w:rPr>
          <w:b/>
          <w:i/>
          <w:iCs/>
          <w:color w:val="auto"/>
          <w:szCs w:val="16"/>
          <w:lang w:val="en-GB"/>
        </w:rPr>
        <w:t xml:space="preserve"> </w:t>
      </w:r>
      <w:r w:rsidRPr="008B5BAD">
        <w:rPr>
          <w:b/>
          <w:i/>
          <w:iCs/>
          <w:color w:val="auto"/>
          <w:szCs w:val="16"/>
          <w:lang w:val="en-GB"/>
        </w:rPr>
        <w:t>academics</w:t>
      </w:r>
      <w:r w:rsidR="007B41F9" w:rsidRPr="008B5BAD">
        <w:rPr>
          <w:b/>
          <w:i/>
          <w:iCs/>
          <w:color w:val="auto"/>
          <w:szCs w:val="16"/>
          <w:lang w:val="en-GB"/>
        </w:rPr>
        <w:t xml:space="preserve"> </w:t>
      </w:r>
      <w:r w:rsidR="007B41F9" w:rsidRPr="008B5BAD">
        <w:rPr>
          <w:i/>
          <w:iCs/>
          <w:color w:val="auto"/>
          <w:szCs w:val="16"/>
          <w:lang w:val="en-GB"/>
        </w:rPr>
        <w:t>(</w:t>
      </w:r>
      <w:r w:rsidR="007B41F9" w:rsidRPr="008B5BAD">
        <w:rPr>
          <w:b/>
          <w:i/>
          <w:iCs/>
          <w:color w:val="auto"/>
          <w:szCs w:val="16"/>
          <w:lang w:val="en-GB"/>
        </w:rPr>
        <w:t>academic staff</w:t>
      </w:r>
      <w:r w:rsidR="007B41F9" w:rsidRPr="008B5BAD">
        <w:rPr>
          <w:i/>
          <w:iCs/>
          <w:color w:val="auto"/>
          <w:szCs w:val="16"/>
          <w:lang w:val="en-GB"/>
        </w:rPr>
        <w:t>)</w:t>
      </w:r>
      <w:r w:rsidRPr="008B5BAD">
        <w:rPr>
          <w:i/>
          <w:iCs/>
          <w:color w:val="auto"/>
          <w:szCs w:val="16"/>
          <w:lang w:val="en-GB"/>
        </w:rPr>
        <w:t xml:space="preserve"> are converted to full-time equivalent</w:t>
      </w:r>
      <w:r w:rsidR="00FA5A73" w:rsidRPr="008B5BAD">
        <w:rPr>
          <w:i/>
          <w:iCs/>
          <w:color w:val="auto"/>
          <w:szCs w:val="16"/>
          <w:lang w:val="en-GB"/>
        </w:rPr>
        <w:t xml:space="preserve"> persons</w:t>
      </w:r>
      <w:r w:rsidRPr="008B5BAD">
        <w:rPr>
          <w:i/>
          <w:iCs/>
          <w:color w:val="auto"/>
          <w:szCs w:val="16"/>
          <w:lang w:val="en-GB"/>
        </w:rPr>
        <w:t>.</w:t>
      </w:r>
      <w:r w:rsidR="0055782E" w:rsidRPr="008B5BAD">
        <w:rPr>
          <w:i/>
          <w:iCs/>
          <w:color w:val="auto"/>
          <w:szCs w:val="16"/>
          <w:lang w:val="en-GB"/>
        </w:rPr>
        <w:t xml:space="preserve"> The category of teachers also includes </w:t>
      </w:r>
      <w:r w:rsidR="0055782E" w:rsidRPr="008B5BAD">
        <w:rPr>
          <w:i/>
          <w:color w:val="auto"/>
          <w:lang w:val="en-GB"/>
        </w:rPr>
        <w:t>headmasters and their deputies</w:t>
      </w:r>
      <w:r w:rsidR="00A04651" w:rsidRPr="008B5BAD">
        <w:rPr>
          <w:i/>
          <w:color w:val="auto"/>
          <w:lang w:val="en-GB"/>
        </w:rPr>
        <w:t xml:space="preserve"> who are also obliged to teach, as well as </w:t>
      </w:r>
      <w:r w:rsidRPr="008B5BAD">
        <w:rPr>
          <w:i/>
          <w:iCs/>
          <w:color w:val="auto"/>
          <w:szCs w:val="16"/>
          <w:lang w:val="en-GB"/>
        </w:rPr>
        <w:t xml:space="preserve"> </w:t>
      </w:r>
      <w:r w:rsidR="001460E3" w:rsidRPr="008B5BAD">
        <w:rPr>
          <w:i/>
          <w:color w:val="auto"/>
          <w:lang w:val="en-GB"/>
        </w:rPr>
        <w:t>guidance counsellors</w:t>
      </w:r>
      <w:r w:rsidR="00A04651" w:rsidRPr="008B5BAD">
        <w:rPr>
          <w:i/>
          <w:color w:val="auto"/>
          <w:lang w:val="en-GB"/>
        </w:rPr>
        <w:t xml:space="preserve">. </w:t>
      </w:r>
      <w:r w:rsidR="005C7591" w:rsidRPr="008B5BAD">
        <w:rPr>
          <w:i/>
          <w:color w:val="auto"/>
          <w:lang w:val="en-GB"/>
        </w:rPr>
        <w:t>A</w:t>
      </w:r>
      <w:r w:rsidR="009353D9" w:rsidRPr="008B5BAD">
        <w:rPr>
          <w:i/>
          <w:color w:val="auto"/>
          <w:lang w:val="en-GB"/>
        </w:rPr>
        <w:t>cademics</w:t>
      </w:r>
      <w:r w:rsidR="005C7591" w:rsidRPr="008B5BAD">
        <w:rPr>
          <w:i/>
          <w:color w:val="auto"/>
          <w:lang w:val="en-GB"/>
        </w:rPr>
        <w:t xml:space="preserve"> are those who are included in academics</w:t>
      </w:r>
      <w:r w:rsidR="00914E14" w:rsidRPr="008B5BAD">
        <w:rPr>
          <w:i/>
          <w:color w:val="auto"/>
          <w:lang w:val="en-GB"/>
        </w:rPr>
        <w:t xml:space="preserve"> (academic staff)</w:t>
      </w:r>
      <w:r w:rsidR="009353D9" w:rsidRPr="008B5BAD">
        <w:rPr>
          <w:i/>
          <w:color w:val="auto"/>
          <w:lang w:val="en-GB"/>
        </w:rPr>
        <w:t xml:space="preserve"> b</w:t>
      </w:r>
      <w:r w:rsidR="005C7591" w:rsidRPr="008B5BAD">
        <w:rPr>
          <w:i/>
          <w:color w:val="auto"/>
          <w:lang w:val="en-GB"/>
        </w:rPr>
        <w:t>y an internal regulation of</w:t>
      </w:r>
      <w:r w:rsidR="009353D9" w:rsidRPr="008B5BAD">
        <w:rPr>
          <w:i/>
          <w:color w:val="auto"/>
          <w:lang w:val="en-GB"/>
        </w:rPr>
        <w:t xml:space="preserve"> </w:t>
      </w:r>
      <w:r w:rsidR="00021658" w:rsidRPr="008B5BAD">
        <w:rPr>
          <w:i/>
          <w:color w:val="auto"/>
          <w:lang w:val="en-GB"/>
        </w:rPr>
        <w:t>a university</w:t>
      </w:r>
      <w:r w:rsidR="005C7591" w:rsidRPr="008B5BAD">
        <w:rPr>
          <w:i/>
          <w:color w:val="auto"/>
          <w:lang w:val="en-GB"/>
        </w:rPr>
        <w:t>. They are</w:t>
      </w:r>
      <w:r w:rsidR="009353D9" w:rsidRPr="008B5BAD">
        <w:rPr>
          <w:i/>
          <w:color w:val="auto"/>
          <w:lang w:val="en-GB"/>
        </w:rPr>
        <w:t xml:space="preserve"> devoted to pedagogical or scientific activities within their contracted work hours.</w:t>
      </w:r>
      <w:r w:rsidR="005C7591" w:rsidRPr="008B5BAD">
        <w:rPr>
          <w:i/>
          <w:color w:val="auto"/>
          <w:lang w:val="en-GB"/>
        </w:rPr>
        <w:t xml:space="preserve"> </w:t>
      </w:r>
      <w:r w:rsidR="00BE72A1" w:rsidRPr="008B5BAD">
        <w:rPr>
          <w:i/>
          <w:color w:val="auto"/>
          <w:lang w:val="en-GB"/>
        </w:rPr>
        <w:t xml:space="preserve">Research workers who </w:t>
      </w:r>
      <w:r w:rsidR="00CD0E10" w:rsidRPr="008B5BAD">
        <w:rPr>
          <w:i/>
          <w:color w:val="auto"/>
          <w:lang w:val="en-GB"/>
        </w:rPr>
        <w:t xml:space="preserve">only </w:t>
      </w:r>
      <w:r w:rsidR="00BE72A1" w:rsidRPr="008B5BAD">
        <w:rPr>
          <w:i/>
          <w:color w:val="auto"/>
          <w:lang w:val="en-GB"/>
        </w:rPr>
        <w:t>do research work at universities and do not teach at all cannot be classified to academics.</w:t>
      </w:r>
    </w:p>
    <w:p w14:paraId="49AE6800" w14:textId="77777777" w:rsidR="00A1024F" w:rsidRPr="008B5BAD" w:rsidRDefault="00A1024F"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b/>
          <w:color w:val="auto"/>
          <w:lang w:val="en-GB"/>
        </w:rPr>
      </w:pPr>
    </w:p>
    <w:p w14:paraId="42D899AC" w14:textId="77777777" w:rsidR="00A1024F" w:rsidRPr="008B5BAD" w:rsidRDefault="00687F89"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i/>
          <w:color w:val="auto"/>
          <w:lang w:val="en-GB"/>
        </w:rPr>
      </w:pPr>
      <w:r w:rsidRPr="008B5BAD">
        <w:rPr>
          <w:b/>
          <w:i/>
          <w:color w:val="auto"/>
          <w:lang w:val="en-GB"/>
        </w:rPr>
        <w:t>Notes on tables on</w:t>
      </w:r>
      <w:r w:rsidR="00A1024F" w:rsidRPr="008B5BAD">
        <w:rPr>
          <w:b/>
          <w:i/>
          <w:color w:val="auto"/>
          <w:lang w:val="en-GB"/>
        </w:rPr>
        <w:t xml:space="preserve"> region</w:t>
      </w:r>
      <w:r w:rsidRPr="008B5BAD">
        <w:rPr>
          <w:b/>
          <w:i/>
          <w:color w:val="auto"/>
          <w:lang w:val="en-GB"/>
        </w:rPr>
        <w:t>al education</w:t>
      </w:r>
      <w:r w:rsidR="00A1024F" w:rsidRPr="008B5BAD">
        <w:rPr>
          <w:b/>
          <w:i/>
          <w:color w:val="auto"/>
          <w:lang w:val="en-GB"/>
        </w:rPr>
        <w:t xml:space="preserve"> 3</w:t>
      </w:r>
      <w:r w:rsidRPr="008B5BAD">
        <w:rPr>
          <w:b/>
          <w:i/>
          <w:color w:val="000000" w:themeColor="text1"/>
          <w:lang w:val="en-GB"/>
        </w:rPr>
        <w:t>–</w:t>
      </w:r>
      <w:r w:rsidRPr="008B5BAD">
        <w:rPr>
          <w:b/>
          <w:i/>
          <w:color w:val="auto"/>
          <w:lang w:val="en-GB"/>
        </w:rPr>
        <w:t>1 through</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19</w:t>
      </w:r>
      <w:r w:rsidR="00A1024F" w:rsidRPr="008B5BAD">
        <w:rPr>
          <w:i/>
          <w:color w:val="auto"/>
          <w:lang w:val="en-GB"/>
        </w:rPr>
        <w:t xml:space="preserve"> </w:t>
      </w:r>
    </w:p>
    <w:p w14:paraId="0A8C34E1" w14:textId="77777777" w:rsidR="00A1024F" w:rsidRPr="008B5BAD" w:rsidRDefault="00A1024F"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lang w:val="en-GB"/>
        </w:rPr>
      </w:pPr>
    </w:p>
    <w:p w14:paraId="3FD5439A" w14:textId="77777777" w:rsidR="00DF3F8D" w:rsidRPr="008B5BAD" w:rsidRDefault="008B070A" w:rsidP="00DF3F8D">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i/>
          <w:color w:val="auto"/>
          <w:lang w:val="en-GB"/>
        </w:rPr>
      </w:pPr>
      <w:r w:rsidRPr="008B5BAD">
        <w:rPr>
          <w:b/>
          <w:i/>
          <w:color w:val="auto"/>
          <w:lang w:val="en-GB"/>
        </w:rPr>
        <w:t xml:space="preserve">Regional education </w:t>
      </w:r>
      <w:r w:rsidR="00DF3F8D" w:rsidRPr="008B5BAD">
        <w:rPr>
          <w:i/>
          <w:color w:val="auto"/>
          <w:lang w:val="en-GB"/>
        </w:rPr>
        <w:t xml:space="preserve">includes data on nursery schools up to higher professional schools. </w:t>
      </w:r>
      <w:r w:rsidR="00A25567" w:rsidRPr="008B5BAD">
        <w:rPr>
          <w:b/>
          <w:i/>
          <w:color w:val="auto"/>
          <w:lang w:val="en-GB"/>
        </w:rPr>
        <w:t>Nursery schools</w:t>
      </w:r>
      <w:r w:rsidR="00A1024F" w:rsidRPr="008B5BAD">
        <w:rPr>
          <w:i/>
          <w:color w:val="auto"/>
          <w:lang w:val="en-GB"/>
        </w:rPr>
        <w:t xml:space="preserve"> </w:t>
      </w:r>
      <w:r w:rsidR="00FF0ED6" w:rsidRPr="008B5BAD">
        <w:rPr>
          <w:i/>
          <w:color w:val="auto"/>
          <w:lang w:val="en-GB"/>
        </w:rPr>
        <w:t xml:space="preserve">belong to </w:t>
      </w:r>
      <w:r w:rsidR="00FF0ED6" w:rsidRPr="008B5BAD">
        <w:rPr>
          <w:b/>
          <w:i/>
          <w:color w:val="auto"/>
          <w:lang w:val="en-GB"/>
        </w:rPr>
        <w:t>early childhood education</w:t>
      </w:r>
      <w:r w:rsidR="00FF0ED6" w:rsidRPr="008B5BAD">
        <w:rPr>
          <w:i/>
          <w:color w:val="auto"/>
          <w:lang w:val="en-GB"/>
        </w:rPr>
        <w:t xml:space="preserve"> together with preparatory classes of basic schools and a preparatory stage of special basic schools established at basic schools. </w:t>
      </w:r>
    </w:p>
    <w:p w14:paraId="738F36B2" w14:textId="77777777" w:rsidR="00DF3F8D" w:rsidRPr="008B5BAD" w:rsidRDefault="00DF3F8D" w:rsidP="00DF3F8D">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lang w:val="en-GB"/>
        </w:rPr>
      </w:pPr>
    </w:p>
    <w:p w14:paraId="58323D01" w14:textId="68256D35" w:rsidR="00F212D2" w:rsidRPr="008B5BAD" w:rsidRDefault="00A25567" w:rsidP="00CF072C">
      <w:pPr>
        <w:pStyle w:val="Zkladntext"/>
        <w:ind w:firstLine="567"/>
        <w:jc w:val="both"/>
        <w:rPr>
          <w:i/>
          <w:lang w:val="en-GB"/>
        </w:rPr>
      </w:pPr>
      <w:r w:rsidRPr="008B5BAD">
        <w:rPr>
          <w:rFonts w:ascii="Arial" w:hAnsi="Arial" w:cs="Arial"/>
          <w:b/>
          <w:i/>
          <w:sz w:val="20"/>
          <w:szCs w:val="20"/>
          <w:lang w:val="en-GB"/>
        </w:rPr>
        <w:t>Basic schools</w:t>
      </w:r>
      <w:r w:rsidR="00A1024F" w:rsidRPr="008B5BAD">
        <w:rPr>
          <w:rFonts w:ascii="Arial" w:hAnsi="Arial" w:cs="Arial"/>
          <w:i/>
          <w:sz w:val="20"/>
          <w:szCs w:val="20"/>
          <w:lang w:val="en-GB"/>
        </w:rPr>
        <w:t xml:space="preserve"> </w:t>
      </w:r>
      <w:r w:rsidR="000D38BD" w:rsidRPr="008B5BAD">
        <w:rPr>
          <w:rFonts w:ascii="Arial" w:hAnsi="Arial" w:cs="Arial"/>
          <w:i/>
          <w:sz w:val="20"/>
          <w:szCs w:val="20"/>
          <w:lang w:val="en-GB"/>
        </w:rPr>
        <w:t>ensure compulsory school education.</w:t>
      </w:r>
      <w:r w:rsidR="000D38BD" w:rsidRPr="008B5BAD">
        <w:rPr>
          <w:i/>
          <w:lang w:val="en-GB"/>
        </w:rPr>
        <w:t xml:space="preserve"> </w:t>
      </w:r>
      <w:r w:rsidR="000D38BD" w:rsidRPr="008B5BAD">
        <w:rPr>
          <w:rFonts w:ascii="Arial" w:hAnsi="Arial" w:cs="Arial"/>
          <w:i/>
          <w:sz w:val="20"/>
          <w:szCs w:val="20"/>
          <w:lang w:val="en-GB"/>
        </w:rPr>
        <w:t xml:space="preserve">Children aged six years (or eight years as a maximum in cases of children with postponed compulsory school education) start compulsory school </w:t>
      </w:r>
      <w:r w:rsidR="000D38BD" w:rsidRPr="008B5BAD">
        <w:rPr>
          <w:rFonts w:ascii="Arial" w:hAnsi="Arial" w:cs="Arial"/>
          <w:i/>
          <w:sz w:val="20"/>
          <w:szCs w:val="20"/>
          <w:lang w:val="en-GB"/>
        </w:rPr>
        <w:lastRenderedPageBreak/>
        <w:t>education</w:t>
      </w:r>
      <w:r w:rsidR="003D6B3B" w:rsidRPr="008B5BAD">
        <w:rPr>
          <w:rFonts w:ascii="Arial" w:hAnsi="Arial" w:cs="Arial"/>
          <w:i/>
          <w:sz w:val="20"/>
          <w:szCs w:val="20"/>
          <w:lang w:val="en-GB"/>
        </w:rPr>
        <w:t>, pursuant to the law</w:t>
      </w:r>
      <w:r w:rsidR="000D38BD" w:rsidRPr="008B5BAD">
        <w:rPr>
          <w:rFonts w:ascii="Arial" w:hAnsi="Arial" w:cs="Arial"/>
          <w:i/>
          <w:sz w:val="20"/>
          <w:szCs w:val="20"/>
          <w:lang w:val="en-GB"/>
        </w:rPr>
        <w:t xml:space="preserve">. </w:t>
      </w:r>
      <w:r w:rsidR="003D6B3B" w:rsidRPr="008B5BAD">
        <w:rPr>
          <w:rFonts w:ascii="Arial" w:hAnsi="Arial" w:cs="Arial"/>
          <w:i/>
          <w:sz w:val="20"/>
          <w:szCs w:val="20"/>
          <w:lang w:val="en-GB"/>
        </w:rPr>
        <w:t>The c</w:t>
      </w:r>
      <w:r w:rsidR="000D38BD" w:rsidRPr="008B5BAD">
        <w:rPr>
          <w:rFonts w:ascii="Arial" w:hAnsi="Arial" w:cs="Arial"/>
          <w:i/>
          <w:sz w:val="20"/>
          <w:szCs w:val="20"/>
          <w:lang w:val="en-GB"/>
        </w:rPr>
        <w:t>ompulsory school education lasts for nine years: five years at the first stage and four years at the second stage of basic schools. The education programme in special basic schools has ten grades. The first stage consists of the first to the sixth grade; the second stage consists of the seventh to the tenth grade. Primary education for pupils with special education needs who study in classes or schools with a modified education programme can last ten grades with a prior consent of the Ministry of Education, Youth, and Sports; the first stage then consists of the first to the sixth grade and the second stage of the seventh to the tenth grade.</w:t>
      </w:r>
      <w:r w:rsidR="0038694E" w:rsidRPr="008B5BAD">
        <w:rPr>
          <w:rFonts w:ascii="Arial" w:hAnsi="Arial" w:cs="Arial"/>
          <w:i/>
          <w:sz w:val="20"/>
          <w:szCs w:val="20"/>
          <w:lang w:val="en-GB"/>
        </w:rPr>
        <w:t xml:space="preserve"> </w:t>
      </w:r>
      <w:r w:rsidR="005B4A76" w:rsidRPr="008B5BAD">
        <w:rPr>
          <w:rFonts w:ascii="Arial" w:hAnsi="Arial" w:cs="Arial"/>
          <w:i/>
          <w:sz w:val="20"/>
          <w:szCs w:val="20"/>
          <w:lang w:val="en-GB"/>
        </w:rPr>
        <w:t xml:space="preserve">However, pupils do not have to fulfil all their </w:t>
      </w:r>
      <w:r w:rsidR="005B4A76" w:rsidRPr="008B5BAD">
        <w:rPr>
          <w:rFonts w:ascii="Arial" w:hAnsi="Arial" w:cs="Arial"/>
          <w:b/>
          <w:i/>
          <w:sz w:val="20"/>
          <w:szCs w:val="20"/>
          <w:lang w:val="en-GB"/>
        </w:rPr>
        <w:t>compulsory school education</w:t>
      </w:r>
      <w:r w:rsidR="005B4A76" w:rsidRPr="008B5BAD">
        <w:rPr>
          <w:rFonts w:ascii="Arial" w:hAnsi="Arial" w:cs="Arial"/>
          <w:i/>
          <w:sz w:val="20"/>
          <w:szCs w:val="20"/>
          <w:lang w:val="en-GB"/>
        </w:rPr>
        <w:t xml:space="preserve"> in a basic school. They</w:t>
      </w:r>
      <w:r w:rsidR="00F212D2" w:rsidRPr="008B5BAD">
        <w:rPr>
          <w:rFonts w:ascii="Arial" w:hAnsi="Arial" w:cs="Arial"/>
          <w:i/>
          <w:sz w:val="20"/>
          <w:szCs w:val="20"/>
          <w:lang w:val="en-GB"/>
        </w:rPr>
        <w:t xml:space="preserve"> can leave the basic school earlier and complete their compulsory school education in lower grades of multi-year</w:t>
      </w:r>
      <w:r w:rsidR="00EC3B3D" w:rsidRPr="008B5BAD">
        <w:rPr>
          <w:rFonts w:ascii="Arial" w:hAnsi="Arial" w:cs="Arial"/>
          <w:i/>
          <w:sz w:val="20"/>
          <w:szCs w:val="20"/>
          <w:lang w:val="en-GB"/>
        </w:rPr>
        <w:t xml:space="preserve"> programmes of</w:t>
      </w:r>
      <w:r w:rsidR="00F212D2" w:rsidRPr="008B5BAD">
        <w:rPr>
          <w:rFonts w:ascii="Arial" w:hAnsi="Arial" w:cs="Arial"/>
          <w:i/>
          <w:sz w:val="20"/>
          <w:szCs w:val="20"/>
          <w:lang w:val="en-GB"/>
        </w:rPr>
        <w:t xml:space="preserve"> grammar schools </w:t>
      </w:r>
      <w:r w:rsidR="005B4A76" w:rsidRPr="008B5BAD">
        <w:rPr>
          <w:rFonts w:ascii="Arial" w:hAnsi="Arial" w:cs="Arial"/>
          <w:i/>
          <w:sz w:val="20"/>
          <w:szCs w:val="20"/>
          <w:lang w:val="en-GB"/>
        </w:rPr>
        <w:t>or</w:t>
      </w:r>
      <w:r w:rsidR="00F212D2" w:rsidRPr="008B5BAD">
        <w:rPr>
          <w:rFonts w:ascii="Arial" w:hAnsi="Arial" w:cs="Arial"/>
          <w:i/>
          <w:sz w:val="20"/>
          <w:szCs w:val="20"/>
          <w:lang w:val="en-GB"/>
        </w:rPr>
        <w:t xml:space="preserve"> in an eight-year specialism of dance in conservatoires.</w:t>
      </w:r>
    </w:p>
    <w:p w14:paraId="1A5B3066" w14:textId="77777777" w:rsidR="00A1024F" w:rsidRPr="008B5BAD" w:rsidRDefault="00A1024F" w:rsidP="00A1024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highlight w:val="yellow"/>
          <w:lang w:val="en-GB"/>
        </w:rPr>
      </w:pPr>
    </w:p>
    <w:p w14:paraId="375C7526" w14:textId="77777777" w:rsidR="00C77F89" w:rsidRPr="008B5BAD" w:rsidRDefault="00A25567" w:rsidP="00A1024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i/>
          <w:sz w:val="20"/>
          <w:szCs w:val="20"/>
          <w:lang w:val="en-GB"/>
        </w:rPr>
      </w:pPr>
      <w:r w:rsidRPr="008B5BAD">
        <w:rPr>
          <w:rFonts w:ascii="Arial" w:hAnsi="Arial" w:cs="Arial"/>
          <w:b/>
          <w:bCs/>
          <w:i/>
          <w:sz w:val="20"/>
          <w:szCs w:val="20"/>
          <w:lang w:val="en-GB"/>
        </w:rPr>
        <w:t>Secondary education</w:t>
      </w:r>
      <w:r w:rsidR="00A1024F" w:rsidRPr="008B5BAD">
        <w:rPr>
          <w:rFonts w:ascii="Arial" w:hAnsi="Arial" w:cs="Arial"/>
          <w:bCs/>
          <w:i/>
          <w:sz w:val="20"/>
          <w:szCs w:val="20"/>
          <w:lang w:val="en-GB"/>
        </w:rPr>
        <w:t xml:space="preserve"> </w:t>
      </w:r>
      <w:r w:rsidR="007C0E79" w:rsidRPr="008B5BAD">
        <w:rPr>
          <w:rFonts w:ascii="Arial" w:hAnsi="Arial" w:cs="Arial"/>
          <w:bCs/>
          <w:i/>
          <w:iCs/>
          <w:sz w:val="20"/>
          <w:szCs w:val="16"/>
          <w:lang w:val="en-GB"/>
        </w:rPr>
        <w:t>consists of several types of education offered by secondary schools. In the Czech Republic, there are three basic types of secondary education:</w:t>
      </w:r>
      <w:r w:rsidR="00380958" w:rsidRPr="008B5BAD">
        <w:rPr>
          <w:rFonts w:ascii="Arial" w:hAnsi="Arial" w:cs="Arial"/>
          <w:bCs/>
          <w:i/>
          <w:iCs/>
          <w:sz w:val="20"/>
          <w:szCs w:val="16"/>
          <w:lang w:val="en-GB"/>
        </w:rPr>
        <w:t xml:space="preserve"> s</w:t>
      </w:r>
      <w:r w:rsidR="00380958" w:rsidRPr="008B5BAD">
        <w:rPr>
          <w:rFonts w:ascii="Arial" w:hAnsi="Arial" w:cs="Arial"/>
          <w:bCs/>
          <w:i/>
          <w:sz w:val="20"/>
          <w:szCs w:val="20"/>
          <w:lang w:val="en-GB"/>
        </w:rPr>
        <w:t xml:space="preserve">econdary </w:t>
      </w:r>
      <w:r w:rsidR="00310F4D" w:rsidRPr="008B5BAD">
        <w:rPr>
          <w:rFonts w:ascii="Arial" w:hAnsi="Arial" w:cs="Arial"/>
          <w:bCs/>
          <w:i/>
          <w:iCs/>
          <w:sz w:val="20"/>
          <w:szCs w:val="16"/>
          <w:lang w:val="en-GB"/>
        </w:rPr>
        <w:t>general</w:t>
      </w:r>
      <w:r w:rsidR="00310F4D" w:rsidRPr="008B5BAD">
        <w:rPr>
          <w:rFonts w:ascii="Arial" w:hAnsi="Arial" w:cs="Arial"/>
          <w:bCs/>
          <w:i/>
          <w:sz w:val="20"/>
          <w:szCs w:val="20"/>
          <w:lang w:val="en-GB"/>
        </w:rPr>
        <w:t xml:space="preserve"> </w:t>
      </w:r>
      <w:r w:rsidR="00380958" w:rsidRPr="008B5BAD">
        <w:rPr>
          <w:rFonts w:ascii="Arial" w:hAnsi="Arial" w:cs="Arial"/>
          <w:bCs/>
          <w:i/>
          <w:sz w:val="20"/>
          <w:szCs w:val="20"/>
          <w:lang w:val="en-GB"/>
        </w:rPr>
        <w:t>education</w:t>
      </w:r>
      <w:r w:rsidR="00380958" w:rsidRPr="008B5BAD">
        <w:rPr>
          <w:rFonts w:ascii="Arial" w:hAnsi="Arial" w:cs="Arial"/>
          <w:i/>
          <w:sz w:val="20"/>
          <w:szCs w:val="20"/>
          <w:lang w:val="en-GB"/>
        </w:rPr>
        <w:t xml:space="preserve"> with an A-level examination</w:t>
      </w:r>
      <w:r w:rsidR="00380958" w:rsidRPr="008B5BAD">
        <w:rPr>
          <w:rFonts w:ascii="Arial" w:hAnsi="Arial" w:cs="Arial"/>
          <w:bCs/>
          <w:sz w:val="20"/>
          <w:szCs w:val="20"/>
          <w:lang w:val="en-GB"/>
        </w:rPr>
        <w:t xml:space="preserve"> </w:t>
      </w:r>
      <w:r w:rsidR="00380958" w:rsidRPr="008B5BAD">
        <w:rPr>
          <w:rFonts w:ascii="Arial" w:hAnsi="Arial" w:cs="Arial"/>
          <w:bCs/>
          <w:i/>
          <w:sz w:val="20"/>
          <w:szCs w:val="20"/>
          <w:lang w:val="en-GB"/>
        </w:rPr>
        <w:t>(grammar schools),</w:t>
      </w:r>
      <w:r w:rsidR="0056624A" w:rsidRPr="008B5BAD">
        <w:rPr>
          <w:rFonts w:ascii="Arial" w:hAnsi="Arial" w:cs="Arial"/>
          <w:bCs/>
          <w:i/>
          <w:sz w:val="20"/>
          <w:szCs w:val="20"/>
          <w:lang w:val="en-GB"/>
        </w:rPr>
        <w:t xml:space="preserve"> </w:t>
      </w:r>
      <w:r w:rsidR="0056624A" w:rsidRPr="008B5BAD">
        <w:rPr>
          <w:rFonts w:ascii="Arial" w:hAnsi="Arial" w:cs="Arial"/>
          <w:bCs/>
          <w:i/>
          <w:iCs/>
          <w:sz w:val="20"/>
          <w:szCs w:val="16"/>
          <w:lang w:val="en-GB"/>
        </w:rPr>
        <w:t>s</w:t>
      </w:r>
      <w:r w:rsidR="0056624A" w:rsidRPr="008B5BAD">
        <w:rPr>
          <w:rFonts w:ascii="Arial" w:hAnsi="Arial" w:cs="Arial"/>
          <w:bCs/>
          <w:i/>
          <w:sz w:val="20"/>
          <w:szCs w:val="20"/>
          <w:lang w:val="en-GB"/>
        </w:rPr>
        <w:t xml:space="preserve">econdary </w:t>
      </w:r>
      <w:r w:rsidR="00310F4D" w:rsidRPr="008B5BAD">
        <w:rPr>
          <w:rFonts w:ascii="Arial" w:hAnsi="Arial" w:cs="Arial"/>
          <w:bCs/>
          <w:i/>
          <w:sz w:val="20"/>
          <w:szCs w:val="20"/>
          <w:lang w:val="en-GB"/>
        </w:rPr>
        <w:t xml:space="preserve">technical </w:t>
      </w:r>
      <w:r w:rsidR="0056624A" w:rsidRPr="008B5BAD">
        <w:rPr>
          <w:rFonts w:ascii="Arial" w:hAnsi="Arial" w:cs="Arial"/>
          <w:bCs/>
          <w:i/>
          <w:sz w:val="20"/>
          <w:szCs w:val="20"/>
          <w:lang w:val="en-GB"/>
        </w:rPr>
        <w:t>education</w:t>
      </w:r>
      <w:r w:rsidR="0056624A" w:rsidRPr="008B5BAD">
        <w:rPr>
          <w:rFonts w:ascii="Arial" w:hAnsi="Arial" w:cs="Arial"/>
          <w:i/>
          <w:sz w:val="20"/>
          <w:szCs w:val="20"/>
          <w:lang w:val="en-GB"/>
        </w:rPr>
        <w:t xml:space="preserve"> with an A-level examination, and</w:t>
      </w:r>
      <w:r w:rsidR="008A5BD0" w:rsidRPr="008B5BAD">
        <w:rPr>
          <w:rFonts w:ascii="Arial" w:hAnsi="Arial" w:cs="Arial"/>
          <w:i/>
          <w:sz w:val="20"/>
          <w:szCs w:val="20"/>
          <w:lang w:val="en-GB"/>
        </w:rPr>
        <w:t xml:space="preserve"> </w:t>
      </w:r>
      <w:r w:rsidR="0056624A" w:rsidRPr="008B5BAD">
        <w:rPr>
          <w:rFonts w:ascii="Arial" w:hAnsi="Arial" w:cs="Arial"/>
          <w:bCs/>
          <w:i/>
          <w:sz w:val="20"/>
          <w:szCs w:val="20"/>
          <w:lang w:val="en-GB"/>
        </w:rPr>
        <w:t xml:space="preserve">secondary </w:t>
      </w:r>
      <w:r w:rsidR="00310F4D" w:rsidRPr="008B5BAD">
        <w:rPr>
          <w:rFonts w:ascii="Arial" w:hAnsi="Arial" w:cs="Arial"/>
          <w:i/>
          <w:sz w:val="20"/>
          <w:szCs w:val="20"/>
          <w:lang w:val="en-GB"/>
        </w:rPr>
        <w:t>technical</w:t>
      </w:r>
      <w:r w:rsidR="00310F4D" w:rsidRPr="008B5BAD">
        <w:rPr>
          <w:rFonts w:ascii="Arial" w:hAnsi="Arial" w:cs="Arial"/>
          <w:bCs/>
          <w:i/>
          <w:sz w:val="20"/>
          <w:szCs w:val="20"/>
          <w:lang w:val="en-GB"/>
        </w:rPr>
        <w:t xml:space="preserve"> </w:t>
      </w:r>
      <w:r w:rsidR="0056624A" w:rsidRPr="008B5BAD">
        <w:rPr>
          <w:rFonts w:ascii="Arial" w:hAnsi="Arial" w:cs="Arial"/>
          <w:bCs/>
          <w:i/>
          <w:sz w:val="20"/>
          <w:szCs w:val="20"/>
          <w:lang w:val="en-GB"/>
        </w:rPr>
        <w:t xml:space="preserve">education </w:t>
      </w:r>
      <w:r w:rsidR="0056624A" w:rsidRPr="008B5BAD">
        <w:rPr>
          <w:rFonts w:ascii="Arial" w:hAnsi="Arial" w:cs="Arial"/>
          <w:i/>
          <w:sz w:val="20"/>
          <w:szCs w:val="20"/>
          <w:lang w:val="en-GB"/>
        </w:rPr>
        <w:t xml:space="preserve">with an apprenticeship certificate. </w:t>
      </w:r>
      <w:r w:rsidR="00380958" w:rsidRPr="008B5BAD">
        <w:rPr>
          <w:rFonts w:ascii="Arial" w:hAnsi="Arial" w:cs="Arial"/>
          <w:bCs/>
          <w:i/>
          <w:sz w:val="20"/>
          <w:szCs w:val="20"/>
          <w:lang w:val="en-GB"/>
        </w:rPr>
        <w:t xml:space="preserve"> </w:t>
      </w:r>
      <w:r w:rsidR="007C0E79" w:rsidRPr="008B5BAD">
        <w:rPr>
          <w:rFonts w:ascii="Arial" w:hAnsi="Arial" w:cs="Arial"/>
          <w:bCs/>
          <w:i/>
          <w:sz w:val="20"/>
          <w:szCs w:val="20"/>
          <w:lang w:val="en-GB"/>
        </w:rPr>
        <w:t xml:space="preserve">  </w:t>
      </w:r>
    </w:p>
    <w:p w14:paraId="71070034" w14:textId="77777777" w:rsidR="00C77F89" w:rsidRPr="008B5BAD" w:rsidRDefault="00005CF5" w:rsidP="00A1024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i/>
          <w:sz w:val="20"/>
          <w:szCs w:val="20"/>
          <w:lang w:val="en-GB"/>
        </w:rPr>
      </w:pPr>
      <w:r w:rsidRPr="008B5BAD">
        <w:rPr>
          <w:rFonts w:ascii="Arial" w:hAnsi="Arial" w:cs="Arial"/>
          <w:b/>
          <w:bCs/>
          <w:i/>
          <w:sz w:val="20"/>
          <w:szCs w:val="20"/>
          <w:lang w:val="en-GB"/>
        </w:rPr>
        <w:t>Secondary education</w:t>
      </w:r>
      <w:r w:rsidRPr="008B5BAD">
        <w:rPr>
          <w:rFonts w:ascii="Arial" w:hAnsi="Arial" w:cs="Arial"/>
          <w:b/>
          <w:i/>
          <w:sz w:val="20"/>
          <w:szCs w:val="20"/>
          <w:lang w:val="en-GB"/>
        </w:rPr>
        <w:t xml:space="preserve"> </w:t>
      </w:r>
      <w:r w:rsidR="00C77F89" w:rsidRPr="008B5BAD">
        <w:rPr>
          <w:rFonts w:ascii="Arial" w:hAnsi="Arial" w:cs="Arial"/>
          <w:b/>
          <w:i/>
          <w:sz w:val="20"/>
          <w:szCs w:val="20"/>
          <w:lang w:val="en-GB"/>
        </w:rPr>
        <w:t xml:space="preserve">with </w:t>
      </w:r>
      <w:r w:rsidR="00620EC6" w:rsidRPr="008B5BAD">
        <w:rPr>
          <w:rFonts w:ascii="Arial" w:hAnsi="Arial" w:cs="Arial"/>
          <w:b/>
          <w:i/>
          <w:sz w:val="20"/>
          <w:szCs w:val="20"/>
          <w:lang w:val="en-GB"/>
        </w:rPr>
        <w:t xml:space="preserve">an </w:t>
      </w:r>
      <w:r w:rsidR="00C77F89" w:rsidRPr="008B5BAD">
        <w:rPr>
          <w:rFonts w:ascii="Arial" w:hAnsi="Arial" w:cs="Arial"/>
          <w:b/>
          <w:i/>
          <w:sz w:val="20"/>
          <w:szCs w:val="20"/>
          <w:lang w:val="en-GB"/>
        </w:rPr>
        <w:t>apprenticeship certificate</w:t>
      </w:r>
      <w:r w:rsidR="00A1024F" w:rsidRPr="008B5BAD">
        <w:rPr>
          <w:rFonts w:ascii="Arial" w:hAnsi="Arial" w:cs="Arial"/>
          <w:bCs/>
          <w:sz w:val="20"/>
          <w:szCs w:val="20"/>
          <w:lang w:val="en-GB"/>
        </w:rPr>
        <w:t xml:space="preserve"> </w:t>
      </w:r>
      <w:r w:rsidR="00620EC6" w:rsidRPr="008B5BAD">
        <w:rPr>
          <w:rFonts w:ascii="Arial" w:hAnsi="Arial" w:cs="Arial"/>
          <w:bCs/>
          <w:i/>
          <w:sz w:val="20"/>
          <w:szCs w:val="20"/>
          <w:lang w:val="en-GB"/>
        </w:rPr>
        <w:t xml:space="preserve">denotes (in full-time studies and not shortened form of education) two-year and three-year education programmes by successful </w:t>
      </w:r>
      <w:r w:rsidR="00A4569E" w:rsidRPr="008B5BAD">
        <w:rPr>
          <w:rFonts w:ascii="Arial" w:hAnsi="Arial" w:cs="Arial"/>
          <w:bCs/>
          <w:i/>
          <w:sz w:val="20"/>
          <w:szCs w:val="20"/>
          <w:lang w:val="en-GB"/>
        </w:rPr>
        <w:t>finishing</w:t>
      </w:r>
      <w:r w:rsidR="00620EC6" w:rsidRPr="008B5BAD">
        <w:rPr>
          <w:rFonts w:ascii="Arial" w:hAnsi="Arial" w:cs="Arial"/>
          <w:bCs/>
          <w:i/>
          <w:sz w:val="20"/>
          <w:szCs w:val="20"/>
          <w:lang w:val="en-GB"/>
        </w:rPr>
        <w:t xml:space="preserve"> of which a graduate acquires an apprenticeship certificate. </w:t>
      </w:r>
    </w:p>
    <w:p w14:paraId="349FBD15" w14:textId="5880C473" w:rsidR="00C77F89" w:rsidRPr="008B5BAD" w:rsidRDefault="00005CF5" w:rsidP="003A673B">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i/>
          <w:sz w:val="20"/>
          <w:szCs w:val="20"/>
          <w:lang w:val="en-GB"/>
        </w:rPr>
      </w:pPr>
      <w:r w:rsidRPr="008B5BAD">
        <w:rPr>
          <w:rFonts w:ascii="Arial" w:hAnsi="Arial" w:cs="Arial"/>
          <w:b/>
          <w:bCs/>
          <w:i/>
          <w:sz w:val="20"/>
          <w:szCs w:val="20"/>
          <w:lang w:val="en-GB"/>
        </w:rPr>
        <w:t>Secondary education</w:t>
      </w:r>
      <w:r w:rsidRPr="008B5BAD">
        <w:rPr>
          <w:rFonts w:ascii="Arial" w:hAnsi="Arial" w:cs="Arial"/>
          <w:b/>
          <w:i/>
          <w:sz w:val="20"/>
          <w:szCs w:val="20"/>
          <w:lang w:val="en-GB"/>
        </w:rPr>
        <w:t xml:space="preserve"> </w:t>
      </w:r>
      <w:r w:rsidR="00C77F89" w:rsidRPr="008B5BAD">
        <w:rPr>
          <w:rFonts w:ascii="Arial" w:hAnsi="Arial" w:cs="Arial"/>
          <w:b/>
          <w:i/>
          <w:sz w:val="20"/>
          <w:szCs w:val="20"/>
          <w:lang w:val="en-GB"/>
        </w:rPr>
        <w:t>with</w:t>
      </w:r>
      <w:r w:rsidR="00A4569E" w:rsidRPr="008B5BAD">
        <w:rPr>
          <w:rFonts w:ascii="Arial" w:hAnsi="Arial" w:cs="Arial"/>
          <w:b/>
          <w:i/>
          <w:sz w:val="20"/>
          <w:szCs w:val="20"/>
          <w:lang w:val="en-GB"/>
        </w:rPr>
        <w:t xml:space="preserve"> an</w:t>
      </w:r>
      <w:r w:rsidR="00C77F89" w:rsidRPr="008B5BAD">
        <w:rPr>
          <w:rFonts w:ascii="Arial" w:hAnsi="Arial" w:cs="Arial"/>
          <w:b/>
          <w:i/>
          <w:sz w:val="20"/>
          <w:szCs w:val="20"/>
          <w:lang w:val="en-GB"/>
        </w:rPr>
        <w:t xml:space="preserve"> A-level examination</w:t>
      </w:r>
      <w:r w:rsidR="00A1024F" w:rsidRPr="008B5BAD">
        <w:rPr>
          <w:rFonts w:ascii="Arial" w:hAnsi="Arial" w:cs="Arial"/>
          <w:bCs/>
          <w:i/>
          <w:sz w:val="20"/>
          <w:szCs w:val="20"/>
          <w:lang w:val="en-GB"/>
        </w:rPr>
        <w:t xml:space="preserve"> </w:t>
      </w:r>
      <w:r w:rsidR="00A4569E" w:rsidRPr="008B5BAD">
        <w:rPr>
          <w:rFonts w:ascii="Arial" w:hAnsi="Arial" w:cs="Arial"/>
          <w:i/>
          <w:iCs/>
          <w:sz w:val="20"/>
          <w:szCs w:val="16"/>
          <w:lang w:val="en-GB"/>
        </w:rPr>
        <w:t>denotes education programmes with an A-level examination, graduates from which acquire an A-level certificate.</w:t>
      </w:r>
      <w:r w:rsidR="003A673B" w:rsidRPr="008B5BAD">
        <w:rPr>
          <w:rFonts w:ascii="Arial" w:hAnsi="Arial" w:cs="Arial"/>
          <w:i/>
          <w:iCs/>
          <w:sz w:val="20"/>
          <w:szCs w:val="16"/>
          <w:lang w:val="en-GB"/>
        </w:rPr>
        <w:t xml:space="preserve"> There are two types of </w:t>
      </w:r>
      <w:r w:rsidR="00A66290" w:rsidRPr="008B5BAD">
        <w:rPr>
          <w:rFonts w:ascii="Arial" w:hAnsi="Arial" w:cs="Arial"/>
          <w:i/>
          <w:iCs/>
          <w:sz w:val="20"/>
          <w:szCs w:val="16"/>
          <w:lang w:val="en-GB"/>
        </w:rPr>
        <w:t>the programmes</w:t>
      </w:r>
      <w:r w:rsidR="003A673B" w:rsidRPr="008B5BAD">
        <w:rPr>
          <w:rFonts w:ascii="Arial" w:hAnsi="Arial" w:cs="Arial"/>
          <w:i/>
          <w:iCs/>
          <w:sz w:val="20"/>
          <w:szCs w:val="16"/>
          <w:lang w:val="en-GB"/>
        </w:rPr>
        <w:t xml:space="preserve">. </w:t>
      </w:r>
      <w:r w:rsidR="00310F4D" w:rsidRPr="008B5BAD">
        <w:rPr>
          <w:rFonts w:ascii="Arial" w:hAnsi="Arial" w:cs="Arial"/>
          <w:i/>
          <w:iCs/>
          <w:sz w:val="20"/>
          <w:szCs w:val="16"/>
          <w:lang w:val="en-GB"/>
        </w:rPr>
        <w:t>S</w:t>
      </w:r>
      <w:r w:rsidR="00A66290" w:rsidRPr="008B5BAD">
        <w:rPr>
          <w:rFonts w:ascii="Arial" w:hAnsi="Arial" w:cs="Arial"/>
          <w:i/>
          <w:iCs/>
          <w:sz w:val="20"/>
          <w:szCs w:val="16"/>
          <w:lang w:val="en-GB"/>
        </w:rPr>
        <w:t xml:space="preserve">econdary </w:t>
      </w:r>
      <w:r w:rsidR="00310F4D" w:rsidRPr="008B5BAD">
        <w:rPr>
          <w:rFonts w:ascii="Arial" w:hAnsi="Arial" w:cs="Arial"/>
          <w:bCs/>
          <w:i/>
          <w:iCs/>
          <w:sz w:val="20"/>
          <w:szCs w:val="16"/>
          <w:lang w:val="en-GB"/>
        </w:rPr>
        <w:t>general</w:t>
      </w:r>
      <w:r w:rsidR="00310F4D" w:rsidRPr="008B5BAD">
        <w:rPr>
          <w:rFonts w:ascii="Arial" w:hAnsi="Arial" w:cs="Arial"/>
          <w:i/>
          <w:iCs/>
          <w:sz w:val="20"/>
          <w:szCs w:val="16"/>
          <w:lang w:val="en-GB"/>
        </w:rPr>
        <w:t xml:space="preserve"> </w:t>
      </w:r>
      <w:r w:rsidR="00A66290" w:rsidRPr="008B5BAD">
        <w:rPr>
          <w:rFonts w:ascii="Arial" w:hAnsi="Arial" w:cs="Arial"/>
          <w:i/>
          <w:iCs/>
          <w:sz w:val="20"/>
          <w:szCs w:val="16"/>
          <w:lang w:val="en-GB"/>
        </w:rPr>
        <w:t xml:space="preserve">education </w:t>
      </w:r>
      <w:r w:rsidR="00A748E5" w:rsidRPr="008B5BAD">
        <w:rPr>
          <w:rFonts w:ascii="Arial" w:hAnsi="Arial" w:cs="Arial"/>
          <w:i/>
          <w:iCs/>
          <w:sz w:val="20"/>
          <w:szCs w:val="16"/>
          <w:lang w:val="en-GB"/>
        </w:rPr>
        <w:t>is a non-professional (non-specialised) type of education dedicated to preparation for further studies.</w:t>
      </w:r>
      <w:r w:rsidR="00FA7E72" w:rsidRPr="008B5BAD">
        <w:rPr>
          <w:rFonts w:ascii="Arial" w:hAnsi="Arial" w:cs="Arial"/>
          <w:i/>
          <w:iCs/>
          <w:sz w:val="20"/>
          <w:szCs w:val="16"/>
          <w:lang w:val="en-GB"/>
        </w:rPr>
        <w:t xml:space="preserve"> These programmes are usually provided by </w:t>
      </w:r>
      <w:r w:rsidR="00FA7E72" w:rsidRPr="008B5BAD">
        <w:rPr>
          <w:rFonts w:ascii="Arial" w:hAnsi="Arial" w:cs="Arial"/>
          <w:b/>
          <w:i/>
          <w:iCs/>
          <w:sz w:val="20"/>
          <w:szCs w:val="16"/>
          <w:lang w:val="en-GB"/>
        </w:rPr>
        <w:t>grammar schools</w:t>
      </w:r>
      <w:r w:rsidR="00FA7E72" w:rsidRPr="008B5BAD">
        <w:rPr>
          <w:rFonts w:ascii="Arial" w:hAnsi="Arial" w:cs="Arial"/>
          <w:i/>
          <w:iCs/>
          <w:sz w:val="20"/>
          <w:szCs w:val="16"/>
          <w:lang w:val="en-GB"/>
        </w:rPr>
        <w:t xml:space="preserve">. </w:t>
      </w:r>
      <w:r w:rsidR="0021363E" w:rsidRPr="008B5BAD">
        <w:rPr>
          <w:rFonts w:ascii="Arial" w:hAnsi="Arial" w:cs="Arial"/>
          <w:i/>
          <w:iCs/>
          <w:sz w:val="20"/>
          <w:szCs w:val="16"/>
          <w:lang w:val="en-GB"/>
        </w:rPr>
        <w:t>At present, there are two types of them</w:t>
      </w:r>
      <w:r w:rsidR="002751B2" w:rsidRPr="008B5BAD">
        <w:rPr>
          <w:rFonts w:ascii="Arial" w:hAnsi="Arial" w:cs="Arial"/>
          <w:i/>
          <w:iCs/>
          <w:sz w:val="20"/>
          <w:szCs w:val="16"/>
          <w:lang w:val="en-GB"/>
        </w:rPr>
        <w:t xml:space="preserve"> (for full-time studies)</w:t>
      </w:r>
      <w:r w:rsidR="0021363E" w:rsidRPr="008B5BAD">
        <w:rPr>
          <w:rFonts w:ascii="Arial" w:hAnsi="Arial" w:cs="Arial"/>
          <w:i/>
          <w:iCs/>
          <w:sz w:val="20"/>
          <w:szCs w:val="16"/>
          <w:lang w:val="en-GB"/>
        </w:rPr>
        <w:t xml:space="preserve"> </w:t>
      </w:r>
      <w:r w:rsidR="0021363E" w:rsidRPr="008B5BAD">
        <w:rPr>
          <w:color w:val="000000" w:themeColor="text1"/>
          <w:lang w:val="en-GB"/>
        </w:rPr>
        <w:t>–</w:t>
      </w:r>
      <w:r w:rsidR="0021363E" w:rsidRPr="008B5BAD">
        <w:rPr>
          <w:rFonts w:ascii="Arial" w:hAnsi="Arial" w:cs="Arial"/>
          <w:i/>
          <w:iCs/>
          <w:sz w:val="20"/>
          <w:szCs w:val="16"/>
          <w:lang w:val="en-GB"/>
        </w:rPr>
        <w:t xml:space="preserve"> four-year programmes of grammar schools joined by basic school leavers after their successful completion of the ninth grade of basic schools and multi-year programmes of grammar schools (eight-year or six-year programmes of grammar schools) for pupils of lower grades of basic schools (from the fifth and the seventh grade, respectively).</w:t>
      </w:r>
      <w:r w:rsidR="003D1109" w:rsidRPr="008B5BAD">
        <w:rPr>
          <w:rFonts w:ascii="Arial" w:hAnsi="Arial" w:cs="Arial"/>
          <w:i/>
          <w:iCs/>
          <w:sz w:val="20"/>
          <w:szCs w:val="16"/>
          <w:lang w:val="en-GB"/>
        </w:rPr>
        <w:t xml:space="preserve"> </w:t>
      </w:r>
      <w:r w:rsidR="00310F4D" w:rsidRPr="008B5BAD">
        <w:rPr>
          <w:rFonts w:ascii="Arial" w:hAnsi="Arial" w:cs="Arial"/>
          <w:i/>
          <w:iCs/>
          <w:sz w:val="20"/>
          <w:szCs w:val="16"/>
          <w:lang w:val="en-GB"/>
        </w:rPr>
        <w:t>S</w:t>
      </w:r>
      <w:r w:rsidR="003D1109" w:rsidRPr="008B5BAD">
        <w:rPr>
          <w:rFonts w:ascii="Arial" w:hAnsi="Arial" w:cs="Arial"/>
          <w:i/>
          <w:iCs/>
          <w:sz w:val="20"/>
          <w:szCs w:val="16"/>
          <w:lang w:val="en-GB"/>
        </w:rPr>
        <w:t xml:space="preserve">econdary </w:t>
      </w:r>
      <w:r w:rsidR="00310F4D" w:rsidRPr="008B5BAD">
        <w:rPr>
          <w:rFonts w:ascii="Arial" w:hAnsi="Arial" w:cs="Arial"/>
          <w:i/>
          <w:sz w:val="20"/>
          <w:szCs w:val="20"/>
          <w:lang w:val="en-GB"/>
        </w:rPr>
        <w:t>technical</w:t>
      </w:r>
      <w:r w:rsidR="00310F4D" w:rsidRPr="008B5BAD">
        <w:rPr>
          <w:rFonts w:ascii="Arial" w:hAnsi="Arial" w:cs="Arial"/>
          <w:i/>
          <w:iCs/>
          <w:sz w:val="20"/>
          <w:szCs w:val="16"/>
          <w:lang w:val="en-GB"/>
        </w:rPr>
        <w:t xml:space="preserve"> </w:t>
      </w:r>
      <w:r w:rsidR="003D1109" w:rsidRPr="008B5BAD">
        <w:rPr>
          <w:rFonts w:ascii="Arial" w:hAnsi="Arial" w:cs="Arial"/>
          <w:i/>
          <w:iCs/>
          <w:sz w:val="20"/>
          <w:szCs w:val="16"/>
          <w:lang w:val="en-GB"/>
        </w:rPr>
        <w:t>education is concentrated on the professional side of education</w:t>
      </w:r>
      <w:r w:rsidR="00C931D4" w:rsidRPr="008B5BAD">
        <w:rPr>
          <w:rFonts w:ascii="Arial" w:hAnsi="Arial" w:cs="Arial"/>
          <w:i/>
          <w:iCs/>
          <w:sz w:val="20"/>
          <w:szCs w:val="16"/>
          <w:lang w:val="en-GB"/>
        </w:rPr>
        <w:t xml:space="preserve"> and prepares pupils </w:t>
      </w:r>
      <w:r w:rsidR="00F00035" w:rsidRPr="008B5BAD">
        <w:rPr>
          <w:rFonts w:ascii="Arial" w:hAnsi="Arial" w:cs="Arial"/>
          <w:i/>
          <w:iCs/>
          <w:sz w:val="20"/>
          <w:szCs w:val="16"/>
          <w:lang w:val="en-GB"/>
        </w:rPr>
        <w:t>to enter</w:t>
      </w:r>
      <w:r w:rsidR="003D1109" w:rsidRPr="008B5BAD">
        <w:rPr>
          <w:rFonts w:ascii="Arial" w:hAnsi="Arial" w:cs="Arial"/>
          <w:i/>
          <w:iCs/>
          <w:sz w:val="20"/>
          <w:szCs w:val="16"/>
          <w:lang w:val="en-GB"/>
        </w:rPr>
        <w:t xml:space="preserve"> the labour market. It lasts for four years </w:t>
      </w:r>
      <w:r w:rsidR="00653585" w:rsidRPr="008B5BAD">
        <w:rPr>
          <w:rFonts w:ascii="Arial" w:hAnsi="Arial" w:cs="Arial"/>
          <w:i/>
          <w:iCs/>
          <w:sz w:val="20"/>
          <w:szCs w:val="16"/>
          <w:lang w:val="en-GB"/>
        </w:rPr>
        <w:t>(i.e. in full-time studies and not</w:t>
      </w:r>
      <w:r w:rsidR="00C931D4" w:rsidRPr="008B5BAD">
        <w:rPr>
          <w:rFonts w:ascii="Arial" w:hAnsi="Arial" w:cs="Arial"/>
          <w:bCs/>
          <w:i/>
          <w:sz w:val="20"/>
          <w:szCs w:val="20"/>
          <w:lang w:val="en-GB"/>
        </w:rPr>
        <w:t xml:space="preserve"> shortened form of education</w:t>
      </w:r>
      <w:r w:rsidR="00653585" w:rsidRPr="008B5BAD">
        <w:rPr>
          <w:rFonts w:ascii="Arial" w:hAnsi="Arial" w:cs="Arial"/>
          <w:i/>
          <w:iCs/>
          <w:sz w:val="20"/>
          <w:szCs w:val="16"/>
          <w:lang w:val="en-GB"/>
        </w:rPr>
        <w:t xml:space="preserve">) and </w:t>
      </w:r>
      <w:r w:rsidR="003D1109" w:rsidRPr="008B5BAD">
        <w:rPr>
          <w:rFonts w:ascii="Arial" w:hAnsi="Arial" w:cs="Arial"/>
          <w:i/>
          <w:iCs/>
          <w:sz w:val="20"/>
          <w:szCs w:val="16"/>
          <w:lang w:val="en-GB"/>
        </w:rPr>
        <w:t>is finished by an A-level examination</w:t>
      </w:r>
      <w:r w:rsidR="00C931D4" w:rsidRPr="008B5BAD">
        <w:rPr>
          <w:rFonts w:ascii="Arial" w:hAnsi="Arial" w:cs="Arial"/>
          <w:i/>
          <w:iCs/>
          <w:sz w:val="20"/>
          <w:szCs w:val="16"/>
          <w:lang w:val="en-GB"/>
        </w:rPr>
        <w:t>.</w:t>
      </w:r>
      <w:r w:rsidR="00A66290" w:rsidRPr="008B5BAD">
        <w:rPr>
          <w:rFonts w:ascii="Arial" w:hAnsi="Arial" w:cs="Arial"/>
          <w:i/>
          <w:iCs/>
          <w:sz w:val="20"/>
          <w:szCs w:val="16"/>
          <w:lang w:val="en-GB"/>
        </w:rPr>
        <w:t xml:space="preserve"> </w:t>
      </w:r>
      <w:r w:rsidR="003A673B" w:rsidRPr="008B5BAD">
        <w:rPr>
          <w:rFonts w:ascii="Arial" w:hAnsi="Arial" w:cs="Arial"/>
          <w:i/>
          <w:iCs/>
          <w:sz w:val="20"/>
          <w:szCs w:val="16"/>
          <w:lang w:val="en-GB"/>
        </w:rPr>
        <w:t xml:space="preserve"> </w:t>
      </w:r>
      <w:r w:rsidR="00A4569E" w:rsidRPr="008B5BAD">
        <w:rPr>
          <w:rFonts w:ascii="Arial" w:hAnsi="Arial" w:cs="Arial"/>
          <w:i/>
          <w:iCs/>
          <w:sz w:val="20"/>
          <w:szCs w:val="16"/>
          <w:lang w:val="en-GB"/>
        </w:rPr>
        <w:t xml:space="preserve"> </w:t>
      </w:r>
    </w:p>
    <w:p w14:paraId="6F25A192" w14:textId="77777777" w:rsidR="00C77F89" w:rsidRPr="008B5BAD" w:rsidRDefault="00E11D20" w:rsidP="00A1024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i/>
          <w:iCs/>
          <w:sz w:val="20"/>
          <w:szCs w:val="16"/>
          <w:lang w:val="en-GB"/>
        </w:rPr>
      </w:pPr>
      <w:r w:rsidRPr="008B5BAD">
        <w:rPr>
          <w:rFonts w:ascii="Arial" w:hAnsi="Arial" w:cs="Arial"/>
          <w:b/>
          <w:bCs/>
          <w:i/>
          <w:sz w:val="20"/>
          <w:szCs w:val="20"/>
          <w:lang w:val="en-GB"/>
        </w:rPr>
        <w:t>Follow-up courses</w:t>
      </w:r>
      <w:r w:rsidR="00A1024F" w:rsidRPr="008B5BAD">
        <w:rPr>
          <w:rFonts w:ascii="Arial" w:hAnsi="Arial" w:cs="Arial"/>
          <w:bCs/>
          <w:sz w:val="20"/>
          <w:szCs w:val="20"/>
          <w:lang w:val="en-GB"/>
        </w:rPr>
        <w:t xml:space="preserve"> </w:t>
      </w:r>
      <w:r w:rsidR="004B0BDA" w:rsidRPr="008B5BAD">
        <w:rPr>
          <w:rFonts w:ascii="Arial" w:hAnsi="Arial" w:cs="Arial"/>
          <w:i/>
          <w:iCs/>
          <w:sz w:val="20"/>
          <w:szCs w:val="16"/>
          <w:lang w:val="en-GB"/>
        </w:rPr>
        <w:t>last in full-time studies for two years and they are finished by an A-level examination. They are determined for applicants who earned secondary education with an apprenticeship certificate from three-year full-time studies in a field, which is related to that from which they want to pass their A-level examination.</w:t>
      </w:r>
    </w:p>
    <w:p w14:paraId="11B4612B" w14:textId="26B5607B" w:rsidR="009B5968" w:rsidRPr="008B5BAD" w:rsidRDefault="009B5968" w:rsidP="00A1024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lang w:val="en-GB"/>
        </w:rPr>
      </w:pPr>
      <w:r w:rsidRPr="008B5BAD">
        <w:rPr>
          <w:rFonts w:ascii="Arial" w:hAnsi="Arial" w:cs="Arial"/>
          <w:i/>
          <w:iCs/>
          <w:sz w:val="20"/>
          <w:szCs w:val="16"/>
          <w:lang w:val="en-GB"/>
        </w:rPr>
        <w:t xml:space="preserve">Secondary education with an A-level examination can </w:t>
      </w:r>
      <w:r w:rsidR="005D2137" w:rsidRPr="008B5BAD">
        <w:rPr>
          <w:rFonts w:ascii="Arial" w:hAnsi="Arial" w:cs="Arial"/>
          <w:i/>
          <w:iCs/>
          <w:sz w:val="20"/>
          <w:szCs w:val="16"/>
          <w:lang w:val="en-GB"/>
        </w:rPr>
        <w:t xml:space="preserve">also </w:t>
      </w:r>
      <w:r w:rsidRPr="008B5BAD">
        <w:rPr>
          <w:rFonts w:ascii="Arial" w:hAnsi="Arial" w:cs="Arial"/>
          <w:i/>
          <w:iCs/>
          <w:sz w:val="20"/>
          <w:szCs w:val="16"/>
          <w:lang w:val="en-GB"/>
        </w:rPr>
        <w:t xml:space="preserve">be received in the Czech Republic in </w:t>
      </w:r>
      <w:r w:rsidRPr="008B5BAD">
        <w:rPr>
          <w:rFonts w:ascii="Arial" w:hAnsi="Arial" w:cs="Arial"/>
          <w:b/>
          <w:i/>
          <w:iCs/>
          <w:sz w:val="20"/>
          <w:szCs w:val="16"/>
          <w:lang w:val="en-GB"/>
        </w:rPr>
        <w:t>conservatoires</w:t>
      </w:r>
      <w:r w:rsidRPr="008B5BAD">
        <w:rPr>
          <w:rFonts w:ascii="Arial" w:hAnsi="Arial" w:cs="Arial"/>
          <w:i/>
          <w:iCs/>
          <w:sz w:val="20"/>
          <w:szCs w:val="16"/>
          <w:lang w:val="en-GB"/>
        </w:rPr>
        <w:t xml:space="preserve">, no sooner than after four years in full-time studies of a six-year education programme (determined for basic school-leavers) or after eight years in full-time studies of an eight-year education programme in the specialism of dance (in the first four grades pupils </w:t>
      </w:r>
      <w:r w:rsidR="00584019" w:rsidRPr="008B5BAD">
        <w:rPr>
          <w:rFonts w:ascii="Arial" w:hAnsi="Arial" w:cs="Arial"/>
          <w:i/>
          <w:iCs/>
          <w:sz w:val="20"/>
          <w:szCs w:val="16"/>
          <w:lang w:val="en-GB"/>
        </w:rPr>
        <w:t>fulfil</w:t>
      </w:r>
      <w:r w:rsidRPr="008B5BAD">
        <w:rPr>
          <w:rFonts w:ascii="Arial" w:hAnsi="Arial" w:cs="Arial"/>
          <w:i/>
          <w:iCs/>
          <w:sz w:val="20"/>
          <w:szCs w:val="16"/>
          <w:lang w:val="en-GB"/>
        </w:rPr>
        <w:t xml:space="preserve"> their compulsory school education). By passing the final (graduate) examination called “</w:t>
      </w:r>
      <w:r w:rsidRPr="008B5BAD">
        <w:rPr>
          <w:rFonts w:ascii="Arial" w:hAnsi="Arial" w:cs="Arial"/>
          <w:iCs/>
          <w:sz w:val="20"/>
          <w:szCs w:val="16"/>
          <w:lang w:val="en-GB"/>
        </w:rPr>
        <w:t>absolutorium</w:t>
      </w:r>
      <w:r w:rsidRPr="008B5BAD">
        <w:rPr>
          <w:rFonts w:ascii="Arial" w:hAnsi="Arial" w:cs="Arial"/>
          <w:i/>
          <w:iCs/>
          <w:sz w:val="20"/>
          <w:szCs w:val="16"/>
          <w:lang w:val="en-GB"/>
        </w:rPr>
        <w:t>” in a conservatoire a pupil receives short-cycle tertiary education in a conservatoire and earns the title “certified specialist” (</w:t>
      </w:r>
      <w:r w:rsidRPr="008B5BAD">
        <w:rPr>
          <w:rFonts w:ascii="Arial" w:hAnsi="Arial" w:cs="Arial"/>
          <w:iCs/>
          <w:sz w:val="20"/>
          <w:szCs w:val="16"/>
          <w:lang w:val="en-GB"/>
        </w:rPr>
        <w:t>DiS.</w:t>
      </w:r>
      <w:r w:rsidRPr="008B5BAD">
        <w:rPr>
          <w:rFonts w:ascii="Arial" w:hAnsi="Arial" w:cs="Arial"/>
          <w:i/>
          <w:iCs/>
          <w:sz w:val="20"/>
          <w:szCs w:val="16"/>
          <w:lang w:val="en-GB"/>
        </w:rPr>
        <w:t>).</w:t>
      </w:r>
    </w:p>
    <w:p w14:paraId="50005D4D" w14:textId="77777777" w:rsidR="0016667A" w:rsidRPr="008B5BAD" w:rsidRDefault="00A25567" w:rsidP="0016667A">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sz w:val="20"/>
          <w:szCs w:val="20"/>
          <w:lang w:val="en-GB"/>
        </w:rPr>
      </w:pPr>
      <w:r w:rsidRPr="008B5BAD">
        <w:rPr>
          <w:rFonts w:ascii="Arial" w:hAnsi="Arial" w:cs="Arial"/>
          <w:b/>
          <w:i/>
          <w:sz w:val="20"/>
          <w:szCs w:val="20"/>
          <w:lang w:val="en-GB"/>
        </w:rPr>
        <w:t>Higher professional schools</w:t>
      </w:r>
      <w:r w:rsidR="00A1024F" w:rsidRPr="008B5BAD">
        <w:rPr>
          <w:rFonts w:ascii="Arial" w:hAnsi="Arial" w:cs="Arial"/>
          <w:i/>
          <w:sz w:val="20"/>
          <w:szCs w:val="20"/>
          <w:lang w:val="en-GB"/>
        </w:rPr>
        <w:t xml:space="preserve"> </w:t>
      </w:r>
      <w:r w:rsidR="0016667A" w:rsidRPr="008B5BAD">
        <w:rPr>
          <w:rFonts w:ascii="Arial" w:hAnsi="Arial" w:cs="Arial"/>
          <w:i/>
          <w:iCs/>
          <w:sz w:val="20"/>
          <w:szCs w:val="16"/>
          <w:lang w:val="en-GB"/>
        </w:rPr>
        <w:t xml:space="preserve">offer to secondary school graduates with an A-level examination full-time studies in three-year fields (in case of medical fields of education including practical training lasting for up to three and a half years) and distance studies lasting for up to four years. This type of education is completed by passing the final (graduate) examination called </w:t>
      </w:r>
      <w:r w:rsidR="0016667A" w:rsidRPr="008B5BAD">
        <w:rPr>
          <w:rFonts w:ascii="Arial" w:hAnsi="Arial" w:cs="Arial"/>
          <w:iCs/>
          <w:sz w:val="20"/>
          <w:szCs w:val="16"/>
          <w:lang w:val="en-GB"/>
        </w:rPr>
        <w:t>“absolutorium”</w:t>
      </w:r>
      <w:r w:rsidR="0016667A" w:rsidRPr="008B5BAD">
        <w:rPr>
          <w:rFonts w:ascii="Arial" w:hAnsi="Arial" w:cs="Arial"/>
          <w:i/>
          <w:iCs/>
          <w:sz w:val="20"/>
          <w:szCs w:val="16"/>
          <w:lang w:val="en-GB"/>
        </w:rPr>
        <w:t xml:space="preserve"> and graduates earn the title “certified specialist” (</w:t>
      </w:r>
      <w:r w:rsidR="0016667A" w:rsidRPr="008B5BAD">
        <w:rPr>
          <w:rFonts w:ascii="Arial" w:hAnsi="Arial" w:cs="Arial"/>
          <w:iCs/>
          <w:sz w:val="20"/>
          <w:szCs w:val="16"/>
          <w:lang w:val="en-GB"/>
        </w:rPr>
        <w:t>DiS.</w:t>
      </w:r>
      <w:r w:rsidR="0016667A" w:rsidRPr="008B5BAD">
        <w:rPr>
          <w:rFonts w:ascii="Arial" w:hAnsi="Arial" w:cs="Arial"/>
          <w:i/>
          <w:iCs/>
          <w:sz w:val="20"/>
          <w:szCs w:val="16"/>
          <w:lang w:val="en-GB"/>
        </w:rPr>
        <w:t>).</w:t>
      </w:r>
    </w:p>
    <w:p w14:paraId="39083308" w14:textId="77777777" w:rsidR="00A1024F" w:rsidRPr="008B5BAD" w:rsidRDefault="00711BFC" w:rsidP="00E95E13">
      <w:pPr>
        <w:pStyle w:val="Zkladntextodsazen"/>
        <w:tabs>
          <w:tab w:val="left" w:pos="720"/>
        </w:tabs>
        <w:spacing w:after="120"/>
        <w:rPr>
          <w:i/>
          <w:color w:val="auto"/>
          <w:lang w:val="en-GB"/>
        </w:rPr>
      </w:pPr>
      <w:r w:rsidRPr="008B5BAD">
        <w:rPr>
          <w:i/>
          <w:color w:val="auto"/>
          <w:lang w:val="en-GB"/>
        </w:rPr>
        <w:t>Within technical education, there are a lot of fields of education. In regional education, a national</w:t>
      </w:r>
      <w:r w:rsidR="00CA08B4" w:rsidRPr="008B5BAD">
        <w:rPr>
          <w:i/>
          <w:color w:val="auto"/>
          <w:lang w:val="en-GB"/>
        </w:rPr>
        <w:t xml:space="preserve"> </w:t>
      </w:r>
      <w:r w:rsidR="00CA08B4" w:rsidRPr="008B5BAD">
        <w:rPr>
          <w:b/>
          <w:i/>
          <w:color w:val="auto"/>
          <w:lang w:val="en-GB"/>
        </w:rPr>
        <w:t>Classification of Basic Branches of Education</w:t>
      </w:r>
      <w:r w:rsidRPr="008B5BAD">
        <w:rPr>
          <w:i/>
          <w:color w:val="auto"/>
          <w:lang w:val="en-GB"/>
        </w:rPr>
        <w:t xml:space="preserve"> is used</w:t>
      </w:r>
      <w:r w:rsidR="00621015" w:rsidRPr="008B5BAD">
        <w:rPr>
          <w:i/>
          <w:color w:val="auto"/>
          <w:lang w:val="en-GB"/>
        </w:rPr>
        <w:t xml:space="preserve"> for breakdown by field and by group of fields of education. The Ministry of </w:t>
      </w:r>
      <w:r w:rsidR="00621015" w:rsidRPr="008B5BAD">
        <w:rPr>
          <w:i/>
          <w:iCs/>
          <w:color w:val="auto"/>
          <w:lang w:val="en-GB"/>
        </w:rPr>
        <w:t xml:space="preserve">Education, Youth, and Sports is an administrator of the classification. For more information about the classification see: </w:t>
      </w:r>
      <w:hyperlink r:id="rId7" w:history="1">
        <w:r w:rsidR="007A6A20" w:rsidRPr="008B5BAD">
          <w:rPr>
            <w:rStyle w:val="Hypertextovodkaz"/>
            <w:i/>
            <w:lang w:val="en-GB"/>
          </w:rPr>
          <w:t>https://www.czso.cz/csu/czso/klasifikace_kmenovych_oboru_vzdelani_-kkov-</w:t>
        </w:r>
      </w:hyperlink>
      <w:r w:rsidR="007A6A20" w:rsidRPr="008B5BAD">
        <w:rPr>
          <w:i/>
          <w:color w:val="auto"/>
          <w:lang w:val="en-GB"/>
        </w:rPr>
        <w:t xml:space="preserve"> (Czech only). </w:t>
      </w:r>
    </w:p>
    <w:p w14:paraId="0A9A8E81" w14:textId="77777777" w:rsidR="00A1024F" w:rsidRPr="008B5BAD" w:rsidRDefault="007A6A20" w:rsidP="007623C5">
      <w:pPr>
        <w:pStyle w:val="Zkladntextodsazen"/>
        <w:tabs>
          <w:tab w:val="left" w:pos="708"/>
        </w:tabs>
        <w:spacing w:after="120"/>
        <w:rPr>
          <w:i/>
          <w:color w:val="auto"/>
          <w:lang w:val="en-GB"/>
        </w:rPr>
      </w:pPr>
      <w:r w:rsidRPr="008B5BAD">
        <w:rPr>
          <w:i/>
          <w:color w:val="auto"/>
          <w:lang w:val="en-GB"/>
        </w:rPr>
        <w:t xml:space="preserve">Further information on the methodology and statistical data related to regional education are provided in the publication of the CZSO called “Schools and school establishments </w:t>
      </w:r>
      <w:r w:rsidRPr="008B5BAD">
        <w:rPr>
          <w:i/>
          <w:color w:val="000000" w:themeColor="text1"/>
          <w:lang w:val="en-GB"/>
        </w:rPr>
        <w:t xml:space="preserve">– school year 2020/2021” (Czech only; code </w:t>
      </w:r>
      <w:r w:rsidR="00A1024F" w:rsidRPr="008B5BAD">
        <w:rPr>
          <w:i/>
          <w:color w:val="auto"/>
          <w:lang w:val="en-GB"/>
        </w:rPr>
        <w:t>230042-21</w:t>
      </w:r>
      <w:r w:rsidRPr="008B5BAD">
        <w:rPr>
          <w:i/>
          <w:color w:val="auto"/>
          <w:lang w:val="en-GB"/>
        </w:rPr>
        <w:t>), which is available for free on the website of the CZSO</w:t>
      </w:r>
      <w:r w:rsidR="007623C5" w:rsidRPr="008B5BAD">
        <w:rPr>
          <w:i/>
          <w:color w:val="auto"/>
          <w:lang w:val="en-GB"/>
        </w:rPr>
        <w:t xml:space="preserve"> at</w:t>
      </w:r>
      <w:r w:rsidRPr="008B5BAD">
        <w:rPr>
          <w:i/>
          <w:color w:val="auto"/>
          <w:lang w:val="en-GB"/>
        </w:rPr>
        <w:t xml:space="preserve">: </w:t>
      </w:r>
      <w:hyperlink r:id="rId8" w:history="1">
        <w:r w:rsidR="00A1024F" w:rsidRPr="008B5BAD">
          <w:rPr>
            <w:rStyle w:val="Hypertextovodkaz"/>
            <w:i/>
            <w:color w:val="auto"/>
            <w:lang w:val="en-GB"/>
          </w:rPr>
          <w:t>https://www.czso.cz/csu/czso/skoly-a-skolska-zarizeni-tjp3wpnyep</w:t>
        </w:r>
      </w:hyperlink>
      <w:r w:rsidR="00B4664D" w:rsidRPr="008B5BAD">
        <w:rPr>
          <w:rStyle w:val="Hypertextovodkaz"/>
          <w:i/>
          <w:color w:val="auto"/>
          <w:u w:val="none"/>
          <w:lang w:val="en-GB"/>
        </w:rPr>
        <w:t>.</w:t>
      </w:r>
    </w:p>
    <w:p w14:paraId="6659A11C" w14:textId="77777777" w:rsidR="00A1024F" w:rsidRPr="008B5BAD" w:rsidRDefault="007623C5" w:rsidP="00A1024F">
      <w:pPr>
        <w:pStyle w:val="Zkladntextodsazen"/>
        <w:tabs>
          <w:tab w:val="left" w:pos="708"/>
        </w:tabs>
        <w:rPr>
          <w:b/>
          <w:color w:val="auto"/>
          <w:lang w:val="en-GB"/>
        </w:rPr>
      </w:pPr>
      <w:r w:rsidRPr="008B5BAD">
        <w:rPr>
          <w:b/>
          <w:color w:val="auto"/>
          <w:lang w:val="en-GB"/>
        </w:rPr>
        <w:t xml:space="preserve"> </w:t>
      </w:r>
    </w:p>
    <w:p w14:paraId="17869C7F" w14:textId="77777777" w:rsidR="00A1024F" w:rsidRPr="008B5BAD" w:rsidRDefault="00687F89" w:rsidP="00A1024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i/>
          <w:color w:val="auto"/>
          <w:lang w:val="en-GB"/>
        </w:rPr>
      </w:pPr>
      <w:r w:rsidRPr="008B5BAD">
        <w:rPr>
          <w:b/>
          <w:i/>
          <w:color w:val="auto"/>
          <w:lang w:val="en-GB"/>
        </w:rPr>
        <w:t>Notes on tables on universities</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 xml:space="preserve">20 </w:t>
      </w:r>
      <w:r w:rsidRPr="008B5BAD">
        <w:rPr>
          <w:b/>
          <w:i/>
          <w:color w:val="auto"/>
          <w:lang w:val="en-GB"/>
        </w:rPr>
        <w:t>through</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26</w:t>
      </w:r>
      <w:r w:rsidR="00A1024F" w:rsidRPr="008B5BAD">
        <w:rPr>
          <w:i/>
          <w:color w:val="auto"/>
          <w:lang w:val="en-GB"/>
        </w:rPr>
        <w:t xml:space="preserve"> </w:t>
      </w:r>
    </w:p>
    <w:p w14:paraId="222E6824" w14:textId="77777777" w:rsidR="00A1024F" w:rsidRPr="008B5BAD" w:rsidRDefault="00A1024F" w:rsidP="00A1024F">
      <w:pPr>
        <w:pStyle w:val="Zkladntextodsazen"/>
        <w:tabs>
          <w:tab w:val="left" w:pos="708"/>
        </w:tabs>
        <w:rPr>
          <w:b/>
          <w:color w:val="auto"/>
          <w:lang w:val="en-GB"/>
        </w:rPr>
      </w:pPr>
    </w:p>
    <w:p w14:paraId="51D2B561" w14:textId="547871DB" w:rsidR="00CA5102" w:rsidRPr="00B82073" w:rsidRDefault="00CA0122" w:rsidP="00B82073">
      <w:pPr>
        <w:pStyle w:val="Zkladntextodsazen"/>
        <w:tabs>
          <w:tab w:val="left" w:pos="720"/>
        </w:tabs>
        <w:spacing w:after="120"/>
        <w:rPr>
          <w:i/>
          <w:iCs/>
          <w:color w:val="auto"/>
          <w:szCs w:val="16"/>
          <w:lang w:val="en-GB"/>
        </w:rPr>
      </w:pPr>
      <w:r w:rsidRPr="008B5BAD">
        <w:rPr>
          <w:b/>
          <w:i/>
          <w:color w:val="auto"/>
          <w:lang w:val="en-GB"/>
        </w:rPr>
        <w:t>Universities</w:t>
      </w:r>
      <w:r w:rsidR="00A1024F" w:rsidRPr="008B5BAD">
        <w:rPr>
          <w:i/>
          <w:color w:val="auto"/>
          <w:lang w:val="en-GB"/>
        </w:rPr>
        <w:t xml:space="preserve"> </w:t>
      </w:r>
      <w:r w:rsidR="00754C95" w:rsidRPr="008B5BAD">
        <w:rPr>
          <w:i/>
          <w:iCs/>
          <w:color w:val="auto"/>
          <w:szCs w:val="16"/>
          <w:lang w:val="en-GB"/>
        </w:rPr>
        <w:t xml:space="preserve">offer bachelor, follow-up master, master, and doctoral study programmes. Master and follow-up master study programmes together are called master programmes in tables. Studies can be delivered in full-time, distance, or combined type of education. </w:t>
      </w:r>
      <w:r w:rsidR="0060257E" w:rsidRPr="008B5BAD">
        <w:rPr>
          <w:i/>
          <w:iCs/>
          <w:color w:val="auto"/>
          <w:szCs w:val="16"/>
          <w:lang w:val="en-GB"/>
        </w:rPr>
        <w:t xml:space="preserve">The system of schools providing higher education </w:t>
      </w:r>
      <w:r w:rsidR="0060257E" w:rsidRPr="008B5BAD">
        <w:rPr>
          <w:i/>
          <w:iCs/>
          <w:color w:val="auto"/>
          <w:szCs w:val="16"/>
          <w:lang w:val="en-GB"/>
        </w:rPr>
        <w:lastRenderedPageBreak/>
        <w:t xml:space="preserve">comprises </w:t>
      </w:r>
      <w:r w:rsidR="0060257E" w:rsidRPr="008B5BAD">
        <w:rPr>
          <w:b/>
          <w:i/>
          <w:iCs/>
          <w:color w:val="auto"/>
          <w:szCs w:val="16"/>
          <w:lang w:val="en-GB"/>
        </w:rPr>
        <w:t>public</w:t>
      </w:r>
      <w:r w:rsidR="0060257E" w:rsidRPr="008B5BAD">
        <w:rPr>
          <w:i/>
          <w:iCs/>
          <w:color w:val="auto"/>
          <w:szCs w:val="16"/>
          <w:lang w:val="en-GB"/>
        </w:rPr>
        <w:t xml:space="preserve"> schools (university-type and non-university type of schools), </w:t>
      </w:r>
      <w:r w:rsidR="0060257E" w:rsidRPr="008B5BAD">
        <w:rPr>
          <w:b/>
          <w:i/>
          <w:iCs/>
          <w:color w:val="auto"/>
          <w:szCs w:val="16"/>
          <w:lang w:val="en-GB"/>
        </w:rPr>
        <w:t>private</w:t>
      </w:r>
      <w:r w:rsidR="0060257E" w:rsidRPr="008B5BAD">
        <w:rPr>
          <w:i/>
          <w:iCs/>
          <w:color w:val="auto"/>
          <w:szCs w:val="16"/>
          <w:lang w:val="en-GB"/>
        </w:rPr>
        <w:t xml:space="preserve"> universities, and two </w:t>
      </w:r>
      <w:r w:rsidR="0060257E" w:rsidRPr="008B5BAD">
        <w:rPr>
          <w:b/>
          <w:i/>
          <w:iCs/>
          <w:color w:val="auto"/>
          <w:szCs w:val="16"/>
          <w:lang w:val="en-GB"/>
        </w:rPr>
        <w:t>state</w:t>
      </w:r>
      <w:r w:rsidR="0060257E" w:rsidRPr="008B5BAD">
        <w:rPr>
          <w:i/>
          <w:iCs/>
          <w:color w:val="auto"/>
          <w:szCs w:val="16"/>
          <w:lang w:val="en-GB"/>
        </w:rPr>
        <w:t xml:space="preserve"> universities (currently the Police Academy of the Czech Republic in Prague and the University of Defence established by the Ministry of the Interior and by the Ministry of Defence, respectively).</w:t>
      </w:r>
      <w:r w:rsidR="00D8457C" w:rsidRPr="008B5BAD">
        <w:rPr>
          <w:i/>
          <w:iCs/>
          <w:color w:val="auto"/>
          <w:szCs w:val="16"/>
          <w:lang w:val="en-GB"/>
        </w:rPr>
        <w:t xml:space="preserve"> </w:t>
      </w:r>
      <w:r w:rsidR="00CA5102" w:rsidRPr="008B5BAD">
        <w:rPr>
          <w:i/>
          <w:iCs/>
          <w:color w:val="auto"/>
          <w:szCs w:val="16"/>
          <w:lang w:val="en-GB"/>
        </w:rPr>
        <w:t xml:space="preserve">However, data on state universities are not, due to a different methodology (e.g. measuring of the number of studies) and data collection (not by means of the </w:t>
      </w:r>
      <w:r w:rsidR="00CA5102" w:rsidRPr="008B5BAD">
        <w:rPr>
          <w:iCs/>
          <w:color w:val="auto"/>
          <w:szCs w:val="16"/>
          <w:lang w:val="en-GB"/>
        </w:rPr>
        <w:t>SIMS</w:t>
      </w:r>
      <w:r w:rsidR="00CA5102" w:rsidRPr="008B5BAD">
        <w:rPr>
          <w:i/>
          <w:iCs/>
          <w:color w:val="auto"/>
          <w:szCs w:val="16"/>
          <w:lang w:val="en-GB"/>
        </w:rPr>
        <w:t xml:space="preserve"> database), included in summary indicators and only part of the Table 3</w:t>
      </w:r>
      <w:r w:rsidR="00CA5102" w:rsidRPr="008B5BAD">
        <w:rPr>
          <w:color w:val="000000" w:themeColor="text1"/>
          <w:lang w:val="en-GB"/>
        </w:rPr>
        <w:t>–</w:t>
      </w:r>
      <w:r w:rsidR="00CA5102" w:rsidRPr="008B5BAD">
        <w:rPr>
          <w:i/>
          <w:iCs/>
          <w:color w:val="auto"/>
          <w:szCs w:val="16"/>
          <w:lang w:val="en-GB"/>
        </w:rPr>
        <w:t xml:space="preserve">20 is devoted to them. </w:t>
      </w:r>
    </w:p>
    <w:p w14:paraId="1B851B17" w14:textId="77777777" w:rsidR="00A1024F" w:rsidRPr="008B5BAD" w:rsidRDefault="008156FD"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i/>
          <w:color w:val="auto"/>
          <w:lang w:val="en-GB"/>
        </w:rPr>
      </w:pPr>
      <w:r w:rsidRPr="008B5BAD">
        <w:rPr>
          <w:b/>
          <w:i/>
          <w:color w:val="auto"/>
          <w:lang w:val="en-GB"/>
        </w:rPr>
        <w:t xml:space="preserve">Notes </w:t>
      </w:r>
      <w:r w:rsidR="00BB394D" w:rsidRPr="008B5BAD">
        <w:rPr>
          <w:b/>
          <w:i/>
          <w:color w:val="auto"/>
          <w:lang w:val="en-GB"/>
        </w:rPr>
        <w:t>on tables on teachers and other</w:t>
      </w:r>
      <w:r w:rsidR="00A1024F" w:rsidRPr="008B5BAD">
        <w:rPr>
          <w:b/>
          <w:i/>
          <w:color w:val="auto"/>
          <w:lang w:val="en-GB"/>
        </w:rPr>
        <w:t xml:space="preserve"> </w:t>
      </w:r>
      <w:r w:rsidR="00902829" w:rsidRPr="008B5BAD">
        <w:rPr>
          <w:b/>
          <w:i/>
          <w:color w:val="auto"/>
          <w:lang w:val="en-GB"/>
        </w:rPr>
        <w:t>teaching staff</w:t>
      </w:r>
      <w:r w:rsidR="00A1024F" w:rsidRPr="008B5BAD">
        <w:rPr>
          <w:b/>
          <w:i/>
          <w:color w:val="auto"/>
          <w:lang w:val="en-GB"/>
        </w:rPr>
        <w:t xml:space="preserve"> </w:t>
      </w:r>
      <w:r w:rsidRPr="008B5BAD">
        <w:rPr>
          <w:b/>
          <w:i/>
          <w:color w:val="auto"/>
          <w:lang w:val="en-GB"/>
        </w:rPr>
        <w:t>in regional education</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 xml:space="preserve">27 </w:t>
      </w:r>
      <w:r w:rsidRPr="008B5BAD">
        <w:rPr>
          <w:b/>
          <w:i/>
          <w:color w:val="auto"/>
          <w:lang w:val="en-GB"/>
        </w:rPr>
        <w:t>through</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31</w:t>
      </w:r>
      <w:r w:rsidR="00A1024F" w:rsidRPr="008B5BAD">
        <w:rPr>
          <w:i/>
          <w:color w:val="auto"/>
          <w:lang w:val="en-GB"/>
        </w:rPr>
        <w:t xml:space="preserve"> </w:t>
      </w:r>
    </w:p>
    <w:p w14:paraId="5C6CF475" w14:textId="77777777" w:rsidR="00A1024F" w:rsidRPr="008B5BAD" w:rsidRDefault="00A1024F" w:rsidP="00A1024F">
      <w:pPr>
        <w:pStyle w:val="Zkladntextodsazen"/>
        <w:keepNext/>
        <w:ind w:firstLine="0"/>
        <w:rPr>
          <w:color w:val="auto"/>
          <w:lang w:val="en-GB"/>
        </w:rPr>
      </w:pPr>
    </w:p>
    <w:p w14:paraId="5AEB01B2" w14:textId="77777777" w:rsidR="00F25372" w:rsidRPr="008B5BAD" w:rsidRDefault="009048CA" w:rsidP="00A1024F">
      <w:pPr>
        <w:pStyle w:val="Zkladntextodsazen"/>
        <w:ind w:firstLine="709"/>
        <w:rPr>
          <w:i/>
          <w:color w:val="auto"/>
          <w:lang w:val="en-GB"/>
        </w:rPr>
      </w:pPr>
      <w:r w:rsidRPr="008B5BAD">
        <w:rPr>
          <w:i/>
          <w:color w:val="auto"/>
          <w:lang w:val="en-GB"/>
        </w:rPr>
        <w:t>In the Table 24</w:t>
      </w:r>
      <w:r w:rsidR="005629AA" w:rsidRPr="008B5BAD">
        <w:rPr>
          <w:color w:val="000000" w:themeColor="text1"/>
          <w:lang w:val="en-GB"/>
        </w:rPr>
        <w:t>–</w:t>
      </w:r>
      <w:r w:rsidRPr="008B5BAD">
        <w:rPr>
          <w:i/>
          <w:color w:val="auto"/>
          <w:lang w:val="en-GB"/>
        </w:rPr>
        <w:t xml:space="preserve">27, </w:t>
      </w:r>
      <w:r w:rsidR="00B95DCF" w:rsidRPr="008B5BAD">
        <w:rPr>
          <w:i/>
          <w:color w:val="auto"/>
          <w:lang w:val="en-GB"/>
        </w:rPr>
        <w:t>average numbers of teachers in nursery schools up to higher professional schools are provided always as at 30 September of a given year, as they are shown in performance indicators of the Statistical Yearbook o</w:t>
      </w:r>
      <w:r w:rsidR="005712C5" w:rsidRPr="008B5BAD">
        <w:rPr>
          <w:i/>
          <w:color w:val="auto"/>
          <w:lang w:val="en-GB"/>
        </w:rPr>
        <w:t>f</w:t>
      </w:r>
      <w:r w:rsidR="00B95DCF" w:rsidRPr="008B5BAD">
        <w:rPr>
          <w:i/>
          <w:color w:val="auto"/>
          <w:lang w:val="en-GB"/>
        </w:rPr>
        <w:t xml:space="preserve"> Education of the </w:t>
      </w:r>
      <w:r w:rsidR="005712C5" w:rsidRPr="008B5BAD">
        <w:rPr>
          <w:i/>
          <w:iCs/>
          <w:color w:val="auto"/>
          <w:lang w:val="en-GB"/>
        </w:rPr>
        <w:t>Ministry of Education, Youth, and Sports</w:t>
      </w:r>
      <w:r w:rsidR="00F25372" w:rsidRPr="008B5BAD">
        <w:rPr>
          <w:i/>
          <w:color w:val="auto"/>
          <w:lang w:val="en-GB"/>
        </w:rPr>
        <w:t>.</w:t>
      </w:r>
    </w:p>
    <w:p w14:paraId="04ACF7AA" w14:textId="7D817318" w:rsidR="009048CA" w:rsidRPr="008B5BAD" w:rsidRDefault="00F25372" w:rsidP="00A1024F">
      <w:pPr>
        <w:pStyle w:val="Zkladntextodsazen"/>
        <w:ind w:firstLine="709"/>
        <w:rPr>
          <w:i/>
          <w:color w:val="auto"/>
          <w:lang w:val="en-GB"/>
        </w:rPr>
      </w:pPr>
      <w:r w:rsidRPr="008B5BAD">
        <w:rPr>
          <w:i/>
          <w:color w:val="auto"/>
          <w:lang w:val="en-GB"/>
        </w:rPr>
        <w:t>Data on wages of teachers, educators, and teaching assistants in regional education (see the Tables 3</w:t>
      </w:r>
      <w:r w:rsidRPr="008B5BAD">
        <w:rPr>
          <w:color w:val="000000" w:themeColor="text1"/>
          <w:lang w:val="en-GB"/>
        </w:rPr>
        <w:t>–</w:t>
      </w:r>
      <w:r w:rsidRPr="008B5BAD">
        <w:rPr>
          <w:i/>
          <w:color w:val="auto"/>
          <w:lang w:val="en-GB"/>
        </w:rPr>
        <w:t>30 and 3</w:t>
      </w:r>
      <w:r w:rsidRPr="008B5BAD">
        <w:rPr>
          <w:color w:val="000000" w:themeColor="text1"/>
          <w:lang w:val="en-GB"/>
        </w:rPr>
        <w:t>–</w:t>
      </w:r>
      <w:r w:rsidRPr="008B5BAD">
        <w:rPr>
          <w:i/>
          <w:color w:val="auto"/>
          <w:lang w:val="en-GB"/>
        </w:rPr>
        <w:t>31) come from a special processing of data from the structural</w:t>
      </w:r>
      <w:r w:rsidR="00EF6A98" w:rsidRPr="008B5BAD">
        <w:rPr>
          <w:i/>
          <w:color w:val="auto"/>
          <w:lang w:val="en-GB"/>
        </w:rPr>
        <w:t xml:space="preserve"> employee</w:t>
      </w:r>
      <w:r w:rsidRPr="008B5BAD">
        <w:rPr>
          <w:i/>
          <w:color w:val="auto"/>
          <w:lang w:val="en-GB"/>
        </w:rPr>
        <w:t xml:space="preserve"> wage statistics. The category of teachers in regional education</w:t>
      </w:r>
      <w:r w:rsidR="00EF6A98" w:rsidRPr="008B5BAD">
        <w:rPr>
          <w:i/>
          <w:color w:val="auto"/>
          <w:lang w:val="en-GB"/>
        </w:rPr>
        <w:t>, total, includes teachers in nursery schools, basic school</w:t>
      </w:r>
      <w:r w:rsidR="00F3180B">
        <w:rPr>
          <w:i/>
          <w:color w:val="auto"/>
          <w:lang w:val="en-GB"/>
        </w:rPr>
        <w:t>s</w:t>
      </w:r>
      <w:r w:rsidR="00EF6A98" w:rsidRPr="008B5BAD">
        <w:rPr>
          <w:i/>
          <w:color w:val="auto"/>
          <w:lang w:val="en-GB"/>
        </w:rPr>
        <w:t>, and secondary sch</w:t>
      </w:r>
      <w:r w:rsidR="00F3180B">
        <w:rPr>
          <w:i/>
          <w:color w:val="auto"/>
          <w:lang w:val="en-GB"/>
        </w:rPr>
        <w:t>ools (including conservatoires)</w:t>
      </w:r>
      <w:r w:rsidR="00EF6A98" w:rsidRPr="008B5BAD">
        <w:rPr>
          <w:i/>
          <w:color w:val="auto"/>
          <w:lang w:val="en-GB"/>
        </w:rPr>
        <w:t xml:space="preserve"> as well as in higher professional schools. Also those teaching children and pupils with special education needs are included in teachers. In order to specify teachers, corresponding types of </w:t>
      </w:r>
      <w:r w:rsidR="00D275F0" w:rsidRPr="008B5BAD">
        <w:rPr>
          <w:i/>
          <w:color w:val="auto"/>
          <w:lang w:val="en-GB"/>
        </w:rPr>
        <w:t>occupation</w:t>
      </w:r>
      <w:r w:rsidR="00233BC0" w:rsidRPr="008B5BAD">
        <w:rPr>
          <w:i/>
          <w:color w:val="auto"/>
          <w:lang w:val="en-GB"/>
        </w:rPr>
        <w:t>s</w:t>
      </w:r>
      <w:r w:rsidR="00EF6A98" w:rsidRPr="008B5BAD">
        <w:rPr>
          <w:i/>
          <w:color w:val="auto"/>
          <w:lang w:val="en-GB"/>
        </w:rPr>
        <w:t xml:space="preserve"> classified to the</w:t>
      </w:r>
      <w:r w:rsidR="00233BC0" w:rsidRPr="008B5BAD">
        <w:rPr>
          <w:i/>
          <w:color w:val="auto"/>
          <w:lang w:val="en-GB"/>
        </w:rPr>
        <w:t xml:space="preserve"> sub-major</w:t>
      </w:r>
      <w:r w:rsidR="00EF6A98" w:rsidRPr="008B5BAD">
        <w:rPr>
          <w:i/>
          <w:color w:val="auto"/>
          <w:lang w:val="en-GB"/>
        </w:rPr>
        <w:t xml:space="preserve"> group 23 in the Classification of Occupations (CZ-ISCO) were selected. Unlike the methodology used by the MEYS, managers who are also obliged to teach are not included here.     </w:t>
      </w:r>
      <w:r w:rsidRPr="008B5BAD">
        <w:rPr>
          <w:i/>
          <w:color w:val="auto"/>
          <w:lang w:val="en-GB"/>
        </w:rPr>
        <w:t xml:space="preserve">   </w:t>
      </w:r>
    </w:p>
    <w:p w14:paraId="7AA5DABE" w14:textId="77777777" w:rsidR="00A1024F" w:rsidRPr="008B5BAD" w:rsidRDefault="00A1024F" w:rsidP="00A1024F">
      <w:pPr>
        <w:pStyle w:val="Zkladntextodsazen"/>
        <w:ind w:firstLine="0"/>
        <w:rPr>
          <w:color w:val="auto"/>
          <w:lang w:val="en-GB"/>
        </w:rPr>
      </w:pPr>
    </w:p>
    <w:p w14:paraId="5CEB4196" w14:textId="77777777" w:rsidR="00891232" w:rsidRDefault="00F10E3B" w:rsidP="00A1024F">
      <w:pPr>
        <w:pStyle w:val="Zkladntextodsazen"/>
        <w:rPr>
          <w:color w:val="auto"/>
          <w:lang w:val="en-GB"/>
        </w:rPr>
      </w:pPr>
      <w:r w:rsidRPr="008B5BAD">
        <w:rPr>
          <w:i/>
          <w:color w:val="auto"/>
          <w:lang w:val="en-GB"/>
        </w:rPr>
        <w:t xml:space="preserve">Besides data on teachers, </w:t>
      </w:r>
      <w:r w:rsidR="00FE6BEA" w:rsidRPr="008B5BAD">
        <w:rPr>
          <w:i/>
          <w:color w:val="auto"/>
          <w:lang w:val="en-GB"/>
        </w:rPr>
        <w:t>also data on the structure of wages of educators and teaching assistants have been processed. The following belong to teaching assistants in regional education: assistants to teachers, assistants to educators, and teaching assistants in</w:t>
      </w:r>
      <w:r w:rsidR="0030788E" w:rsidRPr="008B5BAD">
        <w:rPr>
          <w:i/>
          <w:color w:val="auto"/>
          <w:lang w:val="en-GB"/>
        </w:rPr>
        <w:t xml:space="preserve"> </w:t>
      </w:r>
      <w:r w:rsidR="005E597D" w:rsidRPr="008B5BAD">
        <w:rPr>
          <w:i/>
          <w:color w:val="auto"/>
          <w:lang w:val="en-GB"/>
        </w:rPr>
        <w:t>consulting</w:t>
      </w:r>
      <w:r w:rsidR="003F50C4" w:rsidRPr="008B5BAD">
        <w:rPr>
          <w:i/>
          <w:color w:val="auto"/>
          <w:lang w:val="en-GB"/>
        </w:rPr>
        <w:t xml:space="preserve"> </w:t>
      </w:r>
      <w:r w:rsidR="006D1377">
        <w:rPr>
          <w:i/>
          <w:color w:val="auto"/>
          <w:lang w:val="en-GB"/>
        </w:rPr>
        <w:t>facilities</w:t>
      </w:r>
      <w:r w:rsidR="00184756" w:rsidRPr="008B5BAD">
        <w:rPr>
          <w:i/>
          <w:color w:val="auto"/>
          <w:lang w:val="en-GB"/>
        </w:rPr>
        <w:t xml:space="preserve">. The category of educators in regional education does not include educators for people with special education needs.  </w:t>
      </w:r>
      <w:r w:rsidR="00184756" w:rsidRPr="008B5BAD">
        <w:rPr>
          <w:color w:val="auto"/>
          <w:lang w:val="en-GB"/>
        </w:rPr>
        <w:t xml:space="preserve">   </w:t>
      </w:r>
    </w:p>
    <w:p w14:paraId="47C5AEBF" w14:textId="29592B9F" w:rsidR="00184756" w:rsidRPr="008B5BAD" w:rsidRDefault="00184756" w:rsidP="00A1024F">
      <w:pPr>
        <w:pStyle w:val="Zkladntextodsazen"/>
        <w:rPr>
          <w:color w:val="auto"/>
          <w:lang w:val="en-GB"/>
        </w:rPr>
      </w:pPr>
      <w:r w:rsidRPr="008B5BAD">
        <w:rPr>
          <w:color w:val="auto"/>
          <w:lang w:val="en-GB"/>
        </w:rPr>
        <w:t xml:space="preserve">                     </w:t>
      </w:r>
    </w:p>
    <w:p w14:paraId="05CDBBD1" w14:textId="2C0D3715" w:rsidR="00A916CE" w:rsidRPr="008B5BAD" w:rsidRDefault="00A916CE" w:rsidP="00A916CE">
      <w:pPr>
        <w:pStyle w:val="Zkladntextodsazen"/>
        <w:tabs>
          <w:tab w:val="left" w:pos="708"/>
        </w:tabs>
        <w:rPr>
          <w:i/>
          <w:color w:val="auto"/>
          <w:lang w:val="en-GB"/>
        </w:rPr>
      </w:pPr>
      <w:r w:rsidRPr="008B5BAD">
        <w:rPr>
          <w:i/>
          <w:color w:val="auto"/>
          <w:lang w:val="en-GB"/>
        </w:rPr>
        <w:t>Detailed</w:t>
      </w:r>
      <w:r w:rsidR="00C30AEF">
        <w:rPr>
          <w:i/>
          <w:color w:val="auto"/>
          <w:lang w:val="en-GB"/>
        </w:rPr>
        <w:t xml:space="preserve"> methodological</w:t>
      </w:r>
      <w:r w:rsidRPr="008B5BAD">
        <w:rPr>
          <w:i/>
          <w:color w:val="auto"/>
          <w:lang w:val="en-GB"/>
        </w:rPr>
        <w:t xml:space="preserve"> information and other statistical data can be found in the publication of the CZSO “Wages of teachers in regional education - 2013</w:t>
      </w:r>
      <w:r w:rsidRPr="008B5BAD">
        <w:rPr>
          <w:i/>
          <w:color w:val="000000" w:themeColor="text1"/>
          <w:lang w:val="en-GB"/>
        </w:rPr>
        <w:t xml:space="preserve">–2020” (Czech only; publication code: </w:t>
      </w:r>
      <w:r w:rsidRPr="008B5BAD">
        <w:rPr>
          <w:i/>
          <w:color w:val="auto"/>
          <w:lang w:val="en-GB"/>
        </w:rPr>
        <w:t xml:space="preserve">230069-21), which is available for free on the website of the CZSO at: </w:t>
      </w:r>
      <w:hyperlink r:id="rId9" w:history="1">
        <w:r w:rsidRPr="008B5BAD">
          <w:rPr>
            <w:rStyle w:val="Hypertextovodkaz"/>
            <w:i/>
            <w:color w:val="auto"/>
            <w:lang w:val="en-GB"/>
          </w:rPr>
          <w:t>https://www.czso.cz/csu/czso/mzdy-ucitelu-v-regionalnim-skolstvi-20132020</w:t>
        </w:r>
      </w:hyperlink>
      <w:r w:rsidRPr="008B5BAD">
        <w:rPr>
          <w:rStyle w:val="Hypertextovodkaz"/>
          <w:i/>
          <w:color w:val="auto"/>
          <w:u w:val="none"/>
          <w:lang w:val="en-GB"/>
        </w:rPr>
        <w:t>.</w:t>
      </w:r>
    </w:p>
    <w:p w14:paraId="40AB0004" w14:textId="77777777" w:rsidR="00A1024F" w:rsidRPr="008B5BAD" w:rsidRDefault="00A1024F" w:rsidP="00A1024F">
      <w:pPr>
        <w:pStyle w:val="Zkladntextodsazen"/>
        <w:ind w:firstLine="0"/>
        <w:rPr>
          <w:color w:val="auto"/>
          <w:lang w:val="en-GB"/>
        </w:rPr>
      </w:pPr>
    </w:p>
    <w:p w14:paraId="7B2C710A" w14:textId="7A1A7148" w:rsidR="00A1024F" w:rsidRPr="008B5BAD" w:rsidRDefault="00D27FB5" w:rsidP="00A1024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i/>
          <w:color w:val="auto"/>
          <w:lang w:val="en-GB"/>
        </w:rPr>
      </w:pPr>
      <w:r w:rsidRPr="008B5BAD">
        <w:rPr>
          <w:b/>
          <w:i/>
          <w:color w:val="auto"/>
          <w:lang w:val="en-GB"/>
        </w:rPr>
        <w:t>Notes on tables on academics</w:t>
      </w:r>
      <w:r w:rsidR="00C30AEF">
        <w:rPr>
          <w:b/>
          <w:i/>
          <w:color w:val="auto"/>
          <w:lang w:val="en-GB"/>
        </w:rPr>
        <w:t xml:space="preserve"> (academic staff)</w:t>
      </w:r>
      <w:r w:rsidRPr="008B5BAD">
        <w:rPr>
          <w:b/>
          <w:i/>
          <w:color w:val="auto"/>
          <w:lang w:val="en-GB"/>
        </w:rPr>
        <w:t xml:space="preserve"> in universities</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32 a</w:t>
      </w:r>
      <w:r w:rsidRPr="008B5BAD">
        <w:rPr>
          <w:b/>
          <w:i/>
          <w:color w:val="auto"/>
          <w:lang w:val="en-GB"/>
        </w:rPr>
        <w:t>nd</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33</w:t>
      </w:r>
      <w:r w:rsidR="00A1024F" w:rsidRPr="008B5BAD">
        <w:rPr>
          <w:i/>
          <w:color w:val="auto"/>
          <w:lang w:val="en-GB"/>
        </w:rPr>
        <w:t xml:space="preserve"> </w:t>
      </w:r>
    </w:p>
    <w:p w14:paraId="72F999CC" w14:textId="77777777" w:rsidR="00345B17" w:rsidRPr="008B5BAD" w:rsidRDefault="00345B17" w:rsidP="00EE1F04">
      <w:pPr>
        <w:pStyle w:val="Zkladntextodsazen"/>
        <w:ind w:firstLine="0"/>
        <w:rPr>
          <w:color w:val="auto"/>
          <w:lang w:val="en-GB"/>
        </w:rPr>
      </w:pPr>
    </w:p>
    <w:p w14:paraId="6C8E090A" w14:textId="240D61A8" w:rsidR="00EE1F04" w:rsidRPr="008B5BAD" w:rsidRDefault="00345B17" w:rsidP="00B41908">
      <w:pPr>
        <w:pStyle w:val="Zkladntextodsazen"/>
        <w:rPr>
          <w:i/>
          <w:color w:val="auto"/>
          <w:lang w:val="en-GB"/>
        </w:rPr>
      </w:pPr>
      <w:r w:rsidRPr="008B5BAD">
        <w:rPr>
          <w:i/>
          <w:color w:val="auto"/>
          <w:lang w:val="en-GB"/>
        </w:rPr>
        <w:t>Academics (academic staff; see the definition above) include teaching staff of research, development, and innovation, professors, associate professors</w:t>
      </w:r>
      <w:r w:rsidR="009B2E99" w:rsidRPr="008B5BAD">
        <w:rPr>
          <w:i/>
          <w:color w:val="auto"/>
          <w:lang w:val="en-GB"/>
        </w:rPr>
        <w:t xml:space="preserve"> (readers)</w:t>
      </w:r>
      <w:r w:rsidRPr="008B5BAD">
        <w:rPr>
          <w:i/>
          <w:color w:val="auto"/>
          <w:lang w:val="en-GB"/>
        </w:rPr>
        <w:t>, assistant professors, assistants, and</w:t>
      </w:r>
      <w:r w:rsidR="00B41908" w:rsidRPr="008B5BAD">
        <w:rPr>
          <w:i/>
          <w:color w:val="auto"/>
          <w:lang w:val="en-GB"/>
        </w:rPr>
        <w:t xml:space="preserve"> </w:t>
      </w:r>
      <w:r w:rsidR="009B2E99" w:rsidRPr="008B5BAD">
        <w:rPr>
          <w:i/>
          <w:color w:val="auto"/>
          <w:lang w:val="en-GB"/>
        </w:rPr>
        <w:t>(</w:t>
      </w:r>
      <w:r w:rsidR="00B41908" w:rsidRPr="008B5BAD">
        <w:rPr>
          <w:i/>
          <w:color w:val="auto"/>
          <w:lang w:val="en-GB"/>
        </w:rPr>
        <w:t>junior</w:t>
      </w:r>
      <w:r w:rsidR="009B2E99" w:rsidRPr="008B5BAD">
        <w:rPr>
          <w:i/>
          <w:color w:val="auto"/>
          <w:lang w:val="en-GB"/>
        </w:rPr>
        <w:t>)</w:t>
      </w:r>
      <w:r w:rsidR="00B41908" w:rsidRPr="008B5BAD">
        <w:rPr>
          <w:i/>
          <w:color w:val="auto"/>
          <w:lang w:val="en-GB"/>
        </w:rPr>
        <w:t xml:space="preserve"> </w:t>
      </w:r>
      <w:r w:rsidRPr="008B5BAD">
        <w:rPr>
          <w:i/>
          <w:color w:val="auto"/>
          <w:lang w:val="en-GB"/>
        </w:rPr>
        <w:t>lecturers.</w:t>
      </w:r>
      <w:r w:rsidR="00B41908" w:rsidRPr="008B5BAD">
        <w:rPr>
          <w:i/>
          <w:color w:val="auto"/>
          <w:lang w:val="en-GB"/>
        </w:rPr>
        <w:t xml:space="preserve"> Assistants, </w:t>
      </w:r>
      <w:r w:rsidR="004B242F" w:rsidRPr="008B5BAD">
        <w:rPr>
          <w:i/>
          <w:color w:val="auto"/>
          <w:lang w:val="en-GB"/>
        </w:rPr>
        <w:t>(</w:t>
      </w:r>
      <w:r w:rsidR="00B41908" w:rsidRPr="008B5BAD">
        <w:rPr>
          <w:i/>
          <w:color w:val="auto"/>
          <w:lang w:val="en-GB"/>
        </w:rPr>
        <w:t>junior</w:t>
      </w:r>
      <w:r w:rsidR="004B242F" w:rsidRPr="008B5BAD">
        <w:rPr>
          <w:i/>
          <w:color w:val="auto"/>
          <w:lang w:val="en-GB"/>
        </w:rPr>
        <w:t>)</w:t>
      </w:r>
      <w:r w:rsidR="00B41908" w:rsidRPr="008B5BAD">
        <w:rPr>
          <w:i/>
          <w:color w:val="auto"/>
          <w:lang w:val="en-GB"/>
        </w:rPr>
        <w:t xml:space="preserve"> lecturers, and research workers contributing to pedagogical activities are included in the category </w:t>
      </w:r>
      <w:r w:rsidR="00B41908" w:rsidRPr="008B5BAD">
        <w:rPr>
          <w:b/>
          <w:i/>
          <w:color w:val="auto"/>
          <w:lang w:val="en-GB"/>
        </w:rPr>
        <w:t>other</w:t>
      </w:r>
      <w:r w:rsidR="00B41908" w:rsidRPr="008B5BAD">
        <w:rPr>
          <w:i/>
          <w:color w:val="auto"/>
          <w:lang w:val="en-GB"/>
        </w:rPr>
        <w:t xml:space="preserve"> in tables. </w:t>
      </w:r>
      <w:r w:rsidR="00020581" w:rsidRPr="008B5BAD">
        <w:rPr>
          <w:i/>
          <w:color w:val="auto"/>
          <w:lang w:val="en-GB"/>
        </w:rPr>
        <w:t>In this publication, employees of two state universities are not included in academics due to different data collection. T</w:t>
      </w:r>
      <w:r w:rsidR="008D557D">
        <w:rPr>
          <w:i/>
          <w:color w:val="auto"/>
          <w:lang w:val="en-GB"/>
        </w:rPr>
        <w:t>he T</w:t>
      </w:r>
      <w:r w:rsidR="00020581" w:rsidRPr="008B5BAD">
        <w:rPr>
          <w:i/>
          <w:color w:val="auto"/>
          <w:lang w:val="en-GB"/>
        </w:rPr>
        <w:t>able 3</w:t>
      </w:r>
      <w:r w:rsidR="00020581" w:rsidRPr="008B5BAD">
        <w:rPr>
          <w:color w:val="000000" w:themeColor="text1"/>
          <w:lang w:val="en-GB"/>
        </w:rPr>
        <w:t>–</w:t>
      </w:r>
      <w:r w:rsidR="00020581" w:rsidRPr="008B5BAD">
        <w:rPr>
          <w:i/>
          <w:color w:val="auto"/>
          <w:lang w:val="en-GB"/>
        </w:rPr>
        <w:t xml:space="preserve">33 shows average monthly wages without </w:t>
      </w:r>
      <w:r w:rsidR="003F0652" w:rsidRPr="008B5BAD">
        <w:rPr>
          <w:i/>
          <w:color w:val="auto"/>
          <w:lang w:val="en-GB"/>
        </w:rPr>
        <w:t xml:space="preserve">other personnel </w:t>
      </w:r>
      <w:r w:rsidR="00020581" w:rsidRPr="008B5BAD">
        <w:rPr>
          <w:i/>
          <w:color w:val="auto"/>
          <w:lang w:val="en-GB"/>
        </w:rPr>
        <w:t xml:space="preserve">expenses and other payments for work done. Data are reported for calendar years. </w:t>
      </w:r>
    </w:p>
    <w:p w14:paraId="1FFDAE0F" w14:textId="77777777" w:rsidR="00B41908" w:rsidRPr="008B5BAD" w:rsidRDefault="00B41908" w:rsidP="003F0652">
      <w:pPr>
        <w:pStyle w:val="Zkladntextodsazen"/>
        <w:ind w:firstLine="0"/>
        <w:jc w:val="left"/>
        <w:rPr>
          <w:i/>
          <w:color w:val="auto"/>
          <w:lang w:val="en-GB"/>
        </w:rPr>
      </w:pPr>
    </w:p>
    <w:p w14:paraId="620B3ECD" w14:textId="77777777" w:rsidR="00A1024F" w:rsidRPr="008B5BAD" w:rsidRDefault="00A1024F" w:rsidP="00A1024F">
      <w:pPr>
        <w:pStyle w:val="Zkladntextodsazen"/>
        <w:ind w:firstLine="0"/>
        <w:rPr>
          <w:i/>
          <w:color w:val="auto"/>
          <w:lang w:val="en-GB"/>
        </w:rPr>
      </w:pPr>
    </w:p>
    <w:p w14:paraId="64753801" w14:textId="611D73D6" w:rsidR="00A1024F" w:rsidRPr="008B5BAD" w:rsidRDefault="005B4441" w:rsidP="00A1024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b/>
          <w:i/>
          <w:color w:val="auto"/>
          <w:lang w:val="en-GB"/>
        </w:rPr>
      </w:pPr>
      <w:r w:rsidRPr="008B5BAD">
        <w:rPr>
          <w:b/>
          <w:i/>
          <w:color w:val="auto"/>
          <w:lang w:val="en-GB"/>
        </w:rPr>
        <w:t>Notes on tables with i</w:t>
      </w:r>
      <w:r w:rsidR="008D557D">
        <w:rPr>
          <w:b/>
          <w:i/>
          <w:color w:val="auto"/>
          <w:lang w:val="en-GB"/>
        </w:rPr>
        <w:t>nternational comparisons 3</w:t>
      </w:r>
      <w:r w:rsidR="008D557D" w:rsidRPr="008B5BAD">
        <w:rPr>
          <w:b/>
          <w:i/>
          <w:color w:val="000000" w:themeColor="text1"/>
          <w:lang w:val="en-GB"/>
        </w:rPr>
        <w:t>–</w:t>
      </w:r>
      <w:r w:rsidR="008D557D">
        <w:rPr>
          <w:b/>
          <w:i/>
          <w:color w:val="auto"/>
          <w:lang w:val="en-GB"/>
        </w:rPr>
        <w:t>34 through</w:t>
      </w:r>
      <w:r w:rsidR="00A1024F" w:rsidRPr="008B5BAD">
        <w:rPr>
          <w:b/>
          <w:i/>
          <w:color w:val="auto"/>
          <w:lang w:val="en-GB"/>
        </w:rPr>
        <w:t xml:space="preserve"> 3</w:t>
      </w:r>
      <w:r w:rsidR="008D557D" w:rsidRPr="008B5BAD">
        <w:rPr>
          <w:b/>
          <w:i/>
          <w:color w:val="000000" w:themeColor="text1"/>
          <w:lang w:val="en-GB"/>
        </w:rPr>
        <w:t>–</w:t>
      </w:r>
      <w:r w:rsidR="00A1024F" w:rsidRPr="008B5BAD">
        <w:rPr>
          <w:b/>
          <w:i/>
          <w:color w:val="auto"/>
          <w:lang w:val="en-GB"/>
        </w:rPr>
        <w:t xml:space="preserve">41 </w:t>
      </w:r>
    </w:p>
    <w:p w14:paraId="7FF27007" w14:textId="77777777" w:rsidR="00A1024F" w:rsidRPr="008B5BAD" w:rsidRDefault="00A1024F" w:rsidP="00A1024F">
      <w:pPr>
        <w:pStyle w:val="Zkladntextodsazen"/>
        <w:ind w:firstLine="0"/>
        <w:rPr>
          <w:i/>
          <w:color w:val="auto"/>
          <w:lang w:val="en-GB"/>
        </w:rPr>
      </w:pPr>
    </w:p>
    <w:p w14:paraId="12C0AB71" w14:textId="18116AF9" w:rsidR="00A1024F" w:rsidRPr="008B5BAD" w:rsidRDefault="00403F9D" w:rsidP="004A4A30">
      <w:pPr>
        <w:pStyle w:val="Zkladntextodsazen"/>
        <w:ind w:firstLine="709"/>
        <w:rPr>
          <w:i/>
          <w:color w:val="auto"/>
          <w:lang w:val="en-GB"/>
        </w:rPr>
      </w:pPr>
      <w:r w:rsidRPr="008B5BAD">
        <w:rPr>
          <w:i/>
          <w:color w:val="auto"/>
          <w:lang w:val="en-GB"/>
        </w:rPr>
        <w:t xml:space="preserve">Data published by Eurostat on the Czech Republic slightly differ from </w:t>
      </w:r>
      <w:r w:rsidR="00620FB3">
        <w:rPr>
          <w:i/>
          <w:color w:val="auto"/>
          <w:lang w:val="en-GB"/>
        </w:rPr>
        <w:t xml:space="preserve">the </w:t>
      </w:r>
      <w:r w:rsidRPr="008B5BAD">
        <w:rPr>
          <w:i/>
          <w:color w:val="auto"/>
          <w:lang w:val="en-GB"/>
        </w:rPr>
        <w:t xml:space="preserve">data provided by the CZSO on the Czech Republic. For international comparisons, a unified methodology has to be determined, which may not be equal to the methodology </w:t>
      </w:r>
      <w:r w:rsidR="004A4A30" w:rsidRPr="008B5BAD">
        <w:rPr>
          <w:i/>
          <w:color w:val="auto"/>
          <w:lang w:val="en-GB"/>
        </w:rPr>
        <w:t>usually used in individual countries. For methodology used by Eurostat see the</w:t>
      </w:r>
      <w:r w:rsidR="00561707">
        <w:rPr>
          <w:i/>
          <w:color w:val="auto"/>
          <w:lang w:val="en-GB"/>
        </w:rPr>
        <w:t>ir</w:t>
      </w:r>
      <w:r w:rsidR="004A4A30" w:rsidRPr="008B5BAD">
        <w:rPr>
          <w:i/>
          <w:color w:val="auto"/>
          <w:lang w:val="en-GB"/>
        </w:rPr>
        <w:t xml:space="preserve"> website: </w:t>
      </w:r>
      <w:hyperlink r:id="rId10" w:history="1">
        <w:r w:rsidR="00A1024F" w:rsidRPr="008B5BAD">
          <w:rPr>
            <w:rStyle w:val="Hypertextovodkaz"/>
            <w:i/>
            <w:lang w:val="en-GB"/>
          </w:rPr>
          <w:t>https://ec.europa.eu/eurostat/web/main/data/database</w:t>
        </w:r>
      </w:hyperlink>
      <w:r w:rsidR="00A1024F" w:rsidRPr="008B5BAD">
        <w:rPr>
          <w:i/>
          <w:color w:val="auto"/>
          <w:lang w:val="en-GB"/>
        </w:rPr>
        <w:t>.</w:t>
      </w:r>
    </w:p>
    <w:p w14:paraId="047DBAF0" w14:textId="77777777" w:rsidR="00A1024F" w:rsidRPr="008B5BAD" w:rsidRDefault="00A1024F" w:rsidP="00A1024F">
      <w:pPr>
        <w:pStyle w:val="Zkladntextodsazen"/>
        <w:tabs>
          <w:tab w:val="left" w:pos="708"/>
        </w:tabs>
        <w:ind w:firstLine="0"/>
        <w:rPr>
          <w:i/>
          <w:color w:val="auto"/>
          <w:lang w:val="en-GB"/>
        </w:rPr>
      </w:pPr>
    </w:p>
    <w:p w14:paraId="66793518" w14:textId="1C46B921" w:rsidR="00A1024F" w:rsidRPr="008B5BAD" w:rsidRDefault="00AF5E01" w:rsidP="00A1024F">
      <w:pPr>
        <w:pStyle w:val="Zkladntextodsazen"/>
        <w:tabs>
          <w:tab w:val="left" w:pos="708"/>
        </w:tabs>
        <w:rPr>
          <w:b/>
          <w:i/>
          <w:color w:val="auto"/>
          <w:lang w:val="en-GB"/>
        </w:rPr>
      </w:pPr>
      <w:r w:rsidRPr="008B5BAD">
        <w:rPr>
          <w:b/>
          <w:i/>
          <w:color w:val="auto"/>
          <w:lang w:val="en-GB"/>
        </w:rPr>
        <w:t>Further</w:t>
      </w:r>
      <w:r w:rsidR="00A1024F" w:rsidRPr="008B5BAD">
        <w:rPr>
          <w:b/>
          <w:i/>
          <w:color w:val="auto"/>
          <w:lang w:val="en-GB"/>
        </w:rPr>
        <w:t xml:space="preserve"> informa</w:t>
      </w:r>
      <w:r w:rsidRPr="008B5BAD">
        <w:rPr>
          <w:b/>
          <w:i/>
          <w:color w:val="auto"/>
          <w:lang w:val="en-GB"/>
        </w:rPr>
        <w:t>tion</w:t>
      </w:r>
      <w:r w:rsidR="00A1024F" w:rsidRPr="008B5BAD">
        <w:rPr>
          <w:b/>
          <w:i/>
          <w:color w:val="auto"/>
          <w:lang w:val="en-GB"/>
        </w:rPr>
        <w:t>, data</w:t>
      </w:r>
      <w:r w:rsidRPr="008B5BAD">
        <w:rPr>
          <w:b/>
          <w:i/>
          <w:color w:val="auto"/>
          <w:lang w:val="en-GB"/>
        </w:rPr>
        <w:t>,</w:t>
      </w:r>
      <w:r w:rsidR="00A1024F" w:rsidRPr="008B5BAD">
        <w:rPr>
          <w:b/>
          <w:i/>
          <w:color w:val="auto"/>
          <w:lang w:val="en-GB"/>
        </w:rPr>
        <w:t xml:space="preserve"> a</w:t>
      </w:r>
      <w:r w:rsidRPr="008B5BAD">
        <w:rPr>
          <w:b/>
          <w:i/>
          <w:color w:val="auto"/>
          <w:lang w:val="en-GB"/>
        </w:rPr>
        <w:t>nd</w:t>
      </w:r>
      <w:r w:rsidR="00A1024F" w:rsidRPr="008B5BAD">
        <w:rPr>
          <w:b/>
          <w:i/>
          <w:color w:val="auto"/>
          <w:lang w:val="en-GB"/>
        </w:rPr>
        <w:t xml:space="preserve"> anal</w:t>
      </w:r>
      <w:r w:rsidRPr="008B5BAD">
        <w:rPr>
          <w:b/>
          <w:i/>
          <w:color w:val="auto"/>
          <w:lang w:val="en-GB"/>
        </w:rPr>
        <w:t>yses of the CZSO can be found on the websites</w:t>
      </w:r>
      <w:r w:rsidR="00A23B3C">
        <w:rPr>
          <w:b/>
          <w:i/>
          <w:color w:val="auto"/>
          <w:lang w:val="en-GB"/>
        </w:rPr>
        <w:t xml:space="preserve"> mentioned</w:t>
      </w:r>
      <w:r w:rsidRPr="008B5BAD">
        <w:rPr>
          <w:b/>
          <w:i/>
          <w:color w:val="auto"/>
          <w:lang w:val="en-GB"/>
        </w:rPr>
        <w:t xml:space="preserve"> below:</w:t>
      </w:r>
    </w:p>
    <w:p w14:paraId="52F6C47E" w14:textId="77777777" w:rsidR="00A1024F" w:rsidRPr="008B5BAD" w:rsidRDefault="00A1024F" w:rsidP="00A1024F">
      <w:pPr>
        <w:pStyle w:val="Zkladntextodsazen"/>
        <w:ind w:firstLine="0"/>
        <w:rPr>
          <w:i/>
          <w:color w:val="auto"/>
          <w:lang w:val="en-GB"/>
        </w:rPr>
      </w:pPr>
    </w:p>
    <w:p w14:paraId="5FDCE964" w14:textId="77777777" w:rsidR="00A1024F" w:rsidRPr="008B5BAD" w:rsidRDefault="005B4441" w:rsidP="00A1024F">
      <w:pPr>
        <w:pStyle w:val="Zkladntextodsazen"/>
        <w:tabs>
          <w:tab w:val="left" w:pos="708"/>
        </w:tabs>
        <w:spacing w:after="40"/>
        <w:ind w:firstLine="0"/>
        <w:jc w:val="left"/>
        <w:rPr>
          <w:i/>
          <w:color w:val="auto"/>
          <w:lang w:val="en-GB"/>
        </w:rPr>
      </w:pPr>
      <w:r w:rsidRPr="008B5BAD">
        <w:rPr>
          <w:i/>
          <w:color w:val="auto"/>
          <w:lang w:val="en-GB"/>
        </w:rPr>
        <w:t>Publications devoted to education</w:t>
      </w:r>
      <w:r w:rsidR="00A1024F" w:rsidRPr="008B5BAD">
        <w:rPr>
          <w:i/>
          <w:color w:val="auto"/>
          <w:lang w:val="en-GB"/>
        </w:rPr>
        <w:t xml:space="preserve">: </w:t>
      </w:r>
      <w:hyperlink r:id="rId11" w:history="1">
        <w:r w:rsidR="00A1024F" w:rsidRPr="008B5BAD">
          <w:rPr>
            <w:rStyle w:val="Hypertextovodkaz"/>
            <w:i/>
            <w:lang w:val="en-GB"/>
          </w:rPr>
          <w:t>https://www.czso.cz/csu/czso/vzdelavani</w:t>
        </w:r>
      </w:hyperlink>
      <w:r w:rsidR="00A1024F" w:rsidRPr="008B5BAD">
        <w:rPr>
          <w:i/>
          <w:color w:val="auto"/>
          <w:lang w:val="en-GB"/>
        </w:rPr>
        <w:t xml:space="preserve"> </w:t>
      </w:r>
    </w:p>
    <w:p w14:paraId="38F29671" w14:textId="77777777" w:rsidR="00A1024F" w:rsidRPr="008B5BAD" w:rsidRDefault="005B4441" w:rsidP="00A1024F">
      <w:pPr>
        <w:pStyle w:val="Zkladntextodsazen"/>
        <w:tabs>
          <w:tab w:val="left" w:pos="708"/>
        </w:tabs>
        <w:spacing w:after="40"/>
        <w:ind w:firstLine="0"/>
        <w:jc w:val="left"/>
        <w:rPr>
          <w:i/>
          <w:color w:val="auto"/>
          <w:lang w:val="en-GB"/>
        </w:rPr>
      </w:pPr>
      <w:r w:rsidRPr="008B5BAD">
        <w:rPr>
          <w:i/>
          <w:color w:val="auto"/>
          <w:lang w:val="en-GB"/>
        </w:rPr>
        <w:t>Statistical Yearbook of the Czech Republic</w:t>
      </w:r>
      <w:r w:rsidR="00A1024F" w:rsidRPr="008B5BAD">
        <w:rPr>
          <w:i/>
          <w:color w:val="auto"/>
          <w:lang w:val="en-GB"/>
        </w:rPr>
        <w:t xml:space="preserve">: </w:t>
      </w:r>
      <w:hyperlink r:id="rId12" w:history="1">
        <w:r w:rsidR="00A1024F" w:rsidRPr="008B5BAD">
          <w:rPr>
            <w:rStyle w:val="Hypertextovodkaz"/>
            <w:i/>
            <w:lang w:val="en-GB"/>
          </w:rPr>
          <w:t>https://www.czso.cz/csu/czso/statisticka-rocenka-ceske-republiky-lxnk9quszp</w:t>
        </w:r>
      </w:hyperlink>
      <w:r w:rsidR="00A1024F" w:rsidRPr="008B5BAD">
        <w:rPr>
          <w:i/>
          <w:color w:val="auto"/>
          <w:lang w:val="en-GB"/>
        </w:rPr>
        <w:t xml:space="preserve"> </w:t>
      </w:r>
    </w:p>
    <w:p w14:paraId="4D824338" w14:textId="77777777" w:rsidR="00A1024F" w:rsidRPr="008B5BAD" w:rsidRDefault="005B4441" w:rsidP="00A1024F">
      <w:pPr>
        <w:pStyle w:val="Zkladntextodsazen"/>
        <w:spacing w:after="40"/>
        <w:ind w:firstLine="0"/>
        <w:rPr>
          <w:rStyle w:val="Hypertextovodkaz"/>
          <w:i/>
          <w:lang w:val="en-GB"/>
        </w:rPr>
      </w:pPr>
      <w:r w:rsidRPr="008B5BAD">
        <w:rPr>
          <w:i/>
          <w:color w:val="auto"/>
          <w:lang w:val="en-GB"/>
        </w:rPr>
        <w:t>Regional yearbooks</w:t>
      </w:r>
      <w:r w:rsidR="00A1024F" w:rsidRPr="008B5BAD">
        <w:rPr>
          <w:i/>
          <w:color w:val="auto"/>
          <w:lang w:val="en-GB"/>
        </w:rPr>
        <w:t xml:space="preserve">: </w:t>
      </w:r>
      <w:hyperlink r:id="rId13" w:anchor="10a" w:history="1">
        <w:r w:rsidR="00A1024F" w:rsidRPr="008B5BAD">
          <w:rPr>
            <w:rStyle w:val="Hypertextovodkaz"/>
            <w:i/>
            <w:lang w:val="en-GB"/>
          </w:rPr>
          <w:t>https://www.czso.cz/csu/czso/krajske-rocenky#10a</w:t>
        </w:r>
      </w:hyperlink>
    </w:p>
    <w:p w14:paraId="195990D7" w14:textId="77777777" w:rsidR="001D0610" w:rsidRPr="008B5BAD" w:rsidRDefault="001D0610" w:rsidP="00BC582B">
      <w:pPr>
        <w:pStyle w:val="Zkladntextodsazen"/>
        <w:ind w:firstLine="0"/>
        <w:rPr>
          <w:i/>
          <w:iCs/>
          <w:color w:val="auto"/>
          <w:lang w:val="en-GB"/>
        </w:rPr>
      </w:pPr>
    </w:p>
    <w:sectPr w:rsidR="001D0610" w:rsidRPr="008B5BAD" w:rsidSect="004B72B8">
      <w:footerReference w:type="even" r:id="rId14"/>
      <w:pgSz w:w="11906" w:h="16838"/>
      <w:pgMar w:top="1134" w:right="1134" w:bottom="1418" w:left="993"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86DF" w14:textId="77777777" w:rsidR="00736F74" w:rsidRDefault="00736F74">
      <w:r>
        <w:separator/>
      </w:r>
    </w:p>
  </w:endnote>
  <w:endnote w:type="continuationSeparator" w:id="0">
    <w:p w14:paraId="5FA72498" w14:textId="77777777" w:rsidR="00736F74" w:rsidRDefault="0073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F637" w14:textId="77777777" w:rsidR="002C21B7" w:rsidRDefault="00943366">
    <w:pPr>
      <w:pStyle w:val="Zpat"/>
      <w:framePr w:wrap="around" w:vAnchor="text" w:hAnchor="margin" w:xAlign="center" w:y="1"/>
      <w:rPr>
        <w:rStyle w:val="slostrnky"/>
      </w:rPr>
    </w:pPr>
    <w:r>
      <w:rPr>
        <w:rStyle w:val="slostrnky"/>
      </w:rPr>
      <w:fldChar w:fldCharType="begin"/>
    </w:r>
    <w:r w:rsidR="002C21B7">
      <w:rPr>
        <w:rStyle w:val="slostrnky"/>
      </w:rPr>
      <w:instrText xml:space="preserve">PAGE  </w:instrText>
    </w:r>
    <w:r>
      <w:rPr>
        <w:rStyle w:val="slostrnky"/>
      </w:rPr>
      <w:fldChar w:fldCharType="end"/>
    </w:r>
  </w:p>
  <w:p w14:paraId="698D5898" w14:textId="77777777" w:rsidR="002C21B7" w:rsidRDefault="002C21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0B1F" w14:textId="77777777" w:rsidR="00736F74" w:rsidRDefault="00736F74">
      <w:r>
        <w:separator/>
      </w:r>
    </w:p>
  </w:footnote>
  <w:footnote w:type="continuationSeparator" w:id="0">
    <w:p w14:paraId="4E1C5382" w14:textId="77777777" w:rsidR="00736F74" w:rsidRDefault="00736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6E"/>
    <w:rsid w:val="00005CF5"/>
    <w:rsid w:val="00016D3F"/>
    <w:rsid w:val="000173D6"/>
    <w:rsid w:val="000200D7"/>
    <w:rsid w:val="00020581"/>
    <w:rsid w:val="00020C97"/>
    <w:rsid w:val="00021563"/>
    <w:rsid w:val="00021658"/>
    <w:rsid w:val="000231B1"/>
    <w:rsid w:val="00025792"/>
    <w:rsid w:val="0002705B"/>
    <w:rsid w:val="00032E7C"/>
    <w:rsid w:val="00034B9F"/>
    <w:rsid w:val="00034C4C"/>
    <w:rsid w:val="00042C78"/>
    <w:rsid w:val="000543FF"/>
    <w:rsid w:val="0005484C"/>
    <w:rsid w:val="000609A6"/>
    <w:rsid w:val="00064015"/>
    <w:rsid w:val="000666A7"/>
    <w:rsid w:val="000725B9"/>
    <w:rsid w:val="0007615F"/>
    <w:rsid w:val="0008490F"/>
    <w:rsid w:val="0009253D"/>
    <w:rsid w:val="00092641"/>
    <w:rsid w:val="00094B24"/>
    <w:rsid w:val="00097497"/>
    <w:rsid w:val="000A4805"/>
    <w:rsid w:val="000B0109"/>
    <w:rsid w:val="000C2E57"/>
    <w:rsid w:val="000C4E22"/>
    <w:rsid w:val="000C6974"/>
    <w:rsid w:val="000D38BD"/>
    <w:rsid w:val="000D3F51"/>
    <w:rsid w:val="000E3076"/>
    <w:rsid w:val="000E7491"/>
    <w:rsid w:val="000F3AFA"/>
    <w:rsid w:val="001007DD"/>
    <w:rsid w:val="0011075A"/>
    <w:rsid w:val="00116690"/>
    <w:rsid w:val="00125B42"/>
    <w:rsid w:val="001334BB"/>
    <w:rsid w:val="001352C4"/>
    <w:rsid w:val="00136792"/>
    <w:rsid w:val="001460E3"/>
    <w:rsid w:val="00147991"/>
    <w:rsid w:val="0015078F"/>
    <w:rsid w:val="0016667A"/>
    <w:rsid w:val="001672C7"/>
    <w:rsid w:val="00175F93"/>
    <w:rsid w:val="00184756"/>
    <w:rsid w:val="00185410"/>
    <w:rsid w:val="00186472"/>
    <w:rsid w:val="001868C5"/>
    <w:rsid w:val="00193ED2"/>
    <w:rsid w:val="00194EBF"/>
    <w:rsid w:val="00195A68"/>
    <w:rsid w:val="001A06C5"/>
    <w:rsid w:val="001A1048"/>
    <w:rsid w:val="001A3826"/>
    <w:rsid w:val="001B677A"/>
    <w:rsid w:val="001C153B"/>
    <w:rsid w:val="001C6D37"/>
    <w:rsid w:val="001D0610"/>
    <w:rsid w:val="001E2D8D"/>
    <w:rsid w:val="001E4163"/>
    <w:rsid w:val="001F5488"/>
    <w:rsid w:val="00204830"/>
    <w:rsid w:val="0021363E"/>
    <w:rsid w:val="00213945"/>
    <w:rsid w:val="00217042"/>
    <w:rsid w:val="00224D93"/>
    <w:rsid w:val="00231CB9"/>
    <w:rsid w:val="00233BC0"/>
    <w:rsid w:val="00236048"/>
    <w:rsid w:val="00244DE3"/>
    <w:rsid w:val="002550EB"/>
    <w:rsid w:val="00270774"/>
    <w:rsid w:val="002751B2"/>
    <w:rsid w:val="00275678"/>
    <w:rsid w:val="00275B72"/>
    <w:rsid w:val="00281238"/>
    <w:rsid w:val="00283874"/>
    <w:rsid w:val="00287C51"/>
    <w:rsid w:val="002903D8"/>
    <w:rsid w:val="00292019"/>
    <w:rsid w:val="00294D98"/>
    <w:rsid w:val="002A22D1"/>
    <w:rsid w:val="002A4586"/>
    <w:rsid w:val="002B33D0"/>
    <w:rsid w:val="002C21B7"/>
    <w:rsid w:val="002C5966"/>
    <w:rsid w:val="002D7AE6"/>
    <w:rsid w:val="002F5285"/>
    <w:rsid w:val="0030788E"/>
    <w:rsid w:val="00310F4D"/>
    <w:rsid w:val="00311123"/>
    <w:rsid w:val="00311B1F"/>
    <w:rsid w:val="0032332D"/>
    <w:rsid w:val="00332721"/>
    <w:rsid w:val="00342465"/>
    <w:rsid w:val="0034292B"/>
    <w:rsid w:val="00345B17"/>
    <w:rsid w:val="0034665E"/>
    <w:rsid w:val="00352D0C"/>
    <w:rsid w:val="003556C6"/>
    <w:rsid w:val="0035642F"/>
    <w:rsid w:val="00360AC7"/>
    <w:rsid w:val="0036638A"/>
    <w:rsid w:val="003704F1"/>
    <w:rsid w:val="003706FA"/>
    <w:rsid w:val="00372018"/>
    <w:rsid w:val="0037227B"/>
    <w:rsid w:val="00380958"/>
    <w:rsid w:val="0038645A"/>
    <w:rsid w:val="0038694E"/>
    <w:rsid w:val="00391F1B"/>
    <w:rsid w:val="00392DDB"/>
    <w:rsid w:val="003A5A00"/>
    <w:rsid w:val="003A673B"/>
    <w:rsid w:val="003B0EC6"/>
    <w:rsid w:val="003C22EE"/>
    <w:rsid w:val="003C7AF2"/>
    <w:rsid w:val="003C7CD7"/>
    <w:rsid w:val="003D1109"/>
    <w:rsid w:val="003D3DA2"/>
    <w:rsid w:val="003D6B3B"/>
    <w:rsid w:val="003D72EB"/>
    <w:rsid w:val="003E289A"/>
    <w:rsid w:val="003F0652"/>
    <w:rsid w:val="003F4A46"/>
    <w:rsid w:val="003F4B95"/>
    <w:rsid w:val="003F50C4"/>
    <w:rsid w:val="00400AE2"/>
    <w:rsid w:val="00403582"/>
    <w:rsid w:val="00403B34"/>
    <w:rsid w:val="00403F9D"/>
    <w:rsid w:val="00405C4B"/>
    <w:rsid w:val="004103CE"/>
    <w:rsid w:val="00410C33"/>
    <w:rsid w:val="00417611"/>
    <w:rsid w:val="0043215D"/>
    <w:rsid w:val="00433AED"/>
    <w:rsid w:val="00437BEA"/>
    <w:rsid w:val="004438C5"/>
    <w:rsid w:val="00444275"/>
    <w:rsid w:val="0044517E"/>
    <w:rsid w:val="00455A40"/>
    <w:rsid w:val="00460AE1"/>
    <w:rsid w:val="00465DFB"/>
    <w:rsid w:val="00473611"/>
    <w:rsid w:val="004829E3"/>
    <w:rsid w:val="004921AD"/>
    <w:rsid w:val="00492994"/>
    <w:rsid w:val="004A1FBB"/>
    <w:rsid w:val="004A2C25"/>
    <w:rsid w:val="004A4A30"/>
    <w:rsid w:val="004B0BDA"/>
    <w:rsid w:val="004B242F"/>
    <w:rsid w:val="004B47CD"/>
    <w:rsid w:val="004B6A15"/>
    <w:rsid w:val="004B72B8"/>
    <w:rsid w:val="004C3505"/>
    <w:rsid w:val="004C3EB2"/>
    <w:rsid w:val="004C772A"/>
    <w:rsid w:val="004F76E1"/>
    <w:rsid w:val="005051CF"/>
    <w:rsid w:val="00505413"/>
    <w:rsid w:val="00507042"/>
    <w:rsid w:val="0051007A"/>
    <w:rsid w:val="0051670A"/>
    <w:rsid w:val="0051719D"/>
    <w:rsid w:val="00521CE8"/>
    <w:rsid w:val="00521DCA"/>
    <w:rsid w:val="00531AB8"/>
    <w:rsid w:val="00531E2E"/>
    <w:rsid w:val="00535280"/>
    <w:rsid w:val="00537370"/>
    <w:rsid w:val="005427B9"/>
    <w:rsid w:val="005440EA"/>
    <w:rsid w:val="0054773C"/>
    <w:rsid w:val="00547A99"/>
    <w:rsid w:val="00551A75"/>
    <w:rsid w:val="00552E2E"/>
    <w:rsid w:val="0055782E"/>
    <w:rsid w:val="00561707"/>
    <w:rsid w:val="00561B8A"/>
    <w:rsid w:val="005629AA"/>
    <w:rsid w:val="0056624A"/>
    <w:rsid w:val="00567ED5"/>
    <w:rsid w:val="005712C5"/>
    <w:rsid w:val="005819E2"/>
    <w:rsid w:val="00584019"/>
    <w:rsid w:val="00586B99"/>
    <w:rsid w:val="00592C6F"/>
    <w:rsid w:val="005942C1"/>
    <w:rsid w:val="005A5D0B"/>
    <w:rsid w:val="005B2BBC"/>
    <w:rsid w:val="005B4441"/>
    <w:rsid w:val="005B4A76"/>
    <w:rsid w:val="005B75F6"/>
    <w:rsid w:val="005C7591"/>
    <w:rsid w:val="005C77C8"/>
    <w:rsid w:val="005D0654"/>
    <w:rsid w:val="005D2137"/>
    <w:rsid w:val="005E597D"/>
    <w:rsid w:val="005E6C9C"/>
    <w:rsid w:val="005E75A8"/>
    <w:rsid w:val="005F5238"/>
    <w:rsid w:val="005F7452"/>
    <w:rsid w:val="0060046D"/>
    <w:rsid w:val="00600FC1"/>
    <w:rsid w:val="0060257E"/>
    <w:rsid w:val="00604475"/>
    <w:rsid w:val="00604B0D"/>
    <w:rsid w:val="006111E0"/>
    <w:rsid w:val="00611A9A"/>
    <w:rsid w:val="00620EC6"/>
    <w:rsid w:val="00620FB3"/>
    <w:rsid w:val="00621015"/>
    <w:rsid w:val="00621C8A"/>
    <w:rsid w:val="00621FAE"/>
    <w:rsid w:val="006367D5"/>
    <w:rsid w:val="006415B6"/>
    <w:rsid w:val="0064452B"/>
    <w:rsid w:val="00647D0C"/>
    <w:rsid w:val="00653585"/>
    <w:rsid w:val="006550F2"/>
    <w:rsid w:val="00656A56"/>
    <w:rsid w:val="00665937"/>
    <w:rsid w:val="00673DB0"/>
    <w:rsid w:val="00674D28"/>
    <w:rsid w:val="0068431C"/>
    <w:rsid w:val="00687F89"/>
    <w:rsid w:val="00696A31"/>
    <w:rsid w:val="006A0955"/>
    <w:rsid w:val="006A48F1"/>
    <w:rsid w:val="006B78B8"/>
    <w:rsid w:val="006C59AB"/>
    <w:rsid w:val="006D1377"/>
    <w:rsid w:val="006D29A9"/>
    <w:rsid w:val="006D52A7"/>
    <w:rsid w:val="006E6534"/>
    <w:rsid w:val="006F1EEA"/>
    <w:rsid w:val="006F5012"/>
    <w:rsid w:val="006F5C3B"/>
    <w:rsid w:val="00704AD1"/>
    <w:rsid w:val="007050A6"/>
    <w:rsid w:val="00711BFC"/>
    <w:rsid w:val="00711DFC"/>
    <w:rsid w:val="007137FC"/>
    <w:rsid w:val="00716776"/>
    <w:rsid w:val="0072060F"/>
    <w:rsid w:val="007225F4"/>
    <w:rsid w:val="00730F94"/>
    <w:rsid w:val="00732E39"/>
    <w:rsid w:val="00735219"/>
    <w:rsid w:val="00736F74"/>
    <w:rsid w:val="007424B5"/>
    <w:rsid w:val="00744388"/>
    <w:rsid w:val="00754C95"/>
    <w:rsid w:val="00756E3F"/>
    <w:rsid w:val="007623C5"/>
    <w:rsid w:val="007638C4"/>
    <w:rsid w:val="00765211"/>
    <w:rsid w:val="00766FA5"/>
    <w:rsid w:val="007704F0"/>
    <w:rsid w:val="00774457"/>
    <w:rsid w:val="0077580D"/>
    <w:rsid w:val="0078137B"/>
    <w:rsid w:val="00782ABF"/>
    <w:rsid w:val="00784622"/>
    <w:rsid w:val="007967DC"/>
    <w:rsid w:val="007A43E9"/>
    <w:rsid w:val="007A6A20"/>
    <w:rsid w:val="007A6EA3"/>
    <w:rsid w:val="007B119A"/>
    <w:rsid w:val="007B14EF"/>
    <w:rsid w:val="007B3D3E"/>
    <w:rsid w:val="007B41F9"/>
    <w:rsid w:val="007C0E79"/>
    <w:rsid w:val="007C146E"/>
    <w:rsid w:val="007C26D2"/>
    <w:rsid w:val="007C499D"/>
    <w:rsid w:val="007C5233"/>
    <w:rsid w:val="007E2B5E"/>
    <w:rsid w:val="007E4044"/>
    <w:rsid w:val="007E48C2"/>
    <w:rsid w:val="007F77EE"/>
    <w:rsid w:val="0081327B"/>
    <w:rsid w:val="008156FD"/>
    <w:rsid w:val="0081651D"/>
    <w:rsid w:val="00827EB1"/>
    <w:rsid w:val="008446E7"/>
    <w:rsid w:val="0084482F"/>
    <w:rsid w:val="00854FDA"/>
    <w:rsid w:val="00862D12"/>
    <w:rsid w:val="00866521"/>
    <w:rsid w:val="008674A9"/>
    <w:rsid w:val="0088094A"/>
    <w:rsid w:val="008867F8"/>
    <w:rsid w:val="00891232"/>
    <w:rsid w:val="00891E4E"/>
    <w:rsid w:val="008935E8"/>
    <w:rsid w:val="008959A4"/>
    <w:rsid w:val="008A0E23"/>
    <w:rsid w:val="008A1BB1"/>
    <w:rsid w:val="008A2259"/>
    <w:rsid w:val="008A5BD0"/>
    <w:rsid w:val="008B070A"/>
    <w:rsid w:val="008B0CCB"/>
    <w:rsid w:val="008B5BAD"/>
    <w:rsid w:val="008B737C"/>
    <w:rsid w:val="008C16E6"/>
    <w:rsid w:val="008C540B"/>
    <w:rsid w:val="008D04DD"/>
    <w:rsid w:val="008D30E1"/>
    <w:rsid w:val="008D557D"/>
    <w:rsid w:val="008D73F0"/>
    <w:rsid w:val="008E47DA"/>
    <w:rsid w:val="008F23A5"/>
    <w:rsid w:val="008F32AE"/>
    <w:rsid w:val="008F4BDC"/>
    <w:rsid w:val="00902829"/>
    <w:rsid w:val="009048CA"/>
    <w:rsid w:val="0090659C"/>
    <w:rsid w:val="009071D4"/>
    <w:rsid w:val="009076BF"/>
    <w:rsid w:val="00914E14"/>
    <w:rsid w:val="0091626C"/>
    <w:rsid w:val="009206D2"/>
    <w:rsid w:val="00922D4F"/>
    <w:rsid w:val="00923FE2"/>
    <w:rsid w:val="00932680"/>
    <w:rsid w:val="00933AD8"/>
    <w:rsid w:val="009341DB"/>
    <w:rsid w:val="0093473C"/>
    <w:rsid w:val="009353D9"/>
    <w:rsid w:val="009370D6"/>
    <w:rsid w:val="009401FD"/>
    <w:rsid w:val="00943366"/>
    <w:rsid w:val="009503FE"/>
    <w:rsid w:val="009563C0"/>
    <w:rsid w:val="00960F3B"/>
    <w:rsid w:val="009703BB"/>
    <w:rsid w:val="009815AF"/>
    <w:rsid w:val="009931DE"/>
    <w:rsid w:val="009A70B6"/>
    <w:rsid w:val="009A7320"/>
    <w:rsid w:val="009A7DB1"/>
    <w:rsid w:val="009B2E99"/>
    <w:rsid w:val="009B5968"/>
    <w:rsid w:val="009B7166"/>
    <w:rsid w:val="009C46A4"/>
    <w:rsid w:val="009E2AAA"/>
    <w:rsid w:val="009E4EC4"/>
    <w:rsid w:val="009E7335"/>
    <w:rsid w:val="009F24D8"/>
    <w:rsid w:val="00A01636"/>
    <w:rsid w:val="00A03C51"/>
    <w:rsid w:val="00A04651"/>
    <w:rsid w:val="00A06722"/>
    <w:rsid w:val="00A1024F"/>
    <w:rsid w:val="00A139A2"/>
    <w:rsid w:val="00A13FB0"/>
    <w:rsid w:val="00A16AD8"/>
    <w:rsid w:val="00A23B3C"/>
    <w:rsid w:val="00A24017"/>
    <w:rsid w:val="00A24230"/>
    <w:rsid w:val="00A25567"/>
    <w:rsid w:val="00A329FF"/>
    <w:rsid w:val="00A34E8D"/>
    <w:rsid w:val="00A4569E"/>
    <w:rsid w:val="00A45DB9"/>
    <w:rsid w:val="00A47B1F"/>
    <w:rsid w:val="00A52B4B"/>
    <w:rsid w:val="00A5772E"/>
    <w:rsid w:val="00A66290"/>
    <w:rsid w:val="00A67C89"/>
    <w:rsid w:val="00A72854"/>
    <w:rsid w:val="00A72AC2"/>
    <w:rsid w:val="00A748E5"/>
    <w:rsid w:val="00A7585F"/>
    <w:rsid w:val="00A81778"/>
    <w:rsid w:val="00A916CE"/>
    <w:rsid w:val="00AA036F"/>
    <w:rsid w:val="00AA10A9"/>
    <w:rsid w:val="00AB08EE"/>
    <w:rsid w:val="00AB0B39"/>
    <w:rsid w:val="00AB157A"/>
    <w:rsid w:val="00AB5D96"/>
    <w:rsid w:val="00AC3131"/>
    <w:rsid w:val="00AC7894"/>
    <w:rsid w:val="00AD070D"/>
    <w:rsid w:val="00AD2083"/>
    <w:rsid w:val="00AD2300"/>
    <w:rsid w:val="00AD2922"/>
    <w:rsid w:val="00AD295B"/>
    <w:rsid w:val="00AE1F9F"/>
    <w:rsid w:val="00AE2C46"/>
    <w:rsid w:val="00AE5A94"/>
    <w:rsid w:val="00AF18D7"/>
    <w:rsid w:val="00AF5E01"/>
    <w:rsid w:val="00B0037E"/>
    <w:rsid w:val="00B0233A"/>
    <w:rsid w:val="00B04262"/>
    <w:rsid w:val="00B131B4"/>
    <w:rsid w:val="00B22E30"/>
    <w:rsid w:val="00B30383"/>
    <w:rsid w:val="00B319B6"/>
    <w:rsid w:val="00B31B17"/>
    <w:rsid w:val="00B36F3E"/>
    <w:rsid w:val="00B37DAE"/>
    <w:rsid w:val="00B41908"/>
    <w:rsid w:val="00B4228B"/>
    <w:rsid w:val="00B451B0"/>
    <w:rsid w:val="00B45517"/>
    <w:rsid w:val="00B4594F"/>
    <w:rsid w:val="00B4664D"/>
    <w:rsid w:val="00B4679B"/>
    <w:rsid w:val="00B57EE2"/>
    <w:rsid w:val="00B62D0E"/>
    <w:rsid w:val="00B71438"/>
    <w:rsid w:val="00B73956"/>
    <w:rsid w:val="00B73D3C"/>
    <w:rsid w:val="00B74237"/>
    <w:rsid w:val="00B82073"/>
    <w:rsid w:val="00B86FAF"/>
    <w:rsid w:val="00B941A1"/>
    <w:rsid w:val="00B95077"/>
    <w:rsid w:val="00B95DCF"/>
    <w:rsid w:val="00B97892"/>
    <w:rsid w:val="00BA51BA"/>
    <w:rsid w:val="00BA789C"/>
    <w:rsid w:val="00BB128D"/>
    <w:rsid w:val="00BB3495"/>
    <w:rsid w:val="00BB394D"/>
    <w:rsid w:val="00BB3E37"/>
    <w:rsid w:val="00BB6A99"/>
    <w:rsid w:val="00BC582B"/>
    <w:rsid w:val="00BC6479"/>
    <w:rsid w:val="00BE359E"/>
    <w:rsid w:val="00BE39C2"/>
    <w:rsid w:val="00BE72A1"/>
    <w:rsid w:val="00BF2796"/>
    <w:rsid w:val="00C10FC0"/>
    <w:rsid w:val="00C13B81"/>
    <w:rsid w:val="00C17023"/>
    <w:rsid w:val="00C21D23"/>
    <w:rsid w:val="00C24B7C"/>
    <w:rsid w:val="00C30AEF"/>
    <w:rsid w:val="00C408E4"/>
    <w:rsid w:val="00C521A6"/>
    <w:rsid w:val="00C55A71"/>
    <w:rsid w:val="00C63968"/>
    <w:rsid w:val="00C703CC"/>
    <w:rsid w:val="00C73D8F"/>
    <w:rsid w:val="00C75845"/>
    <w:rsid w:val="00C76EAB"/>
    <w:rsid w:val="00C77C35"/>
    <w:rsid w:val="00C77F89"/>
    <w:rsid w:val="00C80408"/>
    <w:rsid w:val="00C82F12"/>
    <w:rsid w:val="00C83C1F"/>
    <w:rsid w:val="00C931D4"/>
    <w:rsid w:val="00CA0122"/>
    <w:rsid w:val="00CA08B4"/>
    <w:rsid w:val="00CA2C46"/>
    <w:rsid w:val="00CA5102"/>
    <w:rsid w:val="00CB1486"/>
    <w:rsid w:val="00CB27CC"/>
    <w:rsid w:val="00CB419B"/>
    <w:rsid w:val="00CC6AA9"/>
    <w:rsid w:val="00CC6DC2"/>
    <w:rsid w:val="00CD0E10"/>
    <w:rsid w:val="00CE0990"/>
    <w:rsid w:val="00CE0AB7"/>
    <w:rsid w:val="00CF072C"/>
    <w:rsid w:val="00CF14DD"/>
    <w:rsid w:val="00CF2F46"/>
    <w:rsid w:val="00CF6C10"/>
    <w:rsid w:val="00D022D4"/>
    <w:rsid w:val="00D050AA"/>
    <w:rsid w:val="00D06BBA"/>
    <w:rsid w:val="00D06F81"/>
    <w:rsid w:val="00D12660"/>
    <w:rsid w:val="00D2332C"/>
    <w:rsid w:val="00D24607"/>
    <w:rsid w:val="00D25714"/>
    <w:rsid w:val="00D26469"/>
    <w:rsid w:val="00D27421"/>
    <w:rsid w:val="00D275F0"/>
    <w:rsid w:val="00D27FB5"/>
    <w:rsid w:val="00D33615"/>
    <w:rsid w:val="00D369D0"/>
    <w:rsid w:val="00D43A75"/>
    <w:rsid w:val="00D500FD"/>
    <w:rsid w:val="00D53944"/>
    <w:rsid w:val="00D57DB2"/>
    <w:rsid w:val="00D662CA"/>
    <w:rsid w:val="00D673A1"/>
    <w:rsid w:val="00D718FD"/>
    <w:rsid w:val="00D74B5E"/>
    <w:rsid w:val="00D74FB0"/>
    <w:rsid w:val="00D755FC"/>
    <w:rsid w:val="00D8457C"/>
    <w:rsid w:val="00D85D13"/>
    <w:rsid w:val="00D93CB8"/>
    <w:rsid w:val="00DA387A"/>
    <w:rsid w:val="00DA4F6E"/>
    <w:rsid w:val="00DB581E"/>
    <w:rsid w:val="00DC0D11"/>
    <w:rsid w:val="00DC159C"/>
    <w:rsid w:val="00DC2F41"/>
    <w:rsid w:val="00DD2B46"/>
    <w:rsid w:val="00DD77F0"/>
    <w:rsid w:val="00DE0FA2"/>
    <w:rsid w:val="00DF013A"/>
    <w:rsid w:val="00DF3F8D"/>
    <w:rsid w:val="00DF4811"/>
    <w:rsid w:val="00E02FEF"/>
    <w:rsid w:val="00E064BA"/>
    <w:rsid w:val="00E1126D"/>
    <w:rsid w:val="00E11D20"/>
    <w:rsid w:val="00E21CAE"/>
    <w:rsid w:val="00E25E82"/>
    <w:rsid w:val="00E30C31"/>
    <w:rsid w:val="00E34E1D"/>
    <w:rsid w:val="00E43992"/>
    <w:rsid w:val="00E505F2"/>
    <w:rsid w:val="00E557B7"/>
    <w:rsid w:val="00E6123E"/>
    <w:rsid w:val="00E62D55"/>
    <w:rsid w:val="00E737D3"/>
    <w:rsid w:val="00E81B15"/>
    <w:rsid w:val="00E86CB7"/>
    <w:rsid w:val="00E95E13"/>
    <w:rsid w:val="00E97F98"/>
    <w:rsid w:val="00EA2F15"/>
    <w:rsid w:val="00EA583B"/>
    <w:rsid w:val="00EC0C2B"/>
    <w:rsid w:val="00EC3B3D"/>
    <w:rsid w:val="00ED7100"/>
    <w:rsid w:val="00EE1F04"/>
    <w:rsid w:val="00EF4A06"/>
    <w:rsid w:val="00EF6A98"/>
    <w:rsid w:val="00F00035"/>
    <w:rsid w:val="00F06665"/>
    <w:rsid w:val="00F10E3B"/>
    <w:rsid w:val="00F14618"/>
    <w:rsid w:val="00F212D2"/>
    <w:rsid w:val="00F21618"/>
    <w:rsid w:val="00F24A4A"/>
    <w:rsid w:val="00F25372"/>
    <w:rsid w:val="00F3180B"/>
    <w:rsid w:val="00F366B8"/>
    <w:rsid w:val="00F37FF5"/>
    <w:rsid w:val="00F41353"/>
    <w:rsid w:val="00F44E96"/>
    <w:rsid w:val="00F47C9B"/>
    <w:rsid w:val="00F55A43"/>
    <w:rsid w:val="00F701BD"/>
    <w:rsid w:val="00F7797E"/>
    <w:rsid w:val="00F8608F"/>
    <w:rsid w:val="00FA074A"/>
    <w:rsid w:val="00FA5606"/>
    <w:rsid w:val="00FA5A73"/>
    <w:rsid w:val="00FA6725"/>
    <w:rsid w:val="00FA7E72"/>
    <w:rsid w:val="00FC7F48"/>
    <w:rsid w:val="00FD1916"/>
    <w:rsid w:val="00FD476A"/>
    <w:rsid w:val="00FD7B31"/>
    <w:rsid w:val="00FE000A"/>
    <w:rsid w:val="00FE0D35"/>
    <w:rsid w:val="00FE2E86"/>
    <w:rsid w:val="00FE6793"/>
    <w:rsid w:val="00FE6BEA"/>
    <w:rsid w:val="00FF0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3C31A"/>
  <w15:docId w15:val="{129984A2-788A-4131-BD3E-76B3237B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2E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032E7C"/>
    <w:pPr>
      <w:ind w:firstLine="567"/>
      <w:jc w:val="both"/>
    </w:pPr>
    <w:rPr>
      <w:rFonts w:ascii="Arial" w:hAnsi="Arial" w:cs="Arial"/>
      <w:color w:val="FF0000"/>
      <w:sz w:val="20"/>
      <w:szCs w:val="20"/>
    </w:rPr>
  </w:style>
  <w:style w:type="paragraph" w:styleId="Zpat">
    <w:name w:val="footer"/>
    <w:basedOn w:val="Normln"/>
    <w:link w:val="ZpatChar"/>
    <w:uiPriority w:val="99"/>
    <w:rsid w:val="00032E7C"/>
    <w:pPr>
      <w:tabs>
        <w:tab w:val="center" w:pos="4536"/>
        <w:tab w:val="right" w:pos="9072"/>
      </w:tabs>
    </w:pPr>
  </w:style>
  <w:style w:type="character" w:styleId="slostrnky">
    <w:name w:val="page number"/>
    <w:basedOn w:val="Standardnpsmoodstavce"/>
    <w:semiHidden/>
    <w:rsid w:val="00032E7C"/>
  </w:style>
  <w:style w:type="paragraph" w:styleId="Zhlav">
    <w:name w:val="header"/>
    <w:basedOn w:val="Normln"/>
    <w:semiHidden/>
    <w:rsid w:val="00032E7C"/>
    <w:pPr>
      <w:tabs>
        <w:tab w:val="center" w:pos="4536"/>
        <w:tab w:val="right" w:pos="9072"/>
      </w:tabs>
    </w:pPr>
  </w:style>
  <w:style w:type="character" w:customStyle="1" w:styleId="ZpatChar">
    <w:name w:val="Zápatí Char"/>
    <w:link w:val="Zpat"/>
    <w:uiPriority w:val="99"/>
    <w:rsid w:val="00DA4F6E"/>
    <w:rPr>
      <w:sz w:val="24"/>
      <w:szCs w:val="24"/>
    </w:rPr>
  </w:style>
  <w:style w:type="paragraph" w:styleId="Textbubliny">
    <w:name w:val="Balloon Text"/>
    <w:basedOn w:val="Normln"/>
    <w:link w:val="TextbublinyChar"/>
    <w:uiPriority w:val="99"/>
    <w:semiHidden/>
    <w:unhideWhenUsed/>
    <w:rsid w:val="00DA4F6E"/>
    <w:rPr>
      <w:rFonts w:ascii="Tahoma" w:hAnsi="Tahoma"/>
      <w:sz w:val="16"/>
      <w:szCs w:val="16"/>
    </w:rPr>
  </w:style>
  <w:style w:type="character" w:customStyle="1" w:styleId="TextbublinyChar">
    <w:name w:val="Text bubliny Char"/>
    <w:link w:val="Textbubliny"/>
    <w:uiPriority w:val="99"/>
    <w:semiHidden/>
    <w:rsid w:val="00DA4F6E"/>
    <w:rPr>
      <w:rFonts w:ascii="Tahoma" w:hAnsi="Tahoma" w:cs="Tahoma"/>
      <w:sz w:val="16"/>
      <w:szCs w:val="16"/>
    </w:rPr>
  </w:style>
  <w:style w:type="paragraph" w:styleId="Textpoznpodarou">
    <w:name w:val="footnote text"/>
    <w:basedOn w:val="Normln"/>
    <w:link w:val="TextpoznpodarouChar"/>
    <w:semiHidden/>
    <w:unhideWhenUsed/>
    <w:rsid w:val="00DA4F6E"/>
    <w:rPr>
      <w:sz w:val="20"/>
      <w:szCs w:val="20"/>
    </w:rPr>
  </w:style>
  <w:style w:type="character" w:customStyle="1" w:styleId="TextpoznpodarouChar">
    <w:name w:val="Text pozn. pod čarou Char"/>
    <w:basedOn w:val="Standardnpsmoodstavce"/>
    <w:link w:val="Textpoznpodarou"/>
    <w:uiPriority w:val="99"/>
    <w:semiHidden/>
    <w:rsid w:val="00DA4F6E"/>
  </w:style>
  <w:style w:type="character" w:styleId="Znakapoznpodarou">
    <w:name w:val="footnote reference"/>
    <w:semiHidden/>
    <w:unhideWhenUsed/>
    <w:rsid w:val="00DA4F6E"/>
    <w:rPr>
      <w:vertAlign w:val="superscript"/>
    </w:rPr>
  </w:style>
  <w:style w:type="character" w:customStyle="1" w:styleId="hps">
    <w:name w:val="hps"/>
    <w:basedOn w:val="Standardnpsmoodstavce"/>
    <w:rsid w:val="00460AE1"/>
  </w:style>
  <w:style w:type="character" w:customStyle="1" w:styleId="ZkladntextodsazenChar">
    <w:name w:val="Základní text odsazený Char"/>
    <w:basedOn w:val="Standardnpsmoodstavce"/>
    <w:link w:val="Zkladntextodsazen"/>
    <w:rsid w:val="00437BEA"/>
    <w:rPr>
      <w:rFonts w:ascii="Arial" w:hAnsi="Arial" w:cs="Arial"/>
      <w:color w:val="FF0000"/>
    </w:rPr>
  </w:style>
  <w:style w:type="character" w:customStyle="1" w:styleId="msoins0">
    <w:name w:val="msoins"/>
    <w:basedOn w:val="Standardnpsmoodstavce"/>
    <w:rsid w:val="00A81778"/>
  </w:style>
  <w:style w:type="character" w:styleId="Hypertextovodkaz">
    <w:name w:val="Hyperlink"/>
    <w:semiHidden/>
    <w:rsid w:val="00A1024F"/>
    <w:rPr>
      <w:color w:val="0000FF"/>
      <w:u w:val="single"/>
    </w:rPr>
  </w:style>
  <w:style w:type="character" w:customStyle="1" w:styleId="markedcontent">
    <w:name w:val="markedcontent"/>
    <w:basedOn w:val="Standardnpsmoodstavce"/>
    <w:rsid w:val="00345B17"/>
  </w:style>
  <w:style w:type="character" w:styleId="Sledovanodkaz">
    <w:name w:val="FollowedHyperlink"/>
    <w:basedOn w:val="Standardnpsmoodstavce"/>
    <w:uiPriority w:val="99"/>
    <w:semiHidden/>
    <w:unhideWhenUsed/>
    <w:rsid w:val="00A916CE"/>
    <w:rPr>
      <w:color w:val="800080" w:themeColor="followedHyperlink"/>
      <w:u w:val="single"/>
    </w:rPr>
  </w:style>
  <w:style w:type="paragraph" w:styleId="Zkladntext">
    <w:name w:val="Body Text"/>
    <w:basedOn w:val="Normln"/>
    <w:link w:val="ZkladntextChar"/>
    <w:uiPriority w:val="99"/>
    <w:unhideWhenUsed/>
    <w:rsid w:val="00F212D2"/>
    <w:pPr>
      <w:spacing w:after="120"/>
    </w:pPr>
  </w:style>
  <w:style w:type="character" w:customStyle="1" w:styleId="ZkladntextChar">
    <w:name w:val="Základní text Char"/>
    <w:basedOn w:val="Standardnpsmoodstavce"/>
    <w:link w:val="Zkladntext"/>
    <w:uiPriority w:val="99"/>
    <w:rsid w:val="00F212D2"/>
    <w:rPr>
      <w:sz w:val="24"/>
      <w:szCs w:val="24"/>
    </w:rPr>
  </w:style>
  <w:style w:type="paragraph" w:styleId="Normlnweb">
    <w:name w:val="Normal (Web)"/>
    <w:basedOn w:val="Normln"/>
    <w:semiHidden/>
    <w:rsid w:val="00F212D2"/>
    <w:pPr>
      <w:tabs>
        <w:tab w:val="left" w:pos="709"/>
        <w:tab w:val="left" w:pos="1418"/>
        <w:tab w:val="left" w:pos="2126"/>
      </w:tabs>
      <w:spacing w:before="100" w:beforeAutospacing="1" w:after="100" w:afterAutospacing="1"/>
    </w:pPr>
    <w:rPr>
      <w:rFonts w:ascii="Arial Unicode MS" w:eastAsia="Arial Unicode MS" w:hAnsi="Arial Unicode MS" w:cs="Arial Unicode MS"/>
      <w:color w:val="0078B3"/>
    </w:rPr>
  </w:style>
  <w:style w:type="character" w:styleId="Odkaznakoment">
    <w:name w:val="annotation reference"/>
    <w:basedOn w:val="Standardnpsmoodstavce"/>
    <w:uiPriority w:val="99"/>
    <w:semiHidden/>
    <w:unhideWhenUsed/>
    <w:rsid w:val="00CC6AA9"/>
    <w:rPr>
      <w:sz w:val="16"/>
      <w:szCs w:val="16"/>
    </w:rPr>
  </w:style>
  <w:style w:type="paragraph" w:styleId="Textkomente">
    <w:name w:val="annotation text"/>
    <w:basedOn w:val="Normln"/>
    <w:link w:val="TextkomenteChar"/>
    <w:uiPriority w:val="99"/>
    <w:semiHidden/>
    <w:unhideWhenUsed/>
    <w:rsid w:val="00CC6AA9"/>
    <w:rPr>
      <w:sz w:val="20"/>
      <w:szCs w:val="20"/>
    </w:rPr>
  </w:style>
  <w:style w:type="character" w:customStyle="1" w:styleId="TextkomenteChar">
    <w:name w:val="Text komentáře Char"/>
    <w:basedOn w:val="Standardnpsmoodstavce"/>
    <w:link w:val="Textkomente"/>
    <w:uiPriority w:val="99"/>
    <w:semiHidden/>
    <w:rsid w:val="00CC6AA9"/>
  </w:style>
  <w:style w:type="paragraph" w:styleId="Pedmtkomente">
    <w:name w:val="annotation subject"/>
    <w:basedOn w:val="Textkomente"/>
    <w:next w:val="Textkomente"/>
    <w:link w:val="PedmtkomenteChar"/>
    <w:uiPriority w:val="99"/>
    <w:semiHidden/>
    <w:unhideWhenUsed/>
    <w:rsid w:val="00CC6AA9"/>
    <w:rPr>
      <w:b/>
      <w:bCs/>
    </w:rPr>
  </w:style>
  <w:style w:type="character" w:customStyle="1" w:styleId="PedmtkomenteChar">
    <w:name w:val="Předmět komentáře Char"/>
    <w:basedOn w:val="TextkomenteChar"/>
    <w:link w:val="Pedmtkomente"/>
    <w:uiPriority w:val="99"/>
    <w:semiHidden/>
    <w:rsid w:val="00CC6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koly-a-skolska-zarizeni-tjp3wpnyep" TargetMode="External"/><Relationship Id="rId13" Type="http://schemas.openxmlformats.org/officeDocument/2006/relationships/hyperlink" Target="https://www.czso.cz/csu/czso/krajske-rocenky" TargetMode="External"/><Relationship Id="rId3" Type="http://schemas.openxmlformats.org/officeDocument/2006/relationships/settings" Target="settings.xml"/><Relationship Id="rId7" Type="http://schemas.openxmlformats.org/officeDocument/2006/relationships/hyperlink" Target="https://www.czso.cz/csu/czso/klasifikace_kmenovych_oboru_vzdelani_-kkov-" TargetMode="External"/><Relationship Id="rId12" Type="http://schemas.openxmlformats.org/officeDocument/2006/relationships/hyperlink" Target="https://www.czso.cz/csu/czso/statisticka-rocenka-ceske-republiky-lxnk9qusz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vzdelavan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eurostat/web/main/data/database" TargetMode="External"/><Relationship Id="rId4" Type="http://schemas.openxmlformats.org/officeDocument/2006/relationships/webSettings" Target="webSettings.xml"/><Relationship Id="rId9" Type="http://schemas.openxmlformats.org/officeDocument/2006/relationships/hyperlink" Target="https://www.czso.cz/csu/czso/mzdy-ucitelu-v-regionalnim-skolstvi-20132020"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F9C7-81E2-4EBF-A3C7-724D010B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2165</Words>
  <Characters>13071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jileckova</dc:creator>
  <cp:lastModifiedBy>rezanka7131</cp:lastModifiedBy>
  <cp:revision>2</cp:revision>
  <cp:lastPrinted>2021-12-16T09:56:00Z</cp:lastPrinted>
  <dcterms:created xsi:type="dcterms:W3CDTF">2021-12-16T09:57:00Z</dcterms:created>
  <dcterms:modified xsi:type="dcterms:W3CDTF">2021-12-16T09:57:00Z</dcterms:modified>
</cp:coreProperties>
</file>