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0647" w14:textId="77777777" w:rsidR="003A4797" w:rsidRPr="00640144" w:rsidRDefault="00D35845">
      <w:pPr>
        <w:jc w:val="both"/>
        <w:rPr>
          <w:rFonts w:ascii="Arial" w:hAnsi="Arial" w:cs="Arial"/>
          <w:b/>
          <w:bCs/>
          <w:i/>
          <w:iCs/>
          <w:sz w:val="20"/>
          <w:lang w:val="en-GB"/>
        </w:rPr>
      </w:pPr>
      <w:r w:rsidRPr="00640144">
        <w:rPr>
          <w:rFonts w:ascii="Arial" w:hAnsi="Arial" w:cs="Arial"/>
          <w:b/>
          <w:bCs/>
          <w:i/>
          <w:iCs/>
          <w:sz w:val="20"/>
          <w:lang w:val="en-GB"/>
        </w:rPr>
        <w:t>2. HEALTH</w:t>
      </w:r>
    </w:p>
    <w:p w14:paraId="400AB6A6" w14:textId="77777777" w:rsidR="003A4797" w:rsidRPr="00640144"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14:paraId="760DC482" w14:textId="77777777" w:rsidR="003A4797" w:rsidRPr="00640144"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14:paraId="0938B700" w14:textId="6838565F" w:rsidR="0003281B" w:rsidRPr="00846EF5" w:rsidRDefault="00D35845" w:rsidP="009742F0">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szCs w:val="17"/>
          <w:lang w:val="en-GB"/>
        </w:rPr>
      </w:pPr>
      <w:r w:rsidRPr="00640144">
        <w:rPr>
          <w:rFonts w:ascii="Arial" w:hAnsi="Arial" w:cs="Arial"/>
          <w:i/>
          <w:iCs/>
          <w:sz w:val="20"/>
          <w:szCs w:val="17"/>
          <w:lang w:val="en-GB"/>
        </w:rPr>
        <w:t xml:space="preserve">Data on the state of health of the population and on activities of the health service providers are </w:t>
      </w:r>
      <w:r w:rsidR="00276F09" w:rsidRPr="00640144">
        <w:rPr>
          <w:rFonts w:ascii="Arial" w:hAnsi="Arial" w:cs="Arial"/>
          <w:i/>
          <w:iCs/>
          <w:sz w:val="20"/>
          <w:szCs w:val="17"/>
          <w:lang w:val="en-GB"/>
        </w:rPr>
        <w:t xml:space="preserve">received </w:t>
      </w:r>
      <w:r w:rsidRPr="00640144">
        <w:rPr>
          <w:rFonts w:ascii="Arial" w:hAnsi="Arial" w:cs="Arial"/>
          <w:i/>
          <w:iCs/>
          <w:sz w:val="20"/>
          <w:szCs w:val="17"/>
          <w:lang w:val="en-GB"/>
        </w:rPr>
        <w:t>from the National Health Information System (hereinafter</w:t>
      </w:r>
      <w:r w:rsidR="00276F09" w:rsidRPr="00640144">
        <w:rPr>
          <w:rFonts w:ascii="Arial" w:hAnsi="Arial" w:cs="Arial"/>
          <w:i/>
          <w:iCs/>
          <w:sz w:val="20"/>
          <w:szCs w:val="17"/>
          <w:lang w:val="en-GB"/>
        </w:rPr>
        <w:t xml:space="preserve"> only referred to</w:t>
      </w:r>
      <w:r w:rsidRPr="00640144">
        <w:rPr>
          <w:rFonts w:ascii="Arial" w:hAnsi="Arial" w:cs="Arial"/>
          <w:i/>
          <w:iCs/>
          <w:sz w:val="20"/>
          <w:szCs w:val="17"/>
          <w:lang w:val="en-GB"/>
        </w:rPr>
        <w:t xml:space="preserve"> as the NHIS)</w:t>
      </w:r>
      <w:r w:rsidR="00276F09" w:rsidRPr="00640144">
        <w:rPr>
          <w:rFonts w:ascii="Arial" w:hAnsi="Arial" w:cs="Arial"/>
          <w:i/>
          <w:iCs/>
          <w:sz w:val="20"/>
          <w:szCs w:val="17"/>
          <w:lang w:val="en-GB"/>
        </w:rPr>
        <w:t xml:space="preserve">, which not only includes individual registers such as </w:t>
      </w:r>
      <w:r w:rsidR="00276F09" w:rsidRPr="00E35786">
        <w:rPr>
          <w:rFonts w:ascii="Arial" w:hAnsi="Arial" w:cs="Arial"/>
          <w:i/>
          <w:iCs/>
          <w:sz w:val="20"/>
          <w:szCs w:val="17"/>
          <w:lang w:val="en-GB"/>
        </w:rPr>
        <w:t>the National Register of Hospitalised Patients</w:t>
      </w:r>
      <w:r w:rsidR="00276F09" w:rsidRPr="00640144">
        <w:rPr>
          <w:rFonts w:ascii="Arial" w:hAnsi="Arial" w:cs="Arial"/>
          <w:i/>
          <w:iCs/>
          <w:sz w:val="20"/>
          <w:szCs w:val="17"/>
          <w:lang w:val="en-GB"/>
        </w:rPr>
        <w:t>, but also data from the</w:t>
      </w:r>
      <w:r w:rsidR="002233AB" w:rsidRPr="00640144">
        <w:rPr>
          <w:rFonts w:ascii="Arial" w:hAnsi="Arial" w:cs="Arial"/>
          <w:i/>
          <w:iCs/>
          <w:sz w:val="20"/>
          <w:szCs w:val="17"/>
          <w:lang w:val="en-GB"/>
        </w:rPr>
        <w:t xml:space="preserve"> Programme of Statistical Surveys collected by means of individual statistical </w:t>
      </w:r>
      <w:r w:rsidR="001C04FD" w:rsidRPr="00640144">
        <w:rPr>
          <w:rFonts w:ascii="Arial" w:hAnsi="Arial" w:cs="Arial"/>
          <w:i/>
          <w:iCs/>
          <w:sz w:val="20"/>
          <w:szCs w:val="17"/>
          <w:lang w:val="en-GB"/>
        </w:rPr>
        <w:t>reports</w:t>
      </w:r>
      <w:r w:rsidR="000E435F" w:rsidRPr="00E35786">
        <w:rPr>
          <w:rFonts w:ascii="Arial" w:hAnsi="Arial" w:cs="Arial"/>
          <w:i/>
          <w:iCs/>
          <w:sz w:val="20"/>
          <w:szCs w:val="17"/>
          <w:lang w:val="en-GB"/>
        </w:rPr>
        <w:t xml:space="preserve"> (</w:t>
      </w:r>
      <w:r w:rsidR="002233AB" w:rsidRPr="00640144">
        <w:rPr>
          <w:rFonts w:ascii="Arial" w:hAnsi="Arial" w:cs="Arial"/>
          <w:i/>
          <w:iCs/>
          <w:sz w:val="20"/>
          <w:szCs w:val="17"/>
          <w:lang w:val="en-GB"/>
        </w:rPr>
        <w:t>questionnaires</w:t>
      </w:r>
      <w:r w:rsidR="000E435F" w:rsidRPr="00640144">
        <w:rPr>
          <w:rFonts w:ascii="Arial" w:hAnsi="Arial" w:cs="Arial"/>
          <w:i/>
          <w:iCs/>
          <w:sz w:val="20"/>
          <w:szCs w:val="17"/>
          <w:lang w:val="en-GB"/>
        </w:rPr>
        <w:t xml:space="preserve">) </w:t>
      </w:r>
      <w:r w:rsidR="002233AB" w:rsidRPr="00640144">
        <w:rPr>
          <w:rFonts w:ascii="Arial" w:hAnsi="Arial" w:cs="Arial"/>
          <w:i/>
          <w:iCs/>
          <w:sz w:val="20"/>
          <w:szCs w:val="17"/>
          <w:lang w:val="en-GB"/>
        </w:rPr>
        <w:t>from health service</w:t>
      </w:r>
      <w:r w:rsidR="0032254D" w:rsidRPr="00640144">
        <w:rPr>
          <w:rFonts w:ascii="Arial" w:hAnsi="Arial" w:cs="Arial"/>
          <w:i/>
          <w:iCs/>
          <w:sz w:val="20"/>
          <w:szCs w:val="17"/>
          <w:lang w:val="en-GB"/>
        </w:rPr>
        <w:t xml:space="preserve"> providers</w:t>
      </w:r>
      <w:r w:rsidR="002233AB" w:rsidRPr="00640144">
        <w:rPr>
          <w:rFonts w:ascii="Arial" w:hAnsi="Arial" w:cs="Arial"/>
          <w:i/>
          <w:iCs/>
          <w:sz w:val="20"/>
          <w:szCs w:val="17"/>
          <w:lang w:val="en-GB"/>
        </w:rPr>
        <w:t xml:space="preserve">, for example, on the number of </w:t>
      </w:r>
      <w:r w:rsidR="001A7318" w:rsidRPr="00E35786">
        <w:rPr>
          <w:rFonts w:ascii="Arial" w:hAnsi="Arial" w:cs="Arial"/>
          <w:i/>
          <w:iCs/>
          <w:sz w:val="20"/>
          <w:szCs w:val="17"/>
          <w:lang w:val="en-GB"/>
        </w:rPr>
        <w:t>health care personnel</w:t>
      </w:r>
      <w:r w:rsidR="002233AB" w:rsidRPr="00640144">
        <w:rPr>
          <w:rFonts w:ascii="Arial" w:hAnsi="Arial" w:cs="Arial"/>
          <w:i/>
          <w:iCs/>
          <w:sz w:val="20"/>
          <w:szCs w:val="17"/>
          <w:lang w:val="en-GB"/>
        </w:rPr>
        <w:t xml:space="preserve"> (</w:t>
      </w:r>
      <w:r w:rsidR="00B66DB7" w:rsidRPr="00B66DB7">
        <w:rPr>
          <w:rFonts w:ascii="Arial" w:hAnsi="Arial" w:cs="Arial"/>
          <w:i/>
          <w:iCs/>
          <w:sz w:val="20"/>
          <w:szCs w:val="17"/>
          <w:lang w:val="en-GB"/>
        </w:rPr>
        <w:t>Table</w:t>
      </w:r>
      <w:r w:rsidR="002233AB" w:rsidRPr="00B66DB7">
        <w:rPr>
          <w:rFonts w:ascii="Arial" w:hAnsi="Arial" w:cs="Arial"/>
          <w:i/>
          <w:iCs/>
          <w:sz w:val="20"/>
          <w:szCs w:val="17"/>
          <w:lang w:val="en-GB"/>
        </w:rPr>
        <w:t xml:space="preserve"> </w:t>
      </w:r>
      <w:r w:rsidR="00B66DB7" w:rsidRPr="00B66DB7">
        <w:rPr>
          <w:rFonts w:ascii="Arial" w:hAnsi="Arial" w:cs="Arial"/>
          <w:i/>
          <w:sz w:val="20"/>
          <w:lang w:val="en-GB"/>
        </w:rPr>
        <w:t>2</w:t>
      </w:r>
      <w:r w:rsidR="00B66DB7" w:rsidRPr="00B66DB7">
        <w:rPr>
          <w:rFonts w:ascii="Arial" w:hAnsi="Arial" w:cs="Arial"/>
          <w:i/>
          <w:iCs/>
          <w:sz w:val="20"/>
          <w:szCs w:val="17"/>
          <w:lang w:val="en-GB"/>
        </w:rPr>
        <w:t>–</w:t>
      </w:r>
      <w:r w:rsidR="00B66DB7" w:rsidRPr="00B66DB7">
        <w:rPr>
          <w:rFonts w:ascii="Arial" w:hAnsi="Arial" w:cs="Arial"/>
          <w:i/>
          <w:sz w:val="20"/>
          <w:lang w:val="en-GB"/>
        </w:rPr>
        <w:t>16</w:t>
      </w:r>
      <w:r w:rsidR="002233AB" w:rsidRPr="00640144">
        <w:rPr>
          <w:rFonts w:ascii="Arial" w:hAnsi="Arial" w:cs="Arial"/>
          <w:i/>
          <w:iCs/>
          <w:sz w:val="20"/>
          <w:szCs w:val="17"/>
          <w:lang w:val="en-GB"/>
        </w:rPr>
        <w:t>)</w:t>
      </w:r>
      <w:r w:rsidRPr="00640144">
        <w:rPr>
          <w:rFonts w:ascii="Arial" w:hAnsi="Arial" w:cs="Arial"/>
          <w:i/>
          <w:iCs/>
          <w:sz w:val="20"/>
          <w:szCs w:val="17"/>
          <w:lang w:val="en-GB"/>
        </w:rPr>
        <w:t xml:space="preserve">. The NHIS is </w:t>
      </w:r>
      <w:r w:rsidR="00BD6842" w:rsidRPr="00640144">
        <w:rPr>
          <w:rFonts w:ascii="Arial" w:hAnsi="Arial" w:cs="Arial"/>
          <w:i/>
          <w:iCs/>
          <w:sz w:val="20"/>
          <w:szCs w:val="17"/>
          <w:lang w:val="en-GB"/>
        </w:rPr>
        <w:t xml:space="preserve">defined </w:t>
      </w:r>
      <w:r w:rsidR="001715D6" w:rsidRPr="00640144">
        <w:rPr>
          <w:rFonts w:ascii="Arial" w:hAnsi="Arial" w:cs="Arial"/>
          <w:i/>
          <w:iCs/>
          <w:sz w:val="20"/>
          <w:szCs w:val="17"/>
          <w:lang w:val="en-GB"/>
        </w:rPr>
        <w:t>in</w:t>
      </w:r>
      <w:r w:rsidR="00512EEC" w:rsidRPr="00640144">
        <w:rPr>
          <w:rFonts w:ascii="Arial" w:hAnsi="Arial" w:cs="Arial"/>
          <w:i/>
          <w:iCs/>
          <w:sz w:val="20"/>
          <w:szCs w:val="17"/>
          <w:lang w:val="en-GB"/>
        </w:rPr>
        <w:t xml:space="preserve"> the</w:t>
      </w:r>
      <w:r w:rsidR="00FF4FCE" w:rsidRPr="00640144">
        <w:rPr>
          <w:rFonts w:ascii="Arial" w:hAnsi="Arial" w:cs="Arial"/>
          <w:i/>
          <w:iCs/>
          <w:sz w:val="20"/>
          <w:szCs w:val="17"/>
          <w:lang w:val="en-GB"/>
        </w:rPr>
        <w:t xml:space="preserve"> </w:t>
      </w:r>
      <w:r w:rsidRPr="00640144">
        <w:rPr>
          <w:rFonts w:ascii="Arial" w:hAnsi="Arial" w:cs="Arial"/>
          <w:i/>
          <w:iCs/>
          <w:sz w:val="20"/>
          <w:szCs w:val="17"/>
          <w:lang w:val="en-GB"/>
        </w:rPr>
        <w:t>Section 70 par</w:t>
      </w:r>
      <w:r w:rsidR="00512EEC" w:rsidRPr="00640144">
        <w:rPr>
          <w:rFonts w:ascii="Arial" w:hAnsi="Arial" w:cs="Arial"/>
          <w:i/>
          <w:iCs/>
          <w:sz w:val="20"/>
          <w:szCs w:val="17"/>
          <w:lang w:val="en-GB"/>
        </w:rPr>
        <w:t>agraph</w:t>
      </w:r>
      <w:r w:rsidRPr="00640144">
        <w:rPr>
          <w:rFonts w:ascii="Arial" w:hAnsi="Arial" w:cs="Arial"/>
          <w:i/>
          <w:iCs/>
          <w:sz w:val="20"/>
          <w:szCs w:val="17"/>
          <w:lang w:val="en-GB"/>
        </w:rPr>
        <w:t xml:space="preserve"> 1 </w:t>
      </w:r>
      <w:r w:rsidRPr="00640144">
        <w:rPr>
          <w:rFonts w:ascii="Arial" w:hAnsi="Arial" w:cs="Arial"/>
          <w:i/>
          <w:iCs/>
          <w:sz w:val="20"/>
          <w:lang w:val="en-GB"/>
        </w:rPr>
        <w:t>of</w:t>
      </w:r>
      <w:r w:rsidRPr="00640144">
        <w:rPr>
          <w:rFonts w:ascii="Arial" w:hAnsi="Arial" w:cs="Arial"/>
          <w:i/>
          <w:iCs/>
          <w:sz w:val="20"/>
          <w:szCs w:val="17"/>
          <w:lang w:val="en-GB"/>
        </w:rPr>
        <w:t xml:space="preserve"> the Act No 372/2011 Sb</w:t>
      </w:r>
      <w:r w:rsidR="00FF4FCE" w:rsidRPr="00640144">
        <w:rPr>
          <w:rFonts w:ascii="Arial" w:hAnsi="Arial" w:cs="Arial"/>
          <w:i/>
          <w:iCs/>
          <w:sz w:val="20"/>
          <w:szCs w:val="17"/>
          <w:lang w:val="en-GB"/>
        </w:rPr>
        <w:t>,</w:t>
      </w:r>
      <w:r w:rsidRPr="00640144">
        <w:rPr>
          <w:rFonts w:ascii="Arial" w:hAnsi="Arial" w:cs="Arial"/>
          <w:i/>
          <w:iCs/>
          <w:sz w:val="20"/>
          <w:szCs w:val="17"/>
          <w:lang w:val="en-GB"/>
        </w:rPr>
        <w:t xml:space="preserve"> on </w:t>
      </w:r>
      <w:r w:rsidR="00BD6842" w:rsidRPr="00640144">
        <w:rPr>
          <w:rFonts w:ascii="Arial" w:hAnsi="Arial" w:cs="Arial"/>
          <w:i/>
          <w:iCs/>
          <w:sz w:val="20"/>
          <w:szCs w:val="17"/>
          <w:lang w:val="en-GB"/>
        </w:rPr>
        <w:t>H</w:t>
      </w:r>
      <w:r w:rsidRPr="00640144">
        <w:rPr>
          <w:rFonts w:ascii="Arial" w:hAnsi="Arial" w:cs="Arial"/>
          <w:i/>
          <w:iCs/>
          <w:sz w:val="20"/>
          <w:szCs w:val="17"/>
          <w:lang w:val="en-GB"/>
        </w:rPr>
        <w:t xml:space="preserve">ealth </w:t>
      </w:r>
      <w:r w:rsidR="00BD6842" w:rsidRPr="00640144">
        <w:rPr>
          <w:rFonts w:ascii="Arial" w:hAnsi="Arial" w:cs="Arial"/>
          <w:i/>
          <w:iCs/>
          <w:sz w:val="20"/>
          <w:szCs w:val="17"/>
          <w:lang w:val="en-GB"/>
        </w:rPr>
        <w:t>S</w:t>
      </w:r>
      <w:r w:rsidRPr="00640144">
        <w:rPr>
          <w:rFonts w:ascii="Arial" w:hAnsi="Arial" w:cs="Arial"/>
          <w:i/>
          <w:iCs/>
          <w:sz w:val="20"/>
          <w:szCs w:val="17"/>
          <w:lang w:val="en-GB"/>
        </w:rPr>
        <w:t>ervices and </w:t>
      </w:r>
      <w:r w:rsidR="00BD6842" w:rsidRPr="00640144">
        <w:rPr>
          <w:rFonts w:ascii="Arial" w:hAnsi="Arial" w:cs="Arial"/>
          <w:i/>
          <w:iCs/>
          <w:sz w:val="20"/>
          <w:szCs w:val="17"/>
          <w:lang w:val="en-GB"/>
        </w:rPr>
        <w:t>C</w:t>
      </w:r>
      <w:r w:rsidRPr="00640144">
        <w:rPr>
          <w:rFonts w:ascii="Arial" w:hAnsi="Arial" w:cs="Arial"/>
          <w:i/>
          <w:iCs/>
          <w:sz w:val="20"/>
          <w:szCs w:val="17"/>
          <w:lang w:val="en-GB"/>
        </w:rPr>
        <w:t>onditions</w:t>
      </w:r>
      <w:r w:rsidR="00FF4FCE" w:rsidRPr="00640144">
        <w:rPr>
          <w:rFonts w:ascii="Arial" w:hAnsi="Arial" w:cs="Arial"/>
          <w:i/>
          <w:iCs/>
          <w:sz w:val="20"/>
          <w:szCs w:val="17"/>
          <w:lang w:val="en-GB"/>
        </w:rPr>
        <w:t xml:space="preserve"> </w:t>
      </w:r>
      <w:r w:rsidR="00A57C16" w:rsidRPr="00640144">
        <w:rPr>
          <w:rFonts w:ascii="Arial" w:hAnsi="Arial" w:cs="Arial"/>
          <w:i/>
          <w:iCs/>
          <w:sz w:val="20"/>
          <w:szCs w:val="17"/>
          <w:lang w:val="en-GB"/>
        </w:rPr>
        <w:t>of Their Provision (Act on Health Services)</w:t>
      </w:r>
      <w:r w:rsidRPr="00640144">
        <w:rPr>
          <w:rFonts w:ascii="Arial" w:hAnsi="Arial" w:cs="Arial"/>
          <w:i/>
          <w:iCs/>
          <w:sz w:val="20"/>
          <w:szCs w:val="17"/>
          <w:lang w:val="en-GB"/>
        </w:rPr>
        <w:t>. The </w:t>
      </w:r>
      <w:r w:rsidR="00FF4FCE" w:rsidRPr="00640144">
        <w:rPr>
          <w:rFonts w:ascii="Arial" w:hAnsi="Arial" w:cs="Arial"/>
          <w:i/>
          <w:iCs/>
          <w:sz w:val="20"/>
          <w:szCs w:val="17"/>
          <w:lang w:val="en-GB"/>
        </w:rPr>
        <w:t>data upload t</w:t>
      </w:r>
      <w:r w:rsidRPr="00640144">
        <w:rPr>
          <w:rFonts w:ascii="Arial" w:hAnsi="Arial" w:cs="Arial"/>
          <w:i/>
          <w:iCs/>
          <w:sz w:val="20"/>
          <w:szCs w:val="17"/>
          <w:lang w:val="en-GB"/>
        </w:rPr>
        <w:t xml:space="preserve">o </w:t>
      </w:r>
      <w:r w:rsidRPr="00F57E0F">
        <w:rPr>
          <w:rFonts w:ascii="Arial" w:hAnsi="Arial" w:cs="Arial"/>
          <w:i/>
          <w:iCs/>
          <w:sz w:val="20"/>
          <w:szCs w:val="17"/>
          <w:lang w:val="en-GB"/>
        </w:rPr>
        <w:t>the System</w:t>
      </w:r>
      <w:r w:rsidRPr="00640144">
        <w:rPr>
          <w:rFonts w:ascii="Arial" w:hAnsi="Arial" w:cs="Arial"/>
          <w:i/>
          <w:iCs/>
          <w:sz w:val="20"/>
          <w:szCs w:val="17"/>
          <w:lang w:val="en-GB"/>
        </w:rPr>
        <w:t xml:space="preserve"> is </w:t>
      </w:r>
      <w:r w:rsidR="00FF4FCE" w:rsidRPr="00640144">
        <w:rPr>
          <w:rFonts w:ascii="Arial" w:hAnsi="Arial" w:cs="Arial"/>
          <w:i/>
          <w:iCs/>
          <w:sz w:val="20"/>
          <w:szCs w:val="17"/>
          <w:lang w:val="en-GB"/>
        </w:rPr>
        <w:t xml:space="preserve">provided </w:t>
      </w:r>
      <w:r w:rsidRPr="00640144">
        <w:rPr>
          <w:rFonts w:ascii="Arial" w:hAnsi="Arial" w:cs="Arial"/>
          <w:i/>
          <w:iCs/>
          <w:sz w:val="20"/>
          <w:szCs w:val="17"/>
          <w:lang w:val="en-GB"/>
        </w:rPr>
        <w:t>by the Institute of Health Information and </w:t>
      </w:r>
      <w:r w:rsidRPr="00846EF5">
        <w:rPr>
          <w:rFonts w:ascii="Arial" w:hAnsi="Arial" w:cs="Arial"/>
          <w:i/>
          <w:iCs/>
          <w:sz w:val="20"/>
          <w:szCs w:val="17"/>
          <w:lang w:val="en-GB"/>
        </w:rPr>
        <w:t>Statistics of the </w:t>
      </w:r>
      <w:r w:rsidR="008A4303">
        <w:rPr>
          <w:rFonts w:ascii="Arial" w:hAnsi="Arial" w:cs="Arial"/>
          <w:i/>
          <w:iCs/>
          <w:sz w:val="20"/>
          <w:szCs w:val="17"/>
          <w:lang w:val="en-GB"/>
        </w:rPr>
        <w:t>Czech Republic</w:t>
      </w:r>
      <w:r w:rsidR="008A4303" w:rsidRPr="00846EF5">
        <w:rPr>
          <w:rFonts w:ascii="Arial" w:hAnsi="Arial" w:cs="Arial"/>
          <w:i/>
          <w:iCs/>
          <w:sz w:val="20"/>
          <w:szCs w:val="17"/>
          <w:lang w:val="en-GB"/>
        </w:rPr>
        <w:t xml:space="preserve"> </w:t>
      </w:r>
      <w:r w:rsidRPr="00846EF5">
        <w:rPr>
          <w:rFonts w:ascii="Arial" w:hAnsi="Arial" w:cs="Arial"/>
          <w:i/>
          <w:iCs/>
          <w:sz w:val="20"/>
          <w:szCs w:val="17"/>
          <w:lang w:val="en-GB"/>
        </w:rPr>
        <w:t>(hereinafter</w:t>
      </w:r>
      <w:r w:rsidR="00484E29" w:rsidRPr="00846EF5">
        <w:rPr>
          <w:rFonts w:ascii="Arial" w:hAnsi="Arial" w:cs="Arial"/>
          <w:i/>
          <w:iCs/>
          <w:sz w:val="20"/>
          <w:szCs w:val="17"/>
          <w:lang w:val="en-GB"/>
        </w:rPr>
        <w:t xml:space="preserve"> only referred to</w:t>
      </w:r>
      <w:r w:rsidRPr="00846EF5">
        <w:rPr>
          <w:rFonts w:ascii="Arial" w:hAnsi="Arial" w:cs="Arial"/>
          <w:i/>
          <w:iCs/>
          <w:sz w:val="20"/>
          <w:szCs w:val="17"/>
          <w:lang w:val="en-GB"/>
        </w:rPr>
        <w:t xml:space="preserve"> as the IHIS CR), which is the NHIS</w:t>
      </w:r>
      <w:r w:rsidR="006830CC" w:rsidRPr="00846EF5">
        <w:rPr>
          <w:rFonts w:ascii="Arial" w:hAnsi="Arial" w:cs="Arial"/>
          <w:i/>
          <w:sz w:val="20"/>
          <w:szCs w:val="20"/>
        </w:rPr>
        <w:t>'s</w:t>
      </w:r>
      <w:r w:rsidRPr="00846EF5">
        <w:rPr>
          <w:rFonts w:ascii="Arial" w:hAnsi="Arial" w:cs="Arial"/>
          <w:i/>
          <w:iCs/>
          <w:sz w:val="20"/>
          <w:szCs w:val="17"/>
          <w:lang w:val="en-GB"/>
        </w:rPr>
        <w:t xml:space="preserve"> administrator authorised by the Ministry of Health.</w:t>
      </w:r>
    </w:p>
    <w:p w14:paraId="5FD13392" w14:textId="2BBB9D0C" w:rsidR="007351F3" w:rsidRPr="00846EF5" w:rsidRDefault="00012AB5" w:rsidP="00BD6842">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sz w:val="20"/>
          <w:lang w:val="en-GB"/>
        </w:rPr>
      </w:pPr>
      <w:r w:rsidRPr="00846EF5">
        <w:rPr>
          <w:rFonts w:ascii="Arial" w:hAnsi="Arial" w:cs="Arial"/>
          <w:i/>
          <w:sz w:val="20"/>
          <w:lang w:val="en-GB"/>
        </w:rPr>
        <w:t>The Czech Statistical Office in cooperation with the Czech Social Security Administration </w:t>
      </w:r>
      <w:r w:rsidRPr="00846EF5">
        <w:rPr>
          <w:rFonts w:ascii="Arial" w:hAnsi="Arial" w:cs="Arial"/>
          <w:i/>
          <w:iCs/>
          <w:sz w:val="20"/>
          <w:lang w:val="en-GB"/>
        </w:rPr>
        <w:t>(CSSA)</w:t>
      </w:r>
      <w:r w:rsidRPr="00846EF5">
        <w:rPr>
          <w:rFonts w:ascii="Arial" w:hAnsi="Arial" w:cs="Arial"/>
          <w:i/>
          <w:sz w:val="20"/>
          <w:lang w:val="en-GB"/>
        </w:rPr>
        <w:t xml:space="preserve"> ensures data on new reported cases of incapacity for work due to disease or injury (Tables</w:t>
      </w:r>
      <w:r w:rsidR="00116730" w:rsidRPr="00846EF5">
        <w:rPr>
          <w:rFonts w:ascii="Arial" w:hAnsi="Arial" w:cs="Arial"/>
          <w:i/>
          <w:sz w:val="20"/>
          <w:lang w:val="en-GB"/>
        </w:rPr>
        <w:t xml:space="preserve"> 2</w:t>
      </w:r>
      <w:r w:rsidR="00116730" w:rsidRPr="00846EF5">
        <w:rPr>
          <w:rFonts w:ascii="Arial" w:hAnsi="Arial" w:cs="Arial"/>
          <w:i/>
          <w:iCs/>
          <w:sz w:val="20"/>
          <w:szCs w:val="17"/>
          <w:lang w:val="en-GB"/>
        </w:rPr>
        <w:t>–</w:t>
      </w:r>
      <w:r w:rsidR="00116730" w:rsidRPr="00846EF5">
        <w:rPr>
          <w:rFonts w:ascii="Arial" w:hAnsi="Arial" w:cs="Arial"/>
          <w:i/>
          <w:sz w:val="20"/>
          <w:lang w:val="en-GB"/>
        </w:rPr>
        <w:t>28 and</w:t>
      </w:r>
      <w:r w:rsidRPr="00846EF5">
        <w:rPr>
          <w:rFonts w:ascii="Arial" w:hAnsi="Arial" w:cs="Arial"/>
          <w:i/>
          <w:sz w:val="20"/>
          <w:lang w:val="en-GB"/>
        </w:rPr>
        <w:t xml:space="preserve"> 2</w:t>
      </w:r>
      <w:r w:rsidRPr="00846EF5">
        <w:rPr>
          <w:rFonts w:ascii="Arial" w:hAnsi="Arial" w:cs="Arial"/>
          <w:i/>
          <w:iCs/>
          <w:sz w:val="20"/>
          <w:szCs w:val="17"/>
          <w:lang w:val="en-GB"/>
        </w:rPr>
        <w:t>–</w:t>
      </w:r>
      <w:r w:rsidR="00F34899" w:rsidRPr="00846EF5">
        <w:rPr>
          <w:rFonts w:ascii="Arial" w:hAnsi="Arial" w:cs="Arial"/>
          <w:i/>
          <w:sz w:val="20"/>
          <w:lang w:val="en-GB"/>
        </w:rPr>
        <w:t>31</w:t>
      </w:r>
      <w:r w:rsidRPr="00846EF5">
        <w:rPr>
          <w:rFonts w:ascii="Arial" w:hAnsi="Arial" w:cs="Arial"/>
          <w:i/>
          <w:sz w:val="20"/>
          <w:lang w:val="en-GB"/>
        </w:rPr>
        <w:t>). Data on the number of fatal occupational injuries (Table 2</w:t>
      </w:r>
      <w:r w:rsidRPr="00846EF5">
        <w:rPr>
          <w:rFonts w:ascii="Arial" w:hAnsi="Arial" w:cs="Arial"/>
          <w:i/>
          <w:iCs/>
          <w:sz w:val="20"/>
          <w:szCs w:val="17"/>
          <w:lang w:val="en-GB"/>
        </w:rPr>
        <w:t>–</w:t>
      </w:r>
      <w:r w:rsidR="00846EF5" w:rsidRPr="00846EF5">
        <w:rPr>
          <w:rFonts w:ascii="Arial" w:hAnsi="Arial" w:cs="Arial"/>
          <w:i/>
          <w:sz w:val="20"/>
          <w:lang w:val="en-GB"/>
        </w:rPr>
        <w:t>31</w:t>
      </w:r>
      <w:r w:rsidRPr="00846EF5">
        <w:rPr>
          <w:rFonts w:ascii="Arial" w:hAnsi="Arial" w:cs="Arial"/>
          <w:i/>
          <w:sz w:val="20"/>
          <w:lang w:val="en-GB"/>
        </w:rPr>
        <w:t>) come from the</w:t>
      </w:r>
      <w:r w:rsidR="00112161" w:rsidRPr="00846EF5">
        <w:rPr>
          <w:rFonts w:ascii="Arial" w:hAnsi="Arial" w:cs="Arial"/>
          <w:i/>
          <w:sz w:val="20"/>
          <w:lang w:val="en-GB"/>
        </w:rPr>
        <w:t xml:space="preserve"> State Labour Inspection Office (SLIO). </w:t>
      </w:r>
      <w:r w:rsidR="00AC1CC4" w:rsidRPr="00846EF5">
        <w:rPr>
          <w:rFonts w:ascii="Arial" w:hAnsi="Arial" w:cs="Arial"/>
          <w:i/>
          <w:sz w:val="20"/>
          <w:lang w:val="en-GB"/>
        </w:rPr>
        <w:t>Data on the number of terminated cases of incapacity for work (Tables 2</w:t>
      </w:r>
      <w:r w:rsidR="00AC1CC4" w:rsidRPr="00846EF5">
        <w:rPr>
          <w:rFonts w:ascii="Arial" w:hAnsi="Arial" w:cs="Arial"/>
          <w:i/>
          <w:iCs/>
          <w:sz w:val="20"/>
          <w:szCs w:val="17"/>
          <w:lang w:val="en-GB"/>
        </w:rPr>
        <w:t>–</w:t>
      </w:r>
      <w:r w:rsidR="00116730" w:rsidRPr="00846EF5">
        <w:rPr>
          <w:rFonts w:ascii="Arial" w:hAnsi="Arial" w:cs="Arial"/>
          <w:i/>
          <w:sz w:val="20"/>
          <w:lang w:val="en-GB"/>
        </w:rPr>
        <w:t>32</w:t>
      </w:r>
      <w:r w:rsidR="00AC1CC4" w:rsidRPr="00846EF5">
        <w:rPr>
          <w:rFonts w:ascii="Arial" w:hAnsi="Arial" w:cs="Arial"/>
          <w:i/>
          <w:sz w:val="20"/>
          <w:lang w:val="en-GB"/>
        </w:rPr>
        <w:t xml:space="preserve"> </w:t>
      </w:r>
      <w:r w:rsidR="00116730" w:rsidRPr="00846EF5">
        <w:rPr>
          <w:rFonts w:ascii="Arial" w:hAnsi="Arial" w:cs="Arial"/>
          <w:i/>
          <w:sz w:val="20"/>
          <w:lang w:val="en-GB"/>
        </w:rPr>
        <w:t>and</w:t>
      </w:r>
      <w:r w:rsidR="00AC1CC4" w:rsidRPr="00846EF5">
        <w:rPr>
          <w:rFonts w:ascii="Arial" w:hAnsi="Arial" w:cs="Arial"/>
          <w:i/>
          <w:sz w:val="20"/>
          <w:lang w:val="en-GB"/>
        </w:rPr>
        <w:t xml:space="preserve"> 2</w:t>
      </w:r>
      <w:r w:rsidR="00AC1CC4" w:rsidRPr="00846EF5">
        <w:rPr>
          <w:rFonts w:ascii="Arial" w:hAnsi="Arial" w:cs="Arial"/>
          <w:i/>
          <w:iCs/>
          <w:sz w:val="20"/>
          <w:szCs w:val="17"/>
          <w:lang w:val="en-GB"/>
        </w:rPr>
        <w:t>–</w:t>
      </w:r>
      <w:r w:rsidR="00116730" w:rsidRPr="00846EF5">
        <w:rPr>
          <w:rFonts w:ascii="Arial" w:hAnsi="Arial" w:cs="Arial"/>
          <w:i/>
          <w:sz w:val="20"/>
          <w:lang w:val="en-GB"/>
        </w:rPr>
        <w:t>34</w:t>
      </w:r>
      <w:r w:rsidR="00AC1CC4" w:rsidRPr="00846EF5">
        <w:rPr>
          <w:rFonts w:ascii="Arial" w:hAnsi="Arial" w:cs="Arial"/>
          <w:i/>
          <w:sz w:val="20"/>
          <w:lang w:val="en-GB"/>
        </w:rPr>
        <w:t>) come from the CSSA.</w:t>
      </w:r>
    </w:p>
    <w:p w14:paraId="77B44732" w14:textId="03BB8729" w:rsidR="006E366B" w:rsidRPr="00846EF5" w:rsidRDefault="006E366B">
      <w:pPr>
        <w:spacing w:before="120"/>
        <w:ind w:firstLine="714"/>
        <w:jc w:val="both"/>
        <w:rPr>
          <w:rFonts w:ascii="Arial" w:hAnsi="Arial" w:cs="Arial"/>
          <w:i/>
          <w:sz w:val="20"/>
          <w:lang w:val="en-GB"/>
        </w:rPr>
      </w:pPr>
      <w:r w:rsidRPr="00846EF5">
        <w:rPr>
          <w:rFonts w:ascii="Arial" w:hAnsi="Arial" w:cs="Arial"/>
          <w:i/>
          <w:sz w:val="20"/>
          <w:lang w:val="en-GB"/>
        </w:rPr>
        <w:t xml:space="preserve">Information on health care expenditure (according to the System of Health Accounts </w:t>
      </w:r>
      <w:r w:rsidRPr="00846EF5">
        <w:rPr>
          <w:rFonts w:ascii="Arial" w:hAnsi="Arial" w:cs="Arial"/>
          <w:i/>
          <w:sz w:val="20"/>
          <w:szCs w:val="20"/>
          <w:lang w:val="en-GB"/>
        </w:rPr>
        <w:t>– Tables 2</w:t>
      </w:r>
      <w:r w:rsidRPr="00846EF5">
        <w:rPr>
          <w:rFonts w:ascii="Arial" w:hAnsi="Arial" w:cs="Arial"/>
          <w:i/>
          <w:iCs/>
          <w:sz w:val="20"/>
          <w:szCs w:val="17"/>
          <w:lang w:val="en-GB"/>
        </w:rPr>
        <w:t>–</w:t>
      </w:r>
      <w:r w:rsidR="00846EF5" w:rsidRPr="00846EF5">
        <w:rPr>
          <w:rFonts w:ascii="Arial" w:hAnsi="Arial" w:cs="Arial"/>
          <w:i/>
          <w:sz w:val="20"/>
          <w:lang w:val="en-GB"/>
        </w:rPr>
        <w:t>12</w:t>
      </w:r>
      <w:r w:rsidRPr="00846EF5">
        <w:rPr>
          <w:rFonts w:ascii="Arial" w:hAnsi="Arial" w:cs="Arial"/>
          <w:i/>
          <w:sz w:val="20"/>
          <w:lang w:val="en-GB"/>
        </w:rPr>
        <w:t xml:space="preserve"> through </w:t>
      </w:r>
      <w:r w:rsidRPr="00846EF5">
        <w:rPr>
          <w:rFonts w:ascii="Arial" w:hAnsi="Arial" w:cs="Arial"/>
          <w:i/>
          <w:sz w:val="20"/>
          <w:szCs w:val="20"/>
          <w:lang w:val="en-GB"/>
        </w:rPr>
        <w:t>2</w:t>
      </w:r>
      <w:r w:rsidRPr="00846EF5">
        <w:rPr>
          <w:rFonts w:ascii="Arial" w:hAnsi="Arial" w:cs="Arial"/>
          <w:i/>
          <w:iCs/>
          <w:sz w:val="20"/>
          <w:szCs w:val="17"/>
          <w:lang w:val="en-GB"/>
        </w:rPr>
        <w:t>–</w:t>
      </w:r>
      <w:r w:rsidR="00846EF5" w:rsidRPr="00846EF5">
        <w:rPr>
          <w:rFonts w:ascii="Arial" w:hAnsi="Arial" w:cs="Arial"/>
          <w:i/>
          <w:sz w:val="20"/>
          <w:lang w:val="en-GB"/>
        </w:rPr>
        <w:t>1</w:t>
      </w:r>
      <w:r w:rsidR="003231E3">
        <w:rPr>
          <w:rFonts w:ascii="Arial" w:hAnsi="Arial" w:cs="Arial"/>
          <w:i/>
          <w:sz w:val="20"/>
          <w:lang w:val="en-GB"/>
        </w:rPr>
        <w:t>5</w:t>
      </w:r>
      <w:r w:rsidRPr="00846EF5">
        <w:rPr>
          <w:rFonts w:ascii="Arial" w:hAnsi="Arial" w:cs="Arial"/>
          <w:i/>
          <w:sz w:val="20"/>
          <w:lang w:val="en-GB"/>
        </w:rPr>
        <w:t xml:space="preserve">) is derived from data of the Ministry of Finance, the Ministry of Labour and Social Affairs, health insurance companies, and data sources of the CZSO. </w:t>
      </w:r>
    </w:p>
    <w:p w14:paraId="5A1C3D3A" w14:textId="77777777" w:rsidR="00D107FB" w:rsidRPr="00846EF5" w:rsidRDefault="00D107FB" w:rsidP="007351F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846EF5">
        <w:rPr>
          <w:rFonts w:ascii="Arial" w:hAnsi="Arial" w:cs="Arial"/>
          <w:i/>
          <w:sz w:val="20"/>
          <w:lang w:val="en-GB"/>
        </w:rPr>
        <w:t>The Chapter uses the breakdown of diseases and related health problems according to diagnoses and chapters of the International Statistical Classification of Diseases and Related Health Problems 10th Revision (ICD-10).</w:t>
      </w:r>
    </w:p>
    <w:p w14:paraId="0865C1DA" w14:textId="0A405A0D" w:rsidR="008B1914" w:rsidRPr="00846EF5" w:rsidRDefault="004212F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eastAsia="en-US"/>
        </w:rPr>
      </w:pPr>
      <w:r w:rsidRPr="00846EF5">
        <w:rPr>
          <w:rFonts w:ascii="Arial" w:hAnsi="Arial" w:cs="Arial"/>
          <w:i/>
          <w:sz w:val="20"/>
          <w:szCs w:val="20"/>
          <w:lang w:val="en-GB" w:eastAsia="en-US"/>
        </w:rPr>
        <w:t xml:space="preserve">Besides the aforementioned sources, this Chapter uses </w:t>
      </w:r>
      <w:r w:rsidRPr="00846EF5">
        <w:rPr>
          <w:rFonts w:ascii="Arial" w:hAnsi="Arial" w:cs="Arial"/>
          <w:b/>
          <w:i/>
          <w:sz w:val="20"/>
          <w:szCs w:val="20"/>
          <w:lang w:val="en-GB" w:eastAsia="en-US"/>
        </w:rPr>
        <w:t>structural wage statistics</w:t>
      </w:r>
      <w:r w:rsidRPr="00846EF5">
        <w:rPr>
          <w:rFonts w:ascii="Arial" w:hAnsi="Arial" w:cs="Arial"/>
          <w:i/>
          <w:sz w:val="20"/>
          <w:szCs w:val="20"/>
          <w:lang w:val="en-GB" w:eastAsia="en-US"/>
        </w:rPr>
        <w:t xml:space="preserve">, namely in case of data on the average gross monthly wage of </w:t>
      </w:r>
      <w:r w:rsidR="0030386D" w:rsidRPr="00846EF5">
        <w:rPr>
          <w:rFonts w:ascii="Arial" w:hAnsi="Arial" w:cs="Arial"/>
          <w:i/>
          <w:sz w:val="20"/>
          <w:szCs w:val="20"/>
          <w:lang w:val="en-GB" w:eastAsia="en-US"/>
        </w:rPr>
        <w:t>medical doctors</w:t>
      </w:r>
      <w:r w:rsidRPr="00846EF5">
        <w:rPr>
          <w:rFonts w:ascii="Arial" w:hAnsi="Arial" w:cs="Arial"/>
          <w:i/>
          <w:sz w:val="20"/>
          <w:szCs w:val="20"/>
          <w:lang w:val="en-GB" w:eastAsia="en-US"/>
        </w:rPr>
        <w:t xml:space="preserve"> and nurses and midwives </w:t>
      </w:r>
      <w:r w:rsidR="005C0B55" w:rsidRPr="00846EF5">
        <w:rPr>
          <w:rFonts w:ascii="Arial" w:hAnsi="Arial" w:cs="Arial"/>
          <w:i/>
          <w:sz w:val="20"/>
          <w:szCs w:val="20"/>
          <w:lang w:val="en-GB" w:eastAsia="en-US"/>
        </w:rPr>
        <w:t>(</w:t>
      </w:r>
      <w:r w:rsidRPr="00846EF5">
        <w:rPr>
          <w:rFonts w:ascii="Arial" w:hAnsi="Arial" w:cs="Arial"/>
          <w:i/>
          <w:sz w:val="20"/>
          <w:szCs w:val="20"/>
          <w:lang w:val="en-GB" w:eastAsia="en-US"/>
        </w:rPr>
        <w:t>Tables </w:t>
      </w:r>
      <w:r w:rsidRPr="00846EF5">
        <w:rPr>
          <w:rFonts w:ascii="Arial" w:hAnsi="Arial" w:cs="Arial"/>
          <w:bCs/>
          <w:i/>
          <w:sz w:val="20"/>
          <w:szCs w:val="20"/>
          <w:lang w:val="en-GB" w:eastAsia="en-US"/>
        </w:rPr>
        <w:t>2</w:t>
      </w:r>
      <w:r w:rsidR="002F3F6E" w:rsidRPr="00846EF5">
        <w:rPr>
          <w:rFonts w:ascii="Arial" w:hAnsi="Arial" w:cs="Arial"/>
          <w:i/>
          <w:iCs/>
          <w:sz w:val="20"/>
          <w:szCs w:val="17"/>
          <w:lang w:val="en-GB"/>
        </w:rPr>
        <w:t>–</w:t>
      </w:r>
      <w:r w:rsidR="00846EF5" w:rsidRPr="00846EF5">
        <w:rPr>
          <w:rFonts w:ascii="Arial" w:hAnsi="Arial" w:cs="Arial"/>
          <w:bCs/>
          <w:i/>
          <w:sz w:val="20"/>
          <w:szCs w:val="20"/>
          <w:lang w:val="en-GB" w:eastAsia="en-US"/>
        </w:rPr>
        <w:t>24</w:t>
      </w:r>
      <w:r w:rsidRPr="00846EF5">
        <w:rPr>
          <w:rFonts w:ascii="Arial" w:hAnsi="Arial" w:cs="Arial"/>
          <w:bCs/>
          <w:i/>
          <w:sz w:val="20"/>
          <w:szCs w:val="20"/>
          <w:lang w:val="en-GB" w:eastAsia="en-US"/>
        </w:rPr>
        <w:t xml:space="preserve"> through </w:t>
      </w:r>
      <w:r w:rsidRPr="00846EF5">
        <w:rPr>
          <w:rFonts w:ascii="Arial" w:hAnsi="Arial" w:cs="Arial"/>
          <w:i/>
          <w:sz w:val="20"/>
          <w:szCs w:val="20"/>
          <w:lang w:val="en-GB" w:eastAsia="en-US"/>
        </w:rPr>
        <w:t>2</w:t>
      </w:r>
      <w:r w:rsidR="002F3F6E" w:rsidRPr="00846EF5">
        <w:rPr>
          <w:rFonts w:ascii="Arial" w:hAnsi="Arial" w:cs="Arial"/>
          <w:i/>
          <w:iCs/>
          <w:sz w:val="20"/>
          <w:szCs w:val="17"/>
          <w:lang w:val="en-GB"/>
        </w:rPr>
        <w:t>–</w:t>
      </w:r>
      <w:r w:rsidR="00846EF5" w:rsidRPr="00846EF5">
        <w:rPr>
          <w:rFonts w:ascii="Arial" w:hAnsi="Arial" w:cs="Arial"/>
          <w:i/>
          <w:sz w:val="20"/>
          <w:szCs w:val="20"/>
          <w:lang w:val="en-GB" w:eastAsia="en-US"/>
        </w:rPr>
        <w:t>27</w:t>
      </w:r>
      <w:r w:rsidRPr="00846EF5">
        <w:rPr>
          <w:rFonts w:ascii="Arial" w:hAnsi="Arial" w:cs="Arial"/>
          <w:i/>
          <w:sz w:val="20"/>
          <w:szCs w:val="20"/>
          <w:lang w:val="en-GB" w:eastAsia="en-US"/>
        </w:rPr>
        <w:t>).</w:t>
      </w:r>
      <w:r w:rsidR="00F83430" w:rsidRPr="00846EF5">
        <w:rPr>
          <w:rFonts w:ascii="Arial" w:hAnsi="Arial" w:cs="Arial"/>
          <w:i/>
          <w:sz w:val="20"/>
          <w:szCs w:val="20"/>
          <w:lang w:val="en-GB" w:eastAsia="en-US"/>
        </w:rPr>
        <w:t xml:space="preserve"> Data on students</w:t>
      </w:r>
      <w:r w:rsidR="00B2352F" w:rsidRPr="00846EF5">
        <w:rPr>
          <w:rFonts w:ascii="Arial" w:hAnsi="Arial" w:cs="Arial"/>
          <w:i/>
          <w:sz w:val="20"/>
          <w:szCs w:val="20"/>
          <w:lang w:val="en-GB" w:eastAsia="en-US"/>
        </w:rPr>
        <w:t xml:space="preserve"> of</w:t>
      </w:r>
      <w:r w:rsidR="00F83430" w:rsidRPr="00846EF5">
        <w:rPr>
          <w:rFonts w:ascii="Arial" w:hAnsi="Arial" w:cs="Arial"/>
          <w:i/>
          <w:sz w:val="20"/>
          <w:szCs w:val="20"/>
          <w:lang w:val="en-GB" w:eastAsia="en-US"/>
        </w:rPr>
        <w:t xml:space="preserve"> and graduates from health </w:t>
      </w:r>
      <w:r w:rsidR="00B2352F" w:rsidRPr="00846EF5">
        <w:rPr>
          <w:rFonts w:ascii="Arial" w:hAnsi="Arial" w:cs="Arial"/>
          <w:i/>
          <w:sz w:val="20"/>
          <w:szCs w:val="20"/>
          <w:lang w:val="en-GB" w:eastAsia="en-US"/>
        </w:rPr>
        <w:t>fields of education</w:t>
      </w:r>
      <w:r w:rsidR="00F83430" w:rsidRPr="00846EF5">
        <w:rPr>
          <w:rFonts w:ascii="Arial" w:hAnsi="Arial" w:cs="Arial"/>
          <w:i/>
          <w:sz w:val="20"/>
          <w:szCs w:val="20"/>
          <w:lang w:val="en-GB" w:eastAsia="en-US"/>
        </w:rPr>
        <w:t xml:space="preserve"> (Table</w:t>
      </w:r>
      <w:r w:rsidR="00846EF5" w:rsidRPr="00846EF5">
        <w:rPr>
          <w:rFonts w:ascii="Arial" w:hAnsi="Arial" w:cs="Arial"/>
          <w:i/>
          <w:sz w:val="20"/>
          <w:szCs w:val="20"/>
          <w:lang w:val="en-GB" w:eastAsia="en-US"/>
        </w:rPr>
        <w:t>s</w:t>
      </w:r>
      <w:r w:rsidR="00F83430" w:rsidRPr="00846EF5">
        <w:rPr>
          <w:rFonts w:ascii="Arial" w:hAnsi="Arial" w:cs="Arial"/>
          <w:i/>
          <w:sz w:val="20"/>
          <w:szCs w:val="20"/>
          <w:lang w:val="en-GB" w:eastAsia="en-US"/>
        </w:rPr>
        <w:t xml:space="preserve"> </w:t>
      </w:r>
      <w:r w:rsidR="00846EF5" w:rsidRPr="00846EF5">
        <w:rPr>
          <w:rFonts w:ascii="Arial" w:hAnsi="Arial" w:cs="Arial"/>
          <w:i/>
          <w:sz w:val="20"/>
          <w:szCs w:val="20"/>
          <w:lang w:val="en-GB" w:eastAsia="en-US"/>
        </w:rPr>
        <w:t>2</w:t>
      </w:r>
      <w:r w:rsidR="00F83430" w:rsidRPr="00846EF5">
        <w:rPr>
          <w:rFonts w:ascii="Arial" w:hAnsi="Arial" w:cs="Arial"/>
          <w:i/>
          <w:iCs/>
          <w:sz w:val="20"/>
          <w:szCs w:val="17"/>
          <w:lang w:val="en-GB"/>
        </w:rPr>
        <w:t>–</w:t>
      </w:r>
      <w:r w:rsidR="00846EF5" w:rsidRPr="00846EF5">
        <w:rPr>
          <w:rFonts w:ascii="Arial" w:hAnsi="Arial" w:cs="Arial"/>
          <w:i/>
          <w:sz w:val="20"/>
          <w:szCs w:val="20"/>
          <w:lang w:val="en-GB" w:eastAsia="en-US"/>
        </w:rPr>
        <w:t>19</w:t>
      </w:r>
      <w:r w:rsidR="00846EF5" w:rsidRPr="00846EF5">
        <w:rPr>
          <w:rFonts w:ascii="Arial" w:hAnsi="Arial" w:cs="Arial"/>
          <w:bCs/>
          <w:i/>
          <w:sz w:val="20"/>
          <w:szCs w:val="20"/>
          <w:lang w:val="en-GB" w:eastAsia="en-US"/>
        </w:rPr>
        <w:t xml:space="preserve"> through </w:t>
      </w:r>
      <w:r w:rsidR="00846EF5" w:rsidRPr="00846EF5">
        <w:rPr>
          <w:rFonts w:ascii="Arial" w:hAnsi="Arial" w:cs="Arial"/>
          <w:i/>
          <w:sz w:val="20"/>
          <w:szCs w:val="20"/>
          <w:lang w:val="en-GB" w:eastAsia="en-US"/>
        </w:rPr>
        <w:t>2</w:t>
      </w:r>
      <w:r w:rsidR="002F3F6E" w:rsidRPr="00846EF5">
        <w:rPr>
          <w:rFonts w:ascii="Arial" w:hAnsi="Arial" w:cs="Arial"/>
          <w:i/>
          <w:iCs/>
          <w:sz w:val="20"/>
          <w:szCs w:val="17"/>
          <w:lang w:val="en-GB"/>
        </w:rPr>
        <w:t>–</w:t>
      </w:r>
      <w:r w:rsidR="00846EF5" w:rsidRPr="00846EF5">
        <w:rPr>
          <w:rFonts w:ascii="Arial" w:hAnsi="Arial" w:cs="Arial"/>
          <w:i/>
          <w:sz w:val="20"/>
          <w:szCs w:val="20"/>
          <w:lang w:val="en-GB" w:eastAsia="en-US"/>
        </w:rPr>
        <w:t>23</w:t>
      </w:r>
      <w:r w:rsidR="00F83430" w:rsidRPr="00846EF5">
        <w:rPr>
          <w:rFonts w:ascii="Arial" w:hAnsi="Arial" w:cs="Arial"/>
          <w:i/>
          <w:sz w:val="20"/>
          <w:szCs w:val="20"/>
          <w:lang w:val="en-GB" w:eastAsia="en-US"/>
        </w:rPr>
        <w:t xml:space="preserve">) </w:t>
      </w:r>
      <w:r w:rsidR="00B2352F" w:rsidRPr="00846EF5">
        <w:rPr>
          <w:rFonts w:ascii="Arial" w:hAnsi="Arial" w:cs="Arial"/>
          <w:i/>
          <w:sz w:val="20"/>
          <w:szCs w:val="20"/>
          <w:lang w:val="en-GB" w:eastAsia="en-US"/>
        </w:rPr>
        <w:t>at</w:t>
      </w:r>
      <w:r w:rsidR="00F83430" w:rsidRPr="00846EF5">
        <w:rPr>
          <w:rFonts w:ascii="Arial" w:hAnsi="Arial" w:cs="Arial"/>
          <w:i/>
          <w:sz w:val="20"/>
          <w:szCs w:val="20"/>
          <w:lang w:val="en-GB" w:eastAsia="en-US"/>
        </w:rPr>
        <w:t xml:space="preserve"> universities in Czechia were obtained from data sources of the Ministry of Education, Youth, and Sports, namely from the system o</w:t>
      </w:r>
      <w:r w:rsidR="008B1914" w:rsidRPr="00846EF5">
        <w:rPr>
          <w:rFonts w:ascii="Arial" w:hAnsi="Arial" w:cs="Arial"/>
          <w:i/>
          <w:sz w:val="20"/>
          <w:szCs w:val="20"/>
          <w:lang w:val="en-GB" w:eastAsia="en-US"/>
        </w:rPr>
        <w:t xml:space="preserve">f the </w:t>
      </w:r>
      <w:r w:rsidR="008B1914" w:rsidRPr="00846EF5">
        <w:rPr>
          <w:rFonts w:ascii="Arial" w:hAnsi="Arial" w:cs="Arial"/>
          <w:b/>
          <w:i/>
          <w:sz w:val="20"/>
          <w:szCs w:val="20"/>
          <w:lang w:val="en-GB" w:eastAsia="en-US"/>
        </w:rPr>
        <w:t>Union Information from Students’ Registers</w:t>
      </w:r>
      <w:r w:rsidR="008B1914" w:rsidRPr="00846EF5">
        <w:rPr>
          <w:rFonts w:ascii="Arial" w:hAnsi="Arial" w:cs="Arial"/>
          <w:i/>
          <w:sz w:val="20"/>
          <w:szCs w:val="20"/>
          <w:lang w:val="en-GB" w:eastAsia="en-US"/>
        </w:rPr>
        <w:t xml:space="preserve"> (the </w:t>
      </w:r>
      <w:r w:rsidR="008B1914" w:rsidRPr="00846EF5">
        <w:rPr>
          <w:rFonts w:ascii="Arial" w:hAnsi="Arial" w:cs="Arial"/>
          <w:sz w:val="20"/>
          <w:szCs w:val="20"/>
          <w:lang w:val="en-GB" w:eastAsia="en-US"/>
        </w:rPr>
        <w:t>SIMS</w:t>
      </w:r>
      <w:r w:rsidR="008B1914" w:rsidRPr="00846EF5">
        <w:rPr>
          <w:rFonts w:ascii="Arial" w:hAnsi="Arial" w:cs="Arial"/>
          <w:i/>
          <w:sz w:val="20"/>
          <w:szCs w:val="20"/>
          <w:lang w:val="en-GB" w:eastAsia="en-US"/>
        </w:rPr>
        <w:t xml:space="preserve"> database).</w:t>
      </w:r>
    </w:p>
    <w:p w14:paraId="42CA6B43" w14:textId="77777777" w:rsidR="008B1914" w:rsidRPr="00E35786" w:rsidRDefault="008B191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color w:val="000000"/>
          <w:sz w:val="20"/>
          <w:szCs w:val="20"/>
          <w:lang w:val="en-GB" w:eastAsia="en-US"/>
        </w:rPr>
      </w:pPr>
      <w:r w:rsidRPr="00846EF5">
        <w:rPr>
          <w:rFonts w:ascii="Arial" w:hAnsi="Arial" w:cs="Arial"/>
          <w:i/>
          <w:sz w:val="20"/>
          <w:szCs w:val="20"/>
          <w:lang w:val="en-GB" w:eastAsia="en-US"/>
        </w:rPr>
        <w:t xml:space="preserve">Data on international comparisons come from the database of Eurostat. In some cases, data on international comparisons may slightly differ, due to methodological reasons, from </w:t>
      </w:r>
      <w:r w:rsidRPr="00E35786">
        <w:rPr>
          <w:rFonts w:ascii="Arial" w:hAnsi="Arial" w:cs="Arial"/>
          <w:i/>
          <w:color w:val="000000"/>
          <w:sz w:val="20"/>
          <w:szCs w:val="20"/>
          <w:lang w:val="en-GB" w:eastAsia="en-US"/>
        </w:rPr>
        <w:t xml:space="preserve">data presented in tables solely for the Czech Republic. </w:t>
      </w:r>
    </w:p>
    <w:p w14:paraId="6A81C37A" w14:textId="77777777" w:rsidR="00264924" w:rsidRPr="00E35786" w:rsidRDefault="0026492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color w:val="000000"/>
          <w:sz w:val="20"/>
          <w:szCs w:val="20"/>
          <w:lang w:val="en-GB" w:eastAsia="en-US"/>
        </w:rPr>
      </w:pPr>
    </w:p>
    <w:p w14:paraId="0F350CDE" w14:textId="2BB6C832" w:rsidR="00264924" w:rsidRPr="00566130" w:rsidRDefault="006F2FC3" w:rsidP="00264924">
      <w:pPr>
        <w:pStyle w:val="Nadpis1"/>
        <w:ind w:firstLine="708"/>
        <w:jc w:val="both"/>
        <w:rPr>
          <w:rFonts w:ascii="Arial" w:hAnsi="Arial" w:cs="Arial"/>
          <w:b/>
          <w:bCs/>
          <w:i/>
          <w:u w:val="none"/>
          <w:lang w:val="en-GB"/>
        </w:rPr>
      </w:pPr>
      <w:r w:rsidRPr="00566130">
        <w:rPr>
          <w:rFonts w:ascii="Arial" w:hAnsi="Arial" w:cs="Arial"/>
          <w:b/>
          <w:bCs/>
          <w:i/>
          <w:u w:val="none"/>
          <w:lang w:val="en-GB"/>
        </w:rPr>
        <w:t xml:space="preserve">Health </w:t>
      </w:r>
      <w:r w:rsidR="0069440C" w:rsidRPr="00566130">
        <w:rPr>
          <w:rFonts w:ascii="Arial" w:hAnsi="Arial" w:cs="Arial"/>
          <w:b/>
          <w:bCs/>
          <w:i/>
          <w:u w:val="none"/>
          <w:lang w:val="en-GB"/>
        </w:rPr>
        <w:t>care personnel</w:t>
      </w:r>
      <w:r w:rsidR="00264924" w:rsidRPr="00566130">
        <w:rPr>
          <w:rFonts w:ascii="Arial" w:hAnsi="Arial" w:cs="Arial"/>
          <w:b/>
          <w:bCs/>
          <w:i/>
          <w:u w:val="none"/>
          <w:lang w:val="en-GB"/>
        </w:rPr>
        <w:t xml:space="preserve"> (Table 2</w:t>
      </w:r>
      <w:r w:rsidR="00264924" w:rsidRPr="00566130">
        <w:rPr>
          <w:rFonts w:ascii="Arial" w:hAnsi="Arial" w:cs="Arial"/>
          <w:b/>
          <w:i/>
          <w:iCs/>
          <w:sz w:val="20"/>
          <w:szCs w:val="17"/>
          <w:u w:val="none"/>
          <w:lang w:val="en-GB"/>
        </w:rPr>
        <w:t>–</w:t>
      </w:r>
      <w:r w:rsidR="00264924" w:rsidRPr="00566130">
        <w:rPr>
          <w:rFonts w:ascii="Arial" w:hAnsi="Arial" w:cs="Arial"/>
          <w:b/>
          <w:bCs/>
          <w:i/>
          <w:u w:val="none"/>
          <w:lang w:val="en-GB"/>
        </w:rPr>
        <w:t>1</w:t>
      </w:r>
      <w:r w:rsidR="0080272A" w:rsidRPr="00566130">
        <w:rPr>
          <w:rFonts w:ascii="Arial" w:hAnsi="Arial" w:cs="Arial"/>
          <w:b/>
          <w:bCs/>
          <w:i/>
          <w:u w:val="none"/>
          <w:lang w:val="en-GB"/>
        </w:rPr>
        <w:t>6</w:t>
      </w:r>
      <w:r w:rsidR="00264924" w:rsidRPr="00566130">
        <w:rPr>
          <w:rFonts w:ascii="Arial" w:hAnsi="Arial" w:cs="Arial"/>
          <w:b/>
          <w:bCs/>
          <w:i/>
          <w:u w:val="none"/>
          <w:lang w:val="en-GB"/>
        </w:rPr>
        <w:t>)</w:t>
      </w:r>
    </w:p>
    <w:p w14:paraId="15E68400" w14:textId="39A1153F" w:rsidR="002810EE" w:rsidRPr="00640144" w:rsidRDefault="002810EE" w:rsidP="00C8015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sidRPr="00640144">
        <w:rPr>
          <w:rFonts w:ascii="Arial" w:hAnsi="Arial" w:cs="Arial"/>
          <w:i/>
          <w:iCs/>
          <w:sz w:val="20"/>
          <w:lang w:val="en-GB"/>
        </w:rPr>
        <w:t>The d</w:t>
      </w:r>
      <w:r w:rsidR="00C80155" w:rsidRPr="00640144">
        <w:rPr>
          <w:rFonts w:ascii="Arial" w:hAnsi="Arial" w:cs="Arial"/>
          <w:i/>
          <w:iCs/>
          <w:sz w:val="20"/>
          <w:lang w:val="en-GB"/>
        </w:rPr>
        <w:t xml:space="preserve">ata source is the </w:t>
      </w:r>
      <w:r w:rsidRPr="00640144">
        <w:rPr>
          <w:rFonts w:ascii="Arial" w:hAnsi="Arial" w:cs="Arial"/>
          <w:i/>
          <w:iCs/>
          <w:sz w:val="20"/>
          <w:lang w:val="en-GB"/>
        </w:rPr>
        <w:t>A</w:t>
      </w:r>
      <w:r w:rsidR="00C80155" w:rsidRPr="00640144">
        <w:rPr>
          <w:rFonts w:ascii="Arial" w:hAnsi="Arial" w:cs="Arial"/>
          <w:i/>
          <w:iCs/>
          <w:sz w:val="20"/>
          <w:lang w:val="en-GB"/>
        </w:rPr>
        <w:t xml:space="preserve">nnual questionnaire on employers, </w:t>
      </w:r>
      <w:r w:rsidR="00660C31" w:rsidRPr="00640144">
        <w:rPr>
          <w:rFonts w:ascii="Arial" w:hAnsi="Arial" w:cs="Arial"/>
          <w:i/>
          <w:iCs/>
          <w:sz w:val="20"/>
          <w:lang w:val="en-GB"/>
        </w:rPr>
        <w:t xml:space="preserve">the </w:t>
      </w:r>
      <w:r w:rsidR="00C80155" w:rsidRPr="00640144">
        <w:rPr>
          <w:rFonts w:ascii="Arial" w:hAnsi="Arial" w:cs="Arial"/>
          <w:i/>
          <w:iCs/>
          <w:sz w:val="20"/>
          <w:lang w:val="en-GB"/>
        </w:rPr>
        <w:t>registered number of employees, and contractual workers</w:t>
      </w:r>
      <w:r w:rsidRPr="00640144">
        <w:rPr>
          <w:rFonts w:ascii="Arial" w:hAnsi="Arial" w:cs="Arial"/>
          <w:i/>
          <w:iCs/>
          <w:sz w:val="20"/>
          <w:lang w:val="en-GB"/>
        </w:rPr>
        <w:t xml:space="preserve"> </w:t>
      </w:r>
      <w:r w:rsidRPr="00E35786">
        <w:rPr>
          <w:rFonts w:ascii="Arial" w:hAnsi="Arial" w:cs="Arial"/>
          <w:sz w:val="20"/>
          <w:szCs w:val="20"/>
        </w:rPr>
        <w:t>E (MZ) 4-01</w:t>
      </w:r>
      <w:r w:rsidRPr="00640144">
        <w:rPr>
          <w:rFonts w:ascii="Arial" w:hAnsi="Arial" w:cs="Arial"/>
          <w:i/>
          <w:iCs/>
          <w:sz w:val="20"/>
          <w:lang w:val="en-GB"/>
        </w:rPr>
        <w:t xml:space="preserve"> and </w:t>
      </w:r>
      <w:r w:rsidR="00BE3834" w:rsidRPr="00640144">
        <w:rPr>
          <w:rFonts w:ascii="Arial" w:hAnsi="Arial" w:cs="Arial"/>
          <w:i/>
          <w:iCs/>
          <w:sz w:val="20"/>
          <w:lang w:val="en-GB"/>
        </w:rPr>
        <w:t>questionnaires</w:t>
      </w:r>
      <w:r w:rsidR="003B7F9A" w:rsidRPr="00640144">
        <w:rPr>
          <w:rFonts w:ascii="Arial" w:hAnsi="Arial" w:cs="Arial"/>
          <w:i/>
          <w:iCs/>
          <w:sz w:val="20"/>
          <w:lang w:val="en-GB"/>
        </w:rPr>
        <w:t xml:space="preserve"> (reports)</w:t>
      </w:r>
      <w:r w:rsidR="00BE3834" w:rsidRPr="00640144">
        <w:rPr>
          <w:rFonts w:ascii="Arial" w:hAnsi="Arial" w:cs="Arial"/>
          <w:i/>
          <w:iCs/>
          <w:sz w:val="20"/>
          <w:lang w:val="en-GB"/>
        </w:rPr>
        <w:t xml:space="preserve"> on components of salaries and wages and on personnel and operating equipment of the health service provider</w:t>
      </w:r>
      <w:r w:rsidR="00BE3834" w:rsidRPr="00E35786">
        <w:rPr>
          <w:rFonts w:ascii="Arial" w:hAnsi="Arial" w:cs="Arial"/>
          <w:i/>
          <w:iCs/>
          <w:sz w:val="20"/>
          <w:lang w:val="en-GB"/>
        </w:rPr>
        <w:t xml:space="preserve"> </w:t>
      </w:r>
      <w:r w:rsidR="00BE3834" w:rsidRPr="00E35786">
        <w:rPr>
          <w:rFonts w:ascii="Arial" w:hAnsi="Arial" w:cs="Arial"/>
          <w:sz w:val="20"/>
          <w:szCs w:val="20"/>
        </w:rPr>
        <w:t xml:space="preserve">E (MZ) 2-01 </w:t>
      </w:r>
      <w:r w:rsidR="00BE3834" w:rsidRPr="00E35786">
        <w:rPr>
          <w:rFonts w:ascii="Arial" w:hAnsi="Arial" w:cs="Arial"/>
          <w:i/>
          <w:sz w:val="20"/>
          <w:szCs w:val="20"/>
        </w:rPr>
        <w:t>and</w:t>
      </w:r>
      <w:r w:rsidR="00BE3834" w:rsidRPr="00E35786">
        <w:rPr>
          <w:rFonts w:ascii="Arial" w:hAnsi="Arial" w:cs="Arial"/>
          <w:sz w:val="20"/>
          <w:szCs w:val="20"/>
        </w:rPr>
        <w:t xml:space="preserve"> </w:t>
      </w:r>
      <w:r w:rsidR="00BE3834" w:rsidRPr="00E35786">
        <w:rPr>
          <w:rFonts w:ascii="Arial" w:hAnsi="Arial" w:cs="Arial"/>
          <w:sz w:val="20"/>
          <w:szCs w:val="20"/>
          <w:lang w:val="en-GB"/>
        </w:rPr>
        <w:t>3-01</w:t>
      </w:r>
      <w:r w:rsidR="00BE3834" w:rsidRPr="00E35786">
        <w:rPr>
          <w:rFonts w:ascii="Arial" w:hAnsi="Arial" w:cs="Arial"/>
          <w:i/>
          <w:sz w:val="20"/>
          <w:szCs w:val="20"/>
          <w:lang w:val="en-GB"/>
        </w:rPr>
        <w:t>.</w:t>
      </w:r>
      <w:r w:rsidR="00876CCE" w:rsidRPr="00E35786">
        <w:rPr>
          <w:rFonts w:ascii="Arial" w:hAnsi="Arial" w:cs="Arial"/>
          <w:i/>
          <w:sz w:val="20"/>
          <w:szCs w:val="20"/>
          <w:lang w:val="en-GB"/>
        </w:rPr>
        <w:t xml:space="preserve"> Moreover, data on general practitioners, general practitioners for children and adolescents (paediatricians), and gynaecologists from the</w:t>
      </w:r>
      <w:r w:rsidR="00876CCE" w:rsidRPr="00640144">
        <w:rPr>
          <w:rFonts w:ascii="Arial" w:hAnsi="Arial" w:cs="Arial"/>
          <w:i/>
          <w:sz w:val="20"/>
          <w:szCs w:val="20"/>
          <w:lang w:val="en-GB"/>
        </w:rPr>
        <w:t xml:space="preserve"> National Register of Reimbursed Health Services </w:t>
      </w:r>
      <w:r w:rsidR="00876CCE" w:rsidRPr="00640144">
        <w:rPr>
          <w:rFonts w:ascii="Arial" w:hAnsi="Arial" w:cs="Arial"/>
          <w:sz w:val="20"/>
          <w:szCs w:val="20"/>
          <w:lang w:val="en-GB"/>
        </w:rPr>
        <w:t>(</w:t>
      </w:r>
      <w:r w:rsidR="00876CCE" w:rsidRPr="00640144">
        <w:rPr>
          <w:rFonts w:ascii="Arial" w:hAnsi="Arial" w:cs="Arial"/>
          <w:sz w:val="20"/>
          <w:szCs w:val="20"/>
        </w:rPr>
        <w:t>Národní registr hrazených zdravotních služeb</w:t>
      </w:r>
      <w:r w:rsidR="00876CCE" w:rsidRPr="00640144">
        <w:rPr>
          <w:rFonts w:ascii="Arial" w:hAnsi="Arial" w:cs="Arial"/>
          <w:sz w:val="20"/>
          <w:szCs w:val="20"/>
          <w:lang w:val="en-GB"/>
        </w:rPr>
        <w:t>)</w:t>
      </w:r>
      <w:r w:rsidR="00660C31" w:rsidRPr="00640144">
        <w:rPr>
          <w:rFonts w:ascii="Arial" w:hAnsi="Arial" w:cs="Arial"/>
          <w:i/>
          <w:sz w:val="20"/>
          <w:szCs w:val="20"/>
          <w:lang w:val="en-GB"/>
        </w:rPr>
        <w:t xml:space="preserve"> were added</w:t>
      </w:r>
      <w:r w:rsidR="00876CCE" w:rsidRPr="00640144">
        <w:rPr>
          <w:rFonts w:ascii="Arial" w:hAnsi="Arial" w:cs="Arial"/>
          <w:sz w:val="20"/>
          <w:szCs w:val="20"/>
          <w:lang w:val="en-GB"/>
        </w:rPr>
        <w:t>.</w:t>
      </w:r>
      <w:r w:rsidR="00876CCE" w:rsidRPr="00E35786">
        <w:rPr>
          <w:rFonts w:ascii="Arial" w:hAnsi="Arial" w:cs="Arial"/>
          <w:i/>
          <w:sz w:val="20"/>
          <w:szCs w:val="20"/>
          <w:lang w:val="en-GB"/>
        </w:rPr>
        <w:t xml:space="preserve">  </w:t>
      </w:r>
    </w:p>
    <w:p w14:paraId="3BB085AE" w14:textId="168EA363" w:rsidR="00264924" w:rsidRPr="00E35786" w:rsidRDefault="00C80155" w:rsidP="00264924">
      <w:pPr>
        <w:jc w:val="both"/>
        <w:rPr>
          <w:rFonts w:ascii="Arial" w:hAnsi="Arial" w:cs="Arial"/>
          <w:i/>
          <w:sz w:val="20"/>
          <w:szCs w:val="20"/>
        </w:rPr>
      </w:pPr>
      <w:r w:rsidRPr="00640144">
        <w:rPr>
          <w:rFonts w:ascii="Arial" w:hAnsi="Arial" w:cs="Arial"/>
          <w:i/>
          <w:iCs/>
          <w:sz w:val="20"/>
          <w:lang w:val="en-GB"/>
        </w:rPr>
        <w:t xml:space="preserve"> </w:t>
      </w:r>
      <w:r w:rsidR="00264924" w:rsidRPr="00E35786">
        <w:rPr>
          <w:i/>
        </w:rPr>
        <w:tab/>
      </w:r>
    </w:p>
    <w:p w14:paraId="7E054491" w14:textId="726F2C34" w:rsidR="008B1914" w:rsidRPr="00E35786" w:rsidRDefault="000669BC" w:rsidP="00E35786">
      <w:pPr>
        <w:pStyle w:val="Nadpis1"/>
        <w:ind w:firstLine="708"/>
        <w:jc w:val="both"/>
        <w:rPr>
          <w:rFonts w:ascii="Arial" w:hAnsi="Arial" w:cs="Arial"/>
          <w:i/>
          <w:sz w:val="20"/>
          <w:szCs w:val="20"/>
          <w:lang w:val="en-GB"/>
        </w:rPr>
      </w:pPr>
      <w:r w:rsidRPr="00E35786">
        <w:rPr>
          <w:rFonts w:ascii="Arial" w:hAnsi="Arial" w:cs="Arial"/>
          <w:i/>
          <w:sz w:val="20"/>
          <w:szCs w:val="20"/>
          <w:u w:val="none"/>
          <w:lang w:val="en-GB"/>
        </w:rPr>
        <w:t>Data provided in the Table 2</w:t>
      </w:r>
      <w:r w:rsidRPr="00E35786">
        <w:rPr>
          <w:rFonts w:ascii="Arial" w:hAnsi="Arial" w:cs="Arial"/>
          <w:i/>
          <w:iCs/>
          <w:sz w:val="20"/>
          <w:szCs w:val="17"/>
          <w:u w:val="none"/>
          <w:lang w:val="en-GB"/>
        </w:rPr>
        <w:t xml:space="preserve">–1 </w:t>
      </w:r>
      <w:r w:rsidR="00702A1A" w:rsidRPr="00E35786">
        <w:rPr>
          <w:rFonts w:ascii="Arial" w:hAnsi="Arial" w:cs="Arial"/>
          <w:i/>
          <w:iCs/>
          <w:sz w:val="20"/>
          <w:szCs w:val="17"/>
          <w:u w:val="none"/>
          <w:lang w:val="en-GB"/>
        </w:rPr>
        <w:t xml:space="preserve">do not provide the actual number of </w:t>
      </w:r>
      <w:r w:rsidR="0069440C" w:rsidRPr="00E35786">
        <w:rPr>
          <w:rFonts w:ascii="Arial" w:hAnsi="Arial" w:cs="Arial"/>
          <w:i/>
          <w:sz w:val="20"/>
          <w:szCs w:val="20"/>
          <w:u w:val="none"/>
          <w:lang w:val="en-GB"/>
        </w:rPr>
        <w:t>health care personnel</w:t>
      </w:r>
      <w:r w:rsidR="00702A1A" w:rsidRPr="00E35786">
        <w:rPr>
          <w:rFonts w:ascii="Arial" w:hAnsi="Arial" w:cs="Arial"/>
          <w:i/>
          <w:sz w:val="20"/>
          <w:szCs w:val="20"/>
          <w:u w:val="none"/>
          <w:lang w:val="en-GB"/>
        </w:rPr>
        <w:t xml:space="preserve">, it is rather a number of </w:t>
      </w:r>
      <w:r w:rsidR="00662A4B" w:rsidRPr="00E35786">
        <w:rPr>
          <w:rFonts w:ascii="Arial" w:hAnsi="Arial" w:cs="Arial"/>
          <w:i/>
          <w:sz w:val="20"/>
          <w:szCs w:val="20"/>
          <w:u w:val="none"/>
          <w:lang w:val="en-GB"/>
        </w:rPr>
        <w:t>contracts of employment</w:t>
      </w:r>
      <w:r w:rsidR="00702A1A" w:rsidRPr="00640144">
        <w:rPr>
          <w:rFonts w:ascii="Arial" w:hAnsi="Arial" w:cs="Arial"/>
          <w:i/>
          <w:sz w:val="20"/>
          <w:szCs w:val="20"/>
          <w:u w:val="none"/>
          <w:lang w:val="en-GB"/>
        </w:rPr>
        <w:t xml:space="preserve"> </w:t>
      </w:r>
      <w:r w:rsidR="00702A1A" w:rsidRPr="00E35786">
        <w:rPr>
          <w:rFonts w:ascii="Arial" w:hAnsi="Arial" w:cs="Arial"/>
          <w:i/>
          <w:sz w:val="20"/>
          <w:szCs w:val="20"/>
          <w:u w:val="none"/>
          <w:lang w:val="en-GB"/>
        </w:rPr>
        <w:t xml:space="preserve">as at 31 December of the reference year. </w:t>
      </w:r>
      <w:r w:rsidR="00475F79" w:rsidRPr="00E35786">
        <w:rPr>
          <w:rFonts w:ascii="Arial" w:hAnsi="Arial" w:cs="Arial"/>
          <w:i/>
          <w:sz w:val="20"/>
          <w:szCs w:val="20"/>
          <w:u w:val="none"/>
          <w:lang w:val="en-GB"/>
        </w:rPr>
        <w:t>Primarily</w:t>
      </w:r>
      <w:r w:rsidR="00702A1A" w:rsidRPr="00E35786">
        <w:rPr>
          <w:rFonts w:ascii="Arial" w:hAnsi="Arial" w:cs="Arial"/>
          <w:i/>
          <w:sz w:val="20"/>
          <w:szCs w:val="20"/>
          <w:u w:val="none"/>
          <w:lang w:val="en-GB"/>
        </w:rPr>
        <w:t>, the number of physicians</w:t>
      </w:r>
      <w:r w:rsidR="00324DC8" w:rsidRPr="00E35786">
        <w:rPr>
          <w:rFonts w:ascii="Arial" w:hAnsi="Arial" w:cs="Arial"/>
          <w:i/>
          <w:sz w:val="20"/>
          <w:szCs w:val="20"/>
          <w:u w:val="none"/>
          <w:lang w:val="en-GB"/>
        </w:rPr>
        <w:t xml:space="preserve"> also</w:t>
      </w:r>
      <w:r w:rsidR="00702A1A" w:rsidRPr="00E35786">
        <w:rPr>
          <w:rFonts w:ascii="Arial" w:hAnsi="Arial" w:cs="Arial"/>
          <w:i/>
          <w:sz w:val="20"/>
          <w:szCs w:val="20"/>
          <w:u w:val="none"/>
          <w:lang w:val="en-GB"/>
        </w:rPr>
        <w:t xml:space="preserve"> includes</w:t>
      </w:r>
      <w:r w:rsidR="00324DC8" w:rsidRPr="00E35786">
        <w:rPr>
          <w:rFonts w:ascii="Arial" w:hAnsi="Arial" w:cs="Arial"/>
          <w:i/>
          <w:sz w:val="20"/>
          <w:szCs w:val="20"/>
          <w:u w:val="none"/>
          <w:lang w:val="en-GB"/>
        </w:rPr>
        <w:t xml:space="preserve"> those performing that activity as a natural person (the own-account workers (the self-employed)) or as a legal person (e.g. a limited liability company). </w:t>
      </w:r>
      <w:r w:rsidR="00F64FAE" w:rsidRPr="00E35786">
        <w:rPr>
          <w:rFonts w:ascii="Arial" w:hAnsi="Arial" w:cs="Arial"/>
          <w:i/>
          <w:sz w:val="20"/>
          <w:szCs w:val="20"/>
          <w:u w:val="none"/>
          <w:lang w:val="en-GB"/>
        </w:rPr>
        <w:t xml:space="preserve">Since one physician, nurse, etc. may have multiple </w:t>
      </w:r>
      <w:r w:rsidR="00662A4B" w:rsidRPr="00E35786">
        <w:rPr>
          <w:rFonts w:ascii="Arial" w:hAnsi="Arial" w:cs="Arial"/>
          <w:i/>
          <w:sz w:val="20"/>
          <w:szCs w:val="20"/>
          <w:u w:val="none"/>
          <w:lang w:val="en-GB"/>
        </w:rPr>
        <w:t>contracts of employment</w:t>
      </w:r>
      <w:r w:rsidR="00F64FAE" w:rsidRPr="00E35786">
        <w:rPr>
          <w:rFonts w:ascii="Arial" w:hAnsi="Arial" w:cs="Arial"/>
          <w:i/>
          <w:sz w:val="20"/>
          <w:szCs w:val="20"/>
          <w:u w:val="none"/>
          <w:lang w:val="en-GB"/>
        </w:rPr>
        <w:t xml:space="preserve"> </w:t>
      </w:r>
      <w:r w:rsidR="004B5061" w:rsidRPr="00E35786">
        <w:rPr>
          <w:rFonts w:ascii="Arial" w:hAnsi="Arial" w:cs="Arial"/>
          <w:i/>
          <w:sz w:val="20"/>
          <w:szCs w:val="20"/>
          <w:u w:val="none"/>
          <w:lang w:val="en-GB"/>
        </w:rPr>
        <w:t xml:space="preserve">in different establishments concurrently, these numbers are higher than the numbers of </w:t>
      </w:r>
      <w:r w:rsidR="0069440C" w:rsidRPr="00E35786">
        <w:rPr>
          <w:rFonts w:ascii="Arial" w:hAnsi="Arial" w:cs="Arial"/>
          <w:i/>
          <w:sz w:val="20"/>
          <w:szCs w:val="20"/>
          <w:u w:val="none"/>
          <w:lang w:val="en-GB"/>
        </w:rPr>
        <w:t>health care personnel</w:t>
      </w:r>
      <w:r w:rsidR="004B5061" w:rsidRPr="00E35786">
        <w:rPr>
          <w:rFonts w:ascii="Arial" w:hAnsi="Arial" w:cs="Arial"/>
          <w:i/>
          <w:sz w:val="20"/>
          <w:szCs w:val="20"/>
          <w:u w:val="none"/>
          <w:lang w:val="en-GB"/>
        </w:rPr>
        <w:t xml:space="preserve"> published by the Institute of Health Information and Statistics of the CR by means of </w:t>
      </w:r>
      <w:r w:rsidR="00724510" w:rsidRPr="00E35786">
        <w:rPr>
          <w:rFonts w:ascii="Arial" w:hAnsi="Arial" w:cs="Arial"/>
          <w:i/>
          <w:sz w:val="20"/>
          <w:szCs w:val="20"/>
          <w:u w:val="none"/>
          <w:lang w:val="en-GB"/>
        </w:rPr>
        <w:t xml:space="preserve">a </w:t>
      </w:r>
      <w:r w:rsidR="004B5061" w:rsidRPr="00E35786">
        <w:rPr>
          <w:rFonts w:ascii="Arial" w:hAnsi="Arial" w:cs="Arial"/>
          <w:i/>
          <w:sz w:val="20"/>
          <w:szCs w:val="20"/>
          <w:u w:val="none"/>
          <w:lang w:val="en-GB"/>
        </w:rPr>
        <w:t xml:space="preserve">full-time equivalent per calendar year. </w:t>
      </w:r>
      <w:r w:rsidR="00020007" w:rsidRPr="00E35786">
        <w:rPr>
          <w:rFonts w:ascii="Arial" w:hAnsi="Arial" w:cs="Arial"/>
          <w:i/>
          <w:sz w:val="20"/>
          <w:szCs w:val="20"/>
          <w:u w:val="none"/>
          <w:lang w:val="en-GB"/>
        </w:rPr>
        <w:t xml:space="preserve">     </w:t>
      </w:r>
    </w:p>
    <w:p w14:paraId="4DCB9D1F" w14:textId="77777777" w:rsidR="007609FA" w:rsidRPr="00E35786" w:rsidRDefault="007609FA" w:rsidP="00E35786"/>
    <w:p w14:paraId="2D62DAA5" w14:textId="24D62E01" w:rsidR="00C80155" w:rsidRPr="00566130" w:rsidRDefault="005008EF" w:rsidP="00C80155">
      <w:pPr>
        <w:pStyle w:val="Zkladntextodsazen"/>
        <w:ind w:firstLine="720"/>
        <w:rPr>
          <w:b/>
          <w:bCs/>
          <w:i/>
          <w:color w:val="auto"/>
          <w:sz w:val="24"/>
          <w:szCs w:val="24"/>
          <w:lang w:val="en-GB"/>
        </w:rPr>
      </w:pPr>
      <w:r w:rsidRPr="00566130">
        <w:rPr>
          <w:b/>
          <w:bCs/>
          <w:i/>
          <w:color w:val="auto"/>
          <w:sz w:val="24"/>
          <w:szCs w:val="24"/>
          <w:lang w:val="en-GB"/>
        </w:rPr>
        <w:t>In-patient care in acute care hospitals</w:t>
      </w:r>
      <w:r w:rsidR="00C80155" w:rsidRPr="00566130">
        <w:rPr>
          <w:b/>
          <w:bCs/>
          <w:i/>
          <w:color w:val="auto"/>
          <w:sz w:val="24"/>
          <w:szCs w:val="24"/>
          <w:lang w:val="en-GB"/>
        </w:rPr>
        <w:t xml:space="preserve"> </w:t>
      </w:r>
      <w:r w:rsidR="002F599E" w:rsidRPr="00566130">
        <w:rPr>
          <w:b/>
          <w:i/>
          <w:color w:val="auto"/>
          <w:sz w:val="24"/>
          <w:szCs w:val="24"/>
          <w:lang w:val="en-GB"/>
        </w:rPr>
        <w:t>(</w:t>
      </w:r>
      <w:r w:rsidR="002F599E" w:rsidRPr="00566130">
        <w:rPr>
          <w:b/>
          <w:bCs/>
          <w:i/>
          <w:color w:val="auto"/>
          <w:sz w:val="24"/>
          <w:szCs w:val="24"/>
          <w:lang w:val="en-GB" w:eastAsia="en-US"/>
        </w:rPr>
        <w:t>Tables 2</w:t>
      </w:r>
      <w:r w:rsidR="002F599E" w:rsidRPr="00566130">
        <w:rPr>
          <w:b/>
          <w:i/>
          <w:iCs/>
          <w:color w:val="auto"/>
          <w:sz w:val="24"/>
          <w:szCs w:val="24"/>
          <w:lang w:val="en-GB"/>
        </w:rPr>
        <w:t>–</w:t>
      </w:r>
      <w:r w:rsidR="0081569B" w:rsidRPr="00566130">
        <w:rPr>
          <w:b/>
          <w:i/>
          <w:iCs/>
          <w:color w:val="auto"/>
          <w:sz w:val="24"/>
          <w:szCs w:val="24"/>
          <w:lang w:val="en-GB"/>
        </w:rPr>
        <w:t>1</w:t>
      </w:r>
      <w:r w:rsidR="002F599E" w:rsidRPr="00566130">
        <w:rPr>
          <w:b/>
          <w:bCs/>
          <w:i/>
          <w:color w:val="auto"/>
          <w:sz w:val="24"/>
          <w:szCs w:val="24"/>
          <w:lang w:val="en-GB" w:eastAsia="en-US"/>
        </w:rPr>
        <w:t xml:space="preserve"> through 2</w:t>
      </w:r>
      <w:r w:rsidR="002F599E" w:rsidRPr="00566130">
        <w:rPr>
          <w:b/>
          <w:i/>
          <w:iCs/>
          <w:color w:val="auto"/>
          <w:sz w:val="24"/>
          <w:szCs w:val="24"/>
          <w:lang w:val="en-GB"/>
        </w:rPr>
        <w:t>–</w:t>
      </w:r>
      <w:r w:rsidR="0081569B" w:rsidRPr="00566130">
        <w:rPr>
          <w:b/>
          <w:i/>
          <w:iCs/>
          <w:color w:val="auto"/>
          <w:sz w:val="24"/>
          <w:szCs w:val="24"/>
          <w:lang w:val="en-GB"/>
        </w:rPr>
        <w:t>2</w:t>
      </w:r>
      <w:r w:rsidR="002F599E" w:rsidRPr="00566130">
        <w:rPr>
          <w:b/>
          <w:i/>
          <w:color w:val="auto"/>
          <w:sz w:val="24"/>
          <w:szCs w:val="24"/>
          <w:lang w:val="en-GB"/>
        </w:rPr>
        <w:t>)</w:t>
      </w:r>
    </w:p>
    <w:p w14:paraId="446ABB5E" w14:textId="77777777" w:rsidR="00C80155" w:rsidRPr="00E35786" w:rsidRDefault="00C80155" w:rsidP="00C80155">
      <w:pPr>
        <w:pStyle w:val="Zkladntextodsazen"/>
        <w:ind w:firstLine="720"/>
        <w:rPr>
          <w:b/>
          <w:bCs/>
          <w:i/>
          <w:color w:val="auto"/>
        </w:rPr>
      </w:pPr>
    </w:p>
    <w:p w14:paraId="4DA2CD4E" w14:textId="681F5142" w:rsidR="00C80155" w:rsidRPr="00E35786" w:rsidRDefault="00640F73" w:rsidP="00C80155">
      <w:pPr>
        <w:pStyle w:val="Zkladntextodsazen"/>
        <w:ind w:firstLine="720"/>
        <w:rPr>
          <w:b/>
          <w:bCs/>
          <w:i/>
          <w:color w:val="auto"/>
          <w:lang w:val="en-GB"/>
        </w:rPr>
      </w:pPr>
      <w:r w:rsidRPr="00E35786">
        <w:rPr>
          <w:i/>
          <w:color w:val="auto"/>
          <w:lang w:val="en-GB"/>
        </w:rPr>
        <w:t xml:space="preserve">The data </w:t>
      </w:r>
      <w:r w:rsidR="002F22EE" w:rsidRPr="00E35786">
        <w:rPr>
          <w:i/>
          <w:color w:val="auto"/>
          <w:lang w:val="en-GB"/>
        </w:rPr>
        <w:t xml:space="preserve">source </w:t>
      </w:r>
      <w:r w:rsidRPr="00E35786">
        <w:rPr>
          <w:i/>
          <w:color w:val="auto"/>
          <w:lang w:val="en-GB"/>
        </w:rPr>
        <w:t>is the National Register of Hospitalised Patients (NRHOSP).</w:t>
      </w:r>
    </w:p>
    <w:p w14:paraId="79AB001A" w14:textId="2EF36BD5" w:rsidR="00C80155" w:rsidRPr="00E35786" w:rsidRDefault="00D45509" w:rsidP="00C63607">
      <w:pPr>
        <w:spacing w:before="120"/>
        <w:ind w:firstLine="714"/>
        <w:jc w:val="both"/>
        <w:rPr>
          <w:rFonts w:ascii="Arial" w:hAnsi="Arial" w:cs="Arial"/>
          <w:i/>
          <w:sz w:val="20"/>
          <w:szCs w:val="20"/>
          <w:lang w:val="en-GB"/>
        </w:rPr>
      </w:pPr>
      <w:r w:rsidRPr="00E35786">
        <w:rPr>
          <w:rFonts w:ascii="Arial" w:hAnsi="Arial" w:cs="Arial"/>
          <w:i/>
          <w:sz w:val="20"/>
          <w:szCs w:val="20"/>
          <w:lang w:val="en-GB"/>
        </w:rPr>
        <w:t>Provi</w:t>
      </w:r>
      <w:bookmarkStart w:id="0" w:name="_GoBack"/>
      <w:bookmarkEnd w:id="0"/>
      <w:r w:rsidRPr="00E35786">
        <w:rPr>
          <w:rFonts w:ascii="Arial" w:hAnsi="Arial" w:cs="Arial"/>
          <w:i/>
          <w:sz w:val="20"/>
          <w:szCs w:val="20"/>
          <w:lang w:val="en-GB"/>
        </w:rPr>
        <w:t xml:space="preserve">ders of </w:t>
      </w:r>
      <w:r w:rsidRPr="00E35786">
        <w:rPr>
          <w:rFonts w:ascii="Arial" w:hAnsi="Arial" w:cs="Arial"/>
          <w:b/>
          <w:i/>
          <w:sz w:val="20"/>
          <w:szCs w:val="20"/>
          <w:lang w:val="en-GB"/>
        </w:rPr>
        <w:t>acute in-patient care</w:t>
      </w:r>
      <w:r w:rsidRPr="00E35786">
        <w:rPr>
          <w:rFonts w:ascii="Arial" w:hAnsi="Arial" w:cs="Arial"/>
          <w:i/>
          <w:sz w:val="20"/>
          <w:szCs w:val="20"/>
          <w:lang w:val="en-GB"/>
        </w:rPr>
        <w:t xml:space="preserve"> </w:t>
      </w:r>
      <w:r w:rsidR="009975DD" w:rsidRPr="00E35786">
        <w:rPr>
          <w:rFonts w:ascii="Arial" w:hAnsi="Arial" w:cs="Arial"/>
          <w:i/>
          <w:sz w:val="20"/>
          <w:szCs w:val="20"/>
          <w:lang w:val="en-GB"/>
        </w:rPr>
        <w:t xml:space="preserve">are as follows: </w:t>
      </w:r>
      <w:r w:rsidR="008D42AB" w:rsidRPr="00E35786">
        <w:rPr>
          <w:rFonts w:ascii="Arial" w:hAnsi="Arial" w:cs="Arial"/>
          <w:i/>
          <w:color w:val="000000"/>
          <w:sz w:val="20"/>
          <w:szCs w:val="20"/>
          <w:lang w:val="en-GB" w:eastAsia="en-US"/>
        </w:rPr>
        <w:t>university (teaching) hospitals</w:t>
      </w:r>
      <w:r w:rsidR="009975DD" w:rsidRPr="00E35786">
        <w:rPr>
          <w:rFonts w:ascii="Arial" w:hAnsi="Arial" w:cs="Arial"/>
          <w:i/>
          <w:sz w:val="20"/>
          <w:szCs w:val="20"/>
          <w:lang w:val="en-GB"/>
        </w:rPr>
        <w:t xml:space="preserve">, other hospitals providing acute care, specialised hospitals, and some mental health hospitals. </w:t>
      </w:r>
    </w:p>
    <w:p w14:paraId="42E825C5" w14:textId="0B01003C" w:rsidR="006643B8" w:rsidRPr="00E35786" w:rsidRDefault="006643B8">
      <w:pPr>
        <w:spacing w:before="120"/>
        <w:ind w:firstLine="714"/>
        <w:jc w:val="both"/>
        <w:rPr>
          <w:rFonts w:ascii="Arial" w:hAnsi="Arial" w:cs="Arial"/>
          <w:i/>
          <w:sz w:val="20"/>
          <w:szCs w:val="20"/>
          <w:lang w:val="en-GB"/>
        </w:rPr>
      </w:pPr>
      <w:r w:rsidRPr="00E35786">
        <w:rPr>
          <w:rFonts w:ascii="Arial" w:hAnsi="Arial" w:cs="Arial"/>
          <w:b/>
          <w:i/>
          <w:sz w:val="20"/>
          <w:szCs w:val="20"/>
          <w:lang w:val="en-GB"/>
        </w:rPr>
        <w:t>Cases of hospitalisation</w:t>
      </w:r>
      <w:r w:rsidRPr="00E35786">
        <w:rPr>
          <w:rFonts w:ascii="Arial" w:hAnsi="Arial" w:cs="Arial"/>
          <w:i/>
          <w:sz w:val="20"/>
          <w:szCs w:val="20"/>
          <w:lang w:val="en-GB"/>
        </w:rPr>
        <w:t xml:space="preserve"> </w:t>
      </w:r>
      <w:r w:rsidR="00D6528D" w:rsidRPr="00640144">
        <w:rPr>
          <w:rFonts w:ascii="Arial" w:hAnsi="Arial" w:cs="Arial"/>
          <w:i/>
          <w:sz w:val="20"/>
          <w:szCs w:val="20"/>
          <w:lang w:val="en-GB"/>
        </w:rPr>
        <w:t>refer to</w:t>
      </w:r>
      <w:r w:rsidRPr="00E35786">
        <w:rPr>
          <w:rFonts w:ascii="Arial" w:hAnsi="Arial" w:cs="Arial"/>
          <w:i/>
          <w:sz w:val="20"/>
          <w:szCs w:val="20"/>
          <w:lang w:val="en-GB"/>
        </w:rPr>
        <w:t xml:space="preserve"> the number of cases of hospitalisation</w:t>
      </w:r>
      <w:r w:rsidRPr="00640144">
        <w:rPr>
          <w:rFonts w:ascii="Arial" w:hAnsi="Arial" w:cs="Arial"/>
          <w:i/>
          <w:sz w:val="20"/>
          <w:szCs w:val="20"/>
          <w:lang w:val="en-GB"/>
        </w:rPr>
        <w:t xml:space="preserve"> in acute care hospitals. </w:t>
      </w:r>
      <w:r w:rsidRPr="00E35786">
        <w:rPr>
          <w:rFonts w:ascii="Arial" w:hAnsi="Arial" w:cs="Arial"/>
          <w:i/>
          <w:sz w:val="20"/>
          <w:szCs w:val="20"/>
          <w:lang w:val="en-GB"/>
        </w:rPr>
        <w:t>One case of hospitalisation shall mean every terminated hospitalisation at one</w:t>
      </w:r>
      <w:r w:rsidRPr="00640144">
        <w:rPr>
          <w:rFonts w:ascii="Arial" w:hAnsi="Arial" w:cs="Arial"/>
          <w:i/>
          <w:sz w:val="20"/>
          <w:szCs w:val="20"/>
          <w:lang w:val="en-GB"/>
        </w:rPr>
        <w:t xml:space="preserve"> department of acute</w:t>
      </w:r>
      <w:r w:rsidRPr="00E35786">
        <w:rPr>
          <w:rFonts w:ascii="Arial" w:hAnsi="Arial" w:cs="Arial"/>
          <w:i/>
          <w:sz w:val="20"/>
          <w:szCs w:val="20"/>
          <w:lang w:val="en-GB"/>
        </w:rPr>
        <w:t xml:space="preserve"> in-patient care </w:t>
      </w:r>
      <w:r w:rsidRPr="00E35786">
        <w:rPr>
          <w:rFonts w:ascii="Arial" w:hAnsi="Arial" w:cs="Arial"/>
          <w:i/>
          <w:sz w:val="20"/>
          <w:szCs w:val="20"/>
          <w:lang w:val="en-GB"/>
        </w:rPr>
        <w:lastRenderedPageBreak/>
        <w:t xml:space="preserve">either it has been terminated by a release or decease of a patient or </w:t>
      </w:r>
      <w:r w:rsidRPr="00640144">
        <w:rPr>
          <w:rFonts w:ascii="Arial" w:hAnsi="Arial" w:cs="Arial"/>
          <w:i/>
          <w:sz w:val="20"/>
          <w:szCs w:val="20"/>
          <w:lang w:val="en-GB"/>
        </w:rPr>
        <w:t>the patient</w:t>
      </w:r>
      <w:r w:rsidRPr="00E35786">
        <w:rPr>
          <w:rFonts w:ascii="Arial" w:hAnsi="Arial" w:cs="Arial"/>
          <w:i/>
          <w:sz w:val="20"/>
          <w:szCs w:val="20"/>
          <w:lang w:val="en-GB"/>
        </w:rPr>
        <w:t xml:space="preserve"> has been relocated to other department</w:t>
      </w:r>
      <w:r w:rsidRPr="00640144">
        <w:rPr>
          <w:rFonts w:ascii="Arial" w:hAnsi="Arial" w:cs="Arial"/>
          <w:i/>
          <w:sz w:val="20"/>
          <w:szCs w:val="20"/>
          <w:lang w:val="en-GB"/>
        </w:rPr>
        <w:t xml:space="preserve"> of the hospital</w:t>
      </w:r>
      <w:r w:rsidR="00D6528D" w:rsidRPr="00640144">
        <w:rPr>
          <w:rFonts w:ascii="Arial" w:hAnsi="Arial" w:cs="Arial"/>
          <w:i/>
          <w:sz w:val="20"/>
          <w:szCs w:val="20"/>
          <w:lang w:val="en-GB"/>
        </w:rPr>
        <w:t xml:space="preserve"> or </w:t>
      </w:r>
      <w:r w:rsidRPr="00E35786">
        <w:rPr>
          <w:rFonts w:ascii="Arial" w:hAnsi="Arial" w:cs="Arial"/>
          <w:i/>
          <w:sz w:val="20"/>
          <w:szCs w:val="20"/>
          <w:lang w:val="en-GB"/>
        </w:rPr>
        <w:t>to other health establishment.</w:t>
      </w:r>
    </w:p>
    <w:p w14:paraId="55DCED32" w14:textId="1A8CE630" w:rsidR="00C80155" w:rsidRPr="00E35786" w:rsidRDefault="0002045D" w:rsidP="00C80155">
      <w:pPr>
        <w:spacing w:before="120"/>
        <w:ind w:firstLine="714"/>
        <w:jc w:val="both"/>
        <w:rPr>
          <w:rFonts w:ascii="Arial" w:hAnsi="Arial" w:cs="Arial"/>
          <w:bCs/>
          <w:i/>
          <w:sz w:val="20"/>
          <w:szCs w:val="20"/>
          <w:lang w:val="en-GB"/>
        </w:rPr>
      </w:pPr>
      <w:r w:rsidRPr="00E35786">
        <w:rPr>
          <w:rFonts w:ascii="Arial" w:hAnsi="Arial" w:cs="Arial"/>
          <w:i/>
          <w:sz w:val="20"/>
          <w:szCs w:val="20"/>
          <w:lang w:val="en-GB"/>
        </w:rPr>
        <w:t xml:space="preserve">The </w:t>
      </w:r>
      <w:r w:rsidRPr="00E35786">
        <w:rPr>
          <w:rFonts w:ascii="Arial" w:hAnsi="Arial" w:cs="Arial"/>
          <w:b/>
          <w:i/>
          <w:sz w:val="20"/>
          <w:szCs w:val="20"/>
          <w:lang w:val="en-GB"/>
        </w:rPr>
        <w:t>average time of treatment</w:t>
      </w:r>
      <w:r w:rsidRPr="00E35786">
        <w:rPr>
          <w:rFonts w:ascii="Arial" w:hAnsi="Arial" w:cs="Arial"/>
          <w:i/>
          <w:sz w:val="20"/>
          <w:szCs w:val="20"/>
          <w:lang w:val="en-GB"/>
        </w:rPr>
        <w:t xml:space="preserve"> shall mean the average time of treatment of a hospitalisation in days. It is calculated as an average number of days of treatment per one case of hospita</w:t>
      </w:r>
      <w:r w:rsidRPr="00640144">
        <w:rPr>
          <w:rFonts w:ascii="Arial" w:hAnsi="Arial" w:cs="Arial"/>
          <w:i/>
          <w:sz w:val="20"/>
          <w:szCs w:val="20"/>
          <w:lang w:val="en-GB"/>
        </w:rPr>
        <w:t>lis</w:t>
      </w:r>
      <w:r w:rsidR="008941F3" w:rsidRPr="00E35786">
        <w:rPr>
          <w:rFonts w:ascii="Arial" w:hAnsi="Arial" w:cs="Arial"/>
          <w:i/>
          <w:sz w:val="20"/>
          <w:szCs w:val="20"/>
          <w:lang w:val="en-GB"/>
        </w:rPr>
        <w:t>ed patients.</w:t>
      </w:r>
    </w:p>
    <w:p w14:paraId="272680F8" w14:textId="0CA0B9E2" w:rsidR="008D3A42" w:rsidRPr="00E35786" w:rsidRDefault="008D3A42" w:rsidP="00C80155">
      <w:pPr>
        <w:spacing w:before="120"/>
        <w:ind w:firstLine="714"/>
        <w:jc w:val="both"/>
        <w:rPr>
          <w:rFonts w:ascii="Arial" w:hAnsi="Arial" w:cs="Arial"/>
          <w:bCs/>
          <w:i/>
          <w:sz w:val="20"/>
          <w:szCs w:val="20"/>
          <w:lang w:val="en-GB"/>
        </w:rPr>
      </w:pPr>
      <w:r w:rsidRPr="00E35786">
        <w:rPr>
          <w:rFonts w:ascii="Arial" w:hAnsi="Arial" w:cs="Arial"/>
          <w:bCs/>
          <w:i/>
          <w:sz w:val="20"/>
          <w:szCs w:val="20"/>
          <w:lang w:val="en-GB"/>
        </w:rPr>
        <w:t>The</w:t>
      </w:r>
      <w:r w:rsidRPr="00E35786">
        <w:rPr>
          <w:rFonts w:ascii="Arial" w:hAnsi="Arial" w:cs="Arial"/>
          <w:b/>
          <w:bCs/>
          <w:i/>
          <w:sz w:val="20"/>
          <w:szCs w:val="20"/>
          <w:lang w:val="en-GB"/>
        </w:rPr>
        <w:t xml:space="preserve"> average age of</w:t>
      </w:r>
      <w:r w:rsidR="00256427" w:rsidRPr="00E35786">
        <w:rPr>
          <w:rFonts w:ascii="Arial" w:hAnsi="Arial" w:cs="Arial"/>
          <w:b/>
          <w:bCs/>
          <w:i/>
          <w:sz w:val="20"/>
          <w:szCs w:val="20"/>
          <w:lang w:val="en-GB"/>
        </w:rPr>
        <w:t xml:space="preserve"> hospitalised patients</w:t>
      </w:r>
      <w:r w:rsidRPr="00E35786">
        <w:rPr>
          <w:rFonts w:ascii="Arial" w:hAnsi="Arial" w:cs="Arial"/>
          <w:b/>
          <w:bCs/>
          <w:i/>
          <w:sz w:val="20"/>
          <w:szCs w:val="20"/>
          <w:lang w:val="en-GB"/>
        </w:rPr>
        <w:t xml:space="preserve"> </w:t>
      </w:r>
      <w:r w:rsidR="00256427" w:rsidRPr="00E35786">
        <w:rPr>
          <w:rFonts w:ascii="Arial" w:hAnsi="Arial" w:cs="Arial"/>
          <w:bCs/>
          <w:i/>
          <w:sz w:val="20"/>
          <w:szCs w:val="20"/>
          <w:lang w:val="en-GB"/>
        </w:rPr>
        <w:t xml:space="preserve">is the arithmetic mean of the age of all hospitalised patients during the calendar year for a given diagnosis (a group of diseases defined according to the ICD-10 classification). </w:t>
      </w:r>
    </w:p>
    <w:p w14:paraId="52C9F8AD" w14:textId="79716960" w:rsidR="00C80155" w:rsidRPr="004010B0" w:rsidRDefault="002A3511" w:rsidP="00246915">
      <w:pPr>
        <w:spacing w:before="120"/>
        <w:ind w:firstLine="714"/>
        <w:jc w:val="both"/>
        <w:rPr>
          <w:rFonts w:ascii="Arial" w:hAnsi="Arial" w:cs="Arial"/>
          <w:bCs/>
          <w:i/>
          <w:sz w:val="20"/>
          <w:szCs w:val="20"/>
        </w:rPr>
      </w:pPr>
      <w:r w:rsidRPr="00E35786">
        <w:rPr>
          <w:rFonts w:ascii="Arial" w:hAnsi="Arial" w:cs="Arial"/>
          <w:bCs/>
          <w:i/>
          <w:sz w:val="20"/>
          <w:szCs w:val="20"/>
          <w:lang w:val="en-GB"/>
        </w:rPr>
        <w:t>Note</w:t>
      </w:r>
      <w:r w:rsidR="00C80155" w:rsidRPr="00E35786">
        <w:rPr>
          <w:rFonts w:ascii="Arial" w:hAnsi="Arial" w:cs="Arial"/>
          <w:bCs/>
          <w:i/>
          <w:sz w:val="20"/>
          <w:szCs w:val="20"/>
          <w:lang w:val="en-GB"/>
        </w:rPr>
        <w:t xml:space="preserve">: </w:t>
      </w:r>
      <w:r w:rsidR="00D0467D" w:rsidRPr="00E35786">
        <w:rPr>
          <w:rFonts w:ascii="Arial" w:hAnsi="Arial" w:cs="Arial"/>
          <w:bCs/>
          <w:i/>
          <w:sz w:val="20"/>
          <w:szCs w:val="20"/>
          <w:lang w:val="en-GB"/>
        </w:rPr>
        <w:t>Y</w:t>
      </w:r>
      <w:r w:rsidR="00CF2104" w:rsidRPr="00E35786">
        <w:rPr>
          <w:rFonts w:ascii="Arial" w:hAnsi="Arial" w:cs="Arial"/>
          <w:bCs/>
          <w:i/>
          <w:sz w:val="20"/>
          <w:szCs w:val="20"/>
          <w:lang w:val="en-GB"/>
        </w:rPr>
        <w:t xml:space="preserve">ear-on-year </w:t>
      </w:r>
      <w:r w:rsidR="0004789B" w:rsidRPr="00E35786">
        <w:rPr>
          <w:rFonts w:ascii="Arial" w:hAnsi="Arial" w:cs="Arial"/>
          <w:bCs/>
          <w:i/>
          <w:sz w:val="20"/>
          <w:szCs w:val="20"/>
          <w:lang w:val="en-GB"/>
        </w:rPr>
        <w:t>comparison</w:t>
      </w:r>
      <w:r w:rsidR="00D0467D" w:rsidRPr="00E35786">
        <w:rPr>
          <w:rFonts w:ascii="Arial" w:hAnsi="Arial" w:cs="Arial"/>
          <w:bCs/>
          <w:i/>
          <w:sz w:val="20"/>
          <w:szCs w:val="20"/>
          <w:lang w:val="en-GB"/>
        </w:rPr>
        <w:t>s</w:t>
      </w:r>
      <w:r w:rsidR="0004789B" w:rsidRPr="00E35786">
        <w:rPr>
          <w:rFonts w:ascii="Arial" w:hAnsi="Arial" w:cs="Arial"/>
          <w:bCs/>
          <w:i/>
          <w:sz w:val="20"/>
          <w:szCs w:val="20"/>
          <w:lang w:val="en-GB"/>
        </w:rPr>
        <w:t xml:space="preserve"> of measured data for the year 2020</w:t>
      </w:r>
      <w:r w:rsidR="00C80155" w:rsidRPr="00E35786">
        <w:rPr>
          <w:rFonts w:ascii="Arial" w:hAnsi="Arial" w:cs="Arial"/>
          <w:bCs/>
          <w:i/>
          <w:sz w:val="20"/>
          <w:szCs w:val="20"/>
        </w:rPr>
        <w:t xml:space="preserve"> </w:t>
      </w:r>
      <w:r w:rsidR="00C80155" w:rsidRPr="004010B0">
        <w:rPr>
          <w:rFonts w:ascii="Arial" w:hAnsi="Arial" w:cs="Arial"/>
          <w:bCs/>
          <w:i/>
          <w:sz w:val="20"/>
          <w:szCs w:val="20"/>
          <w:lang w:val="en-GB"/>
        </w:rPr>
        <w:t>(Tab</w:t>
      </w:r>
      <w:r w:rsidR="008D3A42" w:rsidRPr="004010B0">
        <w:rPr>
          <w:rFonts w:ascii="Arial" w:hAnsi="Arial" w:cs="Arial"/>
          <w:bCs/>
          <w:i/>
          <w:sz w:val="20"/>
          <w:szCs w:val="20"/>
          <w:lang w:val="en-GB"/>
        </w:rPr>
        <w:t>les</w:t>
      </w:r>
      <w:r w:rsidR="00C80155" w:rsidRPr="004010B0">
        <w:rPr>
          <w:rFonts w:ascii="Arial" w:hAnsi="Arial" w:cs="Arial"/>
          <w:bCs/>
          <w:i/>
          <w:sz w:val="20"/>
          <w:szCs w:val="20"/>
          <w:lang w:val="en-GB"/>
        </w:rPr>
        <w:t xml:space="preserve"> 2</w:t>
      </w:r>
      <w:r w:rsidR="008D3A42" w:rsidRPr="004010B0">
        <w:rPr>
          <w:rFonts w:ascii="Arial" w:hAnsi="Arial" w:cs="Arial"/>
          <w:i/>
          <w:iCs/>
          <w:sz w:val="20"/>
          <w:szCs w:val="17"/>
          <w:lang w:val="en-GB"/>
        </w:rPr>
        <w:t>–</w:t>
      </w:r>
      <w:r w:rsidR="004010B0" w:rsidRPr="004010B0">
        <w:rPr>
          <w:rFonts w:ascii="Arial" w:hAnsi="Arial" w:cs="Arial"/>
          <w:bCs/>
          <w:i/>
          <w:sz w:val="20"/>
          <w:szCs w:val="20"/>
          <w:lang w:val="en-GB"/>
        </w:rPr>
        <w:t>5</w:t>
      </w:r>
      <w:r w:rsidR="00C80155" w:rsidRPr="004010B0">
        <w:rPr>
          <w:rFonts w:ascii="Arial" w:hAnsi="Arial" w:cs="Arial"/>
          <w:bCs/>
          <w:i/>
          <w:sz w:val="20"/>
          <w:szCs w:val="20"/>
          <w:lang w:val="en-GB"/>
        </w:rPr>
        <w:t xml:space="preserve"> a</w:t>
      </w:r>
      <w:r w:rsidR="008D3A42" w:rsidRPr="004010B0">
        <w:rPr>
          <w:rFonts w:ascii="Arial" w:hAnsi="Arial" w:cs="Arial"/>
          <w:bCs/>
          <w:i/>
          <w:sz w:val="20"/>
          <w:szCs w:val="20"/>
          <w:lang w:val="en-GB"/>
        </w:rPr>
        <w:t>nd graphs</w:t>
      </w:r>
      <w:r w:rsidR="00C80155" w:rsidRPr="004010B0">
        <w:rPr>
          <w:rFonts w:ascii="Arial" w:hAnsi="Arial" w:cs="Arial"/>
          <w:bCs/>
          <w:i/>
          <w:sz w:val="20"/>
          <w:szCs w:val="20"/>
          <w:lang w:val="en-GB"/>
        </w:rPr>
        <w:t xml:space="preserve"> 2</w:t>
      </w:r>
      <w:r w:rsidR="008D3A42" w:rsidRPr="004010B0">
        <w:rPr>
          <w:rFonts w:ascii="Arial" w:hAnsi="Arial" w:cs="Arial"/>
          <w:i/>
          <w:iCs/>
          <w:sz w:val="20"/>
          <w:szCs w:val="17"/>
          <w:lang w:val="en-GB"/>
        </w:rPr>
        <w:t>–</w:t>
      </w:r>
      <w:r w:rsidR="004010B0" w:rsidRPr="004010B0">
        <w:rPr>
          <w:rFonts w:ascii="Arial" w:hAnsi="Arial" w:cs="Arial"/>
          <w:bCs/>
          <w:i/>
          <w:sz w:val="20"/>
          <w:szCs w:val="20"/>
          <w:lang w:val="en-GB"/>
        </w:rPr>
        <w:t>3</w:t>
      </w:r>
      <w:r w:rsidR="00C71599">
        <w:rPr>
          <w:rFonts w:ascii="Arial" w:hAnsi="Arial" w:cs="Arial"/>
          <w:bCs/>
          <w:i/>
          <w:sz w:val="20"/>
          <w:szCs w:val="20"/>
          <w:lang w:val="en-GB"/>
        </w:rPr>
        <w:t xml:space="preserve"> and</w:t>
      </w:r>
      <w:r w:rsidR="00C80155" w:rsidRPr="004010B0">
        <w:rPr>
          <w:rFonts w:ascii="Arial" w:hAnsi="Arial" w:cs="Arial"/>
          <w:bCs/>
          <w:i/>
          <w:sz w:val="20"/>
          <w:szCs w:val="20"/>
          <w:lang w:val="en-GB"/>
        </w:rPr>
        <w:t xml:space="preserve"> 2</w:t>
      </w:r>
      <w:r w:rsidR="008D3A42" w:rsidRPr="004010B0">
        <w:rPr>
          <w:rFonts w:ascii="Arial" w:hAnsi="Arial" w:cs="Arial"/>
          <w:i/>
          <w:iCs/>
          <w:sz w:val="20"/>
          <w:szCs w:val="17"/>
          <w:lang w:val="en-GB"/>
        </w:rPr>
        <w:t>–</w:t>
      </w:r>
      <w:r w:rsidR="00C80155" w:rsidRPr="004010B0">
        <w:rPr>
          <w:rFonts w:ascii="Arial" w:hAnsi="Arial" w:cs="Arial"/>
          <w:bCs/>
          <w:i/>
          <w:sz w:val="20"/>
          <w:szCs w:val="20"/>
          <w:lang w:val="en-GB"/>
        </w:rPr>
        <w:t xml:space="preserve">5) </w:t>
      </w:r>
      <w:r w:rsidR="002229CA" w:rsidRPr="004010B0">
        <w:rPr>
          <w:rFonts w:ascii="Arial" w:hAnsi="Arial" w:cs="Arial"/>
          <w:bCs/>
          <w:i/>
          <w:sz w:val="20"/>
          <w:szCs w:val="20"/>
          <w:lang w:val="en-GB"/>
        </w:rPr>
        <w:t xml:space="preserve">are, besides the COVID-19 disease, also influenced by reclassification of the </w:t>
      </w:r>
      <w:r w:rsidR="00D5163A" w:rsidRPr="004010B0">
        <w:rPr>
          <w:rFonts w:ascii="Arial" w:hAnsi="Arial" w:cs="Arial"/>
          <w:bCs/>
          <w:sz w:val="20"/>
          <w:szCs w:val="20"/>
          <w:lang w:val="en-GB"/>
        </w:rPr>
        <w:t>Bohnice</w:t>
      </w:r>
      <w:r w:rsidR="00D5163A" w:rsidRPr="004010B0">
        <w:rPr>
          <w:rFonts w:ascii="Arial" w:hAnsi="Arial" w:cs="Arial"/>
          <w:bCs/>
          <w:i/>
          <w:sz w:val="20"/>
          <w:szCs w:val="20"/>
          <w:lang w:val="en-GB"/>
        </w:rPr>
        <w:t xml:space="preserve"> mental institution to acute care hospitals. </w:t>
      </w:r>
    </w:p>
    <w:p w14:paraId="2955E428" w14:textId="77777777" w:rsidR="00F43082" w:rsidRPr="00E35786" w:rsidRDefault="00F43082" w:rsidP="00C80155">
      <w:pPr>
        <w:spacing w:before="120"/>
        <w:ind w:firstLine="714"/>
        <w:jc w:val="both"/>
        <w:rPr>
          <w:rFonts w:ascii="Arial" w:hAnsi="Arial" w:cs="Arial"/>
          <w:bCs/>
          <w:i/>
          <w:sz w:val="20"/>
          <w:szCs w:val="20"/>
        </w:rPr>
      </w:pPr>
    </w:p>
    <w:p w14:paraId="5F1EAE2B" w14:textId="07ACEEF7" w:rsidR="00F43082" w:rsidRPr="00566130" w:rsidRDefault="00B075C3" w:rsidP="00F43082">
      <w:pPr>
        <w:pStyle w:val="Zkladntextodsazen"/>
        <w:ind w:firstLine="720"/>
        <w:rPr>
          <w:b/>
          <w:i/>
          <w:color w:val="auto"/>
          <w:sz w:val="24"/>
          <w:szCs w:val="24"/>
          <w:lang w:val="en-GB"/>
        </w:rPr>
      </w:pPr>
      <w:r w:rsidRPr="00566130">
        <w:rPr>
          <w:b/>
          <w:i/>
          <w:color w:val="auto"/>
          <w:sz w:val="24"/>
          <w:szCs w:val="24"/>
          <w:lang w:val="en-GB"/>
        </w:rPr>
        <w:t>Outpatient care</w:t>
      </w:r>
      <w:r w:rsidR="00F43082" w:rsidRPr="00566130">
        <w:rPr>
          <w:b/>
          <w:i/>
          <w:color w:val="auto"/>
          <w:sz w:val="24"/>
          <w:szCs w:val="24"/>
          <w:lang w:val="en-GB"/>
        </w:rPr>
        <w:t xml:space="preserve"> (</w:t>
      </w:r>
      <w:r w:rsidR="00A15060" w:rsidRPr="00566130">
        <w:rPr>
          <w:b/>
          <w:bCs/>
          <w:i/>
          <w:color w:val="auto"/>
          <w:sz w:val="24"/>
          <w:szCs w:val="24"/>
          <w:lang w:val="en-GB" w:eastAsia="en-US"/>
        </w:rPr>
        <w:t>Tables 2</w:t>
      </w:r>
      <w:r w:rsidR="00A15060" w:rsidRPr="00566130">
        <w:rPr>
          <w:b/>
          <w:i/>
          <w:iCs/>
          <w:color w:val="auto"/>
          <w:sz w:val="24"/>
          <w:szCs w:val="24"/>
          <w:lang w:val="en-GB"/>
        </w:rPr>
        <w:t>–</w:t>
      </w:r>
      <w:r w:rsidR="00E778D7" w:rsidRPr="00566130">
        <w:rPr>
          <w:b/>
          <w:i/>
          <w:iCs/>
          <w:color w:val="auto"/>
          <w:sz w:val="24"/>
          <w:szCs w:val="24"/>
          <w:lang w:val="en-GB"/>
        </w:rPr>
        <w:t>6</w:t>
      </w:r>
      <w:r w:rsidR="00A15060" w:rsidRPr="00566130">
        <w:rPr>
          <w:b/>
          <w:bCs/>
          <w:i/>
          <w:color w:val="auto"/>
          <w:sz w:val="24"/>
          <w:szCs w:val="24"/>
          <w:lang w:val="en-GB" w:eastAsia="en-US"/>
        </w:rPr>
        <w:t xml:space="preserve"> through 2</w:t>
      </w:r>
      <w:r w:rsidR="00A15060" w:rsidRPr="00566130">
        <w:rPr>
          <w:b/>
          <w:i/>
          <w:iCs/>
          <w:color w:val="auto"/>
          <w:sz w:val="24"/>
          <w:szCs w:val="24"/>
          <w:lang w:val="en-GB"/>
        </w:rPr>
        <w:t>–</w:t>
      </w:r>
      <w:r w:rsidR="00E778D7" w:rsidRPr="00566130">
        <w:rPr>
          <w:b/>
          <w:i/>
          <w:iCs/>
          <w:color w:val="auto"/>
          <w:sz w:val="24"/>
          <w:szCs w:val="24"/>
          <w:lang w:val="en-GB"/>
        </w:rPr>
        <w:t>8</w:t>
      </w:r>
      <w:r w:rsidR="00F43082" w:rsidRPr="00566130">
        <w:rPr>
          <w:b/>
          <w:i/>
          <w:color w:val="auto"/>
          <w:sz w:val="24"/>
          <w:szCs w:val="24"/>
          <w:lang w:val="en-GB"/>
        </w:rPr>
        <w:t>)</w:t>
      </w:r>
    </w:p>
    <w:p w14:paraId="0279BB4C" w14:textId="1270AB08" w:rsidR="00AC6C8B" w:rsidRPr="00E35786" w:rsidRDefault="00AC6C8B" w:rsidP="008819E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rPr>
      </w:pPr>
      <w:r w:rsidRPr="00640144">
        <w:rPr>
          <w:rFonts w:ascii="Arial" w:hAnsi="Arial" w:cs="Arial"/>
          <w:i/>
          <w:sz w:val="20"/>
          <w:szCs w:val="20"/>
          <w:lang w:val="en-GB"/>
        </w:rPr>
        <w:t xml:space="preserve">The source of information is the National Register of Reimbursed Health Services </w:t>
      </w:r>
      <w:r w:rsidRPr="00640144">
        <w:rPr>
          <w:rFonts w:ascii="Arial" w:hAnsi="Arial" w:cs="Arial"/>
          <w:sz w:val="20"/>
          <w:szCs w:val="20"/>
          <w:lang w:val="en-GB"/>
        </w:rPr>
        <w:t>(</w:t>
      </w:r>
      <w:r w:rsidRPr="00640144">
        <w:rPr>
          <w:rFonts w:ascii="Arial" w:hAnsi="Arial" w:cs="Arial"/>
          <w:sz w:val="20"/>
          <w:szCs w:val="20"/>
        </w:rPr>
        <w:t>Národní registr hrazených zdravotních služeb</w:t>
      </w:r>
      <w:r w:rsidRPr="00640144">
        <w:rPr>
          <w:rFonts w:ascii="Arial" w:hAnsi="Arial" w:cs="Arial"/>
          <w:sz w:val="20"/>
          <w:szCs w:val="20"/>
          <w:lang w:val="en-GB"/>
        </w:rPr>
        <w:t xml:space="preserve"> – NRHZS)</w:t>
      </w:r>
      <w:r w:rsidRPr="00640144">
        <w:rPr>
          <w:rFonts w:ascii="Arial" w:hAnsi="Arial" w:cs="Arial"/>
          <w:i/>
          <w:sz w:val="20"/>
          <w:szCs w:val="20"/>
          <w:lang w:val="en-GB"/>
        </w:rPr>
        <w:t xml:space="preserve">, which collects data reported to health insurance companies by all health care providers. </w:t>
      </w:r>
      <w:r w:rsidR="00C419D2" w:rsidRPr="00640144">
        <w:rPr>
          <w:rFonts w:ascii="Arial" w:hAnsi="Arial" w:cs="Arial"/>
          <w:i/>
          <w:sz w:val="20"/>
          <w:szCs w:val="20"/>
          <w:lang w:val="en-GB"/>
        </w:rPr>
        <w:t>T</w:t>
      </w:r>
      <w:r w:rsidRPr="00640144">
        <w:rPr>
          <w:rFonts w:ascii="Arial" w:hAnsi="Arial" w:cs="Arial"/>
          <w:i/>
          <w:sz w:val="20"/>
          <w:szCs w:val="20"/>
          <w:lang w:val="en-GB"/>
        </w:rPr>
        <w:t xml:space="preserve">he reporting units are all health insurance companies in the Czech Republic, which reimburse health care services provided to </w:t>
      </w:r>
      <w:r w:rsidR="00360A37" w:rsidRPr="00640144">
        <w:rPr>
          <w:rFonts w:ascii="Arial" w:hAnsi="Arial" w:cs="Arial"/>
          <w:i/>
          <w:sz w:val="20"/>
          <w:szCs w:val="20"/>
          <w:lang w:val="en-GB"/>
        </w:rPr>
        <w:t>their policy holders</w:t>
      </w:r>
      <w:r w:rsidR="00B02DCD" w:rsidRPr="00E35786">
        <w:rPr>
          <w:rFonts w:ascii="Arial" w:hAnsi="Arial" w:cs="Arial"/>
          <w:i/>
          <w:sz w:val="20"/>
          <w:szCs w:val="20"/>
          <w:lang w:val="en-GB"/>
        </w:rPr>
        <w:t xml:space="preserve"> (sickness-insured persons)</w:t>
      </w:r>
      <w:r w:rsidRPr="00640144">
        <w:rPr>
          <w:rFonts w:ascii="Arial" w:hAnsi="Arial" w:cs="Arial"/>
          <w:i/>
          <w:sz w:val="20"/>
          <w:szCs w:val="20"/>
          <w:lang w:val="en-GB"/>
        </w:rPr>
        <w:t xml:space="preserve"> from resources of the public health insurance system.</w:t>
      </w:r>
    </w:p>
    <w:p w14:paraId="25615D8C" w14:textId="491FEB61" w:rsidR="00CF1D9E" w:rsidRPr="00E35786" w:rsidRDefault="008819E3" w:rsidP="00F4308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E35786">
        <w:rPr>
          <w:rFonts w:ascii="Arial" w:hAnsi="Arial" w:cs="Arial"/>
          <w:b/>
          <w:i/>
          <w:sz w:val="20"/>
          <w:szCs w:val="20"/>
          <w:lang w:val="en-GB"/>
        </w:rPr>
        <w:t xml:space="preserve">Visits to (contacts with) outpatient care establishments </w:t>
      </w:r>
      <w:r w:rsidRPr="00E35786">
        <w:rPr>
          <w:rFonts w:ascii="Arial" w:hAnsi="Arial" w:cs="Arial"/>
          <w:i/>
          <w:sz w:val="20"/>
          <w:szCs w:val="20"/>
          <w:lang w:val="en-GB"/>
        </w:rPr>
        <w:t>– a visit (contact) is a set of all acts made when treating a natural person in an outpatient care establishment during a single patient’</w:t>
      </w:r>
      <w:r w:rsidRPr="00E35786">
        <w:rPr>
          <w:rFonts w:ascii="Arial" w:hAnsi="Arial" w:cs="Arial"/>
          <w:i/>
          <w:sz w:val="20"/>
          <w:szCs w:val="20"/>
        </w:rPr>
        <w:t>s visit</w:t>
      </w:r>
      <w:r w:rsidRPr="00E35786">
        <w:rPr>
          <w:rFonts w:ascii="Arial" w:hAnsi="Arial" w:cs="Arial"/>
          <w:i/>
          <w:sz w:val="20"/>
          <w:szCs w:val="20"/>
          <w:lang w:val="en-GB"/>
        </w:rPr>
        <w:t xml:space="preserve">. Also a contact with a patient in order to make administrative work (to write out a medical prescription, to confirm a certificate, etc.) is considered to be a visit (contact). Acts are performed by a physician/practitioner or by a nurse according to a physician’s instructions. </w:t>
      </w:r>
      <w:r w:rsidR="00CF1D9E" w:rsidRPr="00E35786">
        <w:rPr>
          <w:rFonts w:ascii="Arial" w:hAnsi="Arial" w:cs="Arial"/>
          <w:i/>
          <w:sz w:val="20"/>
          <w:szCs w:val="20"/>
          <w:lang w:val="en-GB"/>
        </w:rPr>
        <w:t xml:space="preserve">Also consultations over the phone, the number of which significantly increased in 2020 due to COVID-19 disease, are included in the number of contacts.  </w:t>
      </w:r>
    </w:p>
    <w:p w14:paraId="5B1944E6" w14:textId="71AF68B7" w:rsidR="00C63607" w:rsidRPr="00E35786" w:rsidRDefault="008A4A2E" w:rsidP="00C6360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rPr>
      </w:pPr>
      <w:r w:rsidRPr="00640144">
        <w:rPr>
          <w:rFonts w:ascii="Arial" w:hAnsi="Arial" w:cs="Arial"/>
          <w:b/>
          <w:i/>
          <w:sz w:val="20"/>
          <w:szCs w:val="20"/>
          <w:lang w:val="en-GB"/>
        </w:rPr>
        <w:t xml:space="preserve">Patients </w:t>
      </w:r>
      <w:r w:rsidR="005D4340" w:rsidRPr="00640144">
        <w:rPr>
          <w:rFonts w:ascii="Arial" w:hAnsi="Arial" w:cs="Arial"/>
          <w:b/>
          <w:i/>
          <w:sz w:val="20"/>
          <w:szCs w:val="20"/>
          <w:lang w:val="en-GB"/>
        </w:rPr>
        <w:t>of</w:t>
      </w:r>
      <w:r w:rsidRPr="00640144">
        <w:rPr>
          <w:rFonts w:ascii="Arial" w:hAnsi="Arial" w:cs="Arial"/>
          <w:b/>
          <w:i/>
          <w:sz w:val="20"/>
          <w:szCs w:val="20"/>
          <w:lang w:val="en-GB"/>
        </w:rPr>
        <w:t xml:space="preserve"> outpatient care</w:t>
      </w:r>
      <w:r w:rsidR="005D4340" w:rsidRPr="00640144">
        <w:rPr>
          <w:rFonts w:ascii="Arial" w:hAnsi="Arial" w:cs="Arial"/>
          <w:b/>
          <w:i/>
          <w:sz w:val="20"/>
          <w:szCs w:val="20"/>
          <w:lang w:val="en-GB"/>
        </w:rPr>
        <w:t xml:space="preserve"> establishments</w:t>
      </w:r>
      <w:r w:rsidRPr="00640144">
        <w:rPr>
          <w:rFonts w:ascii="Arial" w:hAnsi="Arial" w:cs="Arial"/>
          <w:i/>
          <w:sz w:val="20"/>
          <w:szCs w:val="20"/>
          <w:lang w:val="en-GB"/>
        </w:rPr>
        <w:t xml:space="preserve"> shall mean the number of persons</w:t>
      </w:r>
      <w:r w:rsidR="00CA7EBC">
        <w:rPr>
          <w:rFonts w:ascii="Arial" w:hAnsi="Arial" w:cs="Arial"/>
          <w:i/>
          <w:sz w:val="20"/>
          <w:szCs w:val="20"/>
          <w:lang w:val="en-GB"/>
        </w:rPr>
        <w:t xml:space="preserve"> who</w:t>
      </w:r>
      <w:r w:rsidRPr="00640144">
        <w:rPr>
          <w:rFonts w:ascii="Arial" w:hAnsi="Arial" w:cs="Arial"/>
          <w:i/>
          <w:sz w:val="20"/>
          <w:szCs w:val="20"/>
          <w:lang w:val="en-GB"/>
        </w:rPr>
        <w:t xml:space="preserve"> for a given group of diagnoses received, at least once </w:t>
      </w:r>
      <w:r w:rsidR="003D2994" w:rsidRPr="00640144">
        <w:rPr>
          <w:rFonts w:ascii="Arial" w:hAnsi="Arial" w:cs="Arial"/>
          <w:i/>
          <w:sz w:val="20"/>
          <w:szCs w:val="20"/>
          <w:lang w:val="en-GB"/>
        </w:rPr>
        <w:t>in the reference year</w:t>
      </w:r>
      <w:r w:rsidRPr="00640144">
        <w:rPr>
          <w:rFonts w:ascii="Arial" w:hAnsi="Arial" w:cs="Arial"/>
          <w:i/>
          <w:sz w:val="20"/>
          <w:szCs w:val="20"/>
          <w:lang w:val="en-GB"/>
        </w:rPr>
        <w:t xml:space="preserve">, </w:t>
      </w:r>
      <w:r w:rsidR="003D2994" w:rsidRPr="00640144">
        <w:rPr>
          <w:rFonts w:ascii="Arial" w:hAnsi="Arial" w:cs="Arial"/>
          <w:i/>
          <w:sz w:val="20"/>
          <w:szCs w:val="20"/>
          <w:lang w:val="en-GB"/>
        </w:rPr>
        <w:t>in</w:t>
      </w:r>
      <w:r w:rsidR="00AD4861" w:rsidRPr="00640144">
        <w:rPr>
          <w:rFonts w:ascii="Arial" w:hAnsi="Arial" w:cs="Arial"/>
          <w:i/>
          <w:sz w:val="20"/>
          <w:szCs w:val="20"/>
          <w:lang w:val="en-GB"/>
        </w:rPr>
        <w:t>-</w:t>
      </w:r>
      <w:r w:rsidR="003D2994" w:rsidRPr="00640144">
        <w:rPr>
          <w:rFonts w:ascii="Arial" w:hAnsi="Arial" w:cs="Arial"/>
          <w:i/>
          <w:sz w:val="20"/>
          <w:szCs w:val="20"/>
          <w:lang w:val="en-GB"/>
        </w:rPr>
        <w:t>patient</w:t>
      </w:r>
      <w:r w:rsidRPr="00640144">
        <w:rPr>
          <w:rFonts w:ascii="Arial" w:hAnsi="Arial" w:cs="Arial"/>
          <w:i/>
          <w:sz w:val="20"/>
          <w:szCs w:val="20"/>
          <w:lang w:val="en-GB"/>
        </w:rPr>
        <w:t xml:space="preserve"> health care reimbursed by </w:t>
      </w:r>
      <w:r w:rsidR="00CA7EBC">
        <w:rPr>
          <w:rFonts w:ascii="Arial" w:hAnsi="Arial" w:cs="Arial"/>
          <w:i/>
          <w:sz w:val="20"/>
          <w:szCs w:val="20"/>
          <w:lang w:val="en-GB"/>
        </w:rPr>
        <w:t>a</w:t>
      </w:r>
      <w:r w:rsidR="00CA7EBC" w:rsidRPr="00640144">
        <w:rPr>
          <w:rFonts w:ascii="Arial" w:hAnsi="Arial" w:cs="Arial"/>
          <w:i/>
          <w:sz w:val="20"/>
          <w:szCs w:val="20"/>
          <w:lang w:val="en-GB"/>
        </w:rPr>
        <w:t xml:space="preserve"> </w:t>
      </w:r>
      <w:r w:rsidRPr="00640144">
        <w:rPr>
          <w:rFonts w:ascii="Arial" w:hAnsi="Arial" w:cs="Arial"/>
          <w:i/>
          <w:sz w:val="20"/>
          <w:szCs w:val="20"/>
          <w:lang w:val="en-GB"/>
        </w:rPr>
        <w:t>health insurance company.</w:t>
      </w:r>
      <w:r w:rsidR="00F43082" w:rsidRPr="00E35786">
        <w:rPr>
          <w:rFonts w:ascii="Arial" w:hAnsi="Arial" w:cs="Arial"/>
          <w:i/>
          <w:sz w:val="20"/>
          <w:szCs w:val="20"/>
          <w:lang w:val="en-GB"/>
        </w:rPr>
        <w:t xml:space="preserve"> </w:t>
      </w:r>
      <w:r w:rsidR="00C63607" w:rsidRPr="00E35786">
        <w:rPr>
          <w:rFonts w:ascii="Arial" w:hAnsi="Arial" w:cs="Arial"/>
          <w:i/>
          <w:sz w:val="20"/>
          <w:szCs w:val="20"/>
          <w:lang w:val="en-GB"/>
        </w:rPr>
        <w:t>The total number of patients in in-patient care establishments</w:t>
      </w:r>
      <w:r w:rsidR="003D2994" w:rsidRPr="00E35786">
        <w:rPr>
          <w:rFonts w:ascii="Arial" w:hAnsi="Arial" w:cs="Arial"/>
          <w:i/>
          <w:sz w:val="20"/>
          <w:szCs w:val="20"/>
        </w:rPr>
        <w:t xml:space="preserve"> </w:t>
      </w:r>
      <w:r w:rsidR="00C63607" w:rsidRPr="00E35786">
        <w:rPr>
          <w:rFonts w:ascii="Arial" w:hAnsi="Arial" w:cs="Arial"/>
          <w:i/>
          <w:sz w:val="20"/>
          <w:szCs w:val="20"/>
          <w:lang w:val="en-GB"/>
        </w:rPr>
        <w:t xml:space="preserve">is not a sum for individual groups of diseases (chapters of the ICD-10), because one patient may visit a physician due to multiple reasons during a year.  </w:t>
      </w:r>
      <w:r w:rsidR="003D2994" w:rsidRPr="00E35786">
        <w:rPr>
          <w:rFonts w:ascii="Arial" w:hAnsi="Arial" w:cs="Arial"/>
          <w:i/>
          <w:sz w:val="20"/>
          <w:szCs w:val="20"/>
        </w:rPr>
        <w:t xml:space="preserve"> </w:t>
      </w:r>
    </w:p>
    <w:p w14:paraId="7CE4423E" w14:textId="2A3EEFD1" w:rsidR="000D4ECD" w:rsidRPr="00E35786" w:rsidRDefault="00643669" w:rsidP="00A47B50">
      <w:pPr>
        <w:spacing w:before="120" w:after="120"/>
        <w:ind w:firstLine="709"/>
        <w:jc w:val="both"/>
        <w:rPr>
          <w:rFonts w:ascii="Arial" w:hAnsi="Arial" w:cs="Arial"/>
          <w:i/>
          <w:sz w:val="20"/>
          <w:szCs w:val="20"/>
          <w:lang w:val="en-GB"/>
        </w:rPr>
      </w:pPr>
      <w:r w:rsidRPr="00E35786">
        <w:rPr>
          <w:rFonts w:ascii="Arial" w:hAnsi="Arial" w:cs="Arial"/>
          <w:b/>
          <w:i/>
          <w:sz w:val="20"/>
          <w:szCs w:val="20"/>
          <w:lang w:val="en-GB"/>
        </w:rPr>
        <w:t xml:space="preserve">Diabetics under treatment </w:t>
      </w:r>
      <w:r w:rsidRPr="00E35786">
        <w:rPr>
          <w:rFonts w:ascii="Arial" w:hAnsi="Arial" w:cs="Arial"/>
          <w:i/>
          <w:sz w:val="20"/>
          <w:szCs w:val="20"/>
          <w:lang w:val="en-GB"/>
        </w:rPr>
        <w:t>–</w:t>
      </w:r>
      <w:r w:rsidRPr="00E35786">
        <w:rPr>
          <w:rFonts w:ascii="Arial" w:hAnsi="Arial" w:cs="Arial"/>
          <w:b/>
          <w:i/>
          <w:sz w:val="20"/>
          <w:szCs w:val="20"/>
          <w:lang w:val="en-GB"/>
        </w:rPr>
        <w:t xml:space="preserve"> </w:t>
      </w:r>
      <w:r w:rsidR="00C01279" w:rsidRPr="00E35786">
        <w:rPr>
          <w:rFonts w:ascii="Arial" w:hAnsi="Arial" w:cs="Arial"/>
          <w:i/>
          <w:sz w:val="20"/>
          <w:szCs w:val="20"/>
          <w:lang w:val="en-GB"/>
        </w:rPr>
        <w:t>i</w:t>
      </w:r>
      <w:r w:rsidRPr="00E35786">
        <w:rPr>
          <w:rFonts w:ascii="Arial" w:hAnsi="Arial" w:cs="Arial"/>
          <w:i/>
          <w:sz w:val="20"/>
          <w:szCs w:val="20"/>
          <w:lang w:val="en-GB"/>
        </w:rPr>
        <w:t xml:space="preserve">t applies to patients treated by drugs used in diabetes (ATC subgroup/code A10) for type 1 and 2 diabetes mellitus regardless of whether they are treated at the diabetology (including outpatient parts of hospitals) or in a surgery of a general practitioner for adults. </w:t>
      </w:r>
    </w:p>
    <w:p w14:paraId="1001E9D8" w14:textId="0049278B" w:rsidR="000D4ECD" w:rsidRPr="00E35786" w:rsidRDefault="00D201CC" w:rsidP="00E35786">
      <w:pPr>
        <w:ind w:firstLine="709"/>
        <w:jc w:val="both"/>
        <w:rPr>
          <w:i/>
          <w:iCs/>
          <w:lang w:val="en-GB"/>
        </w:rPr>
      </w:pPr>
      <w:r w:rsidRPr="00E35786">
        <w:rPr>
          <w:rFonts w:ascii="Arial" w:hAnsi="Arial" w:cs="Arial"/>
          <w:b/>
          <w:i/>
          <w:sz w:val="20"/>
          <w:szCs w:val="20"/>
          <w:lang w:val="en-GB"/>
        </w:rPr>
        <w:t>N</w:t>
      </w:r>
      <w:r w:rsidR="00A47B50" w:rsidRPr="00E35786">
        <w:rPr>
          <w:rFonts w:ascii="Arial" w:hAnsi="Arial" w:cs="Arial"/>
          <w:b/>
          <w:i/>
          <w:sz w:val="20"/>
          <w:szCs w:val="20"/>
          <w:lang w:val="en-GB"/>
        </w:rPr>
        <w:t>umber</w:t>
      </w:r>
      <w:r w:rsidR="00E15509" w:rsidRPr="00E35786">
        <w:rPr>
          <w:rFonts w:ascii="Arial" w:hAnsi="Arial" w:cs="Arial"/>
          <w:b/>
          <w:i/>
          <w:sz w:val="20"/>
          <w:szCs w:val="20"/>
          <w:lang w:val="en-GB"/>
        </w:rPr>
        <w:t>s</w:t>
      </w:r>
      <w:r w:rsidR="00A47B50" w:rsidRPr="00E35786">
        <w:rPr>
          <w:rFonts w:ascii="Arial" w:hAnsi="Arial" w:cs="Arial"/>
          <w:b/>
          <w:i/>
          <w:sz w:val="20"/>
          <w:szCs w:val="20"/>
          <w:lang w:val="en-GB"/>
        </w:rPr>
        <w:t xml:space="preserve"> of notified cases of</w:t>
      </w:r>
      <w:r w:rsidR="000D4ECD" w:rsidRPr="00E35786">
        <w:rPr>
          <w:rFonts w:ascii="Arial" w:hAnsi="Arial" w:cs="Arial"/>
          <w:i/>
          <w:iCs/>
          <w:sz w:val="20"/>
          <w:szCs w:val="20"/>
          <w:lang w:val="en-GB"/>
        </w:rPr>
        <w:t xml:space="preserve"> </w:t>
      </w:r>
      <w:r w:rsidR="000D4ECD" w:rsidRPr="00E35786">
        <w:rPr>
          <w:rFonts w:ascii="Arial" w:hAnsi="Arial" w:cs="Arial"/>
          <w:b/>
          <w:bCs/>
          <w:i/>
          <w:iCs/>
          <w:sz w:val="20"/>
          <w:szCs w:val="20"/>
          <w:lang w:val="en-GB"/>
        </w:rPr>
        <w:t>tuberculosis (TB</w:t>
      </w:r>
      <w:r w:rsidR="00E43555" w:rsidRPr="00E35786">
        <w:rPr>
          <w:rFonts w:ascii="Arial" w:hAnsi="Arial" w:cs="Arial"/>
          <w:b/>
          <w:bCs/>
          <w:i/>
          <w:iCs/>
          <w:sz w:val="20"/>
          <w:szCs w:val="20"/>
          <w:lang w:val="en-GB"/>
        </w:rPr>
        <w:t>)</w:t>
      </w:r>
      <w:r w:rsidR="001F25B9" w:rsidRPr="00E35786">
        <w:rPr>
          <w:rFonts w:ascii="Arial" w:hAnsi="Arial" w:cs="Arial"/>
          <w:i/>
          <w:iCs/>
          <w:sz w:val="20"/>
          <w:szCs w:val="20"/>
          <w:lang w:val="en-GB"/>
        </w:rPr>
        <w:t xml:space="preserve"> </w:t>
      </w:r>
      <w:r w:rsidR="000D4ECD" w:rsidRPr="00E35786">
        <w:rPr>
          <w:rFonts w:ascii="Arial" w:hAnsi="Arial" w:cs="Arial"/>
          <w:i/>
          <w:iCs/>
          <w:sz w:val="20"/>
          <w:szCs w:val="20"/>
          <w:lang w:val="en-GB"/>
        </w:rPr>
        <w:t>involve new notified cases including relapses in the reference year and encompass pulmonary tuberculosis, which make</w:t>
      </w:r>
      <w:r w:rsidR="00D47005" w:rsidRPr="00E35786">
        <w:rPr>
          <w:rFonts w:ascii="Arial" w:hAnsi="Arial" w:cs="Arial"/>
          <w:i/>
          <w:iCs/>
          <w:sz w:val="20"/>
          <w:szCs w:val="20"/>
          <w:lang w:val="en-GB"/>
        </w:rPr>
        <w:t>s</w:t>
      </w:r>
      <w:r w:rsidR="000D4ECD" w:rsidRPr="00E35786">
        <w:rPr>
          <w:rFonts w:ascii="Arial" w:hAnsi="Arial" w:cs="Arial"/>
          <w:i/>
          <w:iCs/>
          <w:sz w:val="20"/>
          <w:szCs w:val="20"/>
          <w:lang w:val="en-GB"/>
        </w:rPr>
        <w:t xml:space="preserve"> up almost 90% of all cases, and tuberculosis of other organs. </w:t>
      </w:r>
      <w:r w:rsidR="009C4FDE" w:rsidRPr="00E35786">
        <w:rPr>
          <w:rFonts w:ascii="Arial" w:hAnsi="Arial" w:cs="Arial"/>
          <w:i/>
          <w:iCs/>
          <w:sz w:val="20"/>
          <w:szCs w:val="20"/>
          <w:lang w:val="en-GB"/>
        </w:rPr>
        <w:t>T</w:t>
      </w:r>
      <w:r w:rsidR="001F25B9" w:rsidRPr="00E35786">
        <w:rPr>
          <w:rFonts w:ascii="Arial" w:hAnsi="Arial" w:cs="Arial"/>
          <w:i/>
          <w:iCs/>
          <w:sz w:val="20"/>
          <w:szCs w:val="20"/>
          <w:lang w:val="en-GB"/>
        </w:rPr>
        <w:t>he TB Register</w:t>
      </w:r>
      <w:r w:rsidR="009C4FDE" w:rsidRPr="00E35786">
        <w:rPr>
          <w:rFonts w:ascii="Arial" w:hAnsi="Arial" w:cs="Arial"/>
          <w:i/>
          <w:iCs/>
          <w:sz w:val="20"/>
          <w:szCs w:val="20"/>
          <w:lang w:val="en-GB"/>
        </w:rPr>
        <w:t xml:space="preserve"> is the data source</w:t>
      </w:r>
      <w:r w:rsidR="001F25B9" w:rsidRPr="00E35786">
        <w:rPr>
          <w:rFonts w:ascii="Arial" w:hAnsi="Arial" w:cs="Arial"/>
          <w:i/>
          <w:iCs/>
          <w:sz w:val="20"/>
          <w:szCs w:val="20"/>
          <w:lang w:val="en-GB"/>
        </w:rPr>
        <w:t>.</w:t>
      </w:r>
    </w:p>
    <w:p w14:paraId="3474C5DB" w14:textId="77777777" w:rsidR="000D4ECD" w:rsidRPr="00E35786" w:rsidRDefault="000D4ECD" w:rsidP="00E35786">
      <w:pPr>
        <w:rPr>
          <w:i/>
          <w:lang w:val="en-GB"/>
        </w:rPr>
      </w:pPr>
    </w:p>
    <w:p w14:paraId="7ED739D9" w14:textId="46BC5E14" w:rsidR="00D36CA8" w:rsidRPr="00566130" w:rsidRDefault="00120C32" w:rsidP="00E3578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rPr>
          <w:rFonts w:ascii="Arial" w:hAnsi="Arial" w:cs="Arial"/>
          <w:b/>
          <w:bCs/>
          <w:i/>
          <w:lang w:val="en-GB"/>
        </w:rPr>
      </w:pPr>
      <w:r w:rsidRPr="00566130">
        <w:rPr>
          <w:rFonts w:ascii="Arial" w:hAnsi="Arial" w:cs="Arial"/>
          <w:b/>
          <w:bCs/>
          <w:i/>
          <w:lang w:val="en-GB"/>
        </w:rPr>
        <w:t>Incapacity for work due to disease or injury</w:t>
      </w:r>
      <w:r w:rsidR="00D36CA8" w:rsidRPr="00566130">
        <w:rPr>
          <w:rFonts w:ascii="Arial" w:hAnsi="Arial" w:cs="Arial"/>
          <w:b/>
          <w:bCs/>
          <w:i/>
          <w:lang w:val="en-GB"/>
        </w:rPr>
        <w:t xml:space="preserve"> </w:t>
      </w:r>
    </w:p>
    <w:p w14:paraId="21D32B20" w14:textId="77777777" w:rsidR="00D36CA8" w:rsidRPr="003231E3" w:rsidRDefault="00D36CA8" w:rsidP="00D36CA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rPr>
      </w:pPr>
    </w:p>
    <w:p w14:paraId="3D2A36AD" w14:textId="18F37C31" w:rsidR="00D36CA8" w:rsidRPr="003231E3" w:rsidRDefault="007F1028"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rPr>
      </w:pPr>
      <w:r w:rsidRPr="003231E3">
        <w:rPr>
          <w:b/>
          <w:szCs w:val="20"/>
        </w:rPr>
        <w:t>New notified cases</w:t>
      </w:r>
      <w:r w:rsidR="00D36CA8" w:rsidRPr="003231E3">
        <w:rPr>
          <w:b/>
          <w:szCs w:val="20"/>
        </w:rPr>
        <w:t xml:space="preserve"> (</w:t>
      </w:r>
      <w:r w:rsidR="00335D1D" w:rsidRPr="003231E3">
        <w:rPr>
          <w:b/>
          <w:bCs/>
          <w:lang w:eastAsia="en-US"/>
        </w:rPr>
        <w:t>Tables 2</w:t>
      </w:r>
      <w:r w:rsidR="00335D1D" w:rsidRPr="003231E3">
        <w:rPr>
          <w:b/>
          <w:iCs w:val="0"/>
          <w:szCs w:val="17"/>
        </w:rPr>
        <w:t>–</w:t>
      </w:r>
      <w:r w:rsidR="00E778D7" w:rsidRPr="003231E3">
        <w:rPr>
          <w:b/>
          <w:bCs/>
          <w:lang w:eastAsia="en-US"/>
        </w:rPr>
        <w:t>28</w:t>
      </w:r>
      <w:r w:rsidR="00335D1D" w:rsidRPr="003231E3">
        <w:rPr>
          <w:b/>
          <w:bCs/>
          <w:lang w:eastAsia="en-US"/>
        </w:rPr>
        <w:t xml:space="preserve"> </w:t>
      </w:r>
      <w:r w:rsidR="003231E3" w:rsidRPr="003231E3">
        <w:rPr>
          <w:b/>
          <w:bCs/>
          <w:lang w:eastAsia="en-US"/>
        </w:rPr>
        <w:t>and</w:t>
      </w:r>
      <w:r w:rsidR="00335D1D" w:rsidRPr="003231E3">
        <w:rPr>
          <w:b/>
          <w:bCs/>
          <w:lang w:eastAsia="en-US"/>
        </w:rPr>
        <w:t xml:space="preserve"> 2</w:t>
      </w:r>
      <w:r w:rsidR="00335D1D" w:rsidRPr="003231E3">
        <w:rPr>
          <w:b/>
          <w:iCs w:val="0"/>
          <w:szCs w:val="17"/>
        </w:rPr>
        <w:t>–</w:t>
      </w:r>
      <w:r w:rsidR="00E778D7" w:rsidRPr="003231E3">
        <w:rPr>
          <w:b/>
          <w:iCs w:val="0"/>
          <w:szCs w:val="17"/>
        </w:rPr>
        <w:t>3</w:t>
      </w:r>
      <w:r w:rsidR="003231E3" w:rsidRPr="003231E3">
        <w:rPr>
          <w:b/>
          <w:iCs w:val="0"/>
          <w:szCs w:val="17"/>
        </w:rPr>
        <w:t>1</w:t>
      </w:r>
      <w:r w:rsidR="00D36CA8" w:rsidRPr="003231E3">
        <w:rPr>
          <w:b/>
          <w:szCs w:val="20"/>
        </w:rPr>
        <w:t>)</w:t>
      </w:r>
    </w:p>
    <w:p w14:paraId="28DE7183" w14:textId="567BD565" w:rsidR="005412D1" w:rsidRPr="00E35786" w:rsidRDefault="005412D1" w:rsidP="00E35786">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0"/>
        </w:rPr>
      </w:pPr>
    </w:p>
    <w:p w14:paraId="61ED32EE" w14:textId="21E964E3" w:rsidR="005412D1" w:rsidRPr="00E35786" w:rsidRDefault="005412D1">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szCs w:val="20"/>
        </w:rPr>
      </w:pPr>
      <w:r w:rsidRPr="00640144">
        <w:rPr>
          <w:szCs w:val="20"/>
        </w:rPr>
        <w:t>Data for years before 2012 a</w:t>
      </w:r>
      <w:r w:rsidR="00533C58" w:rsidRPr="00640144">
        <w:rPr>
          <w:szCs w:val="20"/>
        </w:rPr>
        <w:t>re based on the processing of a</w:t>
      </w:r>
      <w:r w:rsidRPr="00640144">
        <w:rPr>
          <w:szCs w:val="20"/>
        </w:rPr>
        <w:t xml:space="preserve"> </w:t>
      </w:r>
      <w:r w:rsidR="00533C58" w:rsidRPr="00640144">
        <w:rPr>
          <w:szCs w:val="20"/>
        </w:rPr>
        <w:t>statistical questionnaire of the CZSO</w:t>
      </w:r>
      <w:r w:rsidRPr="00640144">
        <w:rPr>
          <w:szCs w:val="20"/>
        </w:rPr>
        <w:t>. The questionnaire</w:t>
      </w:r>
      <w:r w:rsidR="00533C58" w:rsidRPr="00640144">
        <w:rPr>
          <w:szCs w:val="20"/>
        </w:rPr>
        <w:t xml:space="preserve"> (report)</w:t>
      </w:r>
      <w:r w:rsidRPr="00640144">
        <w:rPr>
          <w:szCs w:val="20"/>
        </w:rPr>
        <w:t xml:space="preserve"> had to be filled in by all </w:t>
      </w:r>
      <w:r w:rsidR="0012245F" w:rsidRPr="00E35786">
        <w:rPr>
          <w:szCs w:val="20"/>
        </w:rPr>
        <w:t>businesses (</w:t>
      </w:r>
      <w:r w:rsidRPr="00640144">
        <w:rPr>
          <w:szCs w:val="20"/>
        </w:rPr>
        <w:t xml:space="preserve">economic entities) or their </w:t>
      </w:r>
      <w:r w:rsidR="00714152" w:rsidRPr="00E35786">
        <w:rPr>
          <w:szCs w:val="20"/>
        </w:rPr>
        <w:t>subordinate</w:t>
      </w:r>
      <w:r w:rsidRPr="00640144">
        <w:rPr>
          <w:szCs w:val="20"/>
        </w:rPr>
        <w:t xml:space="preserve"> organisational units, which independently fulfilled duties concerning </w:t>
      </w:r>
      <w:r w:rsidR="0012245F" w:rsidRPr="00640144">
        <w:rPr>
          <w:szCs w:val="20"/>
        </w:rPr>
        <w:t>sickness</w:t>
      </w:r>
      <w:r w:rsidRPr="00640144">
        <w:rPr>
          <w:szCs w:val="20"/>
        </w:rPr>
        <w:t xml:space="preserve"> insurance. The processing also included total figures submitted by the District Administrations of Social Security for entities that did not settle health insurance claims by themselves.</w:t>
      </w:r>
    </w:p>
    <w:p w14:paraId="05F0B1A2" w14:textId="081F584B" w:rsidR="00F24286" w:rsidRPr="00E35786" w:rsidRDefault="00F24286">
      <w:pPr>
        <w:spacing w:before="120"/>
        <w:ind w:firstLine="714"/>
        <w:jc w:val="both"/>
        <w:rPr>
          <w:rFonts w:ascii="Arial" w:hAnsi="Arial" w:cs="Arial"/>
          <w:i/>
          <w:iCs/>
          <w:sz w:val="20"/>
          <w:szCs w:val="17"/>
          <w:lang w:val="en-GB"/>
        </w:rPr>
      </w:pPr>
      <w:r w:rsidRPr="00640144">
        <w:rPr>
          <w:rFonts w:ascii="Arial" w:hAnsi="Arial" w:cs="Arial"/>
          <w:i/>
          <w:iCs/>
          <w:sz w:val="20"/>
          <w:szCs w:val="17"/>
          <w:lang w:val="en-GB"/>
        </w:rPr>
        <w:t>Since 2012, the CZSO has obtained the data by processing of data from an administrative data source of the Information System of the</w:t>
      </w:r>
      <w:r w:rsidRPr="00640144" w:rsidDel="00AC228E">
        <w:rPr>
          <w:rFonts w:ascii="Arial" w:hAnsi="Arial" w:cs="Arial"/>
          <w:i/>
          <w:iCs/>
          <w:sz w:val="20"/>
          <w:szCs w:val="17"/>
          <w:lang w:val="en-GB"/>
        </w:rPr>
        <w:t xml:space="preserve"> </w:t>
      </w:r>
      <w:r w:rsidRPr="00640144">
        <w:rPr>
          <w:rFonts w:ascii="Arial" w:hAnsi="Arial" w:cs="Arial"/>
          <w:i/>
          <w:iCs/>
          <w:sz w:val="20"/>
          <w:szCs w:val="17"/>
          <w:lang w:val="en-GB"/>
        </w:rPr>
        <w:t xml:space="preserve">CSSA. </w:t>
      </w:r>
      <w:r w:rsidRPr="00E35786">
        <w:rPr>
          <w:rFonts w:ascii="Arial" w:hAnsi="Arial" w:cs="Arial"/>
          <w:i/>
          <w:iCs/>
          <w:sz w:val="20"/>
          <w:szCs w:val="17"/>
          <w:lang w:val="en-GB"/>
        </w:rPr>
        <w:t>The Information System of the CSSA registers cases of temporary incapacity for work in the Czech Republic, which were reported by a physician (or a dentist) electronically by means of the application called in Czech “</w:t>
      </w:r>
      <w:r w:rsidRPr="00E35786">
        <w:rPr>
          <w:rFonts w:ascii="Arial" w:hAnsi="Arial" w:cs="Arial"/>
          <w:iCs/>
          <w:sz w:val="20"/>
          <w:szCs w:val="17"/>
          <w:lang w:val="en-GB"/>
        </w:rPr>
        <w:t>eNeschopenka</w:t>
      </w:r>
      <w:r w:rsidRPr="00E35786">
        <w:rPr>
          <w:rFonts w:ascii="Arial" w:hAnsi="Arial" w:cs="Arial"/>
          <w:i/>
          <w:iCs/>
          <w:sz w:val="20"/>
          <w:szCs w:val="17"/>
          <w:lang w:val="en-GB"/>
        </w:rPr>
        <w:t>” (before 2020, they completed a printed form called “Decision on the temporary incapacity for work”).</w:t>
      </w:r>
      <w:r w:rsidRPr="00640144">
        <w:rPr>
          <w:rFonts w:ascii="Arial" w:hAnsi="Arial" w:cs="Arial"/>
          <w:i/>
          <w:iCs/>
          <w:sz w:val="20"/>
          <w:szCs w:val="17"/>
          <w:lang w:val="en-GB"/>
        </w:rPr>
        <w:t xml:space="preserve"> The statistics of temporary incapacity for work captures all diseases and injuries, which caused at least one-day long incapacity for work of the sickness-insured persons. Administrative data in the Information System of the CSSA </w:t>
      </w:r>
      <w:r w:rsidR="005A22D2" w:rsidRPr="00640144">
        <w:rPr>
          <w:rFonts w:ascii="Arial" w:hAnsi="Arial" w:cs="Arial"/>
          <w:i/>
          <w:iCs/>
          <w:sz w:val="20"/>
          <w:szCs w:val="17"/>
          <w:lang w:val="en-GB"/>
        </w:rPr>
        <w:t>are</w:t>
      </w:r>
      <w:r w:rsidRPr="00640144">
        <w:rPr>
          <w:rFonts w:ascii="Arial" w:hAnsi="Arial" w:cs="Arial"/>
          <w:i/>
          <w:iCs/>
          <w:sz w:val="20"/>
          <w:szCs w:val="17"/>
          <w:lang w:val="en-GB"/>
        </w:rPr>
        <w:t xml:space="preserve"> reported</w:t>
      </w:r>
      <w:r w:rsidR="005A22D2" w:rsidRPr="00640144">
        <w:rPr>
          <w:rFonts w:ascii="Arial" w:hAnsi="Arial" w:cs="Arial"/>
          <w:i/>
          <w:iCs/>
          <w:sz w:val="20"/>
          <w:szCs w:val="17"/>
          <w:lang w:val="en-GB"/>
        </w:rPr>
        <w:t xml:space="preserve"> as data</w:t>
      </w:r>
      <w:r w:rsidRPr="00640144">
        <w:rPr>
          <w:rFonts w:ascii="Arial" w:hAnsi="Arial" w:cs="Arial"/>
          <w:i/>
          <w:iCs/>
          <w:sz w:val="20"/>
          <w:szCs w:val="17"/>
          <w:lang w:val="en-GB"/>
        </w:rPr>
        <w:t xml:space="preserve"> for all employees of legal and natural persons and separately for the own-account workers (the self-employed). </w:t>
      </w:r>
      <w:r w:rsidR="00206139" w:rsidRPr="00640144">
        <w:rPr>
          <w:rFonts w:ascii="Arial" w:hAnsi="Arial" w:cs="Arial"/>
          <w:i/>
          <w:iCs/>
          <w:sz w:val="20"/>
          <w:szCs w:val="17"/>
          <w:lang w:val="en-GB"/>
        </w:rPr>
        <w:t>Data of the CSSA do not include members of the Police of the CR, the Fire</w:t>
      </w:r>
      <w:r w:rsidR="004F32DB" w:rsidRPr="00E35786">
        <w:rPr>
          <w:rFonts w:ascii="Arial" w:hAnsi="Arial" w:cs="Arial"/>
          <w:i/>
          <w:iCs/>
          <w:sz w:val="20"/>
          <w:szCs w:val="17"/>
          <w:lang w:val="en-GB"/>
        </w:rPr>
        <w:t xml:space="preserve"> and</w:t>
      </w:r>
      <w:r w:rsidR="00206139" w:rsidRPr="00640144">
        <w:rPr>
          <w:rFonts w:ascii="Arial" w:hAnsi="Arial" w:cs="Arial"/>
          <w:i/>
          <w:iCs/>
          <w:sz w:val="20"/>
          <w:szCs w:val="17"/>
          <w:lang w:val="en-GB"/>
        </w:rPr>
        <w:t xml:space="preserve"> Rescue Service o</w:t>
      </w:r>
      <w:r w:rsidR="004F32DB" w:rsidRPr="00640144">
        <w:rPr>
          <w:rFonts w:ascii="Arial" w:hAnsi="Arial" w:cs="Arial"/>
          <w:i/>
          <w:iCs/>
          <w:sz w:val="20"/>
          <w:szCs w:val="17"/>
          <w:lang w:val="en-GB"/>
        </w:rPr>
        <w:t>f</w:t>
      </w:r>
      <w:r w:rsidR="00206139" w:rsidRPr="00640144">
        <w:rPr>
          <w:rFonts w:ascii="Arial" w:hAnsi="Arial" w:cs="Arial"/>
          <w:i/>
          <w:iCs/>
          <w:sz w:val="20"/>
          <w:szCs w:val="17"/>
          <w:lang w:val="en-GB"/>
        </w:rPr>
        <w:t xml:space="preserve"> the CR, the Customs Administration of the CR, the Prison Service of the CR, the</w:t>
      </w:r>
      <w:r w:rsidR="000B0B62" w:rsidRPr="00640144">
        <w:rPr>
          <w:rFonts w:ascii="Arial" w:hAnsi="Arial" w:cs="Arial"/>
          <w:i/>
          <w:iCs/>
          <w:sz w:val="20"/>
          <w:szCs w:val="17"/>
          <w:lang w:val="en-GB"/>
        </w:rPr>
        <w:t xml:space="preserve"> Inspectorate</w:t>
      </w:r>
      <w:r w:rsidR="00206139" w:rsidRPr="00640144">
        <w:rPr>
          <w:rFonts w:ascii="Arial" w:hAnsi="Arial" w:cs="Arial"/>
          <w:i/>
          <w:iCs/>
          <w:sz w:val="20"/>
          <w:szCs w:val="17"/>
          <w:lang w:val="en-GB"/>
        </w:rPr>
        <w:t xml:space="preserve"> General</w:t>
      </w:r>
      <w:r w:rsidR="000B0B62" w:rsidRPr="00E35786">
        <w:rPr>
          <w:rFonts w:ascii="Arial" w:hAnsi="Arial" w:cs="Arial"/>
          <w:i/>
          <w:iCs/>
          <w:sz w:val="20"/>
          <w:szCs w:val="17"/>
          <w:lang w:val="en-GB"/>
        </w:rPr>
        <w:t xml:space="preserve"> of the</w:t>
      </w:r>
      <w:r w:rsidR="00206139" w:rsidRPr="00640144">
        <w:rPr>
          <w:rFonts w:ascii="Arial" w:hAnsi="Arial" w:cs="Arial"/>
          <w:i/>
          <w:iCs/>
          <w:sz w:val="20"/>
          <w:szCs w:val="17"/>
          <w:lang w:val="en-GB"/>
        </w:rPr>
        <w:t xml:space="preserve"> Security Forces </w:t>
      </w:r>
      <w:r w:rsidR="000B0B62" w:rsidRPr="00640144">
        <w:rPr>
          <w:rFonts w:ascii="Arial" w:hAnsi="Arial" w:cs="Arial"/>
          <w:i/>
          <w:iCs/>
          <w:sz w:val="20"/>
          <w:szCs w:val="17"/>
          <w:lang w:val="en-GB"/>
        </w:rPr>
        <w:t>of the CR</w:t>
      </w:r>
      <w:r w:rsidR="00206139" w:rsidRPr="00640144">
        <w:rPr>
          <w:rFonts w:ascii="Arial" w:hAnsi="Arial" w:cs="Arial"/>
          <w:i/>
          <w:iCs/>
          <w:sz w:val="20"/>
          <w:szCs w:val="17"/>
          <w:lang w:val="en-GB"/>
        </w:rPr>
        <w:t xml:space="preserve">, </w:t>
      </w:r>
      <w:r w:rsidR="00D60E78" w:rsidRPr="00640144">
        <w:rPr>
          <w:rFonts w:ascii="Arial" w:hAnsi="Arial" w:cs="Arial"/>
          <w:i/>
          <w:iCs/>
          <w:sz w:val="20"/>
          <w:szCs w:val="17"/>
          <w:lang w:val="en-GB"/>
        </w:rPr>
        <w:t>the Security Information Service</w:t>
      </w:r>
      <w:r w:rsidR="00206139" w:rsidRPr="00640144">
        <w:rPr>
          <w:rFonts w:ascii="Arial" w:hAnsi="Arial" w:cs="Arial"/>
          <w:i/>
          <w:iCs/>
          <w:sz w:val="20"/>
          <w:szCs w:val="17"/>
          <w:lang w:val="en-GB"/>
        </w:rPr>
        <w:t xml:space="preserve">, the Office for Foreign Relations and Information, </w:t>
      </w:r>
      <w:r w:rsidR="004F32DB" w:rsidRPr="00640144">
        <w:rPr>
          <w:rFonts w:ascii="Arial" w:hAnsi="Arial" w:cs="Arial"/>
          <w:i/>
          <w:iCs/>
          <w:sz w:val="20"/>
          <w:szCs w:val="17"/>
          <w:lang w:val="en-GB"/>
        </w:rPr>
        <w:t>professional soldiers,</w:t>
      </w:r>
      <w:r w:rsidR="00206139" w:rsidRPr="00640144">
        <w:rPr>
          <w:rFonts w:ascii="Arial" w:hAnsi="Arial" w:cs="Arial"/>
          <w:i/>
          <w:iCs/>
          <w:sz w:val="20"/>
          <w:szCs w:val="17"/>
          <w:lang w:val="en-GB"/>
        </w:rPr>
        <w:t xml:space="preserve"> </w:t>
      </w:r>
      <w:r w:rsidR="007A11B5" w:rsidRPr="00640144">
        <w:rPr>
          <w:rFonts w:ascii="Arial" w:hAnsi="Arial" w:cs="Arial"/>
          <w:i/>
          <w:iCs/>
          <w:sz w:val="20"/>
          <w:szCs w:val="17"/>
          <w:lang w:val="en-GB"/>
        </w:rPr>
        <w:t xml:space="preserve">persons serving a sentence of imprisonment (convicts) who work while serving a sentence of imprisonment, </w:t>
      </w:r>
      <w:r w:rsidR="007A11B5" w:rsidRPr="00640144">
        <w:rPr>
          <w:rFonts w:ascii="Arial" w:hAnsi="Arial" w:cs="Arial"/>
          <w:i/>
          <w:iCs/>
          <w:sz w:val="20"/>
          <w:szCs w:val="17"/>
          <w:lang w:val="en-GB"/>
        </w:rPr>
        <w:lastRenderedPageBreak/>
        <w:t xml:space="preserve">and persons accused that are working while </w:t>
      </w:r>
      <w:r w:rsidR="00762A1A" w:rsidRPr="00640144">
        <w:rPr>
          <w:rFonts w:ascii="Arial" w:hAnsi="Arial" w:cs="Arial"/>
          <w:i/>
          <w:iCs/>
          <w:sz w:val="20"/>
          <w:szCs w:val="17"/>
          <w:lang w:val="en-GB"/>
        </w:rPr>
        <w:t>in custody</w:t>
      </w:r>
      <w:r w:rsidR="000B0B62" w:rsidRPr="00E35786">
        <w:rPr>
          <w:rFonts w:ascii="Arial" w:hAnsi="Arial" w:cs="Arial"/>
          <w:i/>
          <w:sz w:val="20"/>
          <w:szCs w:val="20"/>
        </w:rPr>
        <w:t xml:space="preserve"> </w:t>
      </w:r>
      <w:r w:rsidR="000B0B62" w:rsidRPr="00E35786">
        <w:rPr>
          <w:rFonts w:ascii="Arial" w:hAnsi="Arial" w:cs="Arial"/>
          <w:i/>
          <w:sz w:val="20"/>
          <w:szCs w:val="20"/>
          <w:lang w:val="en-GB"/>
        </w:rPr>
        <w:t>(Section</w:t>
      </w:r>
      <w:r w:rsidRPr="00E35786">
        <w:rPr>
          <w:rFonts w:ascii="Arial" w:hAnsi="Arial" w:cs="Arial"/>
          <w:i/>
          <w:sz w:val="20"/>
          <w:szCs w:val="20"/>
          <w:lang w:val="en-GB"/>
        </w:rPr>
        <w:t xml:space="preserve"> 5</w:t>
      </w:r>
      <w:r w:rsidR="00353ADC" w:rsidRPr="00E35786">
        <w:rPr>
          <w:rFonts w:ascii="Arial" w:hAnsi="Arial" w:cs="Arial"/>
          <w:i/>
          <w:sz w:val="20"/>
          <w:szCs w:val="20"/>
          <w:lang w:val="en-GB"/>
        </w:rPr>
        <w:t>(</w:t>
      </w:r>
      <w:r w:rsidRPr="00E35786">
        <w:rPr>
          <w:rFonts w:ascii="Arial" w:hAnsi="Arial" w:cs="Arial"/>
          <w:i/>
          <w:sz w:val="20"/>
          <w:szCs w:val="20"/>
          <w:lang w:val="en-GB"/>
        </w:rPr>
        <w:t xml:space="preserve">a) </w:t>
      </w:r>
      <w:r w:rsidR="000B0B62" w:rsidRPr="00E35786">
        <w:rPr>
          <w:rFonts w:ascii="Arial" w:hAnsi="Arial" w:cs="Arial"/>
          <w:i/>
          <w:sz w:val="20"/>
          <w:szCs w:val="20"/>
          <w:lang w:val="en-GB"/>
        </w:rPr>
        <w:t>points</w:t>
      </w:r>
      <w:r w:rsidRPr="00E35786">
        <w:rPr>
          <w:rFonts w:ascii="Arial" w:hAnsi="Arial" w:cs="Arial"/>
          <w:i/>
          <w:sz w:val="20"/>
          <w:szCs w:val="20"/>
          <w:lang w:val="en-GB"/>
        </w:rPr>
        <w:t xml:space="preserve"> 2 a</w:t>
      </w:r>
      <w:r w:rsidR="000B0B62" w:rsidRPr="00E35786">
        <w:rPr>
          <w:rFonts w:ascii="Arial" w:hAnsi="Arial" w:cs="Arial"/>
          <w:i/>
          <w:sz w:val="20"/>
          <w:szCs w:val="20"/>
          <w:lang w:val="en-GB"/>
        </w:rPr>
        <w:t>nd</w:t>
      </w:r>
      <w:r w:rsidRPr="00E35786">
        <w:rPr>
          <w:rFonts w:ascii="Arial" w:hAnsi="Arial" w:cs="Arial"/>
          <w:i/>
          <w:sz w:val="20"/>
          <w:szCs w:val="20"/>
          <w:lang w:val="en-GB"/>
        </w:rPr>
        <w:t xml:space="preserve"> 14 </w:t>
      </w:r>
      <w:r w:rsidR="000B0B62" w:rsidRPr="00E35786">
        <w:rPr>
          <w:rFonts w:ascii="Arial" w:hAnsi="Arial" w:cs="Arial"/>
          <w:i/>
          <w:sz w:val="20"/>
          <w:szCs w:val="20"/>
          <w:lang w:val="en-GB"/>
        </w:rPr>
        <w:t xml:space="preserve">of the Act No </w:t>
      </w:r>
      <w:r w:rsidRPr="00E35786">
        <w:rPr>
          <w:rFonts w:ascii="Arial" w:hAnsi="Arial" w:cs="Arial"/>
          <w:i/>
          <w:sz w:val="20"/>
          <w:szCs w:val="20"/>
          <w:lang w:val="en-GB"/>
        </w:rPr>
        <w:t xml:space="preserve">187/2006 Sb). </w:t>
      </w:r>
      <w:r w:rsidR="00E11C03" w:rsidRPr="00E35786">
        <w:rPr>
          <w:rFonts w:ascii="Arial" w:hAnsi="Arial" w:cs="Arial"/>
          <w:i/>
          <w:sz w:val="20"/>
          <w:szCs w:val="20"/>
          <w:lang w:val="en-GB"/>
        </w:rPr>
        <w:t>Data s</w:t>
      </w:r>
      <w:r w:rsidRPr="00640144">
        <w:rPr>
          <w:rFonts w:ascii="Arial" w:hAnsi="Arial" w:cs="Arial"/>
          <w:i/>
          <w:iCs/>
          <w:sz w:val="20"/>
          <w:szCs w:val="17"/>
          <w:lang w:val="en-GB"/>
        </w:rPr>
        <w:t>ince 2012 are not fully comparable with data for the previous years.</w:t>
      </w:r>
    </w:p>
    <w:p w14:paraId="4B1F044D" w14:textId="5CCA672E" w:rsidR="00B64807" w:rsidRPr="00E35786" w:rsidRDefault="00B64807" w:rsidP="00E35786">
      <w:pPr>
        <w:spacing w:before="120"/>
        <w:ind w:firstLine="709"/>
        <w:jc w:val="both"/>
        <w:rPr>
          <w:rFonts w:ascii="Arial" w:hAnsi="Arial" w:cs="Arial"/>
          <w:bCs/>
          <w:i/>
          <w:iCs/>
          <w:sz w:val="20"/>
          <w:szCs w:val="17"/>
          <w:lang w:val="en-GB"/>
        </w:rPr>
      </w:pPr>
      <w:r w:rsidRPr="00640144">
        <w:rPr>
          <w:rFonts w:ascii="Arial" w:hAnsi="Arial" w:cs="Arial"/>
          <w:b/>
          <w:bCs/>
          <w:i/>
          <w:iCs/>
          <w:sz w:val="20"/>
          <w:szCs w:val="17"/>
          <w:lang w:val="en-GB"/>
        </w:rPr>
        <w:t>New notified</w:t>
      </w:r>
      <w:r w:rsidRPr="00640144">
        <w:rPr>
          <w:rFonts w:ascii="Arial" w:hAnsi="Arial" w:cs="Arial"/>
          <w:b/>
          <w:color w:val="000000"/>
          <w:lang w:val="en-GB"/>
        </w:rPr>
        <w:t xml:space="preserve"> </w:t>
      </w:r>
      <w:r w:rsidRPr="00640144">
        <w:rPr>
          <w:rFonts w:ascii="Arial" w:hAnsi="Arial" w:cs="Arial"/>
          <w:b/>
          <w:bCs/>
          <w:i/>
          <w:iCs/>
          <w:sz w:val="20"/>
          <w:szCs w:val="17"/>
          <w:lang w:val="en-GB"/>
        </w:rPr>
        <w:t xml:space="preserve">cases of incapacity for work </w:t>
      </w:r>
      <w:r w:rsidRPr="00640144">
        <w:rPr>
          <w:rFonts w:ascii="Arial" w:hAnsi="Arial" w:cs="Arial"/>
          <w:bCs/>
          <w:i/>
          <w:iCs/>
          <w:sz w:val="20"/>
          <w:szCs w:val="17"/>
          <w:lang w:val="en-GB"/>
        </w:rPr>
        <w:t>are registered based on the reported beginning of a sick leave</w:t>
      </w:r>
      <w:r w:rsidR="00C408B3" w:rsidRPr="00E35786">
        <w:rPr>
          <w:rFonts w:ascii="Arial" w:hAnsi="Arial" w:cs="Arial"/>
          <w:bCs/>
          <w:i/>
          <w:iCs/>
          <w:sz w:val="20"/>
          <w:szCs w:val="17"/>
          <w:lang w:val="en-GB"/>
        </w:rPr>
        <w:t xml:space="preserve"> (incapacity for work)</w:t>
      </w:r>
      <w:r w:rsidRPr="00640144">
        <w:rPr>
          <w:rFonts w:ascii="Arial" w:hAnsi="Arial" w:cs="Arial"/>
          <w:bCs/>
          <w:i/>
          <w:iCs/>
          <w:sz w:val="20"/>
          <w:szCs w:val="17"/>
          <w:lang w:val="en-GB"/>
        </w:rPr>
        <w:t xml:space="preserve"> of the sickness-insured persons.</w:t>
      </w:r>
      <w:r w:rsidR="004376D9" w:rsidRPr="00640144">
        <w:rPr>
          <w:rFonts w:ascii="Arial" w:hAnsi="Arial" w:cs="Arial"/>
          <w:bCs/>
          <w:i/>
          <w:iCs/>
          <w:sz w:val="20"/>
          <w:szCs w:val="17"/>
          <w:lang w:val="en-GB"/>
        </w:rPr>
        <w:t xml:space="preserve"> The number of </w:t>
      </w:r>
      <w:r w:rsidR="004376D9" w:rsidRPr="00E35786">
        <w:rPr>
          <w:rFonts w:ascii="Arial" w:hAnsi="Arial" w:cs="Arial"/>
          <w:bCs/>
          <w:i/>
          <w:iCs/>
          <w:sz w:val="20"/>
          <w:szCs w:val="17"/>
          <w:lang w:val="en-GB"/>
        </w:rPr>
        <w:t>cases of incapacity for work due to disease</w:t>
      </w:r>
      <w:r w:rsidR="004376D9" w:rsidRPr="00640144">
        <w:rPr>
          <w:rFonts w:ascii="Arial" w:hAnsi="Arial" w:cs="Arial"/>
          <w:bCs/>
          <w:i/>
          <w:iCs/>
          <w:sz w:val="20"/>
          <w:szCs w:val="17"/>
          <w:lang w:val="en-GB"/>
        </w:rPr>
        <w:t xml:space="preserve"> include, besides diseases, quarantines, too. </w:t>
      </w:r>
      <w:r w:rsidR="00DD4F1F" w:rsidRPr="00640144">
        <w:rPr>
          <w:rFonts w:ascii="Arial" w:hAnsi="Arial" w:cs="Arial"/>
          <w:bCs/>
          <w:i/>
          <w:iCs/>
          <w:sz w:val="20"/>
          <w:szCs w:val="17"/>
          <w:lang w:val="en-GB"/>
        </w:rPr>
        <w:t>Namely, i</w:t>
      </w:r>
      <w:r w:rsidR="004376D9" w:rsidRPr="00640144">
        <w:rPr>
          <w:rFonts w:ascii="Arial" w:hAnsi="Arial" w:cs="Arial"/>
          <w:bCs/>
          <w:i/>
          <w:iCs/>
          <w:sz w:val="20"/>
          <w:szCs w:val="17"/>
          <w:lang w:val="en-GB"/>
        </w:rPr>
        <w:t xml:space="preserve">t applies to </w:t>
      </w:r>
      <w:r w:rsidR="00FE63B5" w:rsidRPr="00E35786">
        <w:rPr>
          <w:rFonts w:ascii="Arial" w:hAnsi="Arial" w:cs="Arial"/>
          <w:bCs/>
          <w:i/>
          <w:iCs/>
          <w:sz w:val="20"/>
          <w:szCs w:val="17"/>
          <w:lang w:val="en-GB"/>
        </w:rPr>
        <w:t>the</w:t>
      </w:r>
      <w:r w:rsidR="004376D9" w:rsidRPr="00640144">
        <w:rPr>
          <w:rFonts w:ascii="Arial" w:hAnsi="Arial" w:cs="Arial"/>
          <w:bCs/>
          <w:i/>
          <w:iCs/>
          <w:sz w:val="20"/>
          <w:szCs w:val="17"/>
          <w:lang w:val="en-GB"/>
        </w:rPr>
        <w:t xml:space="preserve"> quarantine of a person that is eligible for a sickness insurance benefit, submits an application and the application is acknowledged by the</w:t>
      </w:r>
      <w:r w:rsidR="00DD4F1F" w:rsidRPr="00640144">
        <w:rPr>
          <w:rFonts w:ascii="Arial" w:hAnsi="Arial" w:cs="Arial"/>
          <w:bCs/>
          <w:i/>
          <w:iCs/>
          <w:sz w:val="20"/>
          <w:szCs w:val="17"/>
          <w:lang w:val="en-GB"/>
        </w:rPr>
        <w:t xml:space="preserve"> attending</w:t>
      </w:r>
      <w:r w:rsidR="004376D9" w:rsidRPr="00640144">
        <w:rPr>
          <w:rFonts w:ascii="Arial" w:hAnsi="Arial" w:cs="Arial"/>
          <w:bCs/>
          <w:i/>
          <w:iCs/>
          <w:sz w:val="20"/>
          <w:szCs w:val="17"/>
          <w:lang w:val="en-GB"/>
        </w:rPr>
        <w:t xml:space="preserve"> physician or by a</w:t>
      </w:r>
      <w:r w:rsidR="00DD4F1F" w:rsidRPr="00640144">
        <w:rPr>
          <w:rFonts w:ascii="Arial" w:hAnsi="Arial" w:cs="Arial"/>
          <w:bCs/>
          <w:i/>
          <w:iCs/>
          <w:sz w:val="20"/>
          <w:szCs w:val="17"/>
          <w:lang w:val="en-GB"/>
        </w:rPr>
        <w:t xml:space="preserve"> public</w:t>
      </w:r>
      <w:r w:rsidR="004376D9" w:rsidRPr="00640144">
        <w:rPr>
          <w:rFonts w:ascii="Arial" w:hAnsi="Arial" w:cs="Arial"/>
          <w:bCs/>
          <w:i/>
          <w:iCs/>
          <w:sz w:val="20"/>
          <w:szCs w:val="17"/>
          <w:lang w:val="en-GB"/>
        </w:rPr>
        <w:t xml:space="preserve"> </w:t>
      </w:r>
      <w:r w:rsidR="00DD4F1F" w:rsidRPr="00640144">
        <w:rPr>
          <w:rFonts w:ascii="Arial" w:hAnsi="Arial" w:cs="Arial"/>
          <w:bCs/>
          <w:i/>
          <w:iCs/>
          <w:sz w:val="20"/>
          <w:szCs w:val="17"/>
          <w:lang w:val="en-GB"/>
        </w:rPr>
        <w:t xml:space="preserve">health authority. </w:t>
      </w:r>
    </w:p>
    <w:p w14:paraId="4CCEF6B0" w14:textId="25D774F8" w:rsidR="00AB6254" w:rsidRPr="00E35786" w:rsidRDefault="00B7345D" w:rsidP="00E35786">
      <w:pPr>
        <w:spacing w:before="120"/>
        <w:ind w:firstLine="680"/>
        <w:jc w:val="both"/>
        <w:rPr>
          <w:rFonts w:ascii="Arial" w:hAnsi="Arial" w:cs="Arial"/>
          <w:bCs/>
          <w:i/>
          <w:iCs/>
          <w:sz w:val="20"/>
          <w:lang w:val="en-GB"/>
        </w:rPr>
      </w:pPr>
      <w:r w:rsidRPr="00640144">
        <w:rPr>
          <w:rFonts w:ascii="Arial" w:hAnsi="Arial" w:cs="Arial"/>
          <w:bCs/>
          <w:i/>
          <w:iCs/>
          <w:sz w:val="20"/>
          <w:lang w:val="en-GB"/>
        </w:rPr>
        <w:t>The</w:t>
      </w:r>
      <w:r w:rsidRPr="00640144">
        <w:rPr>
          <w:rFonts w:ascii="Arial" w:hAnsi="Arial" w:cs="Arial"/>
          <w:b/>
          <w:bCs/>
          <w:i/>
          <w:iCs/>
          <w:sz w:val="20"/>
          <w:lang w:val="en-GB"/>
        </w:rPr>
        <w:t xml:space="preserve"> number of days of incapacity for work</w:t>
      </w:r>
      <w:r w:rsidR="00AB6254" w:rsidRPr="00E35786">
        <w:rPr>
          <w:rFonts w:ascii="Arial" w:hAnsi="Arial" w:cs="Arial"/>
          <w:bCs/>
          <w:i/>
          <w:iCs/>
          <w:sz w:val="20"/>
          <w:lang w:val="en-GB"/>
        </w:rPr>
        <w:t xml:space="preserve"> is the sum of </w:t>
      </w:r>
      <w:r w:rsidR="00AB6254" w:rsidRPr="00E35786">
        <w:rPr>
          <w:rFonts w:ascii="Arial" w:hAnsi="Arial" w:cs="Arial"/>
          <w:i/>
          <w:iCs/>
          <w:sz w:val="20"/>
          <w:lang w:val="en-GB"/>
        </w:rPr>
        <w:t xml:space="preserve">calendar days, during which the sickness-insured employees were </w:t>
      </w:r>
      <w:r w:rsidR="00C408B3" w:rsidRPr="00640144">
        <w:rPr>
          <w:rFonts w:ascii="Arial" w:hAnsi="Arial" w:cs="Arial"/>
          <w:i/>
          <w:sz w:val="20"/>
          <w:szCs w:val="20"/>
          <w:lang w:val="en-GB"/>
        </w:rPr>
        <w:t>incapacitated for work</w:t>
      </w:r>
      <w:r w:rsidR="00AB6254" w:rsidRPr="00E35786">
        <w:rPr>
          <w:rFonts w:ascii="Arial" w:hAnsi="Arial" w:cs="Arial"/>
          <w:i/>
          <w:iCs/>
          <w:sz w:val="20"/>
          <w:lang w:val="en-GB"/>
        </w:rPr>
        <w:t xml:space="preserve"> (</w:t>
      </w:r>
      <w:r w:rsidR="00AB6254" w:rsidRPr="00E35786">
        <w:rPr>
          <w:rFonts w:ascii="Arial" w:hAnsi="Arial" w:cs="Arial"/>
          <w:i/>
          <w:iCs/>
          <w:sz w:val="20"/>
          <w:shd w:val="clear" w:color="auto" w:fill="FFFFFF"/>
          <w:lang w:val="en-GB"/>
        </w:rPr>
        <w:t>based on reports on the beginning and termination of incapacity for work).</w:t>
      </w:r>
    </w:p>
    <w:p w14:paraId="27806B4D" w14:textId="6ED7B321" w:rsidR="007B293B" w:rsidRPr="00E35786" w:rsidRDefault="007B293B" w:rsidP="00D36CA8">
      <w:pPr>
        <w:spacing w:before="120"/>
        <w:ind w:firstLine="714"/>
        <w:jc w:val="both"/>
        <w:rPr>
          <w:rFonts w:ascii="Arial" w:hAnsi="Arial" w:cs="Arial"/>
          <w:i/>
          <w:sz w:val="20"/>
          <w:szCs w:val="20"/>
        </w:rPr>
      </w:pPr>
      <w:r w:rsidRPr="00640144">
        <w:rPr>
          <w:rFonts w:ascii="Arial" w:hAnsi="Arial" w:cs="Arial"/>
          <w:bCs/>
          <w:i/>
          <w:iCs/>
          <w:sz w:val="20"/>
          <w:szCs w:val="17"/>
          <w:lang w:val="en-GB"/>
        </w:rPr>
        <w:t xml:space="preserve">The </w:t>
      </w:r>
      <w:r w:rsidRPr="00640144">
        <w:rPr>
          <w:rFonts w:ascii="Arial" w:hAnsi="Arial" w:cs="Arial"/>
          <w:b/>
          <w:bCs/>
          <w:i/>
          <w:iCs/>
          <w:sz w:val="20"/>
          <w:szCs w:val="17"/>
          <w:lang w:val="en-GB"/>
        </w:rPr>
        <w:t xml:space="preserve">average duration of </w:t>
      </w:r>
      <w:r w:rsidR="006D6FDA" w:rsidRPr="00640144">
        <w:rPr>
          <w:rFonts w:ascii="Arial" w:hAnsi="Arial" w:cs="Arial"/>
          <w:b/>
          <w:bCs/>
          <w:i/>
          <w:iCs/>
          <w:sz w:val="20"/>
          <w:szCs w:val="17"/>
          <w:lang w:val="en-GB"/>
        </w:rPr>
        <w:t>1</w:t>
      </w:r>
      <w:r w:rsidRPr="00640144">
        <w:rPr>
          <w:rFonts w:ascii="Arial" w:hAnsi="Arial" w:cs="Arial"/>
          <w:b/>
          <w:bCs/>
          <w:i/>
          <w:iCs/>
          <w:sz w:val="20"/>
          <w:szCs w:val="17"/>
          <w:lang w:val="en-GB"/>
        </w:rPr>
        <w:t xml:space="preserve"> case of incapacity for work</w:t>
      </w:r>
      <w:r w:rsidRPr="00640144">
        <w:rPr>
          <w:rFonts w:ascii="Arial" w:hAnsi="Arial" w:cs="Arial"/>
          <w:bCs/>
          <w:i/>
          <w:iCs/>
          <w:sz w:val="20"/>
          <w:szCs w:val="17"/>
          <w:lang w:val="en-GB"/>
        </w:rPr>
        <w:t xml:space="preserve"> expresses how many calendar days of the incapacity for work there are on average per one new notified case of the incapacity for work.</w:t>
      </w:r>
    </w:p>
    <w:p w14:paraId="41B919D4" w14:textId="0D366A72" w:rsidR="00114BBA" w:rsidRPr="00E35786" w:rsidRDefault="00114BBA" w:rsidP="00D36CA8">
      <w:pPr>
        <w:spacing w:before="120"/>
        <w:ind w:firstLine="714"/>
        <w:jc w:val="both"/>
        <w:rPr>
          <w:rFonts w:ascii="Arial" w:hAnsi="Arial" w:cs="Arial"/>
          <w:i/>
          <w:sz w:val="20"/>
          <w:szCs w:val="20"/>
        </w:rPr>
      </w:pPr>
      <w:r w:rsidRPr="00640144">
        <w:rPr>
          <w:rFonts w:ascii="Arial" w:hAnsi="Arial" w:cs="Arial"/>
          <w:bCs/>
          <w:i/>
          <w:iCs/>
          <w:sz w:val="20"/>
          <w:szCs w:val="17"/>
          <w:lang w:val="en-GB"/>
        </w:rPr>
        <w:t xml:space="preserve">The </w:t>
      </w:r>
      <w:r w:rsidRPr="00640144">
        <w:rPr>
          <w:rFonts w:ascii="Arial" w:hAnsi="Arial" w:cs="Arial"/>
          <w:b/>
          <w:bCs/>
          <w:i/>
          <w:iCs/>
          <w:sz w:val="20"/>
          <w:szCs w:val="17"/>
          <w:lang w:val="en-GB"/>
        </w:rPr>
        <w:t xml:space="preserve">average daily number of </w:t>
      </w:r>
      <w:r w:rsidR="001C00F1" w:rsidRPr="00E35786">
        <w:rPr>
          <w:rFonts w:ascii="Arial" w:hAnsi="Arial" w:cs="Arial"/>
          <w:b/>
          <w:bCs/>
          <w:i/>
          <w:iCs/>
          <w:sz w:val="20"/>
          <w:szCs w:val="17"/>
          <w:lang w:val="en-GB"/>
        </w:rPr>
        <w:t>persons</w:t>
      </w:r>
      <w:r w:rsidRPr="00640144">
        <w:rPr>
          <w:rFonts w:ascii="Arial" w:hAnsi="Arial" w:cs="Arial"/>
          <w:b/>
          <w:bCs/>
          <w:i/>
          <w:iCs/>
          <w:sz w:val="20"/>
          <w:szCs w:val="17"/>
          <w:lang w:val="en-GB"/>
        </w:rPr>
        <w:t xml:space="preserve"> temporarily incapacitated for work due to disease or injury</w:t>
      </w:r>
      <w:r w:rsidRPr="00640144">
        <w:rPr>
          <w:rFonts w:ascii="Arial" w:hAnsi="Arial" w:cs="Arial"/>
          <w:bCs/>
          <w:i/>
          <w:iCs/>
          <w:sz w:val="20"/>
          <w:szCs w:val="17"/>
          <w:lang w:val="en-GB"/>
        </w:rPr>
        <w:t xml:space="preserve"> is calculated as a share of calendar days of the temporary incapacity for work in the number of calendar days in the reference period. The indicator shows the number of the sickness insured who were on average daily absent at work due to incapacity for work in the reference period (year).</w:t>
      </w:r>
    </w:p>
    <w:p w14:paraId="24A62B8C" w14:textId="2E7C17C0" w:rsidR="007371EF" w:rsidRPr="00E35786" w:rsidRDefault="00B7345D" w:rsidP="00D36CA8">
      <w:pPr>
        <w:spacing w:before="120"/>
        <w:ind w:firstLine="714"/>
        <w:jc w:val="both"/>
        <w:rPr>
          <w:rFonts w:ascii="Arial" w:hAnsi="Arial" w:cs="Arial"/>
          <w:b/>
          <w:bCs/>
          <w:i/>
          <w:iCs/>
          <w:sz w:val="20"/>
          <w:lang w:val="en-GB"/>
        </w:rPr>
      </w:pPr>
      <w:r w:rsidRPr="00640144">
        <w:rPr>
          <w:rFonts w:ascii="Arial" w:hAnsi="Arial" w:cs="Arial"/>
          <w:bCs/>
          <w:i/>
          <w:iCs/>
          <w:sz w:val="20"/>
          <w:lang w:val="en-GB"/>
        </w:rPr>
        <w:t xml:space="preserve">The </w:t>
      </w:r>
      <w:r w:rsidRPr="00640144">
        <w:rPr>
          <w:rFonts w:ascii="Arial" w:hAnsi="Arial" w:cs="Arial"/>
          <w:b/>
          <w:bCs/>
          <w:i/>
          <w:iCs/>
          <w:sz w:val="20"/>
          <w:lang w:val="en-GB"/>
        </w:rPr>
        <w:t>average percentage of</w:t>
      </w:r>
      <w:r w:rsidR="00E32B4B" w:rsidRPr="00E35786">
        <w:rPr>
          <w:rFonts w:ascii="Arial" w:hAnsi="Arial" w:cs="Arial"/>
          <w:b/>
          <w:bCs/>
          <w:i/>
          <w:iCs/>
          <w:sz w:val="20"/>
          <w:lang w:val="en-GB"/>
        </w:rPr>
        <w:t xml:space="preserve"> temporary</w:t>
      </w:r>
      <w:r w:rsidRPr="00640144">
        <w:rPr>
          <w:rFonts w:ascii="Arial" w:hAnsi="Arial" w:cs="Arial"/>
          <w:b/>
          <w:bCs/>
          <w:i/>
          <w:iCs/>
          <w:sz w:val="20"/>
          <w:lang w:val="en-GB"/>
        </w:rPr>
        <w:t xml:space="preserve"> incapacity for work </w:t>
      </w:r>
      <w:r w:rsidR="002A2EDB" w:rsidRPr="00E35786">
        <w:rPr>
          <w:rFonts w:ascii="Arial" w:hAnsi="Arial" w:cs="Arial"/>
          <w:i/>
          <w:sz w:val="20"/>
          <w:szCs w:val="20"/>
          <w:lang w:val="en-GB"/>
        </w:rPr>
        <w:t xml:space="preserve">– the indicator shows how many of 100 sickness-insured persons is on average incapacitated for work due to </w:t>
      </w:r>
      <w:r w:rsidR="002A2EDB" w:rsidRPr="00640144">
        <w:rPr>
          <w:rFonts w:ascii="Arial" w:hAnsi="Arial" w:cs="Arial"/>
          <w:i/>
          <w:iCs/>
          <w:sz w:val="20"/>
          <w:lang w:val="en-GB"/>
        </w:rPr>
        <w:t>disease or injury</w:t>
      </w:r>
      <w:r w:rsidR="00F35732" w:rsidRPr="00E35786">
        <w:rPr>
          <w:rFonts w:ascii="Arial" w:hAnsi="Arial" w:cs="Arial"/>
          <w:i/>
          <w:sz w:val="20"/>
          <w:szCs w:val="20"/>
          <w:lang w:val="en-GB"/>
        </w:rPr>
        <w:t xml:space="preserve"> every day</w:t>
      </w:r>
      <w:r w:rsidR="002A2EDB" w:rsidRPr="00640144">
        <w:rPr>
          <w:rFonts w:ascii="Arial" w:hAnsi="Arial" w:cs="Arial"/>
          <w:i/>
          <w:iCs/>
          <w:sz w:val="20"/>
          <w:lang w:val="en-GB"/>
        </w:rPr>
        <w:t>. It takes into account both the total number of cases of incapacity for work (how often people take</w:t>
      </w:r>
      <w:r w:rsidR="00F35732" w:rsidRPr="00E35786">
        <w:rPr>
          <w:rFonts w:ascii="Arial" w:hAnsi="Arial" w:cs="Arial"/>
          <w:i/>
          <w:iCs/>
          <w:sz w:val="20"/>
          <w:lang w:val="en-GB"/>
        </w:rPr>
        <w:t xml:space="preserve"> a</w:t>
      </w:r>
      <w:r w:rsidR="002A2EDB" w:rsidRPr="00640144">
        <w:rPr>
          <w:rFonts w:ascii="Arial" w:hAnsi="Arial" w:cs="Arial"/>
          <w:i/>
          <w:iCs/>
          <w:sz w:val="20"/>
          <w:lang w:val="en-GB"/>
        </w:rPr>
        <w:t xml:space="preserve"> sick-leave) and the average duration of one case of incapacity for work (how long they remain on</w:t>
      </w:r>
      <w:r w:rsidR="00F35732" w:rsidRPr="00E35786">
        <w:rPr>
          <w:rFonts w:ascii="Arial" w:hAnsi="Arial" w:cs="Arial"/>
          <w:i/>
          <w:iCs/>
          <w:sz w:val="20"/>
          <w:lang w:val="en-GB"/>
        </w:rPr>
        <w:t xml:space="preserve"> a</w:t>
      </w:r>
      <w:r w:rsidR="002A2EDB" w:rsidRPr="00640144">
        <w:rPr>
          <w:rFonts w:ascii="Arial" w:hAnsi="Arial" w:cs="Arial"/>
          <w:i/>
          <w:iCs/>
          <w:sz w:val="20"/>
          <w:lang w:val="en-GB"/>
        </w:rPr>
        <w:t xml:space="preserve"> sick-leave). </w:t>
      </w:r>
    </w:p>
    <w:p w14:paraId="7CE38170" w14:textId="060BA296" w:rsidR="00E703FC" w:rsidRPr="00E35786" w:rsidRDefault="00E32B4B" w:rsidP="00FA6B8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rPr>
      </w:pPr>
      <w:r w:rsidRPr="00E35786">
        <w:rPr>
          <w:rFonts w:ascii="Arial" w:hAnsi="Arial" w:cs="Arial"/>
          <w:b/>
          <w:i/>
          <w:sz w:val="20"/>
          <w:szCs w:val="20"/>
          <w:lang w:val="en-GB"/>
        </w:rPr>
        <w:t xml:space="preserve">New notified cases of </w:t>
      </w:r>
      <w:r w:rsidRPr="00E35786">
        <w:rPr>
          <w:rFonts w:ascii="Arial" w:hAnsi="Arial" w:cs="Arial"/>
          <w:b/>
          <w:bCs/>
          <w:i/>
          <w:iCs/>
          <w:sz w:val="20"/>
          <w:lang w:val="en-GB"/>
        </w:rPr>
        <w:t xml:space="preserve">temporary incapacity for work due to </w:t>
      </w:r>
      <w:r w:rsidR="006C23F7" w:rsidRPr="00E35786">
        <w:rPr>
          <w:rFonts w:ascii="Arial" w:hAnsi="Arial" w:cs="Arial"/>
          <w:b/>
          <w:bCs/>
          <w:i/>
          <w:iCs/>
          <w:sz w:val="20"/>
          <w:lang w:val="en-GB"/>
        </w:rPr>
        <w:t>occupational</w:t>
      </w:r>
      <w:r w:rsidRPr="00E35786">
        <w:rPr>
          <w:rFonts w:ascii="Arial" w:hAnsi="Arial" w:cs="Arial"/>
          <w:b/>
          <w:bCs/>
          <w:i/>
          <w:iCs/>
          <w:sz w:val="20"/>
          <w:lang w:val="en-GB"/>
        </w:rPr>
        <w:t xml:space="preserve"> injury</w:t>
      </w:r>
      <w:r w:rsidR="00FA6B8D" w:rsidRPr="00E35786">
        <w:rPr>
          <w:rFonts w:ascii="Arial" w:hAnsi="Arial" w:cs="Arial"/>
          <w:b/>
          <w:bCs/>
          <w:i/>
          <w:iCs/>
          <w:sz w:val="20"/>
          <w:lang w:val="en-GB"/>
        </w:rPr>
        <w:t xml:space="preserve"> </w:t>
      </w:r>
      <w:r w:rsidR="005841E1" w:rsidRPr="00640144">
        <w:rPr>
          <w:rFonts w:ascii="Arial" w:hAnsi="Arial" w:cs="Arial"/>
          <w:bCs/>
          <w:i/>
          <w:iCs/>
          <w:sz w:val="20"/>
          <w:lang w:val="en-GB"/>
        </w:rPr>
        <w:t xml:space="preserve">are registered based on notifications on start of incapacity for work of the sickness-insured persons. </w:t>
      </w:r>
      <w:r w:rsidR="00E703FC" w:rsidRPr="00640144">
        <w:rPr>
          <w:rFonts w:ascii="Arial" w:hAnsi="Arial" w:cs="Arial"/>
          <w:b/>
          <w:i/>
          <w:iCs/>
          <w:sz w:val="20"/>
          <w:szCs w:val="17"/>
          <w:lang w:val="en-GB"/>
        </w:rPr>
        <w:t>Occupational injuries</w:t>
      </w:r>
      <w:r w:rsidR="00E703FC" w:rsidRPr="00640144">
        <w:rPr>
          <w:rFonts w:ascii="Arial" w:hAnsi="Arial" w:cs="Arial"/>
          <w:i/>
          <w:iCs/>
          <w:sz w:val="20"/>
          <w:szCs w:val="17"/>
          <w:lang w:val="en-GB"/>
        </w:rPr>
        <w:t xml:space="preserve"> are injuries that occurred to employees when they were fulfilling their work assignments or in direct connection with them.</w:t>
      </w:r>
    </w:p>
    <w:p w14:paraId="7E230500" w14:textId="5C18689A" w:rsidR="00F42DDE" w:rsidRPr="00640144" w:rsidRDefault="00F42DDE" w:rsidP="00110D1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iCs/>
          <w:sz w:val="20"/>
          <w:szCs w:val="17"/>
          <w:lang w:val="en-GB"/>
        </w:rPr>
      </w:pPr>
      <w:r w:rsidRPr="00640144">
        <w:rPr>
          <w:rFonts w:ascii="Arial" w:hAnsi="Arial" w:cs="Arial"/>
          <w:i/>
          <w:iCs/>
          <w:sz w:val="20"/>
          <w:szCs w:val="17"/>
          <w:lang w:val="en-GB"/>
        </w:rPr>
        <w:t>A </w:t>
      </w:r>
      <w:r w:rsidRPr="00640144">
        <w:rPr>
          <w:rFonts w:ascii="Arial" w:hAnsi="Arial" w:cs="Arial"/>
          <w:b/>
          <w:i/>
          <w:iCs/>
          <w:sz w:val="20"/>
          <w:szCs w:val="17"/>
          <w:lang w:val="en-GB"/>
        </w:rPr>
        <w:t>fatal occupational injury</w:t>
      </w:r>
      <w:r w:rsidRPr="00640144">
        <w:rPr>
          <w:rFonts w:ascii="Arial" w:hAnsi="Arial" w:cs="Arial"/>
          <w:i/>
          <w:iCs/>
          <w:sz w:val="20"/>
          <w:szCs w:val="17"/>
          <w:lang w:val="en-GB"/>
        </w:rPr>
        <w:t xml:space="preserve"> is such health damage that occurred to employees while fulfilling their work assignments or in direct connection with the fulfilment of these assignments leading to death of the suffering employee within one year</w:t>
      </w:r>
      <w:r w:rsidR="00DC1999" w:rsidRPr="00E35786">
        <w:rPr>
          <w:rFonts w:ascii="Arial" w:hAnsi="Arial" w:cs="Arial"/>
          <w:i/>
          <w:iCs/>
          <w:sz w:val="20"/>
          <w:szCs w:val="17"/>
          <w:lang w:val="en-GB"/>
        </w:rPr>
        <w:t xml:space="preserve"> at the latest. </w:t>
      </w:r>
      <w:r w:rsidR="00F90A12" w:rsidRPr="00640144">
        <w:rPr>
          <w:rFonts w:ascii="Arial" w:hAnsi="Arial" w:cs="Arial"/>
          <w:i/>
          <w:iCs/>
          <w:sz w:val="20"/>
          <w:szCs w:val="17"/>
          <w:lang w:val="en-GB"/>
        </w:rPr>
        <w:t>T</w:t>
      </w:r>
      <w:r w:rsidRPr="00640144">
        <w:rPr>
          <w:rFonts w:ascii="Arial" w:hAnsi="Arial" w:cs="Arial"/>
          <w:i/>
          <w:iCs/>
          <w:sz w:val="20"/>
          <w:szCs w:val="17"/>
          <w:lang w:val="en-GB"/>
        </w:rPr>
        <w:t>he State Labour Inspection Office</w:t>
      </w:r>
      <w:r w:rsidR="00F90A12" w:rsidRPr="00640144">
        <w:rPr>
          <w:rFonts w:ascii="Arial" w:hAnsi="Arial" w:cs="Arial"/>
          <w:i/>
          <w:iCs/>
          <w:sz w:val="20"/>
          <w:szCs w:val="17"/>
          <w:lang w:val="en-GB"/>
        </w:rPr>
        <w:t xml:space="preserve"> is the source of data</w:t>
      </w:r>
      <w:r w:rsidRPr="00640144">
        <w:rPr>
          <w:rFonts w:ascii="Arial" w:hAnsi="Arial" w:cs="Arial"/>
          <w:i/>
          <w:iCs/>
          <w:sz w:val="20"/>
          <w:szCs w:val="17"/>
          <w:lang w:val="en-GB"/>
        </w:rPr>
        <w:t>.</w:t>
      </w:r>
    </w:p>
    <w:p w14:paraId="42F75EF0" w14:textId="0CE5D91B" w:rsidR="008C2496" w:rsidRPr="00E35786" w:rsidRDefault="00110D1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E35786">
        <w:rPr>
          <w:rFonts w:ascii="Arial" w:hAnsi="Arial" w:cs="Arial"/>
          <w:b/>
          <w:i/>
          <w:sz w:val="20"/>
          <w:szCs w:val="20"/>
          <w:lang w:val="en-GB"/>
        </w:rPr>
        <w:t>Note on the cartograms</w:t>
      </w:r>
      <w:r w:rsidR="00D36CA8" w:rsidRPr="00E35786">
        <w:rPr>
          <w:rFonts w:ascii="Arial" w:hAnsi="Arial" w:cs="Arial"/>
          <w:b/>
          <w:i/>
          <w:sz w:val="20"/>
          <w:szCs w:val="20"/>
          <w:lang w:val="en-GB"/>
        </w:rPr>
        <w:t xml:space="preserve"> 2</w:t>
      </w:r>
      <w:r w:rsidRPr="00E35786">
        <w:rPr>
          <w:b/>
          <w:i/>
          <w:iCs/>
          <w:szCs w:val="17"/>
          <w:lang w:val="en-GB"/>
        </w:rPr>
        <w:t>–</w:t>
      </w:r>
      <w:r w:rsidR="00D36CA8" w:rsidRPr="00E35786">
        <w:rPr>
          <w:rFonts w:ascii="Arial" w:hAnsi="Arial" w:cs="Arial"/>
          <w:b/>
          <w:i/>
          <w:sz w:val="20"/>
          <w:szCs w:val="20"/>
          <w:lang w:val="en-GB"/>
        </w:rPr>
        <w:t>3 a</w:t>
      </w:r>
      <w:r w:rsidRPr="00E35786">
        <w:rPr>
          <w:rFonts w:ascii="Arial" w:hAnsi="Arial" w:cs="Arial"/>
          <w:b/>
          <w:i/>
          <w:sz w:val="20"/>
          <w:szCs w:val="20"/>
          <w:lang w:val="en-GB"/>
        </w:rPr>
        <w:t>nd</w:t>
      </w:r>
      <w:r w:rsidR="00D36CA8" w:rsidRPr="00E35786">
        <w:rPr>
          <w:rFonts w:ascii="Arial" w:hAnsi="Arial" w:cs="Arial"/>
          <w:b/>
          <w:i/>
          <w:sz w:val="20"/>
          <w:szCs w:val="20"/>
          <w:lang w:val="en-GB"/>
        </w:rPr>
        <w:t xml:space="preserve"> 2</w:t>
      </w:r>
      <w:r w:rsidRPr="00E35786">
        <w:rPr>
          <w:b/>
          <w:i/>
          <w:iCs/>
          <w:szCs w:val="17"/>
          <w:lang w:val="en-GB"/>
        </w:rPr>
        <w:t>–</w:t>
      </w:r>
      <w:r w:rsidR="00D36CA8" w:rsidRPr="00E35786">
        <w:rPr>
          <w:rFonts w:ascii="Arial" w:hAnsi="Arial" w:cs="Arial"/>
          <w:b/>
          <w:i/>
          <w:sz w:val="20"/>
          <w:szCs w:val="20"/>
          <w:lang w:val="en-GB"/>
        </w:rPr>
        <w:t>4:</w:t>
      </w:r>
      <w:r w:rsidR="004328D3" w:rsidRPr="00640144">
        <w:rPr>
          <w:rFonts w:ascii="Arial" w:hAnsi="Arial" w:cs="Arial"/>
          <w:b/>
          <w:i/>
          <w:sz w:val="20"/>
          <w:szCs w:val="20"/>
          <w:lang w:val="en-GB"/>
        </w:rPr>
        <w:t xml:space="preserve"> </w:t>
      </w:r>
      <w:r w:rsidR="000D1959" w:rsidRPr="00E35786">
        <w:rPr>
          <w:rFonts w:ascii="Arial" w:hAnsi="Arial" w:cs="Arial"/>
          <w:i/>
          <w:sz w:val="20"/>
          <w:szCs w:val="20"/>
          <w:lang w:val="en-GB"/>
        </w:rPr>
        <w:t>Breakdown by Region and District is based on a piece of data on the</w:t>
      </w:r>
      <w:r w:rsidR="00353ADC" w:rsidRPr="00E35786">
        <w:rPr>
          <w:rFonts w:ascii="Arial" w:hAnsi="Arial" w:cs="Arial"/>
          <w:i/>
          <w:sz w:val="20"/>
          <w:szCs w:val="20"/>
          <w:lang w:val="en-GB"/>
        </w:rPr>
        <w:t xml:space="preserve"> registered office </w:t>
      </w:r>
      <w:r w:rsidR="000D1959" w:rsidRPr="00E35786">
        <w:rPr>
          <w:rFonts w:ascii="Arial" w:hAnsi="Arial" w:cs="Arial"/>
          <w:i/>
          <w:sz w:val="20"/>
          <w:szCs w:val="20"/>
          <w:lang w:val="en-GB"/>
        </w:rPr>
        <w:t xml:space="preserve">of a unit, which keeps records of wages for the employer of a person who is incapacitated for work. In the town of </w:t>
      </w:r>
      <w:r w:rsidR="000D1959" w:rsidRPr="00E35786">
        <w:rPr>
          <w:rFonts w:ascii="Arial" w:hAnsi="Arial" w:cs="Arial"/>
          <w:sz w:val="20"/>
          <w:szCs w:val="20"/>
          <w:lang w:val="en-GB"/>
        </w:rPr>
        <w:t>Jeseník</w:t>
      </w:r>
      <w:r w:rsidR="000D1959" w:rsidRPr="00E35786">
        <w:rPr>
          <w:rFonts w:ascii="Arial" w:hAnsi="Arial" w:cs="Arial"/>
          <w:i/>
          <w:sz w:val="20"/>
          <w:szCs w:val="20"/>
          <w:lang w:val="en-GB"/>
        </w:rPr>
        <w:t>, there is a</w:t>
      </w:r>
      <w:r w:rsidR="00CF0420" w:rsidRPr="00E35786">
        <w:rPr>
          <w:rFonts w:ascii="Arial" w:hAnsi="Arial" w:cs="Arial"/>
          <w:i/>
          <w:sz w:val="20"/>
          <w:szCs w:val="20"/>
          <w:lang w:val="en-GB"/>
        </w:rPr>
        <w:t>n accounting department of foster care for professional foster parents in the CR. Professional foster parents usually do not take a sick leave, because even during a sick leave</w:t>
      </w:r>
      <w:r w:rsidR="00C41576" w:rsidRPr="00640144">
        <w:rPr>
          <w:rFonts w:ascii="Arial" w:hAnsi="Arial" w:cs="Arial"/>
          <w:i/>
          <w:sz w:val="20"/>
          <w:szCs w:val="20"/>
          <w:lang w:val="en-GB"/>
        </w:rPr>
        <w:t xml:space="preserve"> (incapacity for work)</w:t>
      </w:r>
      <w:r w:rsidR="00CF0420" w:rsidRPr="00E35786">
        <w:rPr>
          <w:rFonts w:ascii="Arial" w:hAnsi="Arial" w:cs="Arial"/>
          <w:i/>
          <w:sz w:val="20"/>
          <w:szCs w:val="20"/>
          <w:lang w:val="en-GB"/>
        </w:rPr>
        <w:t xml:space="preserve"> </w:t>
      </w:r>
      <w:r w:rsidR="00C41576" w:rsidRPr="00640144">
        <w:rPr>
          <w:rFonts w:ascii="Arial" w:hAnsi="Arial" w:cs="Arial"/>
          <w:i/>
          <w:sz w:val="20"/>
          <w:szCs w:val="20"/>
          <w:lang w:val="en-GB"/>
        </w:rPr>
        <w:t>they have to take care of their</w:t>
      </w:r>
      <w:r w:rsidR="00CF0420" w:rsidRPr="00E35786">
        <w:rPr>
          <w:rFonts w:ascii="Arial" w:hAnsi="Arial" w:cs="Arial"/>
          <w:i/>
          <w:sz w:val="20"/>
          <w:szCs w:val="20"/>
          <w:lang w:val="en-GB"/>
        </w:rPr>
        <w:t xml:space="preserve"> </w:t>
      </w:r>
      <w:r w:rsidR="007967E1" w:rsidRPr="00E35786">
        <w:rPr>
          <w:rFonts w:ascii="Arial" w:hAnsi="Arial" w:cs="Arial"/>
          <w:i/>
          <w:sz w:val="20"/>
          <w:szCs w:val="20"/>
          <w:lang w:val="en-GB"/>
        </w:rPr>
        <w:t>foster</w:t>
      </w:r>
      <w:r w:rsidR="002B00DB" w:rsidRPr="00E35786">
        <w:rPr>
          <w:rFonts w:ascii="Arial" w:hAnsi="Arial" w:cs="Arial"/>
          <w:i/>
          <w:sz w:val="20"/>
          <w:szCs w:val="20"/>
          <w:lang w:val="en-GB"/>
        </w:rPr>
        <w:t xml:space="preserve"> child. However, they are included in the </w:t>
      </w:r>
      <w:r w:rsidR="006F7CD7" w:rsidRPr="00E35786">
        <w:rPr>
          <w:rFonts w:ascii="Arial" w:hAnsi="Arial" w:cs="Arial"/>
          <w:i/>
          <w:sz w:val="20"/>
          <w:szCs w:val="20"/>
          <w:lang w:val="en-GB"/>
        </w:rPr>
        <w:t>denominator of the indicator of the average percentage of incapacity for work within the number of the</w:t>
      </w:r>
      <w:r w:rsidR="00C41576" w:rsidRPr="00640144">
        <w:rPr>
          <w:rFonts w:ascii="Arial" w:hAnsi="Arial" w:cs="Arial"/>
          <w:i/>
          <w:sz w:val="20"/>
          <w:szCs w:val="20"/>
          <w:lang w:val="en-GB"/>
        </w:rPr>
        <w:t xml:space="preserve"> sickness-</w:t>
      </w:r>
      <w:r w:rsidR="006F7CD7" w:rsidRPr="00E35786">
        <w:rPr>
          <w:rFonts w:ascii="Arial" w:hAnsi="Arial" w:cs="Arial"/>
          <w:i/>
          <w:sz w:val="20"/>
          <w:szCs w:val="20"/>
          <w:lang w:val="en-GB"/>
        </w:rPr>
        <w:t xml:space="preserve">insured in the District. </w:t>
      </w:r>
      <w:r w:rsidR="006F7CD7" w:rsidRPr="00E35786">
        <w:rPr>
          <w:rFonts w:ascii="Arial" w:hAnsi="Arial" w:cs="Arial"/>
          <w:i/>
          <w:sz w:val="20"/>
          <w:szCs w:val="20"/>
        </w:rPr>
        <w:t xml:space="preserve">   </w:t>
      </w:r>
    </w:p>
    <w:p w14:paraId="1EED89C6" w14:textId="77777777" w:rsidR="00D36CA8" w:rsidRPr="00E35786" w:rsidRDefault="00D36CA8"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lang w:val="cs-CZ"/>
        </w:rPr>
      </w:pPr>
    </w:p>
    <w:p w14:paraId="19CB3305" w14:textId="5BA85FA8" w:rsidR="00D36CA8" w:rsidRPr="003231E3" w:rsidRDefault="00110537"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rPr>
      </w:pPr>
      <w:r w:rsidRPr="00E35786">
        <w:rPr>
          <w:b/>
          <w:szCs w:val="20"/>
        </w:rPr>
        <w:t>Terminated cases</w:t>
      </w:r>
      <w:r w:rsidR="00D36CA8" w:rsidRPr="00E35786">
        <w:rPr>
          <w:b/>
          <w:szCs w:val="20"/>
        </w:rPr>
        <w:t xml:space="preserve"> </w:t>
      </w:r>
      <w:r w:rsidR="00D36CA8" w:rsidRPr="003231E3">
        <w:rPr>
          <w:b/>
          <w:szCs w:val="20"/>
        </w:rPr>
        <w:t>(</w:t>
      </w:r>
      <w:r w:rsidR="00335D1D" w:rsidRPr="003231E3">
        <w:rPr>
          <w:b/>
          <w:bCs/>
          <w:lang w:eastAsia="en-US"/>
        </w:rPr>
        <w:t>Tables 2</w:t>
      </w:r>
      <w:r w:rsidR="00335D1D" w:rsidRPr="003231E3">
        <w:rPr>
          <w:b/>
          <w:iCs w:val="0"/>
          <w:szCs w:val="17"/>
        </w:rPr>
        <w:t>–</w:t>
      </w:r>
      <w:r w:rsidR="003231E3" w:rsidRPr="003231E3">
        <w:rPr>
          <w:b/>
          <w:bCs/>
          <w:lang w:eastAsia="en-US"/>
        </w:rPr>
        <w:t>32</w:t>
      </w:r>
      <w:r w:rsidR="00335D1D" w:rsidRPr="003231E3">
        <w:rPr>
          <w:b/>
          <w:bCs/>
          <w:lang w:eastAsia="en-US"/>
        </w:rPr>
        <w:t xml:space="preserve"> </w:t>
      </w:r>
      <w:r w:rsidR="003231E3" w:rsidRPr="003231E3">
        <w:rPr>
          <w:b/>
          <w:bCs/>
          <w:lang w:eastAsia="en-US"/>
        </w:rPr>
        <w:t>and</w:t>
      </w:r>
      <w:r w:rsidR="00335D1D" w:rsidRPr="003231E3">
        <w:rPr>
          <w:b/>
          <w:bCs/>
          <w:lang w:eastAsia="en-US"/>
        </w:rPr>
        <w:t xml:space="preserve"> 2</w:t>
      </w:r>
      <w:r w:rsidR="00335D1D" w:rsidRPr="003231E3">
        <w:rPr>
          <w:b/>
          <w:iCs w:val="0"/>
          <w:szCs w:val="17"/>
        </w:rPr>
        <w:t>–</w:t>
      </w:r>
      <w:r w:rsidR="003231E3" w:rsidRPr="003231E3">
        <w:rPr>
          <w:b/>
          <w:bCs/>
          <w:lang w:eastAsia="en-US"/>
        </w:rPr>
        <w:t>34</w:t>
      </w:r>
      <w:r w:rsidR="00D36CA8" w:rsidRPr="003231E3">
        <w:rPr>
          <w:b/>
          <w:szCs w:val="20"/>
        </w:rPr>
        <w:t>)</w:t>
      </w:r>
    </w:p>
    <w:p w14:paraId="2371023D" w14:textId="77777777" w:rsidR="00D36CA8" w:rsidRPr="00E35786" w:rsidRDefault="00D36CA8"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lang w:val="cs-CZ"/>
        </w:rPr>
      </w:pPr>
    </w:p>
    <w:p w14:paraId="3DD7E454" w14:textId="77777777" w:rsidR="001743FA" w:rsidRPr="00E35786" w:rsidRDefault="00002722"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Cs w:val="0"/>
          <w:szCs w:val="17"/>
        </w:rPr>
      </w:pPr>
      <w:r w:rsidRPr="00E35786">
        <w:rPr>
          <w:iCs w:val="0"/>
          <w:szCs w:val="17"/>
        </w:rPr>
        <w:t>The Czech Social Security Administration</w:t>
      </w:r>
      <w:r w:rsidR="001743FA" w:rsidRPr="00E35786">
        <w:rPr>
          <w:iCs w:val="0"/>
          <w:szCs w:val="17"/>
        </w:rPr>
        <w:t xml:space="preserve"> also</w:t>
      </w:r>
      <w:r w:rsidRPr="00E35786">
        <w:rPr>
          <w:iCs w:val="0"/>
          <w:szCs w:val="17"/>
        </w:rPr>
        <w:t> </w:t>
      </w:r>
      <w:r w:rsidR="001743FA" w:rsidRPr="00E35786">
        <w:rPr>
          <w:iCs w:val="0"/>
          <w:szCs w:val="17"/>
        </w:rPr>
        <w:t xml:space="preserve">keeps a record of, processes, and publishes data on terminated cases of incapacity for work for individual quarters, see </w:t>
      </w:r>
      <w:hyperlink r:id="rId8" w:history="1">
        <w:r w:rsidR="001743FA" w:rsidRPr="00E35786">
          <w:rPr>
            <w:rStyle w:val="Hypertextovodkaz"/>
            <w:szCs w:val="20"/>
            <w:lang w:val="cs-CZ"/>
          </w:rPr>
          <w:t>https://www.cssz.cz/web/cz/nemocenska-statistika</w:t>
        </w:r>
      </w:hyperlink>
      <w:r w:rsidR="001743FA" w:rsidRPr="00E35786">
        <w:rPr>
          <w:rStyle w:val="Hypertextovodkaz"/>
          <w:color w:val="auto"/>
          <w:szCs w:val="20"/>
          <w:u w:val="none"/>
        </w:rPr>
        <w:t xml:space="preserve"> (Czech only).</w:t>
      </w:r>
      <w:r w:rsidR="001743FA" w:rsidRPr="00E35786">
        <w:rPr>
          <w:iCs w:val="0"/>
          <w:szCs w:val="17"/>
        </w:rPr>
        <w:t xml:space="preserve"> Differences in the numbers of new notified and terminated cases of temporary incapacity for work are due to a different methodology for data collection.</w:t>
      </w:r>
    </w:p>
    <w:p w14:paraId="35C1284C" w14:textId="4C7EA8A4" w:rsidR="00002722" w:rsidRPr="00E35786" w:rsidRDefault="001743FA"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Cs w:val="0"/>
          <w:szCs w:val="17"/>
        </w:rPr>
      </w:pPr>
      <w:r w:rsidRPr="00E35786">
        <w:rPr>
          <w:iCs w:val="0"/>
          <w:szCs w:val="17"/>
        </w:rPr>
        <w:t xml:space="preserve">The CSSA in its statistics offers other breakdown of published data than the CZSO, namely by age of the </w:t>
      </w:r>
      <w:r w:rsidR="008E29CE" w:rsidRPr="00640144">
        <w:rPr>
          <w:iCs w:val="0"/>
          <w:szCs w:val="17"/>
        </w:rPr>
        <w:t>temporarily</w:t>
      </w:r>
      <w:r w:rsidRPr="00E35786">
        <w:rPr>
          <w:iCs w:val="0"/>
          <w:szCs w:val="17"/>
        </w:rPr>
        <w:t xml:space="preserve"> incapacitated for work and by diagnosis that caused the incapacity for work.  </w:t>
      </w:r>
    </w:p>
    <w:p w14:paraId="349A8DE6" w14:textId="77777777" w:rsidR="00002722" w:rsidRPr="00E35786" w:rsidRDefault="00002722" w:rsidP="00D36CA8">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Cs w:val="0"/>
          <w:szCs w:val="17"/>
        </w:rPr>
      </w:pPr>
    </w:p>
    <w:p w14:paraId="39BE0031" w14:textId="63B2CE07" w:rsidR="00B7345D" w:rsidRPr="00566130" w:rsidRDefault="00D070B5" w:rsidP="00B7345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
          <w:i/>
          <w:lang w:val="en-GB" w:eastAsia="en-US"/>
        </w:rPr>
      </w:pPr>
      <w:r w:rsidRPr="00566130">
        <w:rPr>
          <w:rFonts w:ascii="Arial" w:hAnsi="Arial" w:cs="Arial"/>
          <w:b/>
          <w:i/>
          <w:lang w:val="en-GB" w:eastAsia="en-US"/>
        </w:rPr>
        <w:t xml:space="preserve">Expenditure of health insurance companies </w:t>
      </w:r>
      <w:r w:rsidR="00B7345D" w:rsidRPr="00566130">
        <w:rPr>
          <w:rFonts w:ascii="Arial" w:hAnsi="Arial" w:cs="Arial"/>
          <w:b/>
          <w:i/>
          <w:lang w:val="en-GB" w:eastAsia="en-US"/>
        </w:rPr>
        <w:t>(</w:t>
      </w:r>
      <w:r w:rsidR="003359A5" w:rsidRPr="00566130">
        <w:rPr>
          <w:rFonts w:ascii="Arial" w:hAnsi="Arial" w:cs="Arial"/>
          <w:b/>
          <w:bCs/>
          <w:i/>
          <w:lang w:val="en-GB" w:eastAsia="en-US"/>
        </w:rPr>
        <w:t>Tables 2</w:t>
      </w:r>
      <w:r w:rsidR="003359A5" w:rsidRPr="00566130">
        <w:rPr>
          <w:rFonts w:ascii="Arial" w:hAnsi="Arial" w:cs="Arial"/>
          <w:b/>
          <w:i/>
          <w:iCs/>
          <w:sz w:val="20"/>
          <w:szCs w:val="17"/>
          <w:lang w:val="en-GB"/>
        </w:rPr>
        <w:t>–</w:t>
      </w:r>
      <w:r w:rsidR="003231E3" w:rsidRPr="00566130">
        <w:rPr>
          <w:rFonts w:ascii="Arial" w:hAnsi="Arial" w:cs="Arial"/>
          <w:b/>
          <w:bCs/>
          <w:i/>
          <w:lang w:val="en-GB" w:eastAsia="en-US"/>
        </w:rPr>
        <w:t>1</w:t>
      </w:r>
      <w:r w:rsidR="003359A5" w:rsidRPr="00566130">
        <w:rPr>
          <w:rFonts w:ascii="Arial" w:hAnsi="Arial" w:cs="Arial"/>
          <w:b/>
          <w:bCs/>
          <w:i/>
          <w:lang w:val="en-GB" w:eastAsia="en-US"/>
        </w:rPr>
        <w:t>2 through 2</w:t>
      </w:r>
      <w:r w:rsidR="003359A5" w:rsidRPr="00566130">
        <w:rPr>
          <w:rFonts w:ascii="Arial" w:hAnsi="Arial" w:cs="Arial"/>
          <w:b/>
          <w:i/>
          <w:iCs/>
          <w:sz w:val="20"/>
          <w:szCs w:val="17"/>
          <w:lang w:val="en-GB"/>
        </w:rPr>
        <w:t>–</w:t>
      </w:r>
      <w:r w:rsidR="003231E3" w:rsidRPr="00566130">
        <w:rPr>
          <w:rFonts w:ascii="Arial" w:hAnsi="Arial" w:cs="Arial"/>
          <w:b/>
          <w:bCs/>
          <w:i/>
          <w:lang w:val="en-GB" w:eastAsia="en-US"/>
        </w:rPr>
        <w:t>15</w:t>
      </w:r>
      <w:r w:rsidR="00B7345D" w:rsidRPr="00566130">
        <w:rPr>
          <w:rFonts w:ascii="Arial" w:hAnsi="Arial" w:cs="Arial"/>
          <w:b/>
          <w:i/>
          <w:lang w:val="en-GB" w:eastAsia="en-US"/>
        </w:rPr>
        <w:t xml:space="preserve">) </w:t>
      </w:r>
    </w:p>
    <w:p w14:paraId="0D56AD99" w14:textId="42551440" w:rsidR="00B7345D" w:rsidRPr="00E35786" w:rsidRDefault="00D070B5" w:rsidP="00B7345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E35786">
        <w:rPr>
          <w:rFonts w:ascii="Arial" w:eastAsia="Calibri" w:hAnsi="Arial" w:cs="Arial"/>
          <w:i/>
          <w:sz w:val="20"/>
          <w:szCs w:val="20"/>
          <w:lang w:val="en-GB" w:eastAsia="en-US"/>
        </w:rPr>
        <w:t xml:space="preserve">It applies to expenditure on </w:t>
      </w:r>
      <w:r w:rsidRPr="00E35786">
        <w:rPr>
          <w:rFonts w:ascii="Arial" w:hAnsi="Arial" w:cs="Arial"/>
          <w:i/>
          <w:iCs/>
          <w:sz w:val="20"/>
          <w:szCs w:val="17"/>
          <w:lang w:val="en-GB"/>
        </w:rPr>
        <w:t xml:space="preserve">health care guaranteed by the Act No 48/1997 Sb, on the Public Health Insurance and amendments to certain related acts as subsequently amended. </w:t>
      </w:r>
      <w:r w:rsidRPr="00E35786">
        <w:rPr>
          <w:rFonts w:ascii="Arial" w:hAnsi="Arial" w:cs="Arial"/>
          <w:i/>
          <w:sz w:val="20"/>
          <w:szCs w:val="20"/>
          <w:lang w:val="en-GB"/>
        </w:rPr>
        <w:t>The main source of data on expenditure of health insurance companies are data on health care reported by health establishments and recognised by health insurance companies.</w:t>
      </w:r>
    </w:p>
    <w:p w14:paraId="53BEAE99" w14:textId="0E697B31" w:rsidR="00860162" w:rsidRPr="00640144" w:rsidRDefault="00860162" w:rsidP="00E35786">
      <w:pPr>
        <w:ind w:left="709"/>
        <w:jc w:val="both"/>
        <w:rPr>
          <w:rFonts w:ascii="Arial" w:hAnsi="Arial" w:cs="Arial"/>
          <w:i/>
          <w:iCs/>
          <w:sz w:val="20"/>
          <w:szCs w:val="20"/>
          <w:lang w:val="en-GB"/>
        </w:rPr>
      </w:pPr>
      <w:r w:rsidRPr="00640144">
        <w:rPr>
          <w:rFonts w:ascii="Arial" w:hAnsi="Arial" w:cs="Arial"/>
          <w:b/>
          <w:bCs/>
          <w:i/>
          <w:iCs/>
          <w:sz w:val="20"/>
          <w:szCs w:val="20"/>
          <w:lang w:val="en-GB"/>
        </w:rPr>
        <w:t>Expenditure of health insurance companies per sickness-insured person</w:t>
      </w:r>
      <w:r w:rsidR="00B16FAC" w:rsidRPr="00E35786">
        <w:rPr>
          <w:rFonts w:ascii="Arial" w:hAnsi="Arial" w:cs="Arial"/>
          <w:b/>
          <w:bCs/>
          <w:i/>
          <w:iCs/>
          <w:sz w:val="20"/>
          <w:szCs w:val="20"/>
          <w:lang w:val="en-GB"/>
        </w:rPr>
        <w:t xml:space="preserve"> (policy holder)</w:t>
      </w:r>
      <w:r w:rsidR="008E29CE" w:rsidRPr="00640144">
        <w:rPr>
          <w:rFonts w:ascii="Arial" w:hAnsi="Arial" w:cs="Arial"/>
          <w:b/>
          <w:bCs/>
          <w:i/>
          <w:iCs/>
          <w:sz w:val="20"/>
          <w:szCs w:val="20"/>
          <w:lang w:val="en-GB"/>
        </w:rPr>
        <w:t xml:space="preserve"> by sex and</w:t>
      </w:r>
      <w:r w:rsidRPr="00640144">
        <w:rPr>
          <w:rFonts w:ascii="Arial" w:hAnsi="Arial" w:cs="Arial"/>
          <w:b/>
          <w:bCs/>
          <w:i/>
          <w:iCs/>
          <w:sz w:val="20"/>
          <w:szCs w:val="20"/>
          <w:lang w:val="en-GB"/>
        </w:rPr>
        <w:t xml:space="preserve"> age group</w:t>
      </w:r>
    </w:p>
    <w:p w14:paraId="553D134D" w14:textId="48C52874" w:rsidR="00860162" w:rsidRPr="00640144" w:rsidRDefault="00860162" w:rsidP="00002722">
      <w:pPr>
        <w:pStyle w:val="Zkladntext3"/>
        <w:spacing w:before="120"/>
        <w:ind w:firstLine="709"/>
        <w:rPr>
          <w:rFonts w:ascii="Arial" w:hAnsi="Arial" w:cs="Arial"/>
          <w:i/>
          <w:sz w:val="20"/>
          <w:szCs w:val="20"/>
          <w:lang w:val="en-GB"/>
        </w:rPr>
      </w:pPr>
      <w:r w:rsidRPr="00E35786">
        <w:rPr>
          <w:rFonts w:ascii="Arial" w:hAnsi="Arial" w:cs="Arial"/>
          <w:i/>
          <w:sz w:val="20"/>
          <w:szCs w:val="20"/>
          <w:lang w:val="en-GB"/>
        </w:rPr>
        <w:t>The average is calculated as a weighted arithmetic mean of costs where the numbers of sickness-insured persons in respective age groups are taken as the weights.</w:t>
      </w:r>
    </w:p>
    <w:p w14:paraId="4EADBDE9" w14:textId="77777777" w:rsidR="00CA23F5" w:rsidRPr="00E35786" w:rsidRDefault="00CA23F5" w:rsidP="00002722">
      <w:pPr>
        <w:pStyle w:val="Zkladntext3"/>
        <w:spacing w:before="120"/>
        <w:ind w:firstLine="709"/>
        <w:rPr>
          <w:rFonts w:ascii="Arial" w:hAnsi="Arial" w:cs="Arial"/>
          <w:i/>
          <w:sz w:val="20"/>
          <w:szCs w:val="20"/>
          <w:lang w:val="en-GB"/>
        </w:rPr>
      </w:pPr>
    </w:p>
    <w:p w14:paraId="129C2D18" w14:textId="5B103FE7" w:rsidR="00D41F68" w:rsidRPr="00566130" w:rsidRDefault="0022333E" w:rsidP="00D41F68">
      <w:pPr>
        <w:ind w:firstLine="708"/>
        <w:rPr>
          <w:rFonts w:ascii="Arial" w:hAnsi="Arial" w:cs="Arial"/>
          <w:b/>
          <w:bCs/>
          <w:i/>
          <w:color w:val="000000"/>
          <w:lang w:val="en-GB" w:eastAsia="en-US"/>
        </w:rPr>
      </w:pPr>
      <w:r w:rsidRPr="00566130">
        <w:rPr>
          <w:rFonts w:ascii="Arial" w:hAnsi="Arial" w:cs="Arial"/>
          <w:b/>
          <w:bCs/>
          <w:i/>
          <w:color w:val="000000"/>
          <w:lang w:val="en-GB" w:eastAsia="en-US"/>
        </w:rPr>
        <w:lastRenderedPageBreak/>
        <w:t xml:space="preserve">Wages of health </w:t>
      </w:r>
      <w:r w:rsidRPr="00566130">
        <w:rPr>
          <w:rFonts w:ascii="Arial" w:hAnsi="Arial" w:cs="Arial"/>
          <w:b/>
          <w:bCs/>
          <w:i/>
          <w:lang w:val="en-GB" w:eastAsia="en-US"/>
        </w:rPr>
        <w:t>professionals</w:t>
      </w:r>
      <w:r w:rsidR="00D41F68" w:rsidRPr="00566130">
        <w:rPr>
          <w:rFonts w:ascii="Arial" w:hAnsi="Arial" w:cs="Arial"/>
          <w:b/>
          <w:bCs/>
          <w:i/>
          <w:lang w:val="en-GB" w:eastAsia="en-US"/>
        </w:rPr>
        <w:t xml:space="preserve"> (</w:t>
      </w:r>
      <w:r w:rsidR="00AB4722" w:rsidRPr="00566130">
        <w:rPr>
          <w:rFonts w:ascii="Arial" w:hAnsi="Arial" w:cs="Arial"/>
          <w:b/>
          <w:bCs/>
          <w:i/>
          <w:lang w:val="en-GB" w:eastAsia="en-US"/>
        </w:rPr>
        <w:t>T</w:t>
      </w:r>
      <w:r w:rsidR="00D41F68" w:rsidRPr="00566130">
        <w:rPr>
          <w:rFonts w:ascii="Arial" w:hAnsi="Arial" w:cs="Arial"/>
          <w:b/>
          <w:bCs/>
          <w:i/>
          <w:lang w:val="en-GB" w:eastAsia="en-US"/>
        </w:rPr>
        <w:t>ab</w:t>
      </w:r>
      <w:r w:rsidR="00AB4722" w:rsidRPr="00566130">
        <w:rPr>
          <w:rFonts w:ascii="Arial" w:hAnsi="Arial" w:cs="Arial"/>
          <w:b/>
          <w:bCs/>
          <w:i/>
          <w:lang w:val="en-GB" w:eastAsia="en-US"/>
        </w:rPr>
        <w:t>les</w:t>
      </w:r>
      <w:r w:rsidR="00D41F68" w:rsidRPr="00566130">
        <w:rPr>
          <w:rFonts w:ascii="Arial" w:hAnsi="Arial" w:cs="Arial"/>
          <w:b/>
          <w:bCs/>
          <w:i/>
          <w:lang w:val="en-GB" w:eastAsia="en-US"/>
        </w:rPr>
        <w:t xml:space="preserve"> 2</w:t>
      </w:r>
      <w:r w:rsidR="003359A5" w:rsidRPr="00566130">
        <w:rPr>
          <w:rFonts w:ascii="Arial" w:hAnsi="Arial" w:cs="Arial"/>
          <w:b/>
          <w:i/>
          <w:iCs/>
          <w:sz w:val="20"/>
          <w:szCs w:val="17"/>
          <w:lang w:val="en-GB"/>
        </w:rPr>
        <w:t>–</w:t>
      </w:r>
      <w:r w:rsidR="00D41F68" w:rsidRPr="00566130">
        <w:rPr>
          <w:rFonts w:ascii="Arial" w:hAnsi="Arial" w:cs="Arial"/>
          <w:b/>
          <w:bCs/>
          <w:i/>
          <w:lang w:val="en-GB" w:eastAsia="en-US"/>
        </w:rPr>
        <w:t>2</w:t>
      </w:r>
      <w:r w:rsidR="003231E3" w:rsidRPr="00566130">
        <w:rPr>
          <w:rFonts w:ascii="Arial" w:hAnsi="Arial" w:cs="Arial"/>
          <w:b/>
          <w:bCs/>
          <w:i/>
          <w:lang w:val="en-GB" w:eastAsia="en-US"/>
        </w:rPr>
        <w:t>4</w:t>
      </w:r>
      <w:r w:rsidR="00D41F68" w:rsidRPr="00566130">
        <w:rPr>
          <w:rFonts w:ascii="Arial" w:hAnsi="Arial" w:cs="Arial"/>
          <w:b/>
          <w:bCs/>
          <w:i/>
          <w:lang w:val="en-GB" w:eastAsia="en-US"/>
        </w:rPr>
        <w:t xml:space="preserve"> </w:t>
      </w:r>
      <w:r w:rsidR="00AB4722" w:rsidRPr="00566130">
        <w:rPr>
          <w:rFonts w:ascii="Arial" w:hAnsi="Arial" w:cs="Arial"/>
          <w:b/>
          <w:bCs/>
          <w:i/>
          <w:lang w:val="en-GB" w:eastAsia="en-US"/>
        </w:rPr>
        <w:t>through</w:t>
      </w:r>
      <w:r w:rsidR="00D41F68" w:rsidRPr="00566130">
        <w:rPr>
          <w:rFonts w:ascii="Arial" w:hAnsi="Arial" w:cs="Arial"/>
          <w:b/>
          <w:bCs/>
          <w:i/>
          <w:lang w:val="en-GB" w:eastAsia="en-US"/>
        </w:rPr>
        <w:t xml:space="preserve"> 2</w:t>
      </w:r>
      <w:r w:rsidR="003359A5" w:rsidRPr="00566130">
        <w:rPr>
          <w:rFonts w:ascii="Arial" w:hAnsi="Arial" w:cs="Arial"/>
          <w:b/>
          <w:i/>
          <w:iCs/>
          <w:sz w:val="20"/>
          <w:szCs w:val="17"/>
          <w:lang w:val="en-GB"/>
        </w:rPr>
        <w:t>–</w:t>
      </w:r>
      <w:r w:rsidR="003231E3" w:rsidRPr="00566130">
        <w:rPr>
          <w:rFonts w:ascii="Arial" w:hAnsi="Arial" w:cs="Arial"/>
          <w:b/>
          <w:bCs/>
          <w:i/>
          <w:lang w:val="en-GB" w:eastAsia="en-US"/>
        </w:rPr>
        <w:t>27</w:t>
      </w:r>
      <w:r w:rsidR="00D41F68" w:rsidRPr="00566130">
        <w:rPr>
          <w:rFonts w:ascii="Arial" w:hAnsi="Arial" w:cs="Arial"/>
          <w:b/>
          <w:bCs/>
          <w:i/>
          <w:lang w:val="en-GB" w:eastAsia="en-US"/>
        </w:rPr>
        <w:t>)</w:t>
      </w:r>
    </w:p>
    <w:p w14:paraId="05889322" w14:textId="486758B5" w:rsidR="00ED3809" w:rsidRPr="00E35786" w:rsidRDefault="008F7910">
      <w:pPr>
        <w:spacing w:before="120"/>
        <w:ind w:firstLine="709"/>
        <w:jc w:val="both"/>
        <w:rPr>
          <w:rFonts w:ascii="Arial" w:hAnsi="Arial" w:cs="Arial"/>
          <w:bCs/>
          <w:i/>
          <w:sz w:val="20"/>
          <w:lang w:val="en-GB"/>
        </w:rPr>
      </w:pPr>
      <w:r w:rsidRPr="00E35786">
        <w:rPr>
          <w:rFonts w:ascii="Arial" w:hAnsi="Arial" w:cs="Arial"/>
          <w:i/>
          <w:color w:val="000000"/>
          <w:sz w:val="20"/>
          <w:szCs w:val="20"/>
          <w:lang w:val="en-GB" w:eastAsia="en-US"/>
        </w:rPr>
        <w:t xml:space="preserve">Data on </w:t>
      </w:r>
      <w:r w:rsidRPr="00E35786">
        <w:rPr>
          <w:rFonts w:ascii="Arial" w:hAnsi="Arial" w:cs="Arial"/>
          <w:b/>
          <w:i/>
          <w:color w:val="000000"/>
          <w:sz w:val="20"/>
          <w:szCs w:val="20"/>
          <w:lang w:val="en-GB" w:eastAsia="en-US"/>
        </w:rPr>
        <w:t>wages</w:t>
      </w:r>
      <w:r w:rsidRPr="00E35786">
        <w:rPr>
          <w:rFonts w:ascii="Arial" w:hAnsi="Arial" w:cs="Arial"/>
          <w:i/>
          <w:color w:val="000000"/>
          <w:sz w:val="20"/>
          <w:szCs w:val="20"/>
          <w:lang w:val="en-GB" w:eastAsia="en-US"/>
        </w:rPr>
        <w:t xml:space="preserve"> of </w:t>
      </w:r>
      <w:r w:rsidR="00ED3809" w:rsidRPr="00E35786">
        <w:rPr>
          <w:rFonts w:ascii="Arial" w:hAnsi="Arial" w:cs="Arial"/>
          <w:i/>
          <w:color w:val="000000"/>
          <w:sz w:val="20"/>
          <w:szCs w:val="20"/>
          <w:lang w:val="en-GB" w:eastAsia="en-US"/>
        </w:rPr>
        <w:t>medical doctors</w:t>
      </w:r>
      <w:r w:rsidRPr="00E35786">
        <w:rPr>
          <w:rFonts w:ascii="Arial" w:hAnsi="Arial" w:cs="Arial"/>
          <w:i/>
          <w:color w:val="000000"/>
          <w:sz w:val="20"/>
          <w:szCs w:val="20"/>
          <w:lang w:val="en-GB" w:eastAsia="en-US"/>
        </w:rPr>
        <w:t xml:space="preserve"> (</w:t>
      </w:r>
      <w:r w:rsidRPr="003231E3">
        <w:rPr>
          <w:rFonts w:ascii="Arial" w:hAnsi="Arial" w:cs="Arial"/>
          <w:i/>
          <w:color w:val="000000"/>
          <w:sz w:val="20"/>
          <w:szCs w:val="20"/>
          <w:lang w:val="en-GB" w:eastAsia="en-US"/>
        </w:rPr>
        <w:t>Table</w:t>
      </w:r>
      <w:r w:rsidR="003231E3">
        <w:rPr>
          <w:rFonts w:ascii="Arial" w:hAnsi="Arial" w:cs="Arial"/>
          <w:i/>
          <w:color w:val="000000"/>
          <w:sz w:val="20"/>
          <w:szCs w:val="20"/>
          <w:lang w:val="en-GB" w:eastAsia="en-US"/>
        </w:rPr>
        <w:t>s</w:t>
      </w:r>
      <w:r w:rsidRPr="003231E3">
        <w:rPr>
          <w:rFonts w:ascii="Arial" w:hAnsi="Arial" w:cs="Arial"/>
          <w:i/>
          <w:color w:val="000000"/>
          <w:sz w:val="20"/>
          <w:szCs w:val="20"/>
          <w:lang w:val="en-GB" w:eastAsia="en-US"/>
        </w:rPr>
        <w:t> </w:t>
      </w:r>
      <w:r w:rsidR="003231E3" w:rsidRPr="003231E3">
        <w:rPr>
          <w:rFonts w:ascii="Arial" w:hAnsi="Arial" w:cs="Arial"/>
          <w:i/>
          <w:sz w:val="20"/>
          <w:szCs w:val="20"/>
        </w:rPr>
        <w:t>2-24 a</w:t>
      </w:r>
      <w:r w:rsidR="003231E3">
        <w:rPr>
          <w:rFonts w:ascii="Arial" w:hAnsi="Arial" w:cs="Arial"/>
          <w:i/>
          <w:sz w:val="20"/>
          <w:szCs w:val="20"/>
        </w:rPr>
        <w:t>nd</w:t>
      </w:r>
      <w:r w:rsidR="003231E3" w:rsidRPr="003231E3">
        <w:rPr>
          <w:rFonts w:ascii="Arial" w:hAnsi="Arial" w:cs="Arial"/>
          <w:i/>
          <w:sz w:val="20"/>
          <w:szCs w:val="20"/>
        </w:rPr>
        <w:t xml:space="preserve"> 2-25</w:t>
      </w:r>
      <w:r w:rsidRPr="00E35786">
        <w:rPr>
          <w:rFonts w:ascii="Arial" w:hAnsi="Arial" w:cs="Arial"/>
          <w:i/>
          <w:color w:val="000000"/>
          <w:sz w:val="20"/>
          <w:szCs w:val="20"/>
          <w:lang w:val="en-GB" w:eastAsia="en-US"/>
        </w:rPr>
        <w:t xml:space="preserve">) and </w:t>
      </w:r>
      <w:r w:rsidR="00ED3809" w:rsidRPr="00E35786">
        <w:rPr>
          <w:rFonts w:ascii="Arial" w:hAnsi="Arial" w:cs="Arial"/>
          <w:i/>
          <w:color w:val="000000"/>
          <w:sz w:val="20"/>
          <w:szCs w:val="20"/>
          <w:lang w:val="en-GB" w:eastAsia="en-US"/>
        </w:rPr>
        <w:t xml:space="preserve">nurses and midwives </w:t>
      </w:r>
      <w:r w:rsidR="00A658DC" w:rsidRPr="00640144">
        <w:rPr>
          <w:rFonts w:ascii="Arial" w:hAnsi="Arial" w:cs="Arial"/>
          <w:i/>
          <w:color w:val="000000"/>
          <w:sz w:val="20"/>
          <w:szCs w:val="20"/>
          <w:lang w:val="en-GB" w:eastAsia="en-US"/>
        </w:rPr>
        <w:t>(</w:t>
      </w:r>
      <w:r w:rsidR="003231E3" w:rsidRPr="003231E3">
        <w:rPr>
          <w:rFonts w:ascii="Arial" w:hAnsi="Arial" w:cs="Arial"/>
          <w:i/>
          <w:color w:val="000000"/>
          <w:sz w:val="20"/>
          <w:szCs w:val="20"/>
          <w:lang w:val="en-GB" w:eastAsia="en-US"/>
        </w:rPr>
        <w:t>Table</w:t>
      </w:r>
      <w:r w:rsidR="003231E3">
        <w:rPr>
          <w:rFonts w:ascii="Arial" w:hAnsi="Arial" w:cs="Arial"/>
          <w:i/>
          <w:color w:val="000000"/>
          <w:sz w:val="20"/>
          <w:szCs w:val="20"/>
          <w:lang w:val="en-GB" w:eastAsia="en-US"/>
        </w:rPr>
        <w:t>s</w:t>
      </w:r>
      <w:r w:rsidR="003231E3" w:rsidRPr="003231E3">
        <w:rPr>
          <w:rFonts w:ascii="Arial" w:hAnsi="Arial" w:cs="Arial"/>
          <w:i/>
          <w:color w:val="000000"/>
          <w:sz w:val="20"/>
          <w:szCs w:val="20"/>
          <w:lang w:val="en-GB" w:eastAsia="en-US"/>
        </w:rPr>
        <w:t> </w:t>
      </w:r>
      <w:r w:rsidR="003231E3" w:rsidRPr="003231E3">
        <w:rPr>
          <w:rFonts w:ascii="Arial" w:hAnsi="Arial" w:cs="Arial"/>
          <w:i/>
          <w:sz w:val="20"/>
          <w:szCs w:val="20"/>
        </w:rPr>
        <w:t>2-2</w:t>
      </w:r>
      <w:r w:rsidR="00483B5E">
        <w:rPr>
          <w:rFonts w:ascii="Arial" w:hAnsi="Arial" w:cs="Arial"/>
          <w:i/>
          <w:sz w:val="20"/>
          <w:szCs w:val="20"/>
        </w:rPr>
        <w:t>6</w:t>
      </w:r>
      <w:r w:rsidR="003231E3" w:rsidRPr="003231E3">
        <w:rPr>
          <w:rFonts w:ascii="Arial" w:hAnsi="Arial" w:cs="Arial"/>
          <w:i/>
          <w:sz w:val="20"/>
          <w:szCs w:val="20"/>
        </w:rPr>
        <w:t xml:space="preserve"> a</w:t>
      </w:r>
      <w:r w:rsidR="003231E3">
        <w:rPr>
          <w:rFonts w:ascii="Arial" w:hAnsi="Arial" w:cs="Arial"/>
          <w:i/>
          <w:sz w:val="20"/>
          <w:szCs w:val="20"/>
        </w:rPr>
        <w:t>nd</w:t>
      </w:r>
      <w:r w:rsidR="003231E3" w:rsidRPr="003231E3">
        <w:rPr>
          <w:rFonts w:ascii="Arial" w:hAnsi="Arial" w:cs="Arial"/>
          <w:i/>
          <w:sz w:val="20"/>
          <w:szCs w:val="20"/>
        </w:rPr>
        <w:t xml:space="preserve"> 2-2</w:t>
      </w:r>
      <w:r w:rsidR="00483B5E">
        <w:rPr>
          <w:rFonts w:ascii="Arial" w:hAnsi="Arial" w:cs="Arial"/>
          <w:i/>
          <w:sz w:val="20"/>
          <w:szCs w:val="20"/>
        </w:rPr>
        <w:t>7</w:t>
      </w:r>
      <w:r w:rsidR="000F164E" w:rsidRPr="00E35786">
        <w:rPr>
          <w:rFonts w:ascii="Arial" w:hAnsi="Arial" w:cs="Arial"/>
          <w:i/>
          <w:color w:val="000000"/>
          <w:sz w:val="20"/>
          <w:szCs w:val="20"/>
          <w:lang w:val="en-GB" w:eastAsia="en-US"/>
        </w:rPr>
        <w:t xml:space="preserve">) come from </w:t>
      </w:r>
      <w:r w:rsidR="000F164E" w:rsidRPr="00E35786">
        <w:rPr>
          <w:rFonts w:ascii="Arial" w:hAnsi="Arial" w:cs="Arial"/>
          <w:b/>
          <w:i/>
          <w:color w:val="000000"/>
          <w:sz w:val="20"/>
          <w:szCs w:val="20"/>
          <w:lang w:val="en-GB" w:eastAsia="en-US"/>
        </w:rPr>
        <w:t>structural employee wage statistics</w:t>
      </w:r>
      <w:r w:rsidR="000F164E" w:rsidRPr="00E35786">
        <w:rPr>
          <w:rFonts w:ascii="Arial" w:hAnsi="Arial" w:cs="Arial"/>
          <w:i/>
          <w:color w:val="000000"/>
          <w:sz w:val="20"/>
          <w:szCs w:val="20"/>
          <w:lang w:val="en-GB" w:eastAsia="en-US"/>
        </w:rPr>
        <w:t xml:space="preserve">. </w:t>
      </w:r>
      <w:r w:rsidR="00ED3809" w:rsidRPr="00E35786">
        <w:rPr>
          <w:rFonts w:ascii="Arial" w:hAnsi="Arial" w:cs="Arial"/>
          <w:i/>
          <w:color w:val="000000"/>
          <w:sz w:val="20"/>
          <w:szCs w:val="20"/>
          <w:lang w:val="en-GB" w:eastAsia="en-US"/>
        </w:rPr>
        <w:t xml:space="preserve">The structural wage statistics is generated by merging of </w:t>
      </w:r>
      <w:r w:rsidR="00ED3809" w:rsidRPr="00E35786">
        <w:rPr>
          <w:rFonts w:ascii="Arial" w:hAnsi="Arial" w:cs="Arial"/>
          <w:bCs/>
          <w:i/>
          <w:sz w:val="20"/>
          <w:lang w:val="en-GB"/>
        </w:rPr>
        <w:t xml:space="preserve">data from the sample survey of the </w:t>
      </w:r>
      <w:r w:rsidR="00ED3809" w:rsidRPr="00E35786">
        <w:rPr>
          <w:rFonts w:ascii="Arial" w:hAnsi="Arial" w:cs="Arial"/>
          <w:b/>
          <w:bCs/>
          <w:i/>
          <w:sz w:val="20"/>
          <w:lang w:val="en-GB"/>
        </w:rPr>
        <w:t>Information System on Average Earnings</w:t>
      </w:r>
      <w:r w:rsidR="00ED3809" w:rsidRPr="00E35786">
        <w:rPr>
          <w:rFonts w:ascii="Arial" w:hAnsi="Arial" w:cs="Arial"/>
          <w:bCs/>
          <w:i/>
          <w:sz w:val="20"/>
          <w:lang w:val="en-GB"/>
        </w:rPr>
        <w:t xml:space="preserve"> of the Ministry of Labour and Social Affairs, which covers the wage sphere, and of the administrative data source of the </w:t>
      </w:r>
      <w:r w:rsidR="00ED3809" w:rsidRPr="00E35786">
        <w:rPr>
          <w:rFonts w:ascii="Arial" w:hAnsi="Arial" w:cs="Arial"/>
          <w:b/>
          <w:bCs/>
          <w:i/>
          <w:sz w:val="20"/>
          <w:lang w:val="en-GB"/>
        </w:rPr>
        <w:t>Salary Information System of the Ministry of Finance</w:t>
      </w:r>
      <w:r w:rsidR="00ED3809" w:rsidRPr="00E35786">
        <w:rPr>
          <w:rFonts w:ascii="Arial" w:hAnsi="Arial" w:cs="Arial"/>
          <w:bCs/>
          <w:i/>
          <w:sz w:val="20"/>
          <w:lang w:val="en-GB"/>
        </w:rPr>
        <w:t>, which exhaustively covers the salary sphere.</w:t>
      </w:r>
      <w:r w:rsidR="00A13BC7" w:rsidRPr="00E35786">
        <w:rPr>
          <w:rFonts w:ascii="Arial" w:hAnsi="Arial" w:cs="Arial"/>
          <w:bCs/>
          <w:i/>
          <w:sz w:val="20"/>
          <w:lang w:val="en-GB"/>
        </w:rPr>
        <w:t xml:space="preserve"> </w:t>
      </w:r>
      <w:r w:rsidR="00E5014D" w:rsidRPr="00E35786">
        <w:rPr>
          <w:rFonts w:ascii="Arial" w:hAnsi="Arial" w:cs="Arial"/>
          <w:bCs/>
          <w:i/>
          <w:sz w:val="20"/>
          <w:lang w:val="en-GB"/>
        </w:rPr>
        <w:t xml:space="preserve">Within </w:t>
      </w:r>
      <w:r w:rsidR="00E2785B">
        <w:rPr>
          <w:rFonts w:ascii="Arial" w:hAnsi="Arial" w:cs="Arial"/>
          <w:bCs/>
          <w:i/>
          <w:sz w:val="20"/>
          <w:lang w:val="en-GB"/>
        </w:rPr>
        <w:t xml:space="preserve">the </w:t>
      </w:r>
      <w:r w:rsidR="00E5014D" w:rsidRPr="00E35786">
        <w:rPr>
          <w:rFonts w:ascii="Arial" w:hAnsi="Arial" w:cs="Arial"/>
          <w:bCs/>
          <w:i/>
          <w:sz w:val="20"/>
          <w:lang w:val="en-GB"/>
        </w:rPr>
        <w:t>structural wage statistics, wages of individual employees are measured</w:t>
      </w:r>
      <w:r w:rsidR="00164F77" w:rsidRPr="00E35786">
        <w:rPr>
          <w:rFonts w:ascii="Arial" w:hAnsi="Arial" w:cs="Arial"/>
          <w:bCs/>
          <w:i/>
          <w:sz w:val="20"/>
          <w:lang w:val="en-GB"/>
        </w:rPr>
        <w:t xml:space="preserve"> directly</w:t>
      </w:r>
      <w:r w:rsidR="00E5014D" w:rsidRPr="00E35786">
        <w:rPr>
          <w:rFonts w:ascii="Arial" w:hAnsi="Arial" w:cs="Arial"/>
          <w:bCs/>
          <w:i/>
          <w:sz w:val="20"/>
          <w:lang w:val="en-GB"/>
        </w:rPr>
        <w:t xml:space="preserve"> (not total volumes on the level of businesses or organisations obtained from</w:t>
      </w:r>
      <w:r w:rsidR="00C57442" w:rsidRPr="00E35786">
        <w:rPr>
          <w:rFonts w:ascii="Arial" w:hAnsi="Arial" w:cs="Arial"/>
          <w:bCs/>
          <w:i/>
          <w:sz w:val="20"/>
          <w:lang w:val="en-GB"/>
        </w:rPr>
        <w:t xml:space="preserve"> statistical</w:t>
      </w:r>
      <w:r w:rsidR="0025791B" w:rsidRPr="00E35786">
        <w:rPr>
          <w:rFonts w:ascii="Arial" w:hAnsi="Arial" w:cs="Arial"/>
          <w:bCs/>
          <w:i/>
          <w:sz w:val="20"/>
          <w:lang w:val="en-GB"/>
        </w:rPr>
        <w:t xml:space="preserve"> </w:t>
      </w:r>
      <w:r w:rsidR="00C57442" w:rsidRPr="00E35786">
        <w:rPr>
          <w:rFonts w:ascii="Arial" w:hAnsi="Arial" w:cs="Arial"/>
          <w:bCs/>
          <w:i/>
          <w:sz w:val="20"/>
          <w:lang w:val="en-GB"/>
        </w:rPr>
        <w:t>reports</w:t>
      </w:r>
      <w:r w:rsidR="001C04FD" w:rsidRPr="00E35786">
        <w:rPr>
          <w:rFonts w:ascii="Arial" w:hAnsi="Arial" w:cs="Arial"/>
          <w:bCs/>
          <w:i/>
          <w:sz w:val="20"/>
          <w:lang w:val="en-GB"/>
        </w:rPr>
        <w:t xml:space="preserve"> (</w:t>
      </w:r>
      <w:r w:rsidR="00C57442" w:rsidRPr="00E35786">
        <w:rPr>
          <w:rFonts w:ascii="Arial" w:hAnsi="Arial" w:cs="Arial"/>
          <w:bCs/>
          <w:i/>
          <w:sz w:val="20"/>
          <w:lang w:val="en-GB"/>
        </w:rPr>
        <w:t>questionnaires</w:t>
      </w:r>
      <w:r w:rsidR="001C04FD" w:rsidRPr="00E35786">
        <w:rPr>
          <w:rFonts w:ascii="Arial" w:hAnsi="Arial" w:cs="Arial"/>
          <w:bCs/>
          <w:i/>
          <w:sz w:val="20"/>
          <w:lang w:val="en-GB"/>
        </w:rPr>
        <w:t>)</w:t>
      </w:r>
      <w:r w:rsidR="00C57442" w:rsidRPr="00E35786">
        <w:rPr>
          <w:rFonts w:ascii="Arial" w:hAnsi="Arial" w:cs="Arial"/>
          <w:bCs/>
          <w:i/>
          <w:sz w:val="20"/>
          <w:lang w:val="en-GB"/>
        </w:rPr>
        <w:t xml:space="preserve"> from businesses for</w:t>
      </w:r>
      <w:r w:rsidR="00E5014D" w:rsidRPr="00E35786">
        <w:rPr>
          <w:rFonts w:ascii="Arial" w:hAnsi="Arial" w:cs="Arial"/>
          <w:bCs/>
          <w:i/>
          <w:sz w:val="20"/>
          <w:lang w:val="en-GB"/>
        </w:rPr>
        <w:t xml:space="preserve"> the CZSO), which serve to detailed analyses of the labour market and its development within individual </w:t>
      </w:r>
      <w:r w:rsidR="001D55BA" w:rsidRPr="00E35786">
        <w:rPr>
          <w:rFonts w:ascii="Arial" w:hAnsi="Arial" w:cs="Arial"/>
          <w:bCs/>
          <w:i/>
          <w:sz w:val="20"/>
          <w:lang w:val="en-GB"/>
        </w:rPr>
        <w:t>occupations</w:t>
      </w:r>
      <w:r w:rsidR="00E5014D" w:rsidRPr="00E35786">
        <w:rPr>
          <w:rFonts w:ascii="Arial" w:hAnsi="Arial" w:cs="Arial"/>
          <w:bCs/>
          <w:i/>
          <w:sz w:val="20"/>
          <w:lang w:val="en-GB"/>
        </w:rPr>
        <w:t xml:space="preserve"> by sex, age, education, the salary sphere versus the wage sphere</w:t>
      </w:r>
      <w:r w:rsidR="001D55BA" w:rsidRPr="00E35786">
        <w:rPr>
          <w:rFonts w:ascii="Arial" w:hAnsi="Arial" w:cs="Arial"/>
          <w:bCs/>
          <w:i/>
          <w:sz w:val="20"/>
          <w:lang w:val="en-GB"/>
        </w:rPr>
        <w:t>,</w:t>
      </w:r>
      <w:r w:rsidR="00E5014D" w:rsidRPr="00E35786">
        <w:rPr>
          <w:rFonts w:ascii="Arial" w:hAnsi="Arial" w:cs="Arial"/>
          <w:bCs/>
          <w:i/>
          <w:sz w:val="20"/>
          <w:lang w:val="en-GB"/>
        </w:rPr>
        <w:t xml:space="preserve"> or a Region, in which they work. Data provided in these tables are also dif</w:t>
      </w:r>
      <w:r w:rsidR="001D55BA" w:rsidRPr="00E35786">
        <w:rPr>
          <w:rFonts w:ascii="Arial" w:hAnsi="Arial" w:cs="Arial"/>
          <w:bCs/>
          <w:i/>
          <w:sz w:val="20"/>
          <w:lang w:val="en-GB"/>
        </w:rPr>
        <w:t xml:space="preserve">ferent due to the methodology </w:t>
      </w:r>
      <w:r w:rsidR="00E5014D" w:rsidRPr="00E35786">
        <w:rPr>
          <w:rFonts w:ascii="Arial" w:hAnsi="Arial" w:cs="Arial"/>
          <w:bCs/>
          <w:i/>
          <w:sz w:val="20"/>
          <w:lang w:val="en-GB"/>
        </w:rPr>
        <w:t>from the data on remuneration of health professionals published by the Institute</w:t>
      </w:r>
      <w:r w:rsidR="00F23B59" w:rsidRPr="00E35786">
        <w:rPr>
          <w:rFonts w:ascii="Arial" w:hAnsi="Arial" w:cs="Arial"/>
          <w:bCs/>
          <w:i/>
          <w:sz w:val="20"/>
          <w:lang w:val="en-GB"/>
        </w:rPr>
        <w:t xml:space="preserve"> </w:t>
      </w:r>
      <w:r w:rsidR="00F23B59" w:rsidRPr="00E35786">
        <w:rPr>
          <w:rFonts w:ascii="Arial" w:hAnsi="Arial" w:cs="Arial"/>
          <w:i/>
          <w:iCs/>
          <w:sz w:val="20"/>
          <w:szCs w:val="17"/>
          <w:lang w:val="en-GB"/>
        </w:rPr>
        <w:t xml:space="preserve">of Health Information and Statistics of the CR, which come from their </w:t>
      </w:r>
      <w:r w:rsidR="000D7A11" w:rsidRPr="00E35786">
        <w:rPr>
          <w:rFonts w:ascii="Arial" w:hAnsi="Arial" w:cs="Arial"/>
          <w:i/>
          <w:iCs/>
          <w:sz w:val="20"/>
          <w:szCs w:val="17"/>
          <w:lang w:val="en-GB"/>
        </w:rPr>
        <w:t xml:space="preserve">statistical </w:t>
      </w:r>
      <w:r w:rsidR="00F23B59" w:rsidRPr="00E35786">
        <w:rPr>
          <w:rFonts w:ascii="Arial" w:hAnsi="Arial" w:cs="Arial"/>
          <w:i/>
          <w:iCs/>
          <w:sz w:val="20"/>
          <w:szCs w:val="17"/>
          <w:lang w:val="en-GB"/>
        </w:rPr>
        <w:t>questionnaires</w:t>
      </w:r>
      <w:r w:rsidR="000D7A11" w:rsidRPr="00640144">
        <w:rPr>
          <w:rFonts w:ascii="Arial" w:hAnsi="Arial" w:cs="Arial"/>
          <w:i/>
          <w:iCs/>
          <w:sz w:val="20"/>
          <w:szCs w:val="17"/>
          <w:lang w:val="en-GB"/>
        </w:rPr>
        <w:t xml:space="preserve"> (reports)</w:t>
      </w:r>
      <w:r w:rsidR="00F23B59" w:rsidRPr="00E35786">
        <w:rPr>
          <w:rFonts w:ascii="Arial" w:hAnsi="Arial" w:cs="Arial"/>
          <w:i/>
          <w:iCs/>
          <w:sz w:val="20"/>
          <w:szCs w:val="17"/>
          <w:lang w:val="en-GB"/>
        </w:rPr>
        <w:t>.</w:t>
      </w:r>
      <w:r w:rsidR="001D55BA" w:rsidRPr="00E35786">
        <w:rPr>
          <w:rFonts w:ascii="Arial" w:hAnsi="Arial" w:cs="Arial"/>
          <w:i/>
          <w:color w:val="000000"/>
          <w:sz w:val="20"/>
          <w:szCs w:val="20"/>
          <w:lang w:eastAsia="en-US"/>
        </w:rPr>
        <w:t xml:space="preserve">            </w:t>
      </w:r>
      <w:r w:rsidR="00D41F68" w:rsidRPr="00E35786">
        <w:rPr>
          <w:rFonts w:ascii="Arial" w:hAnsi="Arial" w:cs="Arial"/>
          <w:i/>
          <w:color w:val="000000"/>
          <w:sz w:val="20"/>
          <w:szCs w:val="20"/>
          <w:lang w:eastAsia="en-US"/>
        </w:rPr>
        <w:t xml:space="preserve"> </w:t>
      </w:r>
      <w:r w:rsidR="001D55BA" w:rsidRPr="00E35786">
        <w:rPr>
          <w:rFonts w:ascii="Arial" w:hAnsi="Arial" w:cs="Arial"/>
          <w:i/>
          <w:color w:val="000000"/>
          <w:sz w:val="20"/>
          <w:szCs w:val="20"/>
          <w:lang w:eastAsia="en-US"/>
        </w:rPr>
        <w:t xml:space="preserve">          </w:t>
      </w:r>
      <w:r w:rsidR="00D41F68" w:rsidRPr="00E35786">
        <w:rPr>
          <w:rFonts w:ascii="Arial" w:hAnsi="Arial" w:cs="Arial"/>
          <w:i/>
          <w:sz w:val="20"/>
          <w:szCs w:val="20"/>
        </w:rPr>
        <w:t xml:space="preserve"> </w:t>
      </w:r>
      <w:r w:rsidR="00D41F68" w:rsidRPr="00E35786">
        <w:rPr>
          <w:rFonts w:ascii="Arial" w:hAnsi="Arial" w:cs="Arial"/>
          <w:i/>
          <w:color w:val="000000"/>
          <w:sz w:val="20"/>
          <w:szCs w:val="20"/>
          <w:lang w:eastAsia="en-US"/>
        </w:rPr>
        <w:t xml:space="preserve">  </w:t>
      </w:r>
    </w:p>
    <w:p w14:paraId="22F52998" w14:textId="77777777" w:rsidR="003415B1" w:rsidRPr="00E35786" w:rsidRDefault="003415B1" w:rsidP="003415B1">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The</w:t>
      </w:r>
      <w:r w:rsidRPr="00E35786">
        <w:rPr>
          <w:rFonts w:ascii="Arial" w:hAnsi="Arial" w:cs="Arial"/>
          <w:b/>
          <w:i/>
          <w:color w:val="000000"/>
          <w:sz w:val="20"/>
          <w:szCs w:val="20"/>
          <w:lang w:val="en-GB" w:eastAsia="en-US"/>
        </w:rPr>
        <w:t xml:space="preserve"> wage sphere</w:t>
      </w:r>
      <w:r w:rsidRPr="00E35786">
        <w:rPr>
          <w:rFonts w:ascii="Arial" w:hAnsi="Arial" w:cs="Arial"/>
          <w:i/>
          <w:color w:val="000000"/>
          <w:sz w:val="20"/>
          <w:szCs w:val="20"/>
          <w:lang w:val="en-GB" w:eastAsia="en-US"/>
        </w:rPr>
        <w:t xml:space="preserve"> includes all private health establishments including regional and municipal hospitals (joint stock companies).</w:t>
      </w:r>
    </w:p>
    <w:p w14:paraId="2F6A7AC8" w14:textId="5726743B" w:rsidR="003415B1" w:rsidRPr="00E35786" w:rsidRDefault="003415B1" w:rsidP="003415B1">
      <w:pPr>
        <w:spacing w:before="120"/>
        <w:ind w:firstLine="709"/>
        <w:jc w:val="both"/>
        <w:rPr>
          <w:rFonts w:ascii="Arial" w:hAnsi="Arial" w:cs="Arial"/>
          <w:i/>
        </w:rPr>
      </w:pPr>
      <w:r w:rsidRPr="00E35786">
        <w:rPr>
          <w:rFonts w:ascii="Arial" w:hAnsi="Arial" w:cs="Arial"/>
          <w:i/>
          <w:color w:val="000000"/>
          <w:sz w:val="20"/>
          <w:szCs w:val="20"/>
          <w:lang w:val="en-GB" w:eastAsia="en-US"/>
        </w:rPr>
        <w:t>The</w:t>
      </w:r>
      <w:r w:rsidRPr="00E35786">
        <w:rPr>
          <w:rFonts w:ascii="Arial" w:hAnsi="Arial" w:cs="Arial"/>
          <w:b/>
          <w:i/>
          <w:color w:val="000000"/>
          <w:sz w:val="20"/>
          <w:szCs w:val="20"/>
          <w:lang w:val="en-GB" w:eastAsia="en-US"/>
        </w:rPr>
        <w:t xml:space="preserve"> salary sphere </w:t>
      </w:r>
      <w:r w:rsidRPr="00E35786">
        <w:rPr>
          <w:rFonts w:ascii="Arial" w:hAnsi="Arial" w:cs="Arial"/>
          <w:i/>
          <w:color w:val="000000"/>
          <w:sz w:val="20"/>
          <w:szCs w:val="20"/>
          <w:lang w:val="en-GB" w:eastAsia="en-US"/>
        </w:rPr>
        <w:t>includes health establishments directly controlled by the Ministry of Health (e.g.</w:t>
      </w:r>
      <w:r w:rsidR="008D42AB" w:rsidRPr="00E35786">
        <w:rPr>
          <w:rFonts w:ascii="Arial" w:hAnsi="Arial" w:cs="Arial"/>
          <w:i/>
          <w:color w:val="000000"/>
          <w:sz w:val="20"/>
          <w:szCs w:val="20"/>
          <w:lang w:val="en-GB" w:eastAsia="en-US"/>
        </w:rPr>
        <w:t xml:space="preserve"> </w:t>
      </w:r>
      <w:r w:rsidRPr="00E35786">
        <w:rPr>
          <w:rFonts w:ascii="Arial" w:hAnsi="Arial" w:cs="Arial"/>
          <w:i/>
          <w:color w:val="000000"/>
          <w:sz w:val="20"/>
          <w:szCs w:val="20"/>
          <w:lang w:val="en-GB" w:eastAsia="en-US"/>
        </w:rPr>
        <w:t>university</w:t>
      </w:r>
      <w:r w:rsidR="008D42AB" w:rsidRPr="00E35786">
        <w:rPr>
          <w:rFonts w:ascii="Arial" w:hAnsi="Arial" w:cs="Arial"/>
          <w:i/>
          <w:color w:val="000000"/>
          <w:sz w:val="20"/>
          <w:szCs w:val="20"/>
          <w:lang w:val="en-GB" w:eastAsia="en-US"/>
        </w:rPr>
        <w:t xml:space="preserve"> (teaching)</w:t>
      </w:r>
      <w:r w:rsidRPr="00E35786">
        <w:rPr>
          <w:rFonts w:ascii="Arial" w:hAnsi="Arial" w:cs="Arial"/>
          <w:i/>
          <w:color w:val="000000"/>
          <w:sz w:val="20"/>
          <w:szCs w:val="20"/>
          <w:lang w:val="en-GB" w:eastAsia="en-US"/>
        </w:rPr>
        <w:t xml:space="preserve"> hospitals and specialised therapeutic institutions / medical institutes) or semi-budgetary organisations of Regions. </w:t>
      </w:r>
    </w:p>
    <w:p w14:paraId="21BF2C71" w14:textId="3699F8F3" w:rsidR="007C2C9B" w:rsidRPr="00E35786" w:rsidRDefault="00F74AC4" w:rsidP="00D41F68">
      <w:pPr>
        <w:jc w:val="both"/>
        <w:rPr>
          <w:rFonts w:ascii="Arial" w:hAnsi="Arial" w:cs="Arial"/>
          <w:i/>
          <w:sz w:val="20"/>
          <w:szCs w:val="20"/>
        </w:rPr>
      </w:pPr>
      <w:r w:rsidRPr="00640144">
        <w:rPr>
          <w:rFonts w:ascii="Arial" w:hAnsi="Arial" w:cs="Arial"/>
          <w:i/>
          <w:sz w:val="20"/>
          <w:szCs w:val="20"/>
        </w:rPr>
        <w:tab/>
      </w:r>
    </w:p>
    <w:p w14:paraId="42E75AEC" w14:textId="715126AB" w:rsidR="007C2C9B" w:rsidRPr="00E35786" w:rsidRDefault="00F74AC4" w:rsidP="00E35786">
      <w:pPr>
        <w:ind w:firstLine="709"/>
        <w:jc w:val="both"/>
        <w:rPr>
          <w:rFonts w:ascii="Arial" w:hAnsi="Arial" w:cs="Arial"/>
          <w:i/>
          <w:sz w:val="20"/>
          <w:szCs w:val="20"/>
          <w:lang w:val="en-GB"/>
        </w:rPr>
      </w:pPr>
      <w:r w:rsidRPr="00640144">
        <w:rPr>
          <w:rFonts w:ascii="Arial" w:hAnsi="Arial" w:cs="Arial"/>
          <w:i/>
          <w:sz w:val="20"/>
          <w:szCs w:val="20"/>
          <w:lang w:val="en-GB"/>
        </w:rPr>
        <w:t xml:space="preserve">The </w:t>
      </w:r>
      <w:r w:rsidRPr="00E35786">
        <w:rPr>
          <w:rFonts w:ascii="Arial" w:hAnsi="Arial" w:cs="Arial"/>
          <w:b/>
          <w:i/>
          <w:sz w:val="20"/>
          <w:szCs w:val="20"/>
          <w:lang w:val="en-GB"/>
        </w:rPr>
        <w:t>average gross monthly wage</w:t>
      </w:r>
      <w:r w:rsidRPr="00640144">
        <w:rPr>
          <w:rFonts w:ascii="Arial" w:hAnsi="Arial" w:cs="Arial"/>
          <w:i/>
          <w:sz w:val="20"/>
          <w:szCs w:val="20"/>
          <w:lang w:val="en-GB"/>
        </w:rPr>
        <w:t xml:space="preserve"> </w:t>
      </w:r>
      <w:r w:rsidRPr="00E35786">
        <w:rPr>
          <w:rFonts w:ascii="Arial" w:hAnsi="Arial" w:cs="Arial"/>
          <w:i/>
          <w:sz w:val="20"/>
          <w:szCs w:val="20"/>
          <w:lang w:val="en-GB"/>
        </w:rPr>
        <w:t xml:space="preserve">– the following </w:t>
      </w:r>
      <w:r w:rsidR="005463F0">
        <w:rPr>
          <w:rFonts w:ascii="Arial" w:hAnsi="Arial" w:cs="Arial"/>
          <w:i/>
          <w:sz w:val="20"/>
          <w:szCs w:val="20"/>
          <w:lang w:val="en-GB"/>
        </w:rPr>
        <w:t>are</w:t>
      </w:r>
      <w:r w:rsidR="005463F0" w:rsidRPr="00E35786">
        <w:rPr>
          <w:rFonts w:ascii="Arial" w:hAnsi="Arial" w:cs="Arial"/>
          <w:i/>
          <w:sz w:val="20"/>
          <w:szCs w:val="20"/>
          <w:lang w:val="en-GB"/>
        </w:rPr>
        <w:t xml:space="preserve"> </w:t>
      </w:r>
      <w:r w:rsidRPr="00E35786">
        <w:rPr>
          <w:rFonts w:ascii="Arial" w:hAnsi="Arial" w:cs="Arial"/>
          <w:i/>
          <w:sz w:val="20"/>
          <w:szCs w:val="20"/>
          <w:lang w:val="en-GB"/>
        </w:rPr>
        <w:t>included in the calculation:</w:t>
      </w:r>
      <w:r w:rsidRPr="00640144">
        <w:rPr>
          <w:rFonts w:ascii="Arial" w:hAnsi="Arial" w:cs="Arial"/>
          <w:i/>
          <w:sz w:val="20"/>
          <w:szCs w:val="20"/>
          <w:lang w:val="en-GB"/>
        </w:rPr>
        <w:t xml:space="preserve"> </w:t>
      </w:r>
      <w:r w:rsidR="007C2C9B" w:rsidRPr="00E35786">
        <w:rPr>
          <w:rFonts w:ascii="Arial" w:hAnsi="Arial" w:cs="Arial"/>
          <w:i/>
          <w:sz w:val="20"/>
          <w:szCs w:val="20"/>
          <w:lang w:val="en-GB"/>
        </w:rPr>
        <w:t xml:space="preserve">basic wages and salaries, payments additional to wage or salary, bonuses, compensation for wages and salaries, bonuses for standby duty, and other wage or salary components charged to be paid to employees in a given period. The wages do not include compensation of wages or salaries for temporary incapacity </w:t>
      </w:r>
      <w:r w:rsidR="0026596A" w:rsidRPr="00640144">
        <w:rPr>
          <w:rFonts w:ascii="Arial" w:hAnsi="Arial" w:cs="Arial"/>
          <w:i/>
          <w:sz w:val="20"/>
          <w:szCs w:val="20"/>
          <w:lang w:val="en-GB"/>
        </w:rPr>
        <w:t>for</w:t>
      </w:r>
      <w:r w:rsidR="007C2C9B" w:rsidRPr="00E35786">
        <w:rPr>
          <w:rFonts w:ascii="Arial" w:hAnsi="Arial" w:cs="Arial"/>
          <w:i/>
          <w:sz w:val="20"/>
          <w:szCs w:val="20"/>
          <w:lang w:val="en-GB"/>
        </w:rPr>
        <w:t xml:space="preserve"> work and quarantine paid by the employer. They are gross wages, i.e. before premiums for public health insurance and social security, income tax advances of natural persons, and other statutory deductions or deductions agreed with the employee.</w:t>
      </w:r>
      <w:r w:rsidRPr="00640144">
        <w:rPr>
          <w:rFonts w:ascii="Arial" w:hAnsi="Arial" w:cs="Arial"/>
          <w:i/>
          <w:sz w:val="20"/>
          <w:szCs w:val="20"/>
          <w:lang w:val="en-GB"/>
        </w:rPr>
        <w:t xml:space="preserve"> It is the arithmetic mean. </w:t>
      </w:r>
    </w:p>
    <w:p w14:paraId="3625B053" w14:textId="021A47DD" w:rsidR="008E1E5B" w:rsidRPr="00E35786" w:rsidRDefault="008E1E5B" w:rsidP="00D41F68">
      <w:pPr>
        <w:spacing w:before="120"/>
        <w:ind w:firstLine="714"/>
        <w:jc w:val="both"/>
        <w:rPr>
          <w:rFonts w:ascii="Arial" w:hAnsi="Arial" w:cs="Arial"/>
          <w:i/>
          <w:sz w:val="20"/>
          <w:szCs w:val="20"/>
          <w:lang w:val="en-GB"/>
        </w:rPr>
      </w:pPr>
      <w:r w:rsidRPr="00E35786">
        <w:rPr>
          <w:rFonts w:ascii="Arial" w:hAnsi="Arial" w:cs="Arial"/>
          <w:i/>
          <w:sz w:val="20"/>
          <w:szCs w:val="20"/>
          <w:lang w:val="en-GB"/>
        </w:rPr>
        <w:t>T</w:t>
      </w:r>
      <w:r w:rsidR="00FF3809" w:rsidRPr="00E35786">
        <w:rPr>
          <w:rFonts w:ascii="Arial" w:hAnsi="Arial" w:cs="Arial"/>
          <w:i/>
          <w:sz w:val="20"/>
          <w:szCs w:val="20"/>
          <w:lang w:val="en-GB"/>
        </w:rPr>
        <w:t>he</w:t>
      </w:r>
      <w:r w:rsidR="006205A5" w:rsidRPr="00640144">
        <w:rPr>
          <w:rFonts w:ascii="Arial" w:hAnsi="Arial" w:cs="Arial"/>
          <w:i/>
          <w:sz w:val="20"/>
          <w:szCs w:val="20"/>
          <w:lang w:val="en-GB"/>
        </w:rPr>
        <w:t xml:space="preserve"> </w:t>
      </w:r>
      <w:r w:rsidR="006205A5" w:rsidRPr="00E35786">
        <w:rPr>
          <w:rFonts w:ascii="Arial" w:hAnsi="Arial" w:cs="Arial"/>
          <w:b/>
          <w:i/>
          <w:sz w:val="20"/>
          <w:szCs w:val="20"/>
          <w:lang w:val="en-GB"/>
        </w:rPr>
        <w:t>median</w:t>
      </w:r>
      <w:r w:rsidR="00FF3809" w:rsidRPr="00E35786">
        <w:rPr>
          <w:rFonts w:ascii="Arial" w:hAnsi="Arial" w:cs="Arial"/>
          <w:i/>
          <w:sz w:val="20"/>
          <w:szCs w:val="20"/>
          <w:lang w:val="en-GB"/>
        </w:rPr>
        <w:t xml:space="preserve"> </w:t>
      </w:r>
      <w:r w:rsidRPr="00E35786">
        <w:rPr>
          <w:rFonts w:ascii="Arial" w:hAnsi="Arial" w:cs="Arial"/>
          <w:b/>
          <w:i/>
          <w:sz w:val="20"/>
          <w:szCs w:val="20"/>
          <w:lang w:val="en-GB"/>
        </w:rPr>
        <w:t>gross monthly</w:t>
      </w:r>
      <w:r w:rsidR="00FF3809" w:rsidRPr="00E35786">
        <w:rPr>
          <w:rFonts w:ascii="Arial" w:hAnsi="Arial" w:cs="Arial"/>
          <w:b/>
          <w:i/>
          <w:sz w:val="20"/>
          <w:szCs w:val="20"/>
          <w:lang w:val="en-GB"/>
        </w:rPr>
        <w:t xml:space="preserve"> </w:t>
      </w:r>
      <w:r w:rsidRPr="00E35786">
        <w:rPr>
          <w:rFonts w:ascii="Arial" w:hAnsi="Arial" w:cs="Arial"/>
          <w:b/>
          <w:i/>
          <w:sz w:val="20"/>
          <w:szCs w:val="20"/>
          <w:lang w:val="en-GB"/>
        </w:rPr>
        <w:t>wage</w:t>
      </w:r>
      <w:r w:rsidR="00D41F68" w:rsidRPr="00E35786">
        <w:rPr>
          <w:rFonts w:ascii="Arial" w:hAnsi="Arial" w:cs="Arial"/>
          <w:i/>
          <w:sz w:val="20"/>
          <w:szCs w:val="20"/>
          <w:lang w:val="en-GB"/>
        </w:rPr>
        <w:t xml:space="preserve"> – </w:t>
      </w:r>
      <w:r w:rsidRPr="00E35786">
        <w:rPr>
          <w:rFonts w:ascii="Arial" w:hAnsi="Arial" w:cs="Arial"/>
          <w:i/>
          <w:sz w:val="20"/>
          <w:szCs w:val="20"/>
          <w:lang w:val="en-GB"/>
        </w:rPr>
        <w:t>when we arrange</w:t>
      </w:r>
      <w:r w:rsidR="00812426" w:rsidRPr="00E35786">
        <w:rPr>
          <w:rFonts w:ascii="Arial" w:hAnsi="Arial" w:cs="Arial"/>
          <w:i/>
          <w:sz w:val="20"/>
          <w:szCs w:val="20"/>
          <w:lang w:val="en-GB"/>
        </w:rPr>
        <w:t xml:space="preserve"> wages of all employees from the highest wage down to the lowest one, then the employee who is right in the middle with his/her wage takes the median wage. </w:t>
      </w:r>
      <w:r w:rsidRPr="00E35786">
        <w:rPr>
          <w:rFonts w:ascii="Arial" w:hAnsi="Arial" w:cs="Arial"/>
          <w:i/>
          <w:sz w:val="20"/>
          <w:szCs w:val="20"/>
          <w:lang w:val="en-GB"/>
        </w:rPr>
        <w:t xml:space="preserve"> </w:t>
      </w:r>
    </w:p>
    <w:p w14:paraId="39EFF5F9" w14:textId="6A94BF70" w:rsidR="004C647A" w:rsidRPr="00E35786" w:rsidRDefault="004C647A" w:rsidP="00D41F68">
      <w:pPr>
        <w:spacing w:before="120"/>
        <w:ind w:firstLine="714"/>
        <w:jc w:val="both"/>
        <w:rPr>
          <w:rFonts w:ascii="Arial" w:hAnsi="Arial" w:cs="Arial"/>
          <w:i/>
          <w:sz w:val="20"/>
          <w:szCs w:val="20"/>
        </w:rPr>
      </w:pPr>
      <w:r w:rsidRPr="00E35786">
        <w:rPr>
          <w:rFonts w:ascii="Arial" w:hAnsi="Arial" w:cs="Arial"/>
          <w:i/>
          <w:color w:val="000000"/>
          <w:sz w:val="20"/>
          <w:szCs w:val="20"/>
          <w:lang w:val="en-GB" w:eastAsia="en-US"/>
        </w:rPr>
        <w:t>The</w:t>
      </w:r>
      <w:r w:rsidRPr="00E35786">
        <w:rPr>
          <w:rFonts w:ascii="Arial" w:hAnsi="Arial" w:cs="Arial"/>
          <w:b/>
          <w:i/>
          <w:color w:val="000000"/>
          <w:sz w:val="20"/>
          <w:szCs w:val="20"/>
          <w:lang w:val="en-GB" w:eastAsia="en-US"/>
        </w:rPr>
        <w:t xml:space="preserve"> Classification of Occupations (CZ-ISCO)</w:t>
      </w:r>
      <w:r w:rsidRPr="00E35786">
        <w:rPr>
          <w:rFonts w:ascii="Arial" w:hAnsi="Arial" w:cs="Arial"/>
          <w:i/>
          <w:color w:val="000000"/>
          <w:sz w:val="20"/>
          <w:szCs w:val="20"/>
          <w:lang w:val="en-GB" w:eastAsia="en-US"/>
        </w:rPr>
        <w:t xml:space="preserve"> was used to define selected groups of health professionals. The following two main categories of employees in the health sector were selected by means of the classification:</w:t>
      </w:r>
    </w:p>
    <w:p w14:paraId="7E971C33" w14:textId="4A5CFCBC" w:rsidR="00D41F68" w:rsidRPr="00E35786" w:rsidRDefault="00597046" w:rsidP="00D41F68">
      <w:pPr>
        <w:spacing w:before="120"/>
        <w:ind w:firstLine="714"/>
        <w:jc w:val="both"/>
        <w:rPr>
          <w:rFonts w:ascii="Arial" w:hAnsi="Arial" w:cs="Arial"/>
          <w:i/>
          <w:sz w:val="20"/>
          <w:szCs w:val="20"/>
          <w:lang w:val="en-GB"/>
        </w:rPr>
      </w:pPr>
      <w:r w:rsidRPr="00E35786">
        <w:rPr>
          <w:rFonts w:ascii="Arial" w:hAnsi="Arial" w:cs="Arial"/>
          <w:b/>
          <w:i/>
          <w:sz w:val="20"/>
          <w:szCs w:val="20"/>
          <w:lang w:val="en-GB"/>
        </w:rPr>
        <w:t>Medical doctors</w:t>
      </w:r>
      <w:r w:rsidR="00D41F68" w:rsidRPr="00E35786">
        <w:rPr>
          <w:rFonts w:ascii="Arial" w:hAnsi="Arial" w:cs="Arial"/>
          <w:i/>
          <w:sz w:val="20"/>
          <w:szCs w:val="20"/>
          <w:lang w:val="en-GB"/>
        </w:rPr>
        <w:t xml:space="preserve"> </w:t>
      </w:r>
      <w:r w:rsidRPr="00E35786">
        <w:rPr>
          <w:rFonts w:ascii="Arial" w:hAnsi="Arial" w:cs="Arial"/>
          <w:i/>
          <w:sz w:val="20"/>
          <w:szCs w:val="20"/>
          <w:lang w:val="en-GB"/>
        </w:rPr>
        <w:t>except for dentists</w:t>
      </w:r>
      <w:r w:rsidR="00D41F68" w:rsidRPr="00E35786">
        <w:rPr>
          <w:rFonts w:ascii="Arial" w:hAnsi="Arial" w:cs="Arial"/>
          <w:i/>
          <w:sz w:val="20"/>
          <w:szCs w:val="20"/>
          <w:lang w:val="en-GB"/>
        </w:rPr>
        <w:t xml:space="preserve"> (</w:t>
      </w:r>
      <w:r w:rsidR="003E48BD" w:rsidRPr="00E35786">
        <w:rPr>
          <w:rFonts w:ascii="Arial" w:hAnsi="Arial" w:cs="Arial"/>
          <w:i/>
          <w:sz w:val="20"/>
          <w:szCs w:val="20"/>
          <w:lang w:val="en-GB"/>
        </w:rPr>
        <w:t>subgroup</w:t>
      </w:r>
      <w:r w:rsidR="00D41F68" w:rsidRPr="00E35786">
        <w:rPr>
          <w:rFonts w:ascii="Arial" w:hAnsi="Arial" w:cs="Arial"/>
          <w:i/>
          <w:sz w:val="20"/>
          <w:szCs w:val="20"/>
          <w:lang w:val="en-GB"/>
        </w:rPr>
        <w:t xml:space="preserve"> 221);</w:t>
      </w:r>
    </w:p>
    <w:p w14:paraId="0621D68A" w14:textId="26B13451" w:rsidR="00D41F68" w:rsidRPr="00E35786" w:rsidRDefault="00BE6C37" w:rsidP="00D41F68">
      <w:pPr>
        <w:spacing w:before="120"/>
        <w:ind w:firstLine="714"/>
        <w:jc w:val="both"/>
        <w:rPr>
          <w:rFonts w:ascii="Arial" w:hAnsi="Arial" w:cs="Arial"/>
          <w:i/>
          <w:sz w:val="20"/>
          <w:szCs w:val="20"/>
        </w:rPr>
      </w:pPr>
      <w:r w:rsidRPr="00E35786">
        <w:rPr>
          <w:rFonts w:ascii="Arial" w:hAnsi="Arial" w:cs="Arial"/>
          <w:b/>
          <w:i/>
          <w:color w:val="000000"/>
          <w:sz w:val="20"/>
          <w:szCs w:val="20"/>
          <w:lang w:val="en-GB" w:eastAsia="en-US"/>
        </w:rPr>
        <w:t>Nursing and midwifery professionals</w:t>
      </w:r>
      <w:r w:rsidRPr="00E35786">
        <w:rPr>
          <w:rFonts w:ascii="Arial" w:hAnsi="Arial" w:cs="Arial"/>
          <w:i/>
          <w:color w:val="000000"/>
          <w:sz w:val="20"/>
          <w:szCs w:val="20"/>
          <w:lang w:val="en-GB" w:eastAsia="en-US"/>
        </w:rPr>
        <w:t xml:space="preserve"> and </w:t>
      </w:r>
      <w:r w:rsidRPr="00E35786">
        <w:rPr>
          <w:rFonts w:ascii="Arial" w:hAnsi="Arial" w:cs="Arial"/>
          <w:b/>
          <w:i/>
          <w:color w:val="000000"/>
          <w:sz w:val="20"/>
          <w:szCs w:val="20"/>
          <w:lang w:val="en-GB" w:eastAsia="en-US"/>
        </w:rPr>
        <w:t>Nursing and midwifery associate professionals</w:t>
      </w:r>
      <w:r w:rsidR="00D41F68" w:rsidRPr="00E35786">
        <w:rPr>
          <w:rFonts w:ascii="Arial" w:hAnsi="Arial" w:cs="Arial"/>
          <w:i/>
          <w:sz w:val="20"/>
          <w:szCs w:val="20"/>
        </w:rPr>
        <w:t xml:space="preserve"> (</w:t>
      </w:r>
      <w:r w:rsidR="003E48BD" w:rsidRPr="00E35786">
        <w:rPr>
          <w:rFonts w:ascii="Arial" w:hAnsi="Arial" w:cs="Arial"/>
          <w:i/>
          <w:sz w:val="20"/>
          <w:szCs w:val="20"/>
          <w:lang w:val="en-US"/>
        </w:rPr>
        <w:t>subgroup</w:t>
      </w:r>
      <w:r w:rsidR="00D41F68" w:rsidRPr="00E35786">
        <w:rPr>
          <w:rFonts w:ascii="Arial" w:hAnsi="Arial" w:cs="Arial"/>
          <w:i/>
          <w:sz w:val="20"/>
          <w:szCs w:val="20"/>
        </w:rPr>
        <w:t xml:space="preserve"> 222+322)</w:t>
      </w:r>
      <w:r w:rsidR="003E48BD" w:rsidRPr="00E35786">
        <w:rPr>
          <w:rFonts w:ascii="Arial" w:hAnsi="Arial" w:cs="Arial"/>
          <w:i/>
          <w:sz w:val="20"/>
          <w:szCs w:val="20"/>
        </w:rPr>
        <w:t>;</w:t>
      </w:r>
    </w:p>
    <w:p w14:paraId="5B302DB2" w14:textId="5145676E" w:rsidR="00D41F68" w:rsidRPr="00E35786" w:rsidRDefault="00120010">
      <w:pPr>
        <w:spacing w:before="120"/>
        <w:ind w:firstLine="708"/>
        <w:jc w:val="both"/>
        <w:rPr>
          <w:rFonts w:ascii="Arial" w:hAnsi="Arial" w:cs="Arial"/>
          <w:i/>
          <w:sz w:val="20"/>
          <w:szCs w:val="20"/>
          <w:lang w:val="en-GB"/>
        </w:rPr>
      </w:pPr>
      <w:r w:rsidRPr="00E35786">
        <w:rPr>
          <w:rFonts w:ascii="Arial" w:hAnsi="Arial" w:cs="Arial"/>
          <w:b/>
          <w:i/>
          <w:sz w:val="20"/>
          <w:szCs w:val="20"/>
          <w:lang w:val="en-GB"/>
        </w:rPr>
        <w:t>N</w:t>
      </w:r>
      <w:r w:rsidR="0024086E" w:rsidRPr="00E35786">
        <w:rPr>
          <w:rFonts w:ascii="Arial" w:hAnsi="Arial" w:cs="Arial"/>
          <w:b/>
          <w:i/>
          <w:sz w:val="20"/>
          <w:szCs w:val="20"/>
          <w:lang w:val="en-GB"/>
        </w:rPr>
        <w:t>urses</w:t>
      </w:r>
      <w:r w:rsidR="0024086E" w:rsidRPr="00E35786">
        <w:rPr>
          <w:rFonts w:ascii="Arial" w:hAnsi="Arial" w:cs="Arial"/>
          <w:i/>
          <w:sz w:val="20"/>
          <w:szCs w:val="20"/>
          <w:lang w:val="en-GB"/>
        </w:rPr>
        <w:t xml:space="preserve"> </w:t>
      </w:r>
      <w:r w:rsidR="00D41F68" w:rsidRPr="00E35786">
        <w:rPr>
          <w:rFonts w:ascii="Arial" w:hAnsi="Arial" w:cs="Arial"/>
          <w:i/>
          <w:sz w:val="20"/>
          <w:szCs w:val="20"/>
          <w:lang w:val="en-GB"/>
        </w:rPr>
        <w:t>(</w:t>
      </w:r>
      <w:r w:rsidR="000F4A94" w:rsidRPr="00E35786">
        <w:rPr>
          <w:rFonts w:ascii="Arial" w:hAnsi="Arial" w:cs="Arial"/>
          <w:i/>
          <w:sz w:val="20"/>
          <w:szCs w:val="20"/>
          <w:lang w:val="en-GB"/>
        </w:rPr>
        <w:t>subgroups</w:t>
      </w:r>
      <w:r w:rsidR="00D41F68" w:rsidRPr="00E35786">
        <w:rPr>
          <w:rFonts w:ascii="Arial" w:hAnsi="Arial" w:cs="Arial"/>
          <w:i/>
          <w:sz w:val="20"/>
          <w:szCs w:val="20"/>
          <w:lang w:val="en-GB"/>
        </w:rPr>
        <w:t xml:space="preserve"> 2221</w:t>
      </w:r>
      <w:r w:rsidR="00C37226" w:rsidRPr="00640144">
        <w:rPr>
          <w:rFonts w:ascii="Arial" w:hAnsi="Arial" w:cs="Arial"/>
          <w:i/>
          <w:sz w:val="20"/>
          <w:szCs w:val="20"/>
          <w:lang w:val="en-GB"/>
        </w:rPr>
        <w:t xml:space="preserve"> nursing professionals </w:t>
      </w:r>
      <w:r w:rsidR="00D41F68" w:rsidRPr="00E35786">
        <w:rPr>
          <w:rFonts w:ascii="Arial" w:hAnsi="Arial" w:cs="Arial"/>
          <w:i/>
          <w:sz w:val="20"/>
          <w:szCs w:val="20"/>
          <w:lang w:val="en-GB"/>
        </w:rPr>
        <w:t>+</w:t>
      </w:r>
      <w:r w:rsidR="00C37226" w:rsidRPr="00640144">
        <w:rPr>
          <w:rFonts w:ascii="Arial" w:hAnsi="Arial" w:cs="Arial"/>
          <w:i/>
          <w:sz w:val="20"/>
          <w:szCs w:val="20"/>
          <w:lang w:val="en-GB"/>
        </w:rPr>
        <w:t xml:space="preserve"> </w:t>
      </w:r>
      <w:r w:rsidR="00D41F68" w:rsidRPr="00E35786">
        <w:rPr>
          <w:rFonts w:ascii="Arial" w:hAnsi="Arial" w:cs="Arial"/>
          <w:i/>
          <w:sz w:val="20"/>
          <w:szCs w:val="20"/>
          <w:lang w:val="en-GB"/>
        </w:rPr>
        <w:t>3221</w:t>
      </w:r>
      <w:r w:rsidR="00C37226" w:rsidRPr="00640144">
        <w:rPr>
          <w:rFonts w:ascii="Arial" w:hAnsi="Arial" w:cs="Arial"/>
          <w:i/>
          <w:sz w:val="20"/>
          <w:szCs w:val="20"/>
          <w:lang w:val="en-GB"/>
        </w:rPr>
        <w:t xml:space="preserve"> </w:t>
      </w:r>
      <w:r w:rsidR="00235E61" w:rsidRPr="00640144">
        <w:rPr>
          <w:rFonts w:ascii="Arial" w:hAnsi="Arial" w:cs="Arial"/>
          <w:i/>
          <w:sz w:val="20"/>
          <w:szCs w:val="20"/>
          <w:lang w:val="en-GB"/>
        </w:rPr>
        <w:t>nursing associate professionals</w:t>
      </w:r>
      <w:r w:rsidR="00D41F68" w:rsidRPr="00E35786">
        <w:rPr>
          <w:rFonts w:ascii="Arial" w:hAnsi="Arial" w:cs="Arial"/>
          <w:i/>
          <w:sz w:val="20"/>
          <w:szCs w:val="20"/>
          <w:lang w:val="en-GB"/>
        </w:rPr>
        <w:t>) a</w:t>
      </w:r>
      <w:r w:rsidRPr="00E35786">
        <w:rPr>
          <w:rFonts w:ascii="Arial" w:hAnsi="Arial" w:cs="Arial"/>
          <w:i/>
          <w:sz w:val="20"/>
          <w:szCs w:val="20"/>
          <w:lang w:val="en-GB"/>
        </w:rPr>
        <w:t>nd</w:t>
      </w:r>
      <w:r w:rsidR="00D41F68" w:rsidRPr="00E35786">
        <w:rPr>
          <w:rFonts w:ascii="Arial" w:hAnsi="Arial" w:cs="Arial"/>
          <w:i/>
          <w:sz w:val="20"/>
          <w:szCs w:val="20"/>
          <w:lang w:val="en-GB"/>
        </w:rPr>
        <w:t xml:space="preserve"> </w:t>
      </w:r>
      <w:r w:rsidR="00235E61" w:rsidRPr="00E35786">
        <w:rPr>
          <w:rFonts w:ascii="Arial" w:hAnsi="Arial" w:cs="Arial"/>
          <w:b/>
          <w:i/>
          <w:sz w:val="20"/>
          <w:szCs w:val="20"/>
          <w:lang w:val="en-GB"/>
        </w:rPr>
        <w:t>m</w:t>
      </w:r>
      <w:r w:rsidRPr="00E35786">
        <w:rPr>
          <w:rFonts w:ascii="Arial" w:hAnsi="Arial" w:cs="Arial"/>
          <w:b/>
          <w:i/>
          <w:sz w:val="20"/>
          <w:szCs w:val="20"/>
          <w:lang w:val="en-GB"/>
        </w:rPr>
        <w:t>idwives</w:t>
      </w:r>
      <w:r w:rsidR="00D41F68" w:rsidRPr="00E35786">
        <w:rPr>
          <w:rFonts w:ascii="Arial" w:hAnsi="Arial" w:cs="Arial"/>
          <w:i/>
          <w:sz w:val="20"/>
          <w:szCs w:val="20"/>
          <w:lang w:val="en-GB"/>
        </w:rPr>
        <w:t xml:space="preserve"> (</w:t>
      </w:r>
      <w:r w:rsidR="000F4A94" w:rsidRPr="00E35786">
        <w:rPr>
          <w:rFonts w:ascii="Arial" w:hAnsi="Arial" w:cs="Arial"/>
          <w:i/>
          <w:sz w:val="20"/>
          <w:szCs w:val="20"/>
          <w:lang w:val="en-GB"/>
        </w:rPr>
        <w:t>subgroups</w:t>
      </w:r>
      <w:r w:rsidR="00D41F68" w:rsidRPr="00E35786">
        <w:rPr>
          <w:rFonts w:ascii="Arial" w:hAnsi="Arial" w:cs="Arial"/>
          <w:i/>
          <w:sz w:val="20"/>
          <w:szCs w:val="20"/>
          <w:lang w:val="en-GB"/>
        </w:rPr>
        <w:t xml:space="preserve"> 2222</w:t>
      </w:r>
      <w:r w:rsidR="00C37226" w:rsidRPr="00640144">
        <w:rPr>
          <w:rFonts w:ascii="Arial" w:hAnsi="Arial" w:cs="Arial"/>
          <w:i/>
          <w:sz w:val="20"/>
          <w:szCs w:val="20"/>
          <w:lang w:val="en-GB"/>
        </w:rPr>
        <w:t xml:space="preserve"> midwifery professionals </w:t>
      </w:r>
      <w:r w:rsidR="00D41F68" w:rsidRPr="00E35786">
        <w:rPr>
          <w:rFonts w:ascii="Arial" w:hAnsi="Arial" w:cs="Arial"/>
          <w:i/>
          <w:sz w:val="20"/>
          <w:szCs w:val="20"/>
          <w:lang w:val="en-GB"/>
        </w:rPr>
        <w:t>+</w:t>
      </w:r>
      <w:r w:rsidR="00C37226" w:rsidRPr="00640144">
        <w:rPr>
          <w:rFonts w:ascii="Arial" w:hAnsi="Arial" w:cs="Arial"/>
          <w:i/>
          <w:sz w:val="20"/>
          <w:szCs w:val="20"/>
          <w:lang w:val="en-GB"/>
        </w:rPr>
        <w:t xml:space="preserve"> </w:t>
      </w:r>
      <w:r w:rsidR="00D41F68" w:rsidRPr="00E35786">
        <w:rPr>
          <w:rFonts w:ascii="Arial" w:hAnsi="Arial" w:cs="Arial"/>
          <w:i/>
          <w:sz w:val="20"/>
          <w:szCs w:val="20"/>
          <w:lang w:val="en-GB"/>
        </w:rPr>
        <w:t>3222</w:t>
      </w:r>
      <w:r w:rsidR="00C37226" w:rsidRPr="00640144">
        <w:rPr>
          <w:rFonts w:ascii="Arial" w:hAnsi="Arial" w:cs="Arial"/>
          <w:i/>
          <w:sz w:val="20"/>
          <w:szCs w:val="20"/>
          <w:lang w:val="en-GB"/>
        </w:rPr>
        <w:t xml:space="preserve"> midwifery associate professionals</w:t>
      </w:r>
      <w:r w:rsidR="00D41F68" w:rsidRPr="00E35786">
        <w:rPr>
          <w:rFonts w:ascii="Arial" w:hAnsi="Arial" w:cs="Arial"/>
          <w:i/>
          <w:sz w:val="20"/>
          <w:szCs w:val="20"/>
          <w:lang w:val="en-GB"/>
        </w:rPr>
        <w:t>)</w:t>
      </w:r>
      <w:r w:rsidR="00C2650D" w:rsidRPr="00E35786">
        <w:rPr>
          <w:rFonts w:ascii="Arial" w:hAnsi="Arial" w:cs="Arial"/>
          <w:i/>
          <w:sz w:val="20"/>
          <w:szCs w:val="20"/>
          <w:lang w:val="en-GB"/>
        </w:rPr>
        <w:t xml:space="preserve"> are further broken down, according to the CZ-ISCO classification, to those with a specialism or without a specialism.</w:t>
      </w:r>
      <w:r w:rsidR="00887CD8" w:rsidRPr="00E35786">
        <w:rPr>
          <w:rFonts w:ascii="Arial" w:hAnsi="Arial" w:cs="Arial"/>
          <w:i/>
          <w:sz w:val="20"/>
          <w:szCs w:val="20"/>
          <w:lang w:val="en-GB"/>
        </w:rPr>
        <w:t xml:space="preserve"> The difference between nurses and midwives with a specialism and the nurses and midwives without a specialism </w:t>
      </w:r>
      <w:r w:rsidR="00E916C7" w:rsidRPr="00E35786">
        <w:rPr>
          <w:rFonts w:ascii="Arial" w:hAnsi="Arial" w:cs="Arial"/>
          <w:i/>
          <w:sz w:val="20"/>
          <w:szCs w:val="20"/>
          <w:lang w:val="en-GB"/>
        </w:rPr>
        <w:t xml:space="preserve">should be determined according to the character of work they perform. The qualification in a specialism is confirmed by a </w:t>
      </w:r>
      <w:r w:rsidR="00085A4F" w:rsidRPr="00640144">
        <w:rPr>
          <w:rFonts w:ascii="Arial" w:hAnsi="Arial" w:cs="Arial"/>
          <w:i/>
          <w:sz w:val="20"/>
          <w:szCs w:val="20"/>
          <w:lang w:val="en-GB"/>
        </w:rPr>
        <w:t>certificate</w:t>
      </w:r>
      <w:r w:rsidR="00E916C7" w:rsidRPr="00E35786">
        <w:rPr>
          <w:rFonts w:ascii="Arial" w:hAnsi="Arial" w:cs="Arial"/>
          <w:i/>
          <w:sz w:val="20"/>
          <w:szCs w:val="20"/>
          <w:lang w:val="en-GB"/>
        </w:rPr>
        <w:t xml:space="preserve"> in the relevant field, which a n</w:t>
      </w:r>
      <w:r w:rsidR="009F602F" w:rsidRPr="00E35786">
        <w:rPr>
          <w:rFonts w:ascii="Arial" w:hAnsi="Arial" w:cs="Arial"/>
          <w:i/>
          <w:sz w:val="20"/>
          <w:szCs w:val="20"/>
          <w:lang w:val="en-GB"/>
        </w:rPr>
        <w:t>urse obtains after she passes a medical certification</w:t>
      </w:r>
      <w:r w:rsidR="00E916C7" w:rsidRPr="00E35786">
        <w:rPr>
          <w:rFonts w:ascii="Arial" w:hAnsi="Arial" w:cs="Arial"/>
          <w:i/>
          <w:sz w:val="20"/>
          <w:szCs w:val="20"/>
          <w:lang w:val="en-GB"/>
        </w:rPr>
        <w:t xml:space="preserve"> examination</w:t>
      </w:r>
      <w:r w:rsidR="009F602F" w:rsidRPr="00E35786">
        <w:rPr>
          <w:rFonts w:ascii="Arial" w:hAnsi="Arial" w:cs="Arial"/>
          <w:i/>
          <w:sz w:val="20"/>
          <w:szCs w:val="20"/>
          <w:lang w:val="en-GB"/>
        </w:rPr>
        <w:t xml:space="preserve"> </w:t>
      </w:r>
      <w:r w:rsidR="00922651" w:rsidRPr="00E35786">
        <w:rPr>
          <w:rFonts w:ascii="Arial" w:hAnsi="Arial" w:cs="Arial"/>
          <w:i/>
          <w:sz w:val="20"/>
          <w:szCs w:val="20"/>
          <w:lang w:val="en-GB"/>
        </w:rPr>
        <w:t>before the medical certification committee.</w:t>
      </w:r>
      <w:r w:rsidR="00766D9D" w:rsidRPr="00640144">
        <w:rPr>
          <w:rFonts w:ascii="Arial" w:hAnsi="Arial" w:cs="Arial"/>
          <w:i/>
          <w:sz w:val="20"/>
          <w:szCs w:val="20"/>
          <w:lang w:val="en-GB"/>
        </w:rPr>
        <w:t xml:space="preserve"> </w:t>
      </w:r>
      <w:r w:rsidR="00224042" w:rsidRPr="00E35786">
        <w:rPr>
          <w:rFonts w:ascii="Arial" w:hAnsi="Arial" w:cs="Arial"/>
          <w:i/>
          <w:sz w:val="20"/>
          <w:szCs w:val="20"/>
          <w:lang w:val="en-GB"/>
        </w:rPr>
        <w:t xml:space="preserve">Nurses and midwives </w:t>
      </w:r>
      <w:r w:rsidR="00224042" w:rsidRPr="00E35786">
        <w:rPr>
          <w:rFonts w:ascii="Arial" w:hAnsi="Arial" w:cs="Arial"/>
          <w:b/>
          <w:i/>
          <w:sz w:val="20"/>
          <w:szCs w:val="20"/>
          <w:lang w:val="en-GB"/>
        </w:rPr>
        <w:t>with a specialism</w:t>
      </w:r>
      <w:r w:rsidR="00224042" w:rsidRPr="00E35786">
        <w:rPr>
          <w:rFonts w:ascii="Arial" w:hAnsi="Arial" w:cs="Arial"/>
          <w:i/>
          <w:sz w:val="20"/>
          <w:szCs w:val="20"/>
          <w:lang w:val="en-GB"/>
        </w:rPr>
        <w:t xml:space="preserve"> include, for example, ward sisters (charge nurses), nurses and midwives </w:t>
      </w:r>
      <w:r w:rsidR="00A35DF9" w:rsidRPr="00E35786">
        <w:rPr>
          <w:rFonts w:ascii="Arial" w:hAnsi="Arial" w:cs="Arial"/>
          <w:i/>
          <w:sz w:val="20"/>
          <w:szCs w:val="20"/>
          <w:lang w:val="en-GB"/>
        </w:rPr>
        <w:t>for intensive care and operating</w:t>
      </w:r>
      <w:r w:rsidR="006D7A1F" w:rsidRPr="00E35786">
        <w:rPr>
          <w:rFonts w:ascii="Arial" w:hAnsi="Arial" w:cs="Arial"/>
          <w:i/>
          <w:sz w:val="20"/>
          <w:szCs w:val="20"/>
          <w:lang w:val="en-GB"/>
        </w:rPr>
        <w:t xml:space="preserve"> theatre (operating </w:t>
      </w:r>
      <w:r w:rsidR="00A35DF9" w:rsidRPr="00E35786">
        <w:rPr>
          <w:rFonts w:ascii="Arial" w:hAnsi="Arial" w:cs="Arial"/>
          <w:i/>
          <w:sz w:val="20"/>
          <w:szCs w:val="20"/>
          <w:lang w:val="en-GB"/>
        </w:rPr>
        <w:t>room</w:t>
      </w:r>
      <w:r w:rsidR="006D7A1F" w:rsidRPr="00E35786">
        <w:rPr>
          <w:rFonts w:ascii="Arial" w:hAnsi="Arial" w:cs="Arial"/>
          <w:i/>
          <w:sz w:val="20"/>
          <w:szCs w:val="20"/>
          <w:lang w:val="en-GB"/>
        </w:rPr>
        <w:t>)</w:t>
      </w:r>
      <w:r w:rsidR="00A35DF9" w:rsidRPr="00E35786">
        <w:rPr>
          <w:rFonts w:ascii="Arial" w:hAnsi="Arial" w:cs="Arial"/>
          <w:i/>
          <w:sz w:val="20"/>
          <w:szCs w:val="20"/>
          <w:lang w:val="en-GB"/>
        </w:rPr>
        <w:t xml:space="preserve"> nurses, and further e.g.</w:t>
      </w:r>
      <w:r w:rsidR="00820CA7" w:rsidRPr="00E35786">
        <w:rPr>
          <w:rFonts w:ascii="Arial" w:hAnsi="Arial" w:cs="Arial"/>
          <w:i/>
          <w:sz w:val="20"/>
          <w:szCs w:val="20"/>
          <w:lang w:val="en-GB"/>
        </w:rPr>
        <w:t xml:space="preserve"> paediatric nurses and nurses for internal medicine and surgical fields. </w:t>
      </w:r>
      <w:r w:rsidR="00820CA7" w:rsidRPr="00E35786">
        <w:rPr>
          <w:rFonts w:ascii="Arial" w:hAnsi="Arial" w:cs="Arial"/>
          <w:b/>
          <w:i/>
          <w:sz w:val="20"/>
          <w:szCs w:val="20"/>
          <w:lang w:val="en-GB"/>
        </w:rPr>
        <w:t xml:space="preserve">Sisters without a specialism </w:t>
      </w:r>
      <w:r w:rsidR="00820CA7" w:rsidRPr="00E35786">
        <w:rPr>
          <w:rFonts w:ascii="Arial" w:hAnsi="Arial" w:cs="Arial"/>
          <w:i/>
          <w:sz w:val="20"/>
          <w:szCs w:val="20"/>
          <w:lang w:val="en-GB"/>
        </w:rPr>
        <w:t xml:space="preserve">include nurses of general practitioners and dentists and other outpatient specialists. Besides those categories of nurses, also the following work in the health sector: </w:t>
      </w:r>
      <w:r w:rsidR="00F04854" w:rsidRPr="00E35786">
        <w:rPr>
          <w:rFonts w:ascii="Arial" w:hAnsi="Arial" w:cs="Arial"/>
          <w:i/>
          <w:sz w:val="20"/>
          <w:szCs w:val="20"/>
          <w:lang w:val="en-GB"/>
        </w:rPr>
        <w:t>hospital matrons / principal nursing officers</w:t>
      </w:r>
      <w:r w:rsidR="00972A1B" w:rsidRPr="00E35786">
        <w:rPr>
          <w:rFonts w:ascii="Arial" w:hAnsi="Arial" w:cs="Arial"/>
          <w:i/>
          <w:sz w:val="20"/>
          <w:szCs w:val="20"/>
          <w:lang w:val="en-GB"/>
        </w:rPr>
        <w:t xml:space="preserve"> </w:t>
      </w:r>
      <w:r w:rsidR="00CE362F" w:rsidRPr="00E35786">
        <w:rPr>
          <w:rFonts w:ascii="Arial" w:hAnsi="Arial" w:cs="Arial"/>
          <w:i/>
          <w:sz w:val="20"/>
          <w:szCs w:val="20"/>
          <w:lang w:val="en-GB"/>
        </w:rPr>
        <w:t>(</w:t>
      </w:r>
      <w:r w:rsidR="00972A1B" w:rsidRPr="00E35786">
        <w:rPr>
          <w:rFonts w:ascii="Arial" w:hAnsi="Arial" w:cs="Arial"/>
          <w:i/>
          <w:sz w:val="20"/>
          <w:szCs w:val="20"/>
          <w:lang w:val="en-GB"/>
        </w:rPr>
        <w:t>head nurses / nurses in charge</w:t>
      </w:r>
      <w:r w:rsidR="00CE362F" w:rsidRPr="00E35786">
        <w:rPr>
          <w:rFonts w:ascii="Arial" w:hAnsi="Arial" w:cs="Arial"/>
          <w:i/>
          <w:sz w:val="20"/>
          <w:szCs w:val="20"/>
          <w:lang w:val="en-GB"/>
        </w:rPr>
        <w:t>)</w:t>
      </w:r>
      <w:r w:rsidR="00D41F68" w:rsidRPr="00E35786">
        <w:rPr>
          <w:rFonts w:ascii="Arial" w:hAnsi="Arial" w:cs="Arial"/>
          <w:i/>
          <w:sz w:val="20"/>
          <w:szCs w:val="20"/>
          <w:lang w:val="en-GB"/>
        </w:rPr>
        <w:t xml:space="preserve"> (ISCO 13424) a</w:t>
      </w:r>
      <w:r w:rsidR="00C2368F" w:rsidRPr="00E35786">
        <w:rPr>
          <w:rFonts w:ascii="Arial" w:hAnsi="Arial" w:cs="Arial"/>
          <w:i/>
          <w:sz w:val="20"/>
          <w:szCs w:val="20"/>
          <w:lang w:val="en-GB"/>
        </w:rPr>
        <w:t>nd medical assistants</w:t>
      </w:r>
      <w:r w:rsidR="00D41F68" w:rsidRPr="00E35786">
        <w:rPr>
          <w:rFonts w:ascii="Arial" w:hAnsi="Arial" w:cs="Arial"/>
          <w:i/>
          <w:sz w:val="20"/>
          <w:szCs w:val="20"/>
          <w:lang w:val="en-GB"/>
        </w:rPr>
        <w:t xml:space="preserve"> (ISCO 32</w:t>
      </w:r>
      <w:r w:rsidR="006A7F69" w:rsidRPr="00E35786">
        <w:rPr>
          <w:rFonts w:ascii="Arial" w:hAnsi="Arial" w:cs="Arial"/>
          <w:i/>
          <w:sz w:val="20"/>
          <w:szCs w:val="20"/>
          <w:lang w:val="en-GB"/>
        </w:rPr>
        <w:t>56</w:t>
      </w:r>
      <w:r w:rsidR="00D41F68" w:rsidRPr="00E35786">
        <w:rPr>
          <w:rFonts w:ascii="Arial" w:hAnsi="Arial" w:cs="Arial"/>
          <w:i/>
          <w:sz w:val="20"/>
          <w:szCs w:val="20"/>
          <w:lang w:val="en-GB"/>
        </w:rPr>
        <w:t xml:space="preserve">), </w:t>
      </w:r>
      <w:r w:rsidR="001F60EF">
        <w:rPr>
          <w:rFonts w:ascii="Arial" w:hAnsi="Arial" w:cs="Arial"/>
          <w:i/>
          <w:sz w:val="20"/>
          <w:szCs w:val="20"/>
          <w:lang w:val="en-GB"/>
        </w:rPr>
        <w:t>who</w:t>
      </w:r>
      <w:r w:rsidR="001F60EF" w:rsidRPr="00E35786">
        <w:rPr>
          <w:rFonts w:ascii="Arial" w:hAnsi="Arial" w:cs="Arial"/>
          <w:i/>
          <w:sz w:val="20"/>
          <w:szCs w:val="20"/>
          <w:lang w:val="en-GB"/>
        </w:rPr>
        <w:t xml:space="preserve"> </w:t>
      </w:r>
      <w:r w:rsidR="00960A0E" w:rsidRPr="00E35786">
        <w:rPr>
          <w:rFonts w:ascii="Arial" w:hAnsi="Arial" w:cs="Arial"/>
          <w:i/>
          <w:sz w:val="20"/>
          <w:szCs w:val="20"/>
          <w:lang w:val="en-GB"/>
        </w:rPr>
        <w:t>are</w:t>
      </w:r>
      <w:r w:rsidR="00640144" w:rsidRPr="00640144">
        <w:rPr>
          <w:rFonts w:ascii="Arial" w:hAnsi="Arial" w:cs="Arial"/>
          <w:i/>
          <w:sz w:val="20"/>
          <w:szCs w:val="20"/>
          <w:lang w:val="en-GB"/>
        </w:rPr>
        <w:t xml:space="preserve"> not</w:t>
      </w:r>
      <w:r w:rsidR="00960A0E" w:rsidRPr="00E35786">
        <w:rPr>
          <w:rFonts w:ascii="Arial" w:hAnsi="Arial" w:cs="Arial"/>
          <w:i/>
          <w:sz w:val="20"/>
          <w:szCs w:val="20"/>
          <w:lang w:val="en-GB"/>
        </w:rPr>
        <w:t xml:space="preserve"> part of the aforementioned</w:t>
      </w:r>
      <w:r w:rsidR="008F1CE4" w:rsidRPr="00E35786">
        <w:rPr>
          <w:rFonts w:ascii="Arial" w:hAnsi="Arial" w:cs="Arial"/>
          <w:i/>
          <w:sz w:val="20"/>
          <w:szCs w:val="20"/>
          <w:lang w:val="en-GB"/>
        </w:rPr>
        <w:t xml:space="preserve"> nurses</w:t>
      </w:r>
      <w:r w:rsidR="000D234E" w:rsidRPr="00E35786">
        <w:rPr>
          <w:rFonts w:ascii="Arial" w:hAnsi="Arial" w:cs="Arial"/>
          <w:i/>
          <w:sz w:val="20"/>
          <w:szCs w:val="20"/>
          <w:lang w:val="en-GB"/>
        </w:rPr>
        <w:t xml:space="preserve"> / nursing and midwifery professionals</w:t>
      </w:r>
      <w:r w:rsidR="00640144" w:rsidRPr="00640144">
        <w:rPr>
          <w:rFonts w:ascii="Arial" w:hAnsi="Arial" w:cs="Arial"/>
          <w:i/>
          <w:sz w:val="20"/>
          <w:szCs w:val="20"/>
          <w:lang w:val="en-GB"/>
        </w:rPr>
        <w:t>.</w:t>
      </w:r>
      <w:r w:rsidR="00960A0E" w:rsidRPr="00E35786">
        <w:rPr>
          <w:rFonts w:ascii="Arial" w:hAnsi="Arial" w:cs="Arial"/>
          <w:i/>
          <w:sz w:val="20"/>
          <w:szCs w:val="20"/>
          <w:lang w:val="en-GB"/>
        </w:rPr>
        <w:t xml:space="preserve"> </w:t>
      </w:r>
    </w:p>
    <w:p w14:paraId="14AE9CFC" w14:textId="1FB4C66A" w:rsidR="00747503" w:rsidRPr="00E35786" w:rsidRDefault="00747503" w:rsidP="00D41F68">
      <w:pPr>
        <w:spacing w:before="120"/>
        <w:jc w:val="both"/>
        <w:rPr>
          <w:rFonts w:ascii="Arial" w:hAnsi="Arial" w:cs="Arial"/>
          <w:i/>
          <w:sz w:val="20"/>
          <w:szCs w:val="20"/>
          <w:lang w:val="en-GB"/>
        </w:rPr>
      </w:pPr>
      <w:r w:rsidRPr="00E35786">
        <w:rPr>
          <w:rFonts w:ascii="Arial" w:hAnsi="Arial" w:cs="Arial"/>
          <w:i/>
          <w:sz w:val="20"/>
          <w:szCs w:val="20"/>
          <w:lang w:val="en-GB"/>
        </w:rPr>
        <w:t>The following occupations were selected according to the CZ-ISCO classification to be included in other</w:t>
      </w:r>
      <w:r w:rsidR="00286815" w:rsidRPr="00E35786">
        <w:rPr>
          <w:rFonts w:ascii="Arial" w:hAnsi="Arial" w:cs="Arial"/>
          <w:i/>
          <w:sz w:val="20"/>
          <w:szCs w:val="20"/>
          <w:lang w:val="en-GB"/>
        </w:rPr>
        <w:t xml:space="preserve"> selected health professions </w:t>
      </w:r>
      <w:r w:rsidRPr="00E35786">
        <w:rPr>
          <w:rFonts w:ascii="Arial" w:hAnsi="Arial" w:cs="Arial"/>
          <w:i/>
          <w:sz w:val="20"/>
          <w:szCs w:val="20"/>
          <w:lang w:val="en-GB"/>
        </w:rPr>
        <w:t xml:space="preserve">in the </w:t>
      </w:r>
      <w:r w:rsidRPr="000E79BB">
        <w:rPr>
          <w:rFonts w:ascii="Arial" w:hAnsi="Arial" w:cs="Arial"/>
          <w:i/>
          <w:sz w:val="20"/>
          <w:szCs w:val="20"/>
          <w:lang w:val="en-GB"/>
        </w:rPr>
        <w:t xml:space="preserve">Table </w:t>
      </w:r>
      <w:r w:rsidR="000E79BB" w:rsidRPr="000E79BB">
        <w:rPr>
          <w:rFonts w:ascii="Arial" w:hAnsi="Arial" w:cs="Arial"/>
          <w:i/>
          <w:sz w:val="20"/>
          <w:szCs w:val="20"/>
        </w:rPr>
        <w:t>2</w:t>
      </w:r>
      <w:r w:rsidRPr="000E79BB">
        <w:rPr>
          <w:rFonts w:ascii="Arial" w:hAnsi="Arial" w:cs="Arial"/>
          <w:i/>
          <w:iCs/>
          <w:sz w:val="20"/>
          <w:szCs w:val="17"/>
        </w:rPr>
        <w:t>–</w:t>
      </w:r>
      <w:r w:rsidR="000E79BB" w:rsidRPr="000E79BB">
        <w:rPr>
          <w:rFonts w:ascii="Arial" w:hAnsi="Arial" w:cs="Arial"/>
          <w:i/>
          <w:sz w:val="20"/>
          <w:szCs w:val="20"/>
        </w:rPr>
        <w:t>27</w:t>
      </w:r>
      <w:r w:rsidRPr="000E79BB">
        <w:rPr>
          <w:rFonts w:ascii="Arial" w:hAnsi="Arial" w:cs="Arial"/>
          <w:i/>
          <w:sz w:val="20"/>
          <w:szCs w:val="20"/>
        </w:rPr>
        <w:t>:</w:t>
      </w:r>
      <w:r w:rsidRPr="000E79BB">
        <w:rPr>
          <w:rFonts w:ascii="Arial" w:hAnsi="Arial" w:cs="Arial"/>
          <w:i/>
          <w:sz w:val="20"/>
          <w:szCs w:val="20"/>
          <w:lang w:val="en-GB"/>
        </w:rPr>
        <w:t xml:space="preserve">  </w:t>
      </w:r>
    </w:p>
    <w:p w14:paraId="130D4DCE" w14:textId="1DD1AC62" w:rsidR="00D41F68" w:rsidRPr="00E35786" w:rsidRDefault="00A9069B" w:rsidP="00D41F68">
      <w:pPr>
        <w:spacing w:before="120"/>
        <w:ind w:firstLine="714"/>
        <w:jc w:val="both"/>
        <w:rPr>
          <w:rFonts w:ascii="Arial" w:hAnsi="Arial" w:cs="Arial"/>
          <w:i/>
          <w:sz w:val="20"/>
          <w:szCs w:val="20"/>
          <w:lang w:val="en-GB"/>
        </w:rPr>
      </w:pPr>
      <w:r w:rsidRPr="00E35786">
        <w:rPr>
          <w:rFonts w:ascii="Arial" w:hAnsi="Arial" w:cs="Arial"/>
          <w:b/>
          <w:i/>
          <w:sz w:val="20"/>
          <w:szCs w:val="20"/>
          <w:lang w:val="en-GB"/>
        </w:rPr>
        <w:t>Pharmacists</w:t>
      </w:r>
      <w:r w:rsidR="00D41F68" w:rsidRPr="00E35786">
        <w:rPr>
          <w:rFonts w:ascii="Arial" w:hAnsi="Arial" w:cs="Arial"/>
          <w:b/>
          <w:i/>
          <w:sz w:val="20"/>
          <w:szCs w:val="20"/>
          <w:lang w:val="en-GB"/>
        </w:rPr>
        <w:t xml:space="preserve"> </w:t>
      </w:r>
      <w:r w:rsidR="00D41F68" w:rsidRPr="00E35786">
        <w:rPr>
          <w:rFonts w:ascii="Arial" w:hAnsi="Arial" w:cs="Arial"/>
          <w:i/>
          <w:sz w:val="20"/>
          <w:szCs w:val="20"/>
          <w:lang w:val="en-GB"/>
        </w:rPr>
        <w:t>(</w:t>
      </w:r>
      <w:r w:rsidRPr="00E35786">
        <w:rPr>
          <w:rFonts w:ascii="Arial" w:hAnsi="Arial" w:cs="Arial"/>
          <w:i/>
          <w:sz w:val="20"/>
          <w:szCs w:val="20"/>
          <w:lang w:val="en-GB"/>
        </w:rPr>
        <w:t>subgroup</w:t>
      </w:r>
      <w:r w:rsidR="00D41F68" w:rsidRPr="00E35786">
        <w:rPr>
          <w:rFonts w:ascii="Arial" w:hAnsi="Arial" w:cs="Arial"/>
          <w:i/>
          <w:sz w:val="20"/>
          <w:szCs w:val="20"/>
          <w:lang w:val="en-GB"/>
        </w:rPr>
        <w:t xml:space="preserve"> 2262);</w:t>
      </w:r>
    </w:p>
    <w:p w14:paraId="006E9FC5" w14:textId="08CD80D5" w:rsidR="00D41F68" w:rsidRPr="00E35786" w:rsidRDefault="008753E5" w:rsidP="00D41F68">
      <w:pPr>
        <w:spacing w:before="120"/>
        <w:ind w:firstLine="714"/>
        <w:jc w:val="both"/>
        <w:rPr>
          <w:rFonts w:ascii="Arial" w:hAnsi="Arial" w:cs="Arial"/>
          <w:i/>
          <w:sz w:val="20"/>
          <w:szCs w:val="20"/>
          <w:lang w:val="en-US"/>
        </w:rPr>
      </w:pPr>
      <w:r w:rsidRPr="00E35786">
        <w:rPr>
          <w:rFonts w:ascii="Arial" w:hAnsi="Arial" w:cs="Arial"/>
          <w:b/>
          <w:i/>
          <w:sz w:val="20"/>
          <w:szCs w:val="20"/>
          <w:lang w:val="en-US"/>
        </w:rPr>
        <w:t>Medical and pharmaceutical technicians</w:t>
      </w:r>
      <w:r w:rsidR="00D41F68" w:rsidRPr="00E35786">
        <w:rPr>
          <w:rFonts w:ascii="Arial" w:hAnsi="Arial" w:cs="Arial"/>
          <w:b/>
          <w:i/>
          <w:sz w:val="20"/>
          <w:szCs w:val="20"/>
          <w:lang w:val="en-US"/>
        </w:rPr>
        <w:t xml:space="preserve"> </w:t>
      </w:r>
      <w:r w:rsidR="00D41F68" w:rsidRPr="00E35786">
        <w:rPr>
          <w:rFonts w:ascii="Arial" w:hAnsi="Arial" w:cs="Arial"/>
          <w:i/>
          <w:sz w:val="20"/>
          <w:szCs w:val="20"/>
          <w:lang w:val="en-US"/>
        </w:rPr>
        <w:t>(</w:t>
      </w:r>
      <w:r w:rsidR="00A9069B" w:rsidRPr="00E35786">
        <w:rPr>
          <w:rFonts w:ascii="Arial" w:hAnsi="Arial" w:cs="Arial"/>
          <w:i/>
          <w:sz w:val="20"/>
          <w:szCs w:val="20"/>
          <w:lang w:val="en-US"/>
        </w:rPr>
        <w:t>subgroup</w:t>
      </w:r>
      <w:r w:rsidR="00D41F68" w:rsidRPr="00E35786">
        <w:rPr>
          <w:rFonts w:ascii="Arial" w:hAnsi="Arial" w:cs="Arial"/>
          <w:i/>
          <w:sz w:val="20"/>
          <w:szCs w:val="20"/>
          <w:lang w:val="en-US"/>
        </w:rPr>
        <w:t xml:space="preserve"> 321)</w:t>
      </w:r>
      <w:r w:rsidR="00A9069B" w:rsidRPr="00E35786">
        <w:rPr>
          <w:rFonts w:ascii="Arial" w:hAnsi="Arial" w:cs="Arial"/>
          <w:i/>
          <w:sz w:val="20"/>
          <w:szCs w:val="20"/>
          <w:lang w:val="en-US"/>
        </w:rPr>
        <w:t>;</w:t>
      </w:r>
    </w:p>
    <w:p w14:paraId="2EF40A6E" w14:textId="0057971E" w:rsidR="00D41F68" w:rsidRPr="00E35786" w:rsidRDefault="00CA0A5F" w:rsidP="00D41F68">
      <w:pPr>
        <w:spacing w:before="120"/>
        <w:ind w:firstLine="714"/>
        <w:jc w:val="both"/>
        <w:rPr>
          <w:rFonts w:ascii="Arial" w:hAnsi="Arial" w:cs="Arial"/>
          <w:i/>
          <w:sz w:val="20"/>
          <w:szCs w:val="20"/>
          <w:lang w:val="en-US"/>
        </w:rPr>
      </w:pPr>
      <w:r w:rsidRPr="00E35786">
        <w:rPr>
          <w:rFonts w:ascii="Arial" w:hAnsi="Arial" w:cs="Arial"/>
          <w:b/>
          <w:i/>
          <w:sz w:val="20"/>
          <w:szCs w:val="20"/>
          <w:lang w:val="en-US"/>
        </w:rPr>
        <w:t>Physiotherapy technicians and assistants</w:t>
      </w:r>
      <w:r w:rsidR="00D41F68" w:rsidRPr="00E35786">
        <w:rPr>
          <w:rFonts w:ascii="Arial" w:hAnsi="Arial" w:cs="Arial"/>
          <w:b/>
          <w:i/>
          <w:sz w:val="20"/>
          <w:szCs w:val="20"/>
          <w:lang w:val="en-US"/>
        </w:rPr>
        <w:t xml:space="preserve"> </w:t>
      </w:r>
      <w:r w:rsidR="00D41F68" w:rsidRPr="00E35786">
        <w:rPr>
          <w:rFonts w:ascii="Arial" w:hAnsi="Arial" w:cs="Arial"/>
          <w:i/>
          <w:sz w:val="20"/>
          <w:szCs w:val="20"/>
          <w:lang w:val="en-US"/>
        </w:rPr>
        <w:t>(</w:t>
      </w:r>
      <w:r w:rsidR="0084465E" w:rsidRPr="00E35786">
        <w:rPr>
          <w:rFonts w:ascii="Arial" w:hAnsi="Arial" w:cs="Arial"/>
          <w:i/>
          <w:sz w:val="20"/>
          <w:szCs w:val="20"/>
          <w:lang w:val="en-US"/>
        </w:rPr>
        <w:t>subgroup</w:t>
      </w:r>
      <w:r w:rsidR="00D41F68" w:rsidRPr="00E35786">
        <w:rPr>
          <w:rFonts w:ascii="Arial" w:hAnsi="Arial" w:cs="Arial"/>
          <w:i/>
          <w:sz w:val="20"/>
          <w:szCs w:val="20"/>
          <w:lang w:val="en-US"/>
        </w:rPr>
        <w:t xml:space="preserve"> 3255)</w:t>
      </w:r>
      <w:r w:rsidR="00A9069B" w:rsidRPr="00E35786">
        <w:rPr>
          <w:rFonts w:ascii="Arial" w:hAnsi="Arial" w:cs="Arial"/>
          <w:i/>
          <w:sz w:val="20"/>
          <w:szCs w:val="20"/>
          <w:lang w:val="en-US"/>
        </w:rPr>
        <w:t>;</w:t>
      </w:r>
    </w:p>
    <w:p w14:paraId="6340EAD6" w14:textId="3A34FA75" w:rsidR="00D41F68" w:rsidRPr="00E35786" w:rsidRDefault="00561D8D" w:rsidP="00D41F68">
      <w:pPr>
        <w:spacing w:before="120"/>
        <w:ind w:firstLine="714"/>
        <w:jc w:val="both"/>
        <w:rPr>
          <w:rFonts w:ascii="Arial" w:hAnsi="Arial" w:cs="Arial"/>
          <w:i/>
          <w:sz w:val="20"/>
          <w:szCs w:val="20"/>
          <w:lang w:val="en-US"/>
        </w:rPr>
      </w:pPr>
      <w:r w:rsidRPr="00E35786">
        <w:rPr>
          <w:rFonts w:ascii="Arial" w:hAnsi="Arial" w:cs="Arial"/>
          <w:b/>
          <w:i/>
          <w:sz w:val="20"/>
          <w:szCs w:val="20"/>
          <w:lang w:val="en-US"/>
        </w:rPr>
        <w:t>Medical assistants</w:t>
      </w:r>
      <w:r w:rsidR="00D41F68" w:rsidRPr="00E35786">
        <w:rPr>
          <w:rFonts w:ascii="Arial" w:hAnsi="Arial" w:cs="Arial"/>
          <w:i/>
          <w:sz w:val="20"/>
          <w:szCs w:val="20"/>
          <w:lang w:val="en-US"/>
        </w:rPr>
        <w:t xml:space="preserve"> (</w:t>
      </w:r>
      <w:r w:rsidR="0084465E" w:rsidRPr="00E35786">
        <w:rPr>
          <w:rFonts w:ascii="Arial" w:hAnsi="Arial" w:cs="Arial"/>
          <w:i/>
          <w:sz w:val="20"/>
          <w:szCs w:val="20"/>
          <w:lang w:val="en-US"/>
        </w:rPr>
        <w:t>subgroup</w:t>
      </w:r>
      <w:r w:rsidR="00D41F68" w:rsidRPr="00E35786">
        <w:rPr>
          <w:rFonts w:ascii="Arial" w:hAnsi="Arial" w:cs="Arial"/>
          <w:i/>
          <w:sz w:val="20"/>
          <w:szCs w:val="20"/>
          <w:lang w:val="en-US"/>
        </w:rPr>
        <w:t xml:space="preserve"> 3256)</w:t>
      </w:r>
      <w:r w:rsidR="00A9069B" w:rsidRPr="00E35786">
        <w:rPr>
          <w:rFonts w:ascii="Arial" w:hAnsi="Arial" w:cs="Arial"/>
          <w:i/>
          <w:sz w:val="20"/>
          <w:szCs w:val="20"/>
          <w:lang w:val="en-US"/>
        </w:rPr>
        <w:t>;</w:t>
      </w:r>
    </w:p>
    <w:p w14:paraId="4C7E0705" w14:textId="1BBC4D75" w:rsidR="00D36CA8" w:rsidRPr="00E35786" w:rsidRDefault="00BC0866" w:rsidP="00E35786">
      <w:pPr>
        <w:spacing w:before="120"/>
        <w:ind w:firstLine="709"/>
        <w:jc w:val="both"/>
        <w:rPr>
          <w:rFonts w:ascii="Arial" w:hAnsi="Arial" w:cs="Arial"/>
          <w:i/>
          <w:sz w:val="20"/>
          <w:szCs w:val="20"/>
          <w:lang w:val="en-US"/>
        </w:rPr>
      </w:pPr>
      <w:r w:rsidRPr="00E35786">
        <w:rPr>
          <w:rFonts w:ascii="Arial" w:hAnsi="Arial" w:cs="Arial"/>
          <w:b/>
          <w:i/>
          <w:sz w:val="20"/>
          <w:szCs w:val="20"/>
          <w:lang w:val="en-US"/>
        </w:rPr>
        <w:t>Ambulance workers</w:t>
      </w:r>
      <w:r w:rsidR="00D41F68" w:rsidRPr="00E35786">
        <w:rPr>
          <w:rFonts w:ascii="Arial" w:hAnsi="Arial" w:cs="Arial"/>
          <w:i/>
          <w:sz w:val="20"/>
          <w:szCs w:val="20"/>
          <w:lang w:val="en-US"/>
        </w:rPr>
        <w:t xml:space="preserve"> (</w:t>
      </w:r>
      <w:r w:rsidR="0084465E" w:rsidRPr="00E35786">
        <w:rPr>
          <w:rFonts w:ascii="Arial" w:hAnsi="Arial" w:cs="Arial"/>
          <w:i/>
          <w:sz w:val="20"/>
          <w:szCs w:val="20"/>
          <w:lang w:val="en-US"/>
        </w:rPr>
        <w:t>subgroup</w:t>
      </w:r>
      <w:r w:rsidR="00D41F68" w:rsidRPr="00E35786">
        <w:rPr>
          <w:rFonts w:ascii="Arial" w:hAnsi="Arial" w:cs="Arial"/>
          <w:i/>
          <w:sz w:val="20"/>
          <w:szCs w:val="20"/>
          <w:lang w:val="en-US"/>
        </w:rPr>
        <w:t xml:space="preserve"> 3258)</w:t>
      </w:r>
      <w:r w:rsidR="00A9069B" w:rsidRPr="00E35786">
        <w:rPr>
          <w:rFonts w:ascii="Arial" w:hAnsi="Arial" w:cs="Arial"/>
          <w:i/>
          <w:sz w:val="20"/>
          <w:szCs w:val="20"/>
          <w:lang w:val="en-US"/>
        </w:rPr>
        <w:t>.</w:t>
      </w:r>
    </w:p>
    <w:p w14:paraId="19E022EF" w14:textId="77777777" w:rsidR="00D7763F" w:rsidRPr="00640144" w:rsidRDefault="00D7763F" w:rsidP="00D41F68">
      <w:pPr>
        <w:spacing w:before="120"/>
        <w:jc w:val="both"/>
        <w:rPr>
          <w:rFonts w:ascii="Arial" w:hAnsi="Arial" w:cs="Arial"/>
          <w:i/>
          <w:sz w:val="20"/>
          <w:szCs w:val="20"/>
        </w:rPr>
      </w:pPr>
    </w:p>
    <w:p w14:paraId="46A8F5AD" w14:textId="2FF8D5A7" w:rsidR="00D7763F" w:rsidRPr="00566130" w:rsidRDefault="00D7763F" w:rsidP="00D7763F">
      <w:pPr>
        <w:ind w:firstLine="708"/>
        <w:rPr>
          <w:rFonts w:ascii="Arial" w:hAnsi="Arial" w:cs="Arial"/>
          <w:b/>
          <w:bCs/>
          <w:i/>
          <w:lang w:val="en-GB" w:eastAsia="en-US"/>
        </w:rPr>
      </w:pPr>
      <w:r w:rsidRPr="00566130">
        <w:rPr>
          <w:rFonts w:ascii="Arial" w:hAnsi="Arial" w:cs="Arial"/>
          <w:b/>
          <w:bCs/>
          <w:i/>
          <w:color w:val="000000"/>
          <w:lang w:val="en-GB" w:eastAsia="en-US"/>
        </w:rPr>
        <w:t>Student</w:t>
      </w:r>
      <w:r w:rsidR="001C49FB" w:rsidRPr="00566130">
        <w:rPr>
          <w:rFonts w:ascii="Arial" w:hAnsi="Arial" w:cs="Arial"/>
          <w:b/>
          <w:bCs/>
          <w:i/>
          <w:color w:val="000000"/>
          <w:lang w:val="en-GB" w:eastAsia="en-US"/>
        </w:rPr>
        <w:t>s of</w:t>
      </w:r>
      <w:r w:rsidRPr="00566130">
        <w:rPr>
          <w:rFonts w:ascii="Arial" w:hAnsi="Arial" w:cs="Arial"/>
          <w:b/>
          <w:bCs/>
          <w:i/>
          <w:color w:val="000000"/>
          <w:lang w:val="en-GB" w:eastAsia="en-US"/>
        </w:rPr>
        <w:t xml:space="preserve"> a</w:t>
      </w:r>
      <w:r w:rsidR="001C49FB" w:rsidRPr="00566130">
        <w:rPr>
          <w:rFonts w:ascii="Arial" w:hAnsi="Arial" w:cs="Arial"/>
          <w:b/>
          <w:bCs/>
          <w:i/>
          <w:color w:val="000000"/>
          <w:lang w:val="en-GB" w:eastAsia="en-US"/>
        </w:rPr>
        <w:t>nd graduates from</w:t>
      </w:r>
      <w:r w:rsidRPr="00566130">
        <w:rPr>
          <w:rFonts w:ascii="Arial" w:hAnsi="Arial" w:cs="Arial"/>
          <w:b/>
          <w:bCs/>
          <w:i/>
          <w:color w:val="000000"/>
          <w:lang w:val="en-GB" w:eastAsia="en-US"/>
        </w:rPr>
        <w:t xml:space="preserve"> </w:t>
      </w:r>
      <w:r w:rsidR="00D12725" w:rsidRPr="00566130">
        <w:rPr>
          <w:rFonts w:ascii="Arial" w:hAnsi="Arial" w:cs="Arial"/>
          <w:b/>
          <w:bCs/>
          <w:i/>
          <w:color w:val="000000"/>
          <w:lang w:val="en-GB" w:eastAsia="en-US"/>
        </w:rPr>
        <w:t>health</w:t>
      </w:r>
      <w:r w:rsidR="00D3081D" w:rsidRPr="00566130">
        <w:rPr>
          <w:rFonts w:ascii="Arial" w:hAnsi="Arial" w:cs="Arial"/>
          <w:b/>
          <w:bCs/>
          <w:i/>
          <w:color w:val="000000"/>
          <w:lang w:val="en-GB" w:eastAsia="en-US"/>
        </w:rPr>
        <w:t xml:space="preserve"> fields of education</w:t>
      </w:r>
      <w:r w:rsidRPr="00566130">
        <w:rPr>
          <w:rFonts w:ascii="Arial" w:hAnsi="Arial" w:cs="Arial"/>
          <w:b/>
          <w:bCs/>
          <w:i/>
          <w:color w:val="000000"/>
          <w:lang w:val="en-GB" w:eastAsia="en-US"/>
        </w:rPr>
        <w:t xml:space="preserve"> </w:t>
      </w:r>
      <w:r w:rsidR="00D3081D" w:rsidRPr="00566130">
        <w:rPr>
          <w:rFonts w:ascii="Arial" w:hAnsi="Arial" w:cs="Arial"/>
          <w:b/>
          <w:bCs/>
          <w:i/>
          <w:color w:val="000000"/>
          <w:lang w:val="en-GB" w:eastAsia="en-US"/>
        </w:rPr>
        <w:t>at</w:t>
      </w:r>
      <w:r w:rsidR="001C49FB" w:rsidRPr="00566130">
        <w:rPr>
          <w:rFonts w:ascii="Arial" w:hAnsi="Arial" w:cs="Arial"/>
          <w:b/>
          <w:bCs/>
          <w:i/>
          <w:color w:val="000000"/>
          <w:lang w:val="en-GB" w:eastAsia="en-US"/>
        </w:rPr>
        <w:t xml:space="preserve"> universities</w:t>
      </w:r>
      <w:r w:rsidRPr="00566130">
        <w:rPr>
          <w:rFonts w:ascii="Arial" w:hAnsi="Arial" w:cs="Arial"/>
          <w:b/>
          <w:bCs/>
          <w:i/>
          <w:color w:val="000000"/>
          <w:lang w:val="en-GB" w:eastAsia="en-US"/>
        </w:rPr>
        <w:t xml:space="preserve"> </w:t>
      </w:r>
      <w:r w:rsidRPr="00566130">
        <w:rPr>
          <w:rFonts w:ascii="Arial" w:hAnsi="Arial" w:cs="Arial"/>
          <w:b/>
          <w:bCs/>
          <w:i/>
          <w:lang w:val="en-GB" w:eastAsia="en-US"/>
        </w:rPr>
        <w:t>(</w:t>
      </w:r>
      <w:r w:rsidR="000E79BB" w:rsidRPr="00566130">
        <w:rPr>
          <w:rFonts w:ascii="Arial" w:hAnsi="Arial" w:cs="Arial"/>
          <w:b/>
          <w:bCs/>
          <w:i/>
          <w:lang w:val="en-GB" w:eastAsia="en-US"/>
        </w:rPr>
        <w:t>Tables 2</w:t>
      </w:r>
      <w:r w:rsidR="000E79BB" w:rsidRPr="00566130">
        <w:rPr>
          <w:rFonts w:ascii="Arial" w:hAnsi="Arial" w:cs="Arial"/>
          <w:b/>
          <w:i/>
          <w:iCs/>
          <w:sz w:val="20"/>
          <w:szCs w:val="17"/>
          <w:lang w:val="en-GB"/>
        </w:rPr>
        <w:t>–</w:t>
      </w:r>
      <w:r w:rsidR="000E79BB" w:rsidRPr="00566130">
        <w:rPr>
          <w:rFonts w:ascii="Arial" w:hAnsi="Arial" w:cs="Arial"/>
          <w:b/>
          <w:bCs/>
          <w:i/>
          <w:lang w:val="en-GB" w:eastAsia="en-US"/>
        </w:rPr>
        <w:t>19 through 2</w:t>
      </w:r>
      <w:r w:rsidR="000E79BB" w:rsidRPr="00566130">
        <w:rPr>
          <w:rFonts w:ascii="Arial" w:hAnsi="Arial" w:cs="Arial"/>
          <w:b/>
          <w:i/>
          <w:iCs/>
          <w:sz w:val="20"/>
          <w:szCs w:val="17"/>
          <w:lang w:val="en-GB"/>
        </w:rPr>
        <w:t>–</w:t>
      </w:r>
      <w:r w:rsidR="000E79BB" w:rsidRPr="00566130">
        <w:rPr>
          <w:rFonts w:ascii="Arial" w:hAnsi="Arial" w:cs="Arial"/>
          <w:b/>
          <w:bCs/>
          <w:i/>
          <w:lang w:val="en-GB" w:eastAsia="en-US"/>
        </w:rPr>
        <w:t>23</w:t>
      </w:r>
      <w:r w:rsidRPr="00566130">
        <w:rPr>
          <w:rFonts w:ascii="Arial" w:hAnsi="Arial" w:cs="Arial"/>
          <w:b/>
          <w:bCs/>
          <w:i/>
          <w:lang w:val="en-GB" w:eastAsia="en-US"/>
        </w:rPr>
        <w:t>)</w:t>
      </w:r>
    </w:p>
    <w:p w14:paraId="5AE5D94B" w14:textId="04D7B28E" w:rsidR="00D7763F" w:rsidRPr="00E35786" w:rsidRDefault="00301E42" w:rsidP="00106683">
      <w:pPr>
        <w:spacing w:before="120"/>
        <w:ind w:firstLine="709"/>
        <w:jc w:val="both"/>
        <w:rPr>
          <w:rFonts w:ascii="Arial" w:hAnsi="Arial" w:cs="Arial"/>
          <w:i/>
          <w:color w:val="000000"/>
          <w:sz w:val="20"/>
          <w:szCs w:val="20"/>
          <w:lang w:eastAsia="en-US"/>
        </w:rPr>
      </w:pPr>
      <w:r w:rsidRPr="00E35786">
        <w:rPr>
          <w:rFonts w:ascii="Arial" w:hAnsi="Arial" w:cs="Arial"/>
          <w:i/>
          <w:color w:val="000000"/>
          <w:sz w:val="20"/>
          <w:szCs w:val="20"/>
          <w:lang w:val="en-GB" w:eastAsia="en-US"/>
        </w:rPr>
        <w:t>Data on students of and graduates from health</w:t>
      </w:r>
      <w:r w:rsidR="00F65194" w:rsidRPr="00640144">
        <w:rPr>
          <w:rFonts w:ascii="Arial" w:hAnsi="Arial" w:cs="Arial"/>
          <w:i/>
          <w:color w:val="000000"/>
          <w:sz w:val="20"/>
          <w:szCs w:val="20"/>
          <w:lang w:val="en-GB" w:eastAsia="en-US"/>
        </w:rPr>
        <w:t xml:space="preserve"> </w:t>
      </w:r>
      <w:r w:rsidR="00F13E4E" w:rsidRPr="00E35786">
        <w:rPr>
          <w:rFonts w:ascii="Arial" w:hAnsi="Arial" w:cs="Arial"/>
          <w:i/>
          <w:color w:val="000000"/>
          <w:sz w:val="20"/>
          <w:szCs w:val="20"/>
          <w:lang w:val="en-GB" w:eastAsia="en-US"/>
        </w:rPr>
        <w:t>(</w:t>
      </w:r>
      <w:r w:rsidR="00F65194" w:rsidRPr="00640144">
        <w:rPr>
          <w:rFonts w:ascii="Arial" w:hAnsi="Arial" w:cs="Arial"/>
          <w:i/>
          <w:color w:val="000000"/>
          <w:sz w:val="20"/>
          <w:szCs w:val="20"/>
          <w:lang w:val="en-GB" w:eastAsia="en-US"/>
        </w:rPr>
        <w:t>fields of education</w:t>
      </w:r>
      <w:r w:rsidR="00F13E4E" w:rsidRPr="00E35786">
        <w:rPr>
          <w:rFonts w:ascii="Arial" w:hAnsi="Arial" w:cs="Arial"/>
          <w:i/>
          <w:color w:val="000000"/>
          <w:sz w:val="20"/>
          <w:szCs w:val="20"/>
          <w:lang w:val="en-GB" w:eastAsia="en-US"/>
        </w:rPr>
        <w:t>)</w:t>
      </w:r>
      <w:r w:rsidRPr="00E35786">
        <w:rPr>
          <w:rFonts w:ascii="Arial" w:hAnsi="Arial" w:cs="Arial"/>
          <w:i/>
          <w:color w:val="000000"/>
          <w:sz w:val="20"/>
          <w:szCs w:val="20"/>
          <w:lang w:val="en-GB" w:eastAsia="en-US"/>
        </w:rPr>
        <w:t xml:space="preserve"> were obtained from the system of the </w:t>
      </w:r>
      <w:r w:rsidRPr="00E35786">
        <w:rPr>
          <w:rFonts w:ascii="Arial" w:hAnsi="Arial" w:cs="Arial"/>
          <w:b/>
          <w:i/>
          <w:color w:val="000000"/>
          <w:sz w:val="20"/>
          <w:szCs w:val="20"/>
          <w:lang w:val="en-GB" w:eastAsia="en-US"/>
        </w:rPr>
        <w:t>Union Information from Students’ Registers</w:t>
      </w:r>
      <w:r w:rsidRPr="00E35786">
        <w:rPr>
          <w:rFonts w:ascii="Arial" w:hAnsi="Arial" w:cs="Arial"/>
          <w:i/>
          <w:color w:val="000000"/>
          <w:sz w:val="20"/>
          <w:szCs w:val="20"/>
          <w:lang w:val="en-GB" w:eastAsia="en-US"/>
        </w:rPr>
        <w:t xml:space="preserve"> (the </w:t>
      </w:r>
      <w:r w:rsidRPr="00E35786">
        <w:rPr>
          <w:rFonts w:ascii="Arial" w:hAnsi="Arial" w:cs="Arial"/>
          <w:color w:val="000000"/>
          <w:sz w:val="20"/>
          <w:szCs w:val="20"/>
          <w:lang w:val="en-GB" w:eastAsia="en-US"/>
        </w:rPr>
        <w:t>SIMS</w:t>
      </w:r>
      <w:r w:rsidRPr="00E35786">
        <w:rPr>
          <w:rFonts w:ascii="Arial" w:hAnsi="Arial" w:cs="Arial"/>
          <w:i/>
          <w:color w:val="000000"/>
          <w:sz w:val="20"/>
          <w:szCs w:val="20"/>
          <w:lang w:val="en-GB" w:eastAsia="en-US"/>
        </w:rPr>
        <w:t xml:space="preserve"> database). </w:t>
      </w:r>
      <w:r w:rsidRPr="00E35786">
        <w:rPr>
          <w:rFonts w:ascii="Arial" w:hAnsi="Arial" w:cs="Arial"/>
          <w:i/>
          <w:iCs/>
          <w:sz w:val="20"/>
          <w:szCs w:val="16"/>
          <w:lang w:val="en-GB"/>
        </w:rPr>
        <w:t xml:space="preserve">The source </w:t>
      </w:r>
      <w:r w:rsidRPr="00E35786">
        <w:rPr>
          <w:rFonts w:ascii="Arial" w:hAnsi="Arial" w:cs="Arial"/>
          <w:iCs/>
          <w:sz w:val="20"/>
          <w:szCs w:val="16"/>
          <w:lang w:val="en-GB"/>
        </w:rPr>
        <w:t xml:space="preserve">SIMS </w:t>
      </w:r>
      <w:r w:rsidRPr="00E35786">
        <w:rPr>
          <w:rFonts w:ascii="Arial" w:hAnsi="Arial" w:cs="Arial"/>
          <w:i/>
          <w:iCs/>
          <w:sz w:val="20"/>
          <w:szCs w:val="16"/>
          <w:lang w:val="en-GB"/>
        </w:rPr>
        <w:t>database is continually completed and updated including retrospective corrections; the data presented in this publication refer to the database status as at 20 January 2021.</w:t>
      </w:r>
      <w:r w:rsidR="00686123" w:rsidRPr="00E35786">
        <w:rPr>
          <w:rFonts w:ascii="Arial" w:hAnsi="Arial" w:cs="Arial"/>
          <w:i/>
          <w:iCs/>
          <w:sz w:val="20"/>
          <w:szCs w:val="16"/>
          <w:lang w:val="en-GB"/>
        </w:rPr>
        <w:t xml:space="preserve"> Data for university students are always as at 31 December of a given year; data on graduates are for the whole calendar year. </w:t>
      </w:r>
      <w:r w:rsidR="005C2228" w:rsidRPr="00E35786">
        <w:rPr>
          <w:rFonts w:ascii="Arial" w:hAnsi="Arial" w:cs="Arial"/>
          <w:i/>
          <w:iCs/>
          <w:sz w:val="20"/>
          <w:szCs w:val="16"/>
          <w:lang w:val="en-GB"/>
        </w:rPr>
        <w:t xml:space="preserve">The </w:t>
      </w:r>
      <w:r w:rsidR="005C2228" w:rsidRPr="00E35786">
        <w:rPr>
          <w:rFonts w:ascii="Arial" w:hAnsi="Arial" w:cs="Arial"/>
          <w:iCs/>
          <w:sz w:val="20"/>
          <w:szCs w:val="16"/>
          <w:lang w:val="en-GB"/>
        </w:rPr>
        <w:t xml:space="preserve">SIMS </w:t>
      </w:r>
      <w:r w:rsidR="005C2228" w:rsidRPr="00E35786">
        <w:rPr>
          <w:rFonts w:ascii="Arial" w:hAnsi="Arial" w:cs="Arial"/>
          <w:i/>
          <w:iCs/>
          <w:sz w:val="20"/>
          <w:szCs w:val="16"/>
          <w:lang w:val="en-GB"/>
        </w:rPr>
        <w:t>database only contains data on public and private universities, i.e. it does not include data on two state universities (currently the Police Academy of the Czech Republic in Prague and the University of Defence</w:t>
      </w:r>
      <w:r w:rsidR="00F13E4E" w:rsidRPr="00E35786">
        <w:rPr>
          <w:rFonts w:ascii="Arial" w:hAnsi="Arial" w:cs="Arial"/>
          <w:i/>
          <w:iCs/>
          <w:sz w:val="20"/>
          <w:szCs w:val="16"/>
          <w:lang w:val="en-GB"/>
        </w:rPr>
        <w:t>,</w:t>
      </w:r>
      <w:r w:rsidR="005C2228" w:rsidRPr="00E35786">
        <w:rPr>
          <w:rFonts w:ascii="Arial" w:hAnsi="Arial" w:cs="Arial"/>
          <w:i/>
          <w:iCs/>
          <w:sz w:val="20"/>
          <w:szCs w:val="16"/>
          <w:lang w:val="en-GB"/>
        </w:rPr>
        <w:t xml:space="preserve"> established by the Ministry of the Interior and by the Ministry of Defence, respectively). For details see methodological notes to Chapter 3 – Education of this publication. </w:t>
      </w:r>
    </w:p>
    <w:p w14:paraId="4E327755" w14:textId="77F0095D" w:rsidR="00106683" w:rsidRPr="00E35786" w:rsidRDefault="00106683">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 xml:space="preserve">Health studies are defined based on the Classification of Fields of Education (CZ-ISCED-F 2013), namely by means of a narrowly specified field of </w:t>
      </w:r>
      <w:r w:rsidR="00D7763F" w:rsidRPr="00E35786">
        <w:rPr>
          <w:rFonts w:ascii="Arial" w:hAnsi="Arial" w:cs="Arial"/>
          <w:i/>
          <w:color w:val="000000"/>
          <w:sz w:val="20"/>
          <w:szCs w:val="20"/>
          <w:lang w:val="en-GB" w:eastAsia="en-US"/>
        </w:rPr>
        <w:t xml:space="preserve">091 </w:t>
      </w:r>
      <w:r w:rsidR="006468AB" w:rsidRPr="00E35786">
        <w:rPr>
          <w:rFonts w:ascii="Arial" w:hAnsi="Arial" w:cs="Arial"/>
          <w:i/>
          <w:color w:val="000000"/>
          <w:sz w:val="20"/>
          <w:szCs w:val="20"/>
          <w:lang w:val="en-GB" w:eastAsia="en-US"/>
        </w:rPr>
        <w:t>Health</w:t>
      </w:r>
      <w:r w:rsidRPr="00E35786">
        <w:rPr>
          <w:rFonts w:ascii="Arial" w:hAnsi="Arial" w:cs="Arial"/>
          <w:i/>
          <w:color w:val="000000"/>
          <w:sz w:val="20"/>
          <w:szCs w:val="20"/>
          <w:lang w:val="en-GB" w:eastAsia="en-US"/>
        </w:rPr>
        <w:t xml:space="preserve">, which encompasses the following fields of education defined in details: </w:t>
      </w:r>
    </w:p>
    <w:p w14:paraId="7F9E7A5D" w14:textId="2D97A712" w:rsidR="00D7763F" w:rsidRPr="00E35786" w:rsidRDefault="00E461F9" w:rsidP="00D7763F">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Dental studies</w:t>
      </w:r>
      <w:r w:rsidR="00D7763F" w:rsidRPr="00E35786">
        <w:rPr>
          <w:rFonts w:ascii="Arial" w:hAnsi="Arial" w:cs="Arial"/>
          <w:i/>
          <w:color w:val="000000"/>
          <w:sz w:val="20"/>
          <w:szCs w:val="20"/>
          <w:lang w:val="en-GB" w:eastAsia="en-US"/>
        </w:rPr>
        <w:t xml:space="preserve"> (0911);</w:t>
      </w:r>
    </w:p>
    <w:p w14:paraId="7DC941AF" w14:textId="74DDF66F" w:rsidR="00D7763F" w:rsidRPr="00E35786" w:rsidRDefault="00D7763F" w:rsidP="00D7763F">
      <w:pPr>
        <w:spacing w:before="120"/>
        <w:ind w:firstLine="709"/>
        <w:jc w:val="both"/>
        <w:rPr>
          <w:rFonts w:ascii="Arial" w:hAnsi="Arial" w:cs="Arial"/>
          <w:i/>
          <w:color w:val="000000"/>
          <w:sz w:val="20"/>
          <w:szCs w:val="20"/>
          <w:lang w:eastAsia="en-US"/>
        </w:rPr>
      </w:pPr>
      <w:r w:rsidRPr="00E35786">
        <w:rPr>
          <w:rFonts w:ascii="Arial" w:hAnsi="Arial" w:cs="Arial"/>
          <w:i/>
          <w:color w:val="000000"/>
          <w:sz w:val="20"/>
          <w:szCs w:val="20"/>
          <w:lang w:val="en-GB" w:eastAsia="en-US"/>
        </w:rPr>
        <w:t>Hum</w:t>
      </w:r>
      <w:r w:rsidR="00D67878" w:rsidRPr="00E35786">
        <w:rPr>
          <w:rFonts w:ascii="Arial" w:hAnsi="Arial" w:cs="Arial"/>
          <w:i/>
          <w:color w:val="000000"/>
          <w:sz w:val="20"/>
          <w:szCs w:val="20"/>
          <w:lang w:val="en-GB" w:eastAsia="en-US"/>
        </w:rPr>
        <w:t>an</w:t>
      </w:r>
      <w:r w:rsidRPr="00E35786">
        <w:rPr>
          <w:rFonts w:ascii="Arial" w:hAnsi="Arial" w:cs="Arial"/>
          <w:i/>
          <w:color w:val="000000"/>
          <w:sz w:val="20"/>
          <w:szCs w:val="20"/>
          <w:lang w:val="en-GB" w:eastAsia="en-US"/>
        </w:rPr>
        <w:t xml:space="preserve"> medic</w:t>
      </w:r>
      <w:r w:rsidR="00D67878" w:rsidRPr="00E35786">
        <w:rPr>
          <w:rFonts w:ascii="Arial" w:hAnsi="Arial" w:cs="Arial"/>
          <w:i/>
          <w:color w:val="000000"/>
          <w:sz w:val="20"/>
          <w:szCs w:val="20"/>
          <w:lang w:val="en-GB" w:eastAsia="en-US"/>
        </w:rPr>
        <w:t>ine</w:t>
      </w:r>
      <w:r w:rsidRPr="00E35786">
        <w:rPr>
          <w:rFonts w:ascii="Arial" w:hAnsi="Arial" w:cs="Arial"/>
          <w:i/>
          <w:color w:val="000000"/>
          <w:sz w:val="20"/>
          <w:szCs w:val="20"/>
          <w:lang w:val="en-GB" w:eastAsia="en-US"/>
        </w:rPr>
        <w:t xml:space="preserve"> – </w:t>
      </w:r>
      <w:r w:rsidR="00E461F9" w:rsidRPr="00E35786">
        <w:rPr>
          <w:rFonts w:ascii="Arial" w:hAnsi="Arial" w:cs="Arial"/>
          <w:i/>
          <w:color w:val="000000"/>
          <w:sz w:val="20"/>
          <w:szCs w:val="20"/>
          <w:lang w:val="en-GB" w:eastAsia="en-US"/>
        </w:rPr>
        <w:t>hereinafter only referred to as</w:t>
      </w:r>
      <w:r w:rsidRPr="00E35786">
        <w:rPr>
          <w:rFonts w:ascii="Arial" w:hAnsi="Arial" w:cs="Arial"/>
          <w:i/>
          <w:color w:val="000000"/>
          <w:sz w:val="20"/>
          <w:szCs w:val="20"/>
          <w:lang w:val="en-GB" w:eastAsia="en-US"/>
        </w:rPr>
        <w:t xml:space="preserve"> </w:t>
      </w:r>
      <w:r w:rsidR="00E461F9" w:rsidRPr="00E35786">
        <w:rPr>
          <w:rFonts w:ascii="Arial" w:hAnsi="Arial" w:cs="Arial"/>
          <w:i/>
          <w:color w:val="000000"/>
          <w:sz w:val="20"/>
          <w:szCs w:val="20"/>
          <w:lang w:val="en-GB" w:eastAsia="en-US"/>
        </w:rPr>
        <w:t>medicine</w:t>
      </w:r>
      <w:r w:rsidRPr="00E35786">
        <w:rPr>
          <w:rFonts w:ascii="Arial" w:hAnsi="Arial" w:cs="Arial"/>
          <w:i/>
          <w:color w:val="000000"/>
          <w:sz w:val="20"/>
          <w:szCs w:val="20"/>
          <w:lang w:val="en-GB" w:eastAsia="en-US"/>
        </w:rPr>
        <w:t xml:space="preserve"> (0912),</w:t>
      </w:r>
      <w:r w:rsidR="00CE1AAE">
        <w:rPr>
          <w:rFonts w:ascii="Arial" w:hAnsi="Arial" w:cs="Arial"/>
          <w:i/>
          <w:color w:val="000000"/>
          <w:sz w:val="20"/>
          <w:szCs w:val="20"/>
          <w:lang w:val="en-GB" w:eastAsia="en-US"/>
        </w:rPr>
        <w:t xml:space="preserve"> which mainly comprises </w:t>
      </w:r>
      <w:r w:rsidR="00D67878" w:rsidRPr="00E35786">
        <w:rPr>
          <w:rFonts w:ascii="Arial" w:hAnsi="Arial" w:cs="Arial"/>
          <w:i/>
          <w:color w:val="000000"/>
          <w:sz w:val="20"/>
          <w:szCs w:val="20"/>
          <w:lang w:val="en-GB" w:eastAsia="en-US"/>
        </w:rPr>
        <w:t>preparation of physicians</w:t>
      </w:r>
      <w:r w:rsidR="005C79B7" w:rsidRPr="00640144">
        <w:rPr>
          <w:rFonts w:ascii="Arial" w:hAnsi="Arial" w:cs="Arial"/>
          <w:i/>
          <w:color w:val="000000"/>
          <w:sz w:val="20"/>
          <w:szCs w:val="20"/>
          <w:lang w:val="en-GB" w:eastAsia="en-US"/>
        </w:rPr>
        <w:t>;</w:t>
      </w:r>
      <w:r w:rsidRPr="00E35786">
        <w:rPr>
          <w:rFonts w:ascii="Arial" w:hAnsi="Arial" w:cs="Arial"/>
          <w:i/>
          <w:color w:val="000000"/>
          <w:sz w:val="20"/>
          <w:szCs w:val="20"/>
          <w:lang w:val="en-GB" w:eastAsia="en-US"/>
        </w:rPr>
        <w:t xml:space="preserve"> </w:t>
      </w:r>
    </w:p>
    <w:p w14:paraId="2CE9D92D" w14:textId="581C4CB1" w:rsidR="00D7763F" w:rsidRPr="00E35786" w:rsidRDefault="00E461F9" w:rsidP="00D7763F">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Nursing and midwifery</w:t>
      </w:r>
      <w:r w:rsidR="00D7763F" w:rsidRPr="00E35786">
        <w:rPr>
          <w:rFonts w:ascii="Arial" w:hAnsi="Arial" w:cs="Arial"/>
          <w:i/>
          <w:color w:val="000000"/>
          <w:sz w:val="20"/>
          <w:szCs w:val="20"/>
          <w:lang w:val="en-GB" w:eastAsia="en-US"/>
        </w:rPr>
        <w:t xml:space="preserve"> (0913);</w:t>
      </w:r>
    </w:p>
    <w:p w14:paraId="223D5DE7" w14:textId="0E906864" w:rsidR="00D7763F" w:rsidRPr="00E35786" w:rsidRDefault="00E461F9" w:rsidP="00D7763F">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Medical diagnostic and treatment technology</w:t>
      </w:r>
      <w:r w:rsidR="00D7763F" w:rsidRPr="00E35786">
        <w:rPr>
          <w:rFonts w:ascii="Arial" w:hAnsi="Arial" w:cs="Arial"/>
          <w:i/>
          <w:color w:val="000000"/>
          <w:sz w:val="20"/>
          <w:szCs w:val="20"/>
          <w:lang w:val="en-GB" w:eastAsia="en-US"/>
        </w:rPr>
        <w:t xml:space="preserve"> (0914);</w:t>
      </w:r>
    </w:p>
    <w:p w14:paraId="2748367E" w14:textId="76EFBAE0" w:rsidR="00D7763F" w:rsidRPr="00E35786" w:rsidRDefault="00E461F9" w:rsidP="00D7763F">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Therapy and rehabilitation</w:t>
      </w:r>
      <w:r w:rsidR="00D7763F" w:rsidRPr="00E35786">
        <w:rPr>
          <w:rFonts w:ascii="Arial" w:hAnsi="Arial" w:cs="Arial"/>
          <w:i/>
          <w:color w:val="000000"/>
          <w:sz w:val="20"/>
          <w:szCs w:val="20"/>
          <w:lang w:val="en-GB" w:eastAsia="en-US"/>
        </w:rPr>
        <w:t xml:space="preserve"> (0915)</w:t>
      </w:r>
      <w:r w:rsidRPr="00E35786">
        <w:rPr>
          <w:rFonts w:ascii="Arial" w:hAnsi="Arial" w:cs="Arial"/>
          <w:i/>
          <w:color w:val="000000"/>
          <w:sz w:val="20"/>
          <w:szCs w:val="20"/>
          <w:lang w:val="en-GB" w:eastAsia="en-US"/>
        </w:rPr>
        <w:t>;</w:t>
      </w:r>
    </w:p>
    <w:p w14:paraId="185F55DE" w14:textId="65E11244" w:rsidR="00D7763F" w:rsidRPr="00E35786" w:rsidRDefault="00E461F9" w:rsidP="00D7763F">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Pharmacy</w:t>
      </w:r>
      <w:r w:rsidR="00D7763F" w:rsidRPr="00E35786">
        <w:rPr>
          <w:rFonts w:ascii="Arial" w:hAnsi="Arial" w:cs="Arial"/>
          <w:i/>
          <w:color w:val="000000"/>
          <w:sz w:val="20"/>
          <w:szCs w:val="20"/>
          <w:lang w:val="en-GB" w:eastAsia="en-US"/>
        </w:rPr>
        <w:t xml:space="preserve"> (0916)</w:t>
      </w:r>
      <w:r w:rsidRPr="00E35786">
        <w:rPr>
          <w:rFonts w:ascii="Arial" w:hAnsi="Arial" w:cs="Arial"/>
          <w:i/>
          <w:color w:val="000000"/>
          <w:sz w:val="20"/>
          <w:szCs w:val="20"/>
          <w:lang w:val="en-GB" w:eastAsia="en-US"/>
        </w:rPr>
        <w:t>;</w:t>
      </w:r>
    </w:p>
    <w:p w14:paraId="1C6DF42D" w14:textId="0686B451" w:rsidR="00D7763F" w:rsidRPr="00E35786" w:rsidRDefault="00E461F9" w:rsidP="00D7763F">
      <w:pPr>
        <w:spacing w:before="120"/>
        <w:ind w:firstLine="709"/>
        <w:jc w:val="both"/>
        <w:rPr>
          <w:rFonts w:ascii="Arial" w:hAnsi="Arial" w:cs="Arial"/>
          <w:i/>
          <w:color w:val="000000"/>
          <w:sz w:val="20"/>
          <w:szCs w:val="20"/>
          <w:lang w:val="en-GB" w:eastAsia="en-US"/>
        </w:rPr>
      </w:pPr>
      <w:r w:rsidRPr="00E35786">
        <w:rPr>
          <w:rFonts w:ascii="Arial" w:hAnsi="Arial" w:cs="Arial"/>
          <w:i/>
          <w:color w:val="000000"/>
          <w:sz w:val="20"/>
          <w:szCs w:val="20"/>
          <w:lang w:val="en-GB" w:eastAsia="en-US"/>
        </w:rPr>
        <w:t>Traditional</w:t>
      </w:r>
      <w:r w:rsidR="00D7763F" w:rsidRPr="00E35786">
        <w:rPr>
          <w:rFonts w:ascii="Arial" w:hAnsi="Arial" w:cs="Arial"/>
          <w:i/>
          <w:color w:val="000000"/>
          <w:sz w:val="20"/>
          <w:szCs w:val="20"/>
          <w:lang w:val="en-GB" w:eastAsia="en-US"/>
        </w:rPr>
        <w:t xml:space="preserve"> a</w:t>
      </w:r>
      <w:r w:rsidRPr="00E35786">
        <w:rPr>
          <w:rFonts w:ascii="Arial" w:hAnsi="Arial" w:cs="Arial"/>
          <w:i/>
          <w:color w:val="000000"/>
          <w:sz w:val="20"/>
          <w:szCs w:val="20"/>
          <w:lang w:val="en-GB" w:eastAsia="en-US"/>
        </w:rPr>
        <w:t>nd complementary medicine and therapy</w:t>
      </w:r>
      <w:r w:rsidR="00D7763F" w:rsidRPr="00E35786">
        <w:rPr>
          <w:rFonts w:ascii="Arial" w:hAnsi="Arial" w:cs="Arial"/>
          <w:i/>
          <w:color w:val="000000"/>
          <w:sz w:val="20"/>
          <w:szCs w:val="20"/>
          <w:lang w:val="en-GB" w:eastAsia="en-US"/>
        </w:rPr>
        <w:t xml:space="preserve"> (0917)</w:t>
      </w:r>
      <w:r w:rsidRPr="00E35786">
        <w:rPr>
          <w:rFonts w:ascii="Arial" w:hAnsi="Arial" w:cs="Arial"/>
          <w:i/>
          <w:color w:val="000000"/>
          <w:sz w:val="20"/>
          <w:szCs w:val="20"/>
          <w:lang w:val="en-GB" w:eastAsia="en-US"/>
        </w:rPr>
        <w:t>.</w:t>
      </w:r>
    </w:p>
    <w:p w14:paraId="4D47DB3B" w14:textId="6E9DC3CB" w:rsidR="00944A64" w:rsidRDefault="00265B55" w:rsidP="00944A64">
      <w:pPr>
        <w:spacing w:before="120"/>
        <w:ind w:firstLine="714"/>
        <w:jc w:val="both"/>
        <w:rPr>
          <w:rFonts w:ascii="Arial" w:hAnsi="Arial" w:cs="Arial"/>
          <w:i/>
          <w:iCs/>
          <w:sz w:val="20"/>
          <w:lang w:val="en-GB"/>
        </w:rPr>
      </w:pPr>
      <w:r w:rsidRPr="00E35786">
        <w:rPr>
          <w:rFonts w:ascii="Arial" w:hAnsi="Arial" w:cs="Arial"/>
          <w:i/>
          <w:iCs/>
          <w:sz w:val="20"/>
          <w:lang w:val="en-GB"/>
        </w:rPr>
        <w:t>Numbers of students and graduates are given as headcount, i.e. each student is included in a particular piece of dat</w:t>
      </w:r>
      <w:r w:rsidR="008B68F5" w:rsidRPr="00640144">
        <w:rPr>
          <w:rFonts w:ascii="Arial" w:hAnsi="Arial" w:cs="Arial"/>
          <w:i/>
          <w:iCs/>
          <w:sz w:val="20"/>
          <w:lang w:val="en-GB"/>
        </w:rPr>
        <w:t>a only once, including students</w:t>
      </w:r>
      <w:r w:rsidRPr="00E35786">
        <w:rPr>
          <w:rFonts w:ascii="Arial" w:hAnsi="Arial" w:cs="Arial"/>
          <w:i/>
          <w:iCs/>
          <w:sz w:val="20"/>
          <w:lang w:val="en-GB"/>
        </w:rPr>
        <w:t xml:space="preserve"> who study in more study programmes </w:t>
      </w:r>
      <w:r w:rsidR="008B68F5" w:rsidRPr="00640144">
        <w:rPr>
          <w:rFonts w:ascii="Arial" w:hAnsi="Arial" w:cs="Arial"/>
          <w:i/>
          <w:iCs/>
          <w:sz w:val="20"/>
          <w:lang w:val="en-GB"/>
        </w:rPr>
        <w:t>concurrently</w:t>
      </w:r>
      <w:r w:rsidRPr="00E35786">
        <w:rPr>
          <w:rFonts w:ascii="Arial" w:hAnsi="Arial" w:cs="Arial"/>
          <w:i/>
          <w:iCs/>
          <w:sz w:val="20"/>
          <w:lang w:val="en-GB"/>
        </w:rPr>
        <w:t>. The total numbers of students and graduates thus do not have to be equal to the sums of students</w:t>
      </w:r>
      <w:r w:rsidR="00AB708C">
        <w:rPr>
          <w:rFonts w:ascii="Arial" w:hAnsi="Arial" w:cs="Arial"/>
          <w:i/>
          <w:iCs/>
          <w:sz w:val="20"/>
          <w:lang w:val="en-GB"/>
        </w:rPr>
        <w:t xml:space="preserve"> of</w:t>
      </w:r>
      <w:r w:rsidRPr="00E35786">
        <w:rPr>
          <w:rFonts w:ascii="Arial" w:hAnsi="Arial" w:cs="Arial"/>
          <w:i/>
          <w:iCs/>
          <w:sz w:val="20"/>
          <w:lang w:val="en-GB"/>
        </w:rPr>
        <w:t xml:space="preserve"> and graduates </w:t>
      </w:r>
      <w:r w:rsidR="00AB708C">
        <w:rPr>
          <w:rFonts w:ascii="Arial" w:hAnsi="Arial" w:cs="Arial"/>
          <w:i/>
          <w:iCs/>
          <w:sz w:val="20"/>
          <w:lang w:val="en-GB"/>
        </w:rPr>
        <w:t>from</w:t>
      </w:r>
      <w:r w:rsidR="00AB708C" w:rsidRPr="00E35786">
        <w:rPr>
          <w:rFonts w:ascii="Arial" w:hAnsi="Arial" w:cs="Arial"/>
          <w:i/>
          <w:iCs/>
          <w:sz w:val="20"/>
          <w:lang w:val="en-GB"/>
        </w:rPr>
        <w:t xml:space="preserve"> </w:t>
      </w:r>
      <w:r w:rsidRPr="00E35786">
        <w:rPr>
          <w:rFonts w:ascii="Arial" w:hAnsi="Arial" w:cs="Arial"/>
          <w:i/>
          <w:iCs/>
          <w:sz w:val="20"/>
          <w:lang w:val="en-GB"/>
        </w:rPr>
        <w:t>respective types of study programmes.</w:t>
      </w:r>
    </w:p>
    <w:p w14:paraId="4B2D1A05" w14:textId="3BFBD29C" w:rsidR="00944A64" w:rsidRDefault="00944A64" w:rsidP="00D7763F">
      <w:pPr>
        <w:spacing w:before="120"/>
        <w:ind w:firstLine="714"/>
        <w:jc w:val="both"/>
        <w:rPr>
          <w:rFonts w:ascii="Arial" w:hAnsi="Arial" w:cs="Arial"/>
          <w:i/>
          <w:iCs/>
          <w:sz w:val="20"/>
          <w:szCs w:val="20"/>
          <w:lang w:val="en-GB"/>
        </w:rPr>
      </w:pPr>
      <w:r>
        <w:rPr>
          <w:rFonts w:ascii="Arial" w:hAnsi="Arial" w:cs="Arial"/>
          <w:i/>
          <w:iCs/>
          <w:sz w:val="20"/>
          <w:lang w:val="en-GB"/>
        </w:rPr>
        <w:t>Data s</w:t>
      </w:r>
      <w:r w:rsidRPr="00D35845">
        <w:rPr>
          <w:rFonts w:ascii="Arial" w:hAnsi="Arial" w:cs="Arial"/>
          <w:i/>
          <w:iCs/>
          <w:sz w:val="20"/>
          <w:lang w:val="en-GB"/>
        </w:rPr>
        <w:t>ource</w:t>
      </w:r>
      <w:r>
        <w:rPr>
          <w:rFonts w:ascii="Arial" w:hAnsi="Arial" w:cs="Arial"/>
          <w:i/>
          <w:iCs/>
          <w:sz w:val="20"/>
          <w:lang w:val="en-GB"/>
        </w:rPr>
        <w:t xml:space="preserve"> for</w:t>
      </w:r>
      <w:r w:rsidRPr="00085E2D">
        <w:rPr>
          <w:rFonts w:ascii="Arial" w:hAnsi="Arial" w:cs="Arial"/>
          <w:i/>
          <w:iCs/>
          <w:sz w:val="20"/>
          <w:lang w:val="en-GB"/>
        </w:rPr>
        <w:t xml:space="preserve"> </w:t>
      </w:r>
      <w:r>
        <w:rPr>
          <w:rFonts w:ascii="Arial" w:hAnsi="Arial"/>
          <w:b/>
          <w:bCs/>
          <w:i/>
          <w:iCs/>
          <w:sz w:val="20"/>
          <w:lang w:val="en-GB"/>
        </w:rPr>
        <w:t>contraception</w:t>
      </w:r>
      <w:r w:rsidRPr="00D35845">
        <w:rPr>
          <w:rFonts w:ascii="Arial" w:hAnsi="Arial"/>
          <w:bCs/>
          <w:i/>
          <w:iCs/>
          <w:sz w:val="20"/>
          <w:lang w:val="en-GB"/>
        </w:rPr>
        <w:t xml:space="preserve"> </w:t>
      </w:r>
      <w:r>
        <w:rPr>
          <w:rFonts w:ascii="Arial" w:hAnsi="Arial"/>
          <w:bCs/>
          <w:i/>
          <w:iCs/>
          <w:sz w:val="20"/>
          <w:lang w:val="en-GB"/>
        </w:rPr>
        <w:t>is</w:t>
      </w:r>
      <w:r w:rsidRPr="000C2261">
        <w:rPr>
          <w:rFonts w:ascii="Arial" w:hAnsi="Arial"/>
          <w:i/>
          <w:iCs/>
          <w:sz w:val="20"/>
          <w:lang w:val="en-GB"/>
        </w:rPr>
        <w:t xml:space="preserve"> </w:t>
      </w:r>
      <w:r>
        <w:rPr>
          <w:rFonts w:ascii="Arial" w:hAnsi="Arial"/>
          <w:i/>
          <w:iCs/>
          <w:sz w:val="20"/>
          <w:lang w:val="en-GB"/>
        </w:rPr>
        <w:t xml:space="preserve">the annual questionnaire on activities of health establishments for gynaecology. Data give the numbers of </w:t>
      </w:r>
      <w:r w:rsidRPr="00944A64">
        <w:rPr>
          <w:rFonts w:ascii="Arial" w:hAnsi="Arial"/>
          <w:i/>
          <w:iCs/>
          <w:sz w:val="20"/>
          <w:lang w:val="en-GB"/>
        </w:rPr>
        <w:t>women using hormonal contraceptives or intra-uterine devices as at 31</w:t>
      </w:r>
      <w:r w:rsidR="00013155">
        <w:rPr>
          <w:rFonts w:ascii="Arial" w:hAnsi="Arial"/>
          <w:i/>
          <w:iCs/>
          <w:sz w:val="20"/>
          <w:lang w:val="en-GB"/>
        </w:rPr>
        <w:t> </w:t>
      </w:r>
      <w:r w:rsidRPr="00944A64">
        <w:rPr>
          <w:rFonts w:ascii="Arial" w:hAnsi="Arial"/>
          <w:i/>
          <w:iCs/>
          <w:sz w:val="20"/>
          <w:lang w:val="en-GB"/>
        </w:rPr>
        <w:t>December of a given year. The data given for the period before 2000</w:t>
      </w:r>
      <w:r>
        <w:rPr>
          <w:rFonts w:ascii="Arial" w:hAnsi="Arial"/>
          <w:i/>
          <w:iCs/>
          <w:sz w:val="20"/>
          <w:lang w:val="en-GB"/>
        </w:rPr>
        <w:t xml:space="preserve"> do not include data from health establishments of other bodies of central government</w:t>
      </w:r>
      <w:r w:rsidR="009115F0">
        <w:rPr>
          <w:rFonts w:ascii="Arial" w:hAnsi="Arial"/>
          <w:i/>
          <w:iCs/>
          <w:sz w:val="20"/>
          <w:lang w:val="en-GB"/>
        </w:rPr>
        <w:t>;</w:t>
      </w:r>
      <w:r>
        <w:rPr>
          <w:rFonts w:ascii="Arial" w:hAnsi="Arial"/>
          <w:i/>
          <w:iCs/>
          <w:sz w:val="20"/>
          <w:lang w:val="en-GB"/>
        </w:rPr>
        <w:t xml:space="preserve"> since 2000</w:t>
      </w:r>
      <w:r w:rsidR="009115F0">
        <w:rPr>
          <w:rFonts w:ascii="Arial" w:hAnsi="Arial"/>
          <w:i/>
          <w:iCs/>
          <w:sz w:val="20"/>
          <w:lang w:val="en-GB"/>
        </w:rPr>
        <w:t>,</w:t>
      </w:r>
      <w:r>
        <w:rPr>
          <w:rFonts w:ascii="Arial" w:hAnsi="Arial"/>
          <w:i/>
          <w:iCs/>
          <w:sz w:val="20"/>
          <w:lang w:val="en-GB"/>
        </w:rPr>
        <w:t xml:space="preserve"> the data have covered the whole health care system.</w:t>
      </w:r>
      <w:r>
        <w:rPr>
          <w:rFonts w:ascii="Arial" w:hAnsi="Arial" w:cs="Arial"/>
          <w:i/>
          <w:iCs/>
          <w:sz w:val="20"/>
          <w:szCs w:val="20"/>
          <w:lang w:val="en-GB"/>
        </w:rPr>
        <w:t xml:space="preserve"> Data for 2014 were adjusted according to the trend of the times series because the transition to a new electronic data collection</w:t>
      </w:r>
      <w:r w:rsidR="00FA3D3B">
        <w:rPr>
          <w:rFonts w:ascii="Arial" w:hAnsi="Arial" w:cs="Arial"/>
          <w:i/>
          <w:iCs/>
          <w:sz w:val="20"/>
          <w:szCs w:val="20"/>
          <w:lang w:val="en-GB"/>
        </w:rPr>
        <w:t xml:space="preserve"> system</w:t>
      </w:r>
      <w:r>
        <w:rPr>
          <w:rFonts w:ascii="Arial" w:hAnsi="Arial" w:cs="Arial"/>
          <w:i/>
          <w:iCs/>
          <w:sz w:val="20"/>
          <w:szCs w:val="20"/>
          <w:lang w:val="en-GB"/>
        </w:rPr>
        <w:t xml:space="preserve"> resulted in a lower response rate (71%) of the statistical questionnaire for 2014.</w:t>
      </w:r>
    </w:p>
    <w:p w14:paraId="68C3DD90" w14:textId="46CB6F75" w:rsidR="00944A64" w:rsidRDefault="00944A64" w:rsidP="00944A64">
      <w:pPr>
        <w:autoSpaceDE w:val="0"/>
        <w:autoSpaceDN w:val="0"/>
        <w:adjustRightInd w:val="0"/>
        <w:spacing w:before="120"/>
        <w:ind w:firstLine="680"/>
        <w:jc w:val="both"/>
        <w:rPr>
          <w:rFonts w:ascii="Arial" w:hAnsi="Arial" w:cs="Arial"/>
          <w:i/>
          <w:sz w:val="20"/>
          <w:szCs w:val="20"/>
          <w:lang w:val="en-GB"/>
        </w:rPr>
      </w:pPr>
      <w:r>
        <w:rPr>
          <w:rFonts w:ascii="Arial" w:hAnsi="Arial" w:cs="Arial"/>
          <w:i/>
          <w:iCs/>
          <w:sz w:val="20"/>
          <w:lang w:val="en-GB"/>
        </w:rPr>
        <w:t>Data s</w:t>
      </w:r>
      <w:r w:rsidRPr="00D35845">
        <w:rPr>
          <w:rFonts w:ascii="Arial" w:hAnsi="Arial" w:cs="Arial"/>
          <w:i/>
          <w:iCs/>
          <w:sz w:val="20"/>
          <w:lang w:val="en-GB"/>
        </w:rPr>
        <w:t>ource</w:t>
      </w:r>
      <w:r>
        <w:rPr>
          <w:rFonts w:ascii="Arial" w:hAnsi="Arial" w:cs="Arial"/>
          <w:i/>
          <w:iCs/>
          <w:sz w:val="20"/>
          <w:lang w:val="en-GB"/>
        </w:rPr>
        <w:t xml:space="preserve"> for</w:t>
      </w:r>
      <w:r w:rsidRPr="00782821">
        <w:rPr>
          <w:rFonts w:ascii="Arial" w:hAnsi="Arial" w:cs="Arial"/>
          <w:i/>
          <w:iCs/>
          <w:sz w:val="20"/>
          <w:lang w:val="en-GB"/>
        </w:rPr>
        <w:t xml:space="preserve"> </w:t>
      </w:r>
      <w:r>
        <w:rPr>
          <w:rFonts w:ascii="Arial" w:hAnsi="Arial" w:cs="Arial"/>
          <w:b/>
          <w:bCs/>
          <w:i/>
          <w:sz w:val="20"/>
          <w:szCs w:val="20"/>
          <w:lang w:val="en-GB"/>
        </w:rPr>
        <w:t>congenital malformations</w:t>
      </w:r>
      <w:r>
        <w:rPr>
          <w:rFonts w:ascii="Arial" w:hAnsi="Arial" w:cs="Arial"/>
          <w:i/>
          <w:sz w:val="20"/>
          <w:szCs w:val="20"/>
          <w:lang w:val="en-GB"/>
        </w:rPr>
        <w:t xml:space="preserve"> is the </w:t>
      </w:r>
      <w:r w:rsidRPr="00D35845">
        <w:rPr>
          <w:rFonts w:ascii="Arial" w:hAnsi="Arial" w:cs="Arial"/>
          <w:i/>
          <w:color w:val="000000"/>
          <w:sz w:val="20"/>
          <w:szCs w:val="20"/>
          <w:lang w:val="en-GB"/>
        </w:rPr>
        <w:t>National Regist</w:t>
      </w:r>
      <w:r>
        <w:rPr>
          <w:rFonts w:ascii="Arial" w:hAnsi="Arial" w:cs="Arial"/>
          <w:i/>
          <w:color w:val="000000"/>
          <w:sz w:val="20"/>
          <w:szCs w:val="20"/>
          <w:lang w:val="en-GB"/>
        </w:rPr>
        <w:t>e</w:t>
      </w:r>
      <w:r w:rsidRPr="00D35845">
        <w:rPr>
          <w:rFonts w:ascii="Arial" w:hAnsi="Arial" w:cs="Arial"/>
          <w:i/>
          <w:color w:val="000000"/>
          <w:sz w:val="20"/>
          <w:szCs w:val="20"/>
          <w:lang w:val="en-GB"/>
        </w:rPr>
        <w:t xml:space="preserve">r of Congenital </w:t>
      </w:r>
      <w:r>
        <w:rPr>
          <w:rFonts w:ascii="Arial" w:hAnsi="Arial" w:cs="Arial"/>
          <w:i/>
          <w:color w:val="000000"/>
          <w:sz w:val="20"/>
          <w:szCs w:val="20"/>
          <w:lang w:val="en-GB"/>
        </w:rPr>
        <w:t>Malformations</w:t>
      </w:r>
      <w:r>
        <w:rPr>
          <w:rFonts w:ascii="Arial" w:hAnsi="Arial" w:cs="Arial"/>
          <w:i/>
          <w:sz w:val="20"/>
          <w:szCs w:val="20"/>
          <w:lang w:val="en-GB"/>
        </w:rPr>
        <w:t xml:space="preserve"> and since 2000 also the </w:t>
      </w:r>
      <w:r w:rsidRPr="00D35845">
        <w:rPr>
          <w:rFonts w:ascii="Arial" w:hAnsi="Arial" w:cs="Arial"/>
          <w:i/>
          <w:color w:val="000000"/>
          <w:sz w:val="20"/>
          <w:szCs w:val="20"/>
          <w:lang w:val="en-GB"/>
        </w:rPr>
        <w:t>National Register of Newborns</w:t>
      </w:r>
      <w:r>
        <w:rPr>
          <w:rFonts w:ascii="Arial" w:hAnsi="Arial" w:cs="Arial"/>
          <w:i/>
          <w:sz w:val="20"/>
          <w:szCs w:val="20"/>
          <w:lang w:val="en-GB"/>
        </w:rPr>
        <w:t>. Before 1997</w:t>
      </w:r>
      <w:r w:rsidR="00D57258">
        <w:rPr>
          <w:rFonts w:ascii="Arial" w:hAnsi="Arial" w:cs="Arial"/>
          <w:i/>
          <w:sz w:val="20"/>
          <w:szCs w:val="20"/>
          <w:lang w:val="en-GB"/>
        </w:rPr>
        <w:t>,</w:t>
      </w:r>
      <w:r>
        <w:rPr>
          <w:rFonts w:ascii="Arial" w:hAnsi="Arial" w:cs="Arial"/>
          <w:i/>
          <w:sz w:val="20"/>
          <w:szCs w:val="20"/>
          <w:lang w:val="en-GB"/>
        </w:rPr>
        <w:t xml:space="preserve"> solely congenital malformations as defined in </w:t>
      </w:r>
      <w:r w:rsidR="006C419C">
        <w:rPr>
          <w:rFonts w:ascii="Arial" w:hAnsi="Arial" w:cs="Arial"/>
          <w:i/>
          <w:sz w:val="20"/>
          <w:szCs w:val="20"/>
          <w:lang w:val="en-GB"/>
        </w:rPr>
        <w:t xml:space="preserve">the </w:t>
      </w:r>
      <w:r>
        <w:rPr>
          <w:rFonts w:ascii="Arial" w:hAnsi="Arial" w:cs="Arial"/>
          <w:i/>
          <w:sz w:val="20"/>
          <w:szCs w:val="20"/>
          <w:lang w:val="en-GB"/>
        </w:rPr>
        <w:t>chapter XVII Congeni</w:t>
      </w:r>
      <w:r w:rsidR="00D57258">
        <w:rPr>
          <w:rFonts w:ascii="Arial" w:hAnsi="Arial" w:cs="Arial"/>
          <w:i/>
          <w:sz w:val="20"/>
          <w:szCs w:val="20"/>
          <w:lang w:val="en-GB"/>
        </w:rPr>
        <w:t>t</w:t>
      </w:r>
      <w:r>
        <w:rPr>
          <w:rFonts w:ascii="Arial" w:hAnsi="Arial" w:cs="Arial"/>
          <w:i/>
          <w:sz w:val="20"/>
          <w:szCs w:val="20"/>
          <w:lang w:val="en-GB"/>
        </w:rPr>
        <w:t>al malformations, deformations and chromosomal abnormalities of the International Statistical Classification of Diseases and Related Health Problems (ICD-10) were monitored. Since 1997</w:t>
      </w:r>
      <w:r w:rsidR="00305193">
        <w:rPr>
          <w:rFonts w:ascii="Arial" w:hAnsi="Arial" w:cs="Arial"/>
          <w:i/>
          <w:sz w:val="20"/>
          <w:szCs w:val="20"/>
          <w:lang w:val="en-GB"/>
        </w:rPr>
        <w:t>,</w:t>
      </w:r>
      <w:r>
        <w:rPr>
          <w:rFonts w:ascii="Arial" w:hAnsi="Arial" w:cs="Arial"/>
          <w:i/>
          <w:sz w:val="20"/>
          <w:szCs w:val="20"/>
          <w:lang w:val="en-GB"/>
        </w:rPr>
        <w:t xml:space="preserve"> also congenital malformations not mentioned in </w:t>
      </w:r>
      <w:r w:rsidR="002F7BFC">
        <w:rPr>
          <w:rFonts w:ascii="Arial" w:hAnsi="Arial" w:cs="Arial"/>
          <w:i/>
          <w:sz w:val="20"/>
          <w:szCs w:val="20"/>
          <w:lang w:val="en-GB"/>
        </w:rPr>
        <w:t xml:space="preserve">the </w:t>
      </w:r>
      <w:r>
        <w:rPr>
          <w:rFonts w:ascii="Arial" w:hAnsi="Arial" w:cs="Arial"/>
          <w:i/>
          <w:sz w:val="20"/>
          <w:szCs w:val="20"/>
          <w:lang w:val="en-GB"/>
        </w:rPr>
        <w:t xml:space="preserve">chapter XVII have been observed. The data given apply to live births in the reference year, in which a congenital malformation was diagnosed and notified within the first year of life. </w:t>
      </w:r>
    </w:p>
    <w:p w14:paraId="1D0F2324" w14:textId="77777777" w:rsidR="00944A64" w:rsidRPr="00E35786" w:rsidRDefault="00944A64" w:rsidP="00D7763F">
      <w:pPr>
        <w:spacing w:before="120"/>
        <w:ind w:firstLine="714"/>
        <w:jc w:val="both"/>
        <w:rPr>
          <w:rFonts w:ascii="Arial" w:hAnsi="Arial" w:cs="Arial"/>
          <w:i/>
          <w:sz w:val="20"/>
          <w:szCs w:val="20"/>
          <w:lang w:val="en-GB"/>
        </w:rPr>
      </w:pPr>
    </w:p>
    <w:p w14:paraId="51F0926C" w14:textId="77777777" w:rsidR="00D7763F" w:rsidRPr="00E35786" w:rsidRDefault="00D7763F" w:rsidP="00D7763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rPr>
      </w:pPr>
      <w:r w:rsidRPr="00E35786">
        <w:rPr>
          <w:rFonts w:ascii="Arial" w:hAnsi="Arial" w:cs="Arial"/>
          <w:b/>
          <w:i/>
        </w:rPr>
        <w:tab/>
      </w:r>
    </w:p>
    <w:p w14:paraId="4279ED15" w14:textId="0DE71375" w:rsidR="00CE1AAE" w:rsidRPr="00566130" w:rsidRDefault="00D7763F" w:rsidP="00CE1AA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r w:rsidRPr="00566130">
        <w:rPr>
          <w:rFonts w:ascii="Arial" w:hAnsi="Arial" w:cs="Arial"/>
          <w:b/>
          <w:i/>
        </w:rPr>
        <w:tab/>
      </w:r>
      <w:r w:rsidR="00246915" w:rsidRPr="00566130">
        <w:rPr>
          <w:rFonts w:ascii="Arial" w:hAnsi="Arial" w:cs="Arial"/>
          <w:b/>
          <w:i/>
          <w:lang w:val="en-GB"/>
        </w:rPr>
        <w:t>COVID-19 disease by age group</w:t>
      </w:r>
      <w:r w:rsidR="00082385" w:rsidRPr="00566130">
        <w:rPr>
          <w:rFonts w:ascii="Arial" w:hAnsi="Arial" w:cs="Arial"/>
          <w:b/>
          <w:i/>
          <w:lang w:val="en-GB"/>
        </w:rPr>
        <w:t xml:space="preserve"> and sex</w:t>
      </w:r>
      <w:r w:rsidR="00246915" w:rsidRPr="00566130">
        <w:rPr>
          <w:rFonts w:ascii="Arial" w:hAnsi="Arial" w:cs="Arial"/>
          <w:b/>
          <w:i/>
          <w:lang w:val="en-GB"/>
        </w:rPr>
        <w:t xml:space="preserve"> in 2020</w:t>
      </w:r>
      <w:r w:rsidR="00CE1AAE" w:rsidRPr="00566130">
        <w:rPr>
          <w:rFonts w:ascii="Arial" w:hAnsi="Arial" w:cs="Arial"/>
          <w:b/>
          <w:i/>
          <w:lang w:val="en-GB"/>
        </w:rPr>
        <w:t xml:space="preserve"> </w:t>
      </w:r>
      <w:r w:rsidR="00CE1AAE" w:rsidRPr="00566130">
        <w:rPr>
          <w:rFonts w:ascii="Arial" w:hAnsi="Arial" w:cs="Arial"/>
          <w:b/>
          <w:bCs/>
          <w:lang w:eastAsia="en-US"/>
        </w:rPr>
        <w:t>(</w:t>
      </w:r>
      <w:r w:rsidR="00CE1AAE" w:rsidRPr="00566130">
        <w:rPr>
          <w:rFonts w:ascii="Arial" w:hAnsi="Arial" w:cs="Arial"/>
          <w:b/>
          <w:bCs/>
          <w:i/>
          <w:lang w:eastAsia="en-US"/>
        </w:rPr>
        <w:t>tab. 2</w:t>
      </w:r>
      <w:r w:rsidR="00082385" w:rsidRPr="00566130">
        <w:rPr>
          <w:rFonts w:ascii="Arial" w:hAnsi="Arial" w:cs="Arial"/>
          <w:b/>
          <w:i/>
          <w:iCs/>
          <w:sz w:val="20"/>
          <w:szCs w:val="17"/>
          <w:lang w:val="en-GB"/>
        </w:rPr>
        <w:t>–</w:t>
      </w:r>
      <w:r w:rsidR="00CE1AAE" w:rsidRPr="00566130">
        <w:rPr>
          <w:rFonts w:ascii="Arial" w:hAnsi="Arial" w:cs="Arial"/>
          <w:b/>
          <w:bCs/>
          <w:i/>
          <w:lang w:eastAsia="en-US"/>
        </w:rPr>
        <w:t>11</w:t>
      </w:r>
      <w:r w:rsidR="00CE1AAE" w:rsidRPr="00566130">
        <w:rPr>
          <w:rFonts w:ascii="Arial" w:hAnsi="Arial" w:cs="Arial"/>
          <w:b/>
          <w:bCs/>
          <w:lang w:eastAsia="en-US"/>
        </w:rPr>
        <w:t>)</w:t>
      </w:r>
    </w:p>
    <w:p w14:paraId="2675D0DB" w14:textId="77777777" w:rsidR="00D7763F" w:rsidRPr="00E35786" w:rsidRDefault="00D7763F" w:rsidP="00D7763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u w:val="single"/>
        </w:rPr>
      </w:pPr>
    </w:p>
    <w:p w14:paraId="007FCF96" w14:textId="48B9ED6E" w:rsidR="00246915" w:rsidRPr="00E35786" w:rsidRDefault="00246915" w:rsidP="00246915">
      <w:pPr>
        <w:pStyle w:val="Normlnweb"/>
        <w:spacing w:before="120" w:beforeAutospacing="0" w:after="0" w:afterAutospacing="0"/>
        <w:ind w:firstLine="720"/>
        <w:jc w:val="both"/>
        <w:rPr>
          <w:rFonts w:ascii="Arial" w:hAnsi="Arial" w:cs="Arial"/>
          <w:i/>
          <w:color w:val="000000"/>
          <w:sz w:val="20"/>
          <w:szCs w:val="20"/>
          <w:shd w:val="clear" w:color="auto" w:fill="FFFFFF"/>
          <w:lang w:val="en-GB"/>
        </w:rPr>
      </w:pPr>
      <w:r w:rsidRPr="00E35786">
        <w:rPr>
          <w:rFonts w:ascii="Arial" w:hAnsi="Arial" w:cs="Arial"/>
          <w:i/>
          <w:color w:val="000000"/>
          <w:sz w:val="20"/>
          <w:szCs w:val="20"/>
          <w:shd w:val="clear" w:color="auto" w:fill="FFFFFF"/>
          <w:lang w:val="en-GB"/>
        </w:rPr>
        <w:t xml:space="preserve">Data come from the Information system on infectious diseases (in Czech abbreviated as </w:t>
      </w:r>
      <w:r w:rsidRPr="00E35786">
        <w:rPr>
          <w:rFonts w:ascii="Arial" w:hAnsi="Arial" w:cs="Arial"/>
          <w:color w:val="000000"/>
          <w:sz w:val="20"/>
          <w:szCs w:val="20"/>
          <w:shd w:val="clear" w:color="auto" w:fill="FFFFFF"/>
          <w:lang w:val="en-GB"/>
        </w:rPr>
        <w:t>ISIN</w:t>
      </w:r>
      <w:r w:rsidRPr="00E35786">
        <w:rPr>
          <w:rFonts w:ascii="Arial" w:hAnsi="Arial" w:cs="Arial"/>
          <w:i/>
          <w:color w:val="000000"/>
          <w:sz w:val="20"/>
          <w:szCs w:val="20"/>
          <w:shd w:val="clear" w:color="auto" w:fill="FFFFFF"/>
          <w:lang w:val="en-GB"/>
        </w:rPr>
        <w:t xml:space="preserve">), </w:t>
      </w:r>
      <w:r w:rsidR="00390862" w:rsidRPr="00640144">
        <w:rPr>
          <w:rFonts w:ascii="Arial" w:hAnsi="Arial" w:cs="Arial"/>
          <w:i/>
          <w:color w:val="000000"/>
          <w:sz w:val="20"/>
          <w:szCs w:val="20"/>
          <w:shd w:val="clear" w:color="auto" w:fill="FFFFFF"/>
          <w:lang w:val="en-GB"/>
        </w:rPr>
        <w:t xml:space="preserve">the </w:t>
      </w:r>
      <w:r w:rsidRPr="00E35786">
        <w:rPr>
          <w:rFonts w:ascii="Arial" w:hAnsi="Arial" w:cs="Arial"/>
          <w:i/>
          <w:color w:val="000000"/>
          <w:sz w:val="20"/>
          <w:szCs w:val="20"/>
          <w:shd w:val="clear" w:color="auto" w:fill="FFFFFF"/>
          <w:lang w:val="en-GB"/>
        </w:rPr>
        <w:t xml:space="preserve">processor of which is the National Institute of Public Health and the controller of which is the Ministry of Health. </w:t>
      </w:r>
    </w:p>
    <w:p w14:paraId="424B6B29" w14:textId="77777777" w:rsidR="00246915" w:rsidRPr="00E35786" w:rsidRDefault="00246915" w:rsidP="00246915">
      <w:pPr>
        <w:pStyle w:val="Normlnweb"/>
        <w:spacing w:before="120" w:beforeAutospacing="0" w:after="0" w:afterAutospacing="0"/>
        <w:ind w:firstLine="720"/>
        <w:jc w:val="both"/>
        <w:rPr>
          <w:i/>
          <w:color w:val="000000"/>
          <w:sz w:val="20"/>
          <w:szCs w:val="20"/>
          <w:lang w:val="en-GB"/>
        </w:rPr>
      </w:pPr>
      <w:r w:rsidRPr="00E35786">
        <w:rPr>
          <w:rFonts w:ascii="Arial" w:hAnsi="Arial" w:cs="Arial"/>
          <w:b/>
          <w:bCs/>
          <w:i/>
          <w:color w:val="000000"/>
          <w:sz w:val="20"/>
          <w:szCs w:val="20"/>
          <w:shd w:val="clear" w:color="auto" w:fill="FFFFFF"/>
          <w:lang w:val="en-GB"/>
        </w:rPr>
        <w:t>COVID-19 positive persons</w:t>
      </w:r>
      <w:r w:rsidRPr="00E35786">
        <w:rPr>
          <w:rFonts w:ascii="Arial" w:hAnsi="Arial" w:cs="Arial"/>
          <w:i/>
          <w:color w:val="000000"/>
          <w:sz w:val="20"/>
          <w:szCs w:val="20"/>
          <w:shd w:val="clear" w:color="auto" w:fill="FFFFFF"/>
          <w:lang w:val="en-GB"/>
        </w:rPr>
        <w:t xml:space="preserve"> – persons recorded in the Information system on infectious diseases (</w:t>
      </w:r>
      <w:r w:rsidRPr="00E35786">
        <w:rPr>
          <w:rFonts w:ascii="Arial" w:hAnsi="Arial" w:cs="Arial"/>
          <w:color w:val="000000"/>
          <w:sz w:val="20"/>
          <w:szCs w:val="20"/>
          <w:shd w:val="clear" w:color="auto" w:fill="FFFFFF"/>
          <w:lang w:val="en-GB"/>
        </w:rPr>
        <w:t>ISIN</w:t>
      </w:r>
      <w:r w:rsidRPr="00E35786">
        <w:rPr>
          <w:rFonts w:ascii="Arial" w:hAnsi="Arial" w:cs="Arial"/>
          <w:i/>
          <w:color w:val="000000"/>
          <w:sz w:val="20"/>
          <w:szCs w:val="20"/>
          <w:shd w:val="clear" w:color="auto" w:fill="FFFFFF"/>
          <w:lang w:val="en-GB"/>
        </w:rPr>
        <w:t>) as COVID-19 positive.</w:t>
      </w:r>
    </w:p>
    <w:p w14:paraId="625ACA2D" w14:textId="330DFF0B" w:rsidR="00246915" w:rsidRPr="00E35786" w:rsidRDefault="00246915" w:rsidP="00246915">
      <w:pPr>
        <w:pStyle w:val="Normlnweb"/>
        <w:spacing w:before="120" w:beforeAutospacing="0" w:after="0" w:afterAutospacing="0"/>
        <w:ind w:firstLine="720"/>
        <w:jc w:val="both"/>
        <w:rPr>
          <w:i/>
          <w:color w:val="000000"/>
          <w:sz w:val="20"/>
          <w:szCs w:val="20"/>
          <w:lang w:val="en-GB"/>
        </w:rPr>
      </w:pPr>
      <w:r w:rsidRPr="00E35786">
        <w:rPr>
          <w:rFonts w:ascii="Arial" w:hAnsi="Arial" w:cs="Arial"/>
          <w:b/>
          <w:bCs/>
          <w:i/>
          <w:color w:val="000000"/>
          <w:sz w:val="20"/>
          <w:szCs w:val="20"/>
          <w:shd w:val="clear" w:color="auto" w:fill="FFFFFF"/>
          <w:lang w:val="en-GB"/>
        </w:rPr>
        <w:t>Deaths</w:t>
      </w:r>
      <w:r w:rsidR="00CE3F80" w:rsidRPr="00640144">
        <w:rPr>
          <w:rFonts w:ascii="Arial" w:hAnsi="Arial" w:cs="Arial"/>
          <w:b/>
          <w:bCs/>
          <w:i/>
          <w:color w:val="000000"/>
          <w:sz w:val="20"/>
          <w:szCs w:val="20"/>
          <w:shd w:val="clear" w:color="auto" w:fill="FFFFFF"/>
          <w:lang w:val="en-GB"/>
        </w:rPr>
        <w:t xml:space="preserve"> with COVID-19 disease</w:t>
      </w:r>
      <w:r w:rsidRPr="00E35786">
        <w:rPr>
          <w:rFonts w:ascii="Arial" w:hAnsi="Arial" w:cs="Arial"/>
          <w:i/>
          <w:color w:val="000000"/>
          <w:sz w:val="20"/>
          <w:szCs w:val="20"/>
          <w:shd w:val="clear" w:color="auto" w:fill="FFFFFF"/>
          <w:lang w:val="en-GB"/>
        </w:rPr>
        <w:t xml:space="preserve"> – persons recorded in the Information system on infectious diseases (</w:t>
      </w:r>
      <w:r w:rsidRPr="00E35786">
        <w:rPr>
          <w:rFonts w:ascii="Arial" w:hAnsi="Arial" w:cs="Arial"/>
          <w:color w:val="000000"/>
          <w:sz w:val="20"/>
          <w:szCs w:val="20"/>
          <w:shd w:val="clear" w:color="auto" w:fill="FFFFFF"/>
          <w:lang w:val="en-GB"/>
        </w:rPr>
        <w:t>ISIN</w:t>
      </w:r>
      <w:r w:rsidR="00856B52" w:rsidRPr="00640144">
        <w:rPr>
          <w:rFonts w:ascii="Arial" w:hAnsi="Arial" w:cs="Arial"/>
          <w:i/>
          <w:color w:val="000000"/>
          <w:sz w:val="20"/>
          <w:szCs w:val="20"/>
          <w:shd w:val="clear" w:color="auto" w:fill="FFFFFF"/>
          <w:lang w:val="en-GB"/>
        </w:rPr>
        <w:t>)</w:t>
      </w:r>
      <w:r w:rsidRPr="00E35786">
        <w:rPr>
          <w:rFonts w:ascii="Arial" w:hAnsi="Arial" w:cs="Arial"/>
          <w:i/>
          <w:color w:val="000000"/>
          <w:sz w:val="20"/>
          <w:szCs w:val="20"/>
          <w:shd w:val="clear" w:color="auto" w:fill="FFFFFF"/>
          <w:lang w:val="en-GB"/>
        </w:rPr>
        <w:t xml:space="preserve"> who died in 2020 with COVID-19 disease.</w:t>
      </w:r>
    </w:p>
    <w:p w14:paraId="5BADEB56" w14:textId="74E2212E" w:rsidR="00246915" w:rsidRPr="00E35786" w:rsidRDefault="00246915" w:rsidP="0086322D">
      <w:pPr>
        <w:spacing w:before="120"/>
        <w:ind w:firstLine="714"/>
        <w:jc w:val="both"/>
        <w:rPr>
          <w:rFonts w:ascii="Arial" w:hAnsi="Arial" w:cs="Arial"/>
          <w:i/>
          <w:sz w:val="20"/>
        </w:rPr>
      </w:pPr>
      <w:r w:rsidRPr="00E35786">
        <w:rPr>
          <w:rFonts w:ascii="Arial" w:hAnsi="Arial" w:cs="Arial"/>
          <w:b/>
          <w:bCs/>
          <w:i/>
          <w:color w:val="000000"/>
          <w:sz w:val="20"/>
          <w:szCs w:val="20"/>
          <w:shd w:val="clear" w:color="auto" w:fill="FFFFFF"/>
          <w:lang w:val="en-GB"/>
        </w:rPr>
        <w:lastRenderedPageBreak/>
        <w:t>Cases of hospitalisation</w:t>
      </w:r>
      <w:r w:rsidR="001C16CB" w:rsidRPr="00640144">
        <w:rPr>
          <w:rFonts w:ascii="Arial" w:hAnsi="Arial" w:cs="Arial"/>
          <w:b/>
          <w:bCs/>
          <w:i/>
          <w:color w:val="000000"/>
          <w:sz w:val="20"/>
          <w:szCs w:val="20"/>
          <w:shd w:val="clear" w:color="auto" w:fill="FFFFFF"/>
          <w:lang w:val="en-GB"/>
        </w:rPr>
        <w:t xml:space="preserve"> with COVID-19 disease</w:t>
      </w:r>
      <w:r w:rsidRPr="00E35786">
        <w:rPr>
          <w:rFonts w:ascii="Arial" w:hAnsi="Arial" w:cs="Arial"/>
          <w:i/>
          <w:color w:val="000000"/>
          <w:sz w:val="20"/>
          <w:szCs w:val="20"/>
          <w:shd w:val="clear" w:color="auto" w:fill="FFFFFF"/>
          <w:lang w:val="en-GB"/>
        </w:rPr>
        <w:t xml:space="preserve"> – persons recorded in the Information system on infectious diseases (</w:t>
      </w:r>
      <w:r w:rsidRPr="00E35786">
        <w:rPr>
          <w:rFonts w:ascii="Arial" w:hAnsi="Arial" w:cs="Arial"/>
          <w:color w:val="000000"/>
          <w:sz w:val="20"/>
          <w:szCs w:val="20"/>
          <w:shd w:val="clear" w:color="auto" w:fill="FFFFFF"/>
          <w:lang w:val="en-GB"/>
        </w:rPr>
        <w:t>ISIN)</w:t>
      </w:r>
      <w:r w:rsidRPr="00E35786">
        <w:rPr>
          <w:rFonts w:ascii="Arial" w:hAnsi="Arial" w:cs="Arial"/>
          <w:i/>
          <w:color w:val="000000"/>
          <w:sz w:val="20"/>
          <w:szCs w:val="20"/>
          <w:shd w:val="clear" w:color="auto" w:fill="FFFFFF"/>
          <w:lang w:val="en-GB"/>
        </w:rPr>
        <w:t xml:space="preserve"> who were hospitalised in 2020 with COVID-19 disease.</w:t>
      </w:r>
    </w:p>
    <w:p w14:paraId="0DC4879D" w14:textId="300B8E9A" w:rsidR="00CE1AAE" w:rsidRDefault="00D7763F" w:rsidP="00E35786">
      <w:pPr>
        <w:pStyle w:val="Zkladntext"/>
        <w:jc w:val="both"/>
        <w:rPr>
          <w:b/>
          <w:bCs/>
          <w:i w:val="0"/>
          <w:iCs w:val="0"/>
        </w:rPr>
      </w:pPr>
      <w:r w:rsidRPr="00E35786">
        <w:rPr>
          <w:lang w:val="cs-CZ"/>
        </w:rPr>
        <w:t xml:space="preserve">  </w:t>
      </w:r>
      <w:r w:rsidRPr="00E35786">
        <w:t xml:space="preserve">          </w:t>
      </w:r>
    </w:p>
    <w:p w14:paraId="754D0043" w14:textId="6006E8EA" w:rsidR="004B47AF" w:rsidRPr="0086322D" w:rsidRDefault="00F941A5" w:rsidP="00887796">
      <w:pPr>
        <w:pStyle w:val="Zkladntext"/>
        <w:ind w:firstLine="709"/>
        <w:jc w:val="both"/>
        <w:rPr>
          <w:iCs w:val="0"/>
          <w:color w:val="1C1B18"/>
          <w:szCs w:val="20"/>
        </w:rPr>
      </w:pPr>
      <w:r w:rsidRPr="0086322D">
        <w:t xml:space="preserve">The number of </w:t>
      </w:r>
      <w:r w:rsidRPr="0086322D">
        <w:rPr>
          <w:b/>
        </w:rPr>
        <w:t>deaths by cause of death</w:t>
      </w:r>
      <w:r w:rsidR="009A5F1C" w:rsidRPr="0086322D">
        <w:rPr>
          <w:b/>
        </w:rPr>
        <w:t xml:space="preserve"> </w:t>
      </w:r>
      <w:r w:rsidR="0054157E" w:rsidRPr="0086322D">
        <w:t xml:space="preserve">is based on processing of data on causes of death or on diseases, conditions, or prospective other medical or other characteristics related to a death, </w:t>
      </w:r>
      <w:r w:rsidR="009A5F1C" w:rsidRPr="0086322D">
        <w:t>stated on the “Death certificate (Report on examination of the deceased person)”</w:t>
      </w:r>
      <w:r w:rsidR="00FE3ADD" w:rsidRPr="0086322D">
        <w:t xml:space="preserve">, before 2012 by means of </w:t>
      </w:r>
      <w:r w:rsidR="00EA7064" w:rsidRPr="0086322D">
        <w:t>filling the statistical Report</w:t>
      </w:r>
      <w:r w:rsidR="00FE3ADD" w:rsidRPr="0086322D">
        <w:t xml:space="preserve"> o</w:t>
      </w:r>
      <w:r w:rsidR="00EA7064" w:rsidRPr="0086322D">
        <w:t>n death</w:t>
      </w:r>
      <w:r w:rsidR="00FE3ADD" w:rsidRPr="0086322D">
        <w:t xml:space="preserve">. </w:t>
      </w:r>
      <w:r w:rsidR="004338B3" w:rsidRPr="0086322D">
        <w:t>An underlying cause of death is a basis for statistical c</w:t>
      </w:r>
      <w:r w:rsidR="008F478A" w:rsidRPr="0086322D">
        <w:t>lassification</w:t>
      </w:r>
      <w:r w:rsidR="00887796" w:rsidRPr="0086322D">
        <w:t xml:space="preserve">; </w:t>
      </w:r>
      <w:r w:rsidR="008F478A" w:rsidRPr="0086322D">
        <w:t xml:space="preserve">the </w:t>
      </w:r>
      <w:r w:rsidR="008437E8" w:rsidRPr="0086322D">
        <w:t>underlying cause of death</w:t>
      </w:r>
      <w:r w:rsidR="00A80B69" w:rsidRPr="0086322D">
        <w:t xml:space="preserve"> is</w:t>
      </w:r>
      <w:r w:rsidR="005A53E3" w:rsidRPr="0086322D">
        <w:t xml:space="preserve"> defined by the World Health Organization as (a)</w:t>
      </w:r>
      <w:r w:rsidR="00A703CA" w:rsidRPr="0086322D">
        <w:t xml:space="preserve"> </w:t>
      </w:r>
      <w:r w:rsidR="00A80B69" w:rsidRPr="0086322D">
        <w:t>the disease or injury that initiated the train of events leading directly to death or</w:t>
      </w:r>
      <w:r w:rsidR="00394B88" w:rsidRPr="0086322D">
        <w:t xml:space="preserve"> (b)</w:t>
      </w:r>
      <w:r w:rsidR="00A80B69" w:rsidRPr="0086322D">
        <w:t xml:space="preserve"> the circumstances of the accident or violence which produced the fatal injury.</w:t>
      </w:r>
      <w:r w:rsidR="00394B88" w:rsidRPr="0086322D">
        <w:t xml:space="preserve"> </w:t>
      </w:r>
      <w:r w:rsidR="004B47AF" w:rsidRPr="0086322D">
        <w:rPr>
          <w:iCs w:val="0"/>
          <w:color w:val="1C1B18"/>
          <w:szCs w:val="20"/>
        </w:rPr>
        <w:t xml:space="preserve">Causes of death have been coded </w:t>
      </w:r>
      <w:r w:rsidR="004B47AF" w:rsidRPr="0086322D">
        <w:t xml:space="preserve">(since 1994) </w:t>
      </w:r>
      <w:r w:rsidR="004B47AF" w:rsidRPr="0086322D">
        <w:rPr>
          <w:iCs w:val="0"/>
          <w:color w:val="1C1B18"/>
          <w:szCs w:val="20"/>
        </w:rPr>
        <w:t xml:space="preserve">according to the </w:t>
      </w:r>
      <w:r w:rsidR="00C67736" w:rsidRPr="0086322D">
        <w:rPr>
          <w:iCs w:val="0"/>
          <w:color w:val="1C1B18"/>
          <w:szCs w:val="20"/>
        </w:rPr>
        <w:t xml:space="preserve">International Statistical Classification of Diseases and Related Health Problems in the wording of the </w:t>
      </w:r>
      <w:r w:rsidR="004B47AF" w:rsidRPr="0086322D">
        <w:rPr>
          <w:iCs w:val="0"/>
          <w:color w:val="1C1B18"/>
          <w:szCs w:val="20"/>
        </w:rPr>
        <w:t>10th</w:t>
      </w:r>
      <w:r w:rsidR="00E63972" w:rsidRPr="0086322D">
        <w:rPr>
          <w:iCs w:val="0"/>
          <w:color w:val="1C1B18"/>
          <w:szCs w:val="20"/>
        </w:rPr>
        <w:t xml:space="preserve"> decennial</w:t>
      </w:r>
      <w:r w:rsidR="004B47AF" w:rsidRPr="0086322D">
        <w:rPr>
          <w:iCs w:val="0"/>
          <w:color w:val="1C1B18"/>
          <w:szCs w:val="20"/>
        </w:rPr>
        <w:t xml:space="preserve"> revision (ICD-10)</w:t>
      </w:r>
      <w:r w:rsidR="00C67736" w:rsidRPr="0086322D">
        <w:rPr>
          <w:iCs w:val="0"/>
          <w:color w:val="1C1B18"/>
          <w:szCs w:val="20"/>
        </w:rPr>
        <w:t xml:space="preserve"> and its subsequent</w:t>
      </w:r>
      <w:r w:rsidR="00E63972" w:rsidRPr="0086322D">
        <w:rPr>
          <w:iCs w:val="0"/>
          <w:color w:val="1C1B18"/>
          <w:szCs w:val="20"/>
        </w:rPr>
        <w:t>, in the Czech Republic</w:t>
      </w:r>
      <w:r w:rsidR="00C67736" w:rsidRPr="0086322D">
        <w:rPr>
          <w:iCs w:val="0"/>
          <w:color w:val="1C1B18"/>
          <w:szCs w:val="20"/>
        </w:rPr>
        <w:t xml:space="preserve"> </w:t>
      </w:r>
      <w:r w:rsidR="00E63972" w:rsidRPr="0086322D">
        <w:rPr>
          <w:iCs w:val="0"/>
          <w:color w:val="1C1B18"/>
          <w:szCs w:val="20"/>
        </w:rPr>
        <w:t xml:space="preserve">adopted, </w:t>
      </w:r>
      <w:r w:rsidR="00C67736" w:rsidRPr="0086322D">
        <w:rPr>
          <w:iCs w:val="0"/>
          <w:color w:val="1C1B18"/>
          <w:szCs w:val="20"/>
        </w:rPr>
        <w:t>updates.</w:t>
      </w:r>
      <w:r w:rsidR="00F9252B" w:rsidRPr="0086322D">
        <w:rPr>
          <w:iCs w:val="0"/>
          <w:color w:val="1C1B18"/>
          <w:szCs w:val="20"/>
        </w:rPr>
        <w:t xml:space="preserve"> In 2020, COVID-19 disease was newly included in the classification of diseases; the U07 code from the </w:t>
      </w:r>
      <w:r w:rsidR="00B92567" w:rsidRPr="0086322D">
        <w:rPr>
          <w:iCs w:val="0"/>
          <w:color w:val="1C1B18"/>
          <w:szCs w:val="20"/>
        </w:rPr>
        <w:t>c</w:t>
      </w:r>
      <w:r w:rsidR="00F9252B" w:rsidRPr="0086322D">
        <w:rPr>
          <w:iCs w:val="0"/>
          <w:color w:val="1C1B18"/>
          <w:szCs w:val="20"/>
        </w:rPr>
        <w:t>hapter of Codes for special purposes was assigned to it.</w:t>
      </w:r>
      <w:r w:rsidR="004B47AF" w:rsidRPr="0086322D">
        <w:rPr>
          <w:iCs w:val="0"/>
          <w:color w:val="1C1B18"/>
          <w:szCs w:val="20"/>
        </w:rPr>
        <w:t xml:space="preserve"> </w:t>
      </w:r>
    </w:p>
    <w:p w14:paraId="20986C27" w14:textId="0E42EB1C" w:rsidR="00944A64" w:rsidRPr="0086322D" w:rsidRDefault="00944A64" w:rsidP="00944A64">
      <w:pPr>
        <w:pStyle w:val="Zkladntext"/>
        <w:jc w:val="both"/>
        <w:rPr>
          <w:lang w:val="cs-CZ"/>
        </w:rPr>
      </w:pPr>
    </w:p>
    <w:p w14:paraId="63009554" w14:textId="285BEDF0" w:rsidR="00052D99" w:rsidRPr="002E7997" w:rsidRDefault="001B175E" w:rsidP="00944A64">
      <w:pPr>
        <w:pStyle w:val="Zkladntext"/>
        <w:ind w:firstLine="709"/>
        <w:jc w:val="both"/>
      </w:pPr>
      <w:r w:rsidRPr="0086322D">
        <w:rPr>
          <w:b/>
        </w:rPr>
        <w:t>Age-specific mortality rates</w:t>
      </w:r>
      <w:r w:rsidR="00944A64" w:rsidRPr="0086322D">
        <w:rPr>
          <w:b/>
        </w:rPr>
        <w:t xml:space="preserve">: </w:t>
      </w:r>
      <w:r w:rsidR="00052D99" w:rsidRPr="0086322D">
        <w:t>the number of deaths (deceased persons, females or males) at a given age per 1 000 mid-year population of the same age.</w:t>
      </w:r>
      <w:r w:rsidR="00052D99" w:rsidRPr="002E7997">
        <w:t xml:space="preserve"> </w:t>
      </w:r>
    </w:p>
    <w:p w14:paraId="037C19B5" w14:textId="466A7E3D" w:rsidR="006105FF" w:rsidRPr="0086322D" w:rsidRDefault="00944A64" w:rsidP="00352E89">
      <w:pPr>
        <w:pStyle w:val="Zkladntext"/>
        <w:spacing w:before="60"/>
        <w:ind w:firstLine="709"/>
        <w:jc w:val="both"/>
      </w:pPr>
      <w:r w:rsidRPr="0086322D">
        <w:rPr>
          <w:b/>
          <w:i w:val="0"/>
          <w:iCs w:val="0"/>
        </w:rPr>
        <w:t>Index</w:t>
      </w:r>
      <w:r w:rsidR="006105FF" w:rsidRPr="0086322D">
        <w:rPr>
          <w:b/>
          <w:i w:val="0"/>
          <w:iCs w:val="0"/>
        </w:rPr>
        <w:t xml:space="preserve"> of male excess mortality</w:t>
      </w:r>
      <w:r w:rsidRPr="0086322D">
        <w:rPr>
          <w:i w:val="0"/>
          <w:iCs w:val="0"/>
        </w:rPr>
        <w:t xml:space="preserve"> (</w:t>
      </w:r>
      <w:r w:rsidR="00A11F10" w:rsidRPr="0086322D">
        <w:rPr>
          <w:i w:val="0"/>
          <w:iCs w:val="0"/>
        </w:rPr>
        <w:t>in the Graph</w:t>
      </w:r>
      <w:r w:rsidRPr="0086322D">
        <w:rPr>
          <w:i w:val="0"/>
          <w:iCs w:val="0"/>
        </w:rPr>
        <w:t xml:space="preserve"> 2-31) </w:t>
      </w:r>
      <w:r w:rsidR="006105FF" w:rsidRPr="0086322D">
        <w:rPr>
          <w:i w:val="0"/>
          <w:iCs w:val="0"/>
        </w:rPr>
        <w:t xml:space="preserve">shows the male mortality rate to the female mortality rate ratio at a given age. </w:t>
      </w:r>
    </w:p>
    <w:p w14:paraId="258BFDD3" w14:textId="2EC9F092" w:rsidR="00411C65" w:rsidRPr="00B854F8" w:rsidRDefault="001B175E" w:rsidP="00273FAB">
      <w:pPr>
        <w:pStyle w:val="Zkladntext"/>
        <w:spacing w:before="60"/>
        <w:ind w:firstLine="709"/>
        <w:jc w:val="both"/>
      </w:pPr>
      <w:r w:rsidRPr="0086322D">
        <w:rPr>
          <w:b/>
        </w:rPr>
        <w:t xml:space="preserve">Life expectancy </w:t>
      </w:r>
      <w:r w:rsidRPr="0086322D">
        <w:t>at certain ages</w:t>
      </w:r>
      <w:r w:rsidR="00C27C4E" w:rsidRPr="0086322D">
        <w:rPr>
          <w:b/>
        </w:rPr>
        <w:t xml:space="preserve"> </w:t>
      </w:r>
      <w:r w:rsidR="0013391E" w:rsidRPr="0086322D">
        <w:t>(</w:t>
      </w:r>
      <w:r w:rsidR="00C27C4E" w:rsidRPr="0086322D">
        <w:rPr>
          <w:b/>
        </w:rPr>
        <w:t xml:space="preserve">at </w:t>
      </w:r>
      <w:r w:rsidR="0013391E" w:rsidRPr="0086322D">
        <w:rPr>
          <w:b/>
        </w:rPr>
        <w:t xml:space="preserve">a </w:t>
      </w:r>
      <w:r w:rsidR="00C27C4E" w:rsidRPr="0086322D">
        <w:rPr>
          <w:b/>
        </w:rPr>
        <w:t>given age</w:t>
      </w:r>
      <w:r w:rsidR="0013391E" w:rsidRPr="0086322D">
        <w:t>)</w:t>
      </w:r>
      <w:r w:rsidR="00944A64" w:rsidRPr="0086322D">
        <w:t xml:space="preserve">: </w:t>
      </w:r>
      <w:r w:rsidR="00A237D0" w:rsidRPr="0086322D">
        <w:t>the average number of years to be</w:t>
      </w:r>
      <w:r w:rsidR="00273FAB" w:rsidRPr="0086322D">
        <w:t xml:space="preserve"> still</w:t>
      </w:r>
      <w:r w:rsidR="00A237D0" w:rsidRPr="0086322D">
        <w:t xml:space="preserve"> lived by a person who is now at a given age while </w:t>
      </w:r>
      <w:r w:rsidR="00273FAB" w:rsidRPr="0086322D">
        <w:t>mortality conditions for individual ages in a given calendar year</w:t>
      </w:r>
      <w:r w:rsidR="00A237D0" w:rsidRPr="0086322D">
        <w:t xml:space="preserve"> are maintained. </w:t>
      </w:r>
      <w:r w:rsidR="00411C65" w:rsidRPr="0086322D">
        <w:t>It is a resulting indicator of so-called life tables.</w:t>
      </w:r>
      <w:r w:rsidR="00411C65" w:rsidRPr="00B854F8">
        <w:t xml:space="preserve"> </w:t>
      </w:r>
    </w:p>
    <w:p w14:paraId="50F035A1" w14:textId="0DC13A0D" w:rsidR="00944A64" w:rsidRPr="00411C65" w:rsidRDefault="00944A64" w:rsidP="00E35786">
      <w:pPr>
        <w:pStyle w:val="Zkladntext"/>
        <w:jc w:val="both"/>
        <w:rPr>
          <w:b/>
          <w:bCs/>
          <w:i w:val="0"/>
          <w:iCs w:val="0"/>
          <w:lang w:val="cs-CZ"/>
        </w:rPr>
      </w:pPr>
    </w:p>
    <w:p w14:paraId="59658064" w14:textId="235506E9" w:rsidR="00D7763F" w:rsidRPr="00E35786" w:rsidRDefault="00D7763F" w:rsidP="00E3578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b/>
          <w:bCs/>
          <w:i/>
        </w:rPr>
      </w:pPr>
      <w:r w:rsidRPr="00E35786">
        <w:rPr>
          <w:rFonts w:ascii="Arial" w:hAnsi="Arial" w:cs="Arial"/>
          <w:b/>
          <w:bCs/>
          <w:i/>
          <w:sz w:val="20"/>
        </w:rPr>
        <w:tab/>
      </w:r>
    </w:p>
    <w:p w14:paraId="0EBAC05D" w14:textId="77777777" w:rsidR="00BB6357" w:rsidRPr="00640144" w:rsidRDefault="00BB6357" w:rsidP="00BB6357">
      <w:pPr>
        <w:pStyle w:val="Zkladntextodsazen"/>
        <w:tabs>
          <w:tab w:val="left" w:pos="708"/>
        </w:tabs>
        <w:rPr>
          <w:b/>
          <w:i/>
          <w:color w:val="auto"/>
          <w:lang w:val="en-GB"/>
        </w:rPr>
      </w:pPr>
      <w:r w:rsidRPr="00640144">
        <w:rPr>
          <w:b/>
          <w:i/>
          <w:color w:val="auto"/>
          <w:lang w:val="en-GB"/>
        </w:rPr>
        <w:t>Further information, data, and analyses of the CZSO can be found on the websites mentioned below:</w:t>
      </w:r>
    </w:p>
    <w:p w14:paraId="2D726C67" w14:textId="77777777" w:rsidR="00BB6357" w:rsidRPr="00640144" w:rsidRDefault="00BB6357" w:rsidP="00BB6357">
      <w:pPr>
        <w:pStyle w:val="Zkladntextodsazen"/>
        <w:ind w:firstLine="0"/>
        <w:rPr>
          <w:i/>
          <w:color w:val="auto"/>
          <w:lang w:val="en-GB"/>
        </w:rPr>
      </w:pPr>
    </w:p>
    <w:p w14:paraId="19B5833D" w14:textId="526FAF8C" w:rsidR="00BB6357" w:rsidRPr="00E35786" w:rsidRDefault="00BB6357" w:rsidP="00BB6357">
      <w:pPr>
        <w:pStyle w:val="Zkladntextodsazen"/>
        <w:tabs>
          <w:tab w:val="left" w:pos="708"/>
        </w:tabs>
        <w:spacing w:after="40"/>
        <w:ind w:firstLine="0"/>
        <w:jc w:val="left"/>
        <w:rPr>
          <w:i/>
          <w:color w:val="auto"/>
          <w:lang w:val="en-GB"/>
        </w:rPr>
      </w:pPr>
      <w:r w:rsidRPr="00640144">
        <w:rPr>
          <w:i/>
          <w:color w:val="auto"/>
          <w:lang w:val="en-GB"/>
        </w:rPr>
        <w:t xml:space="preserve">Publications devoted to health: </w:t>
      </w:r>
      <w:hyperlink r:id="rId9" w:history="1">
        <w:r w:rsidR="00390862" w:rsidRPr="00640144">
          <w:rPr>
            <w:rStyle w:val="Hypertextovodkaz"/>
            <w:i/>
          </w:rPr>
          <w:t>https://www.czso.cz/csu/czso/public-health</w:t>
        </w:r>
      </w:hyperlink>
    </w:p>
    <w:p w14:paraId="04C7E4F7" w14:textId="51014DDC" w:rsidR="00390862" w:rsidRPr="00640144" w:rsidRDefault="00BB6357" w:rsidP="00BB6357">
      <w:pPr>
        <w:pStyle w:val="Zkladntextodsazen"/>
        <w:spacing w:after="40"/>
        <w:ind w:firstLine="0"/>
        <w:rPr>
          <w:i/>
        </w:rPr>
      </w:pPr>
      <w:r w:rsidRPr="00E35786">
        <w:rPr>
          <w:i/>
          <w:color w:val="auto"/>
          <w:lang w:val="en-GB"/>
        </w:rPr>
        <w:t xml:space="preserve">Statistical Yearbook of the Czech Republic: </w:t>
      </w:r>
      <w:hyperlink r:id="rId10" w:history="1">
        <w:r w:rsidR="00390862" w:rsidRPr="00640144">
          <w:rPr>
            <w:rStyle w:val="Hypertextovodkaz"/>
            <w:i/>
          </w:rPr>
          <w:t>https://www.czso.cz/csu/czso/25-health-xrt7z36d0v</w:t>
        </w:r>
      </w:hyperlink>
    </w:p>
    <w:p w14:paraId="1D8CBCA6" w14:textId="7E79D142" w:rsidR="00BB6357" w:rsidRPr="00640144" w:rsidRDefault="00BB6357" w:rsidP="00BB6357">
      <w:pPr>
        <w:pStyle w:val="Zkladntextodsazen"/>
        <w:spacing w:after="40"/>
        <w:ind w:firstLine="0"/>
      </w:pPr>
      <w:r w:rsidRPr="00E35786">
        <w:rPr>
          <w:i/>
          <w:color w:val="auto"/>
          <w:lang w:val="en-GB"/>
        </w:rPr>
        <w:t xml:space="preserve">Regional yearbooks: </w:t>
      </w:r>
      <w:hyperlink r:id="rId11" w:history="1">
        <w:r w:rsidR="00390862" w:rsidRPr="00E35786">
          <w:rPr>
            <w:rStyle w:val="Hypertextovodkaz"/>
            <w:i/>
          </w:rPr>
          <w:t>https://www.czso.cz/csu/czso/regional-yearbooks</w:t>
        </w:r>
      </w:hyperlink>
    </w:p>
    <w:p w14:paraId="56712A83" w14:textId="77777777" w:rsidR="00390862" w:rsidRPr="00640144" w:rsidRDefault="00390862" w:rsidP="00BB6357">
      <w:pPr>
        <w:pStyle w:val="Zkladntextodsazen"/>
        <w:spacing w:after="40"/>
        <w:ind w:firstLine="0"/>
        <w:rPr>
          <w:rStyle w:val="Hypertextovodkaz"/>
          <w:i/>
          <w:lang w:val="en-GB"/>
        </w:rPr>
      </w:pPr>
    </w:p>
    <w:p w14:paraId="1F348CB3" w14:textId="77777777" w:rsidR="003A4797" w:rsidRPr="00093585" w:rsidRDefault="003A4797" w:rsidP="00E35786">
      <w:pPr>
        <w:spacing w:before="120"/>
        <w:jc w:val="both"/>
        <w:rPr>
          <w:b/>
          <w:bCs/>
          <w:i/>
          <w:iCs/>
          <w:lang w:val="en-GB"/>
        </w:rPr>
      </w:pPr>
    </w:p>
    <w:sectPr w:rsidR="003A4797" w:rsidRPr="00093585" w:rsidSect="007B2D91">
      <w:footerReference w:type="even" r:id="rId12"/>
      <w:pgSz w:w="11906" w:h="16838" w:code="9"/>
      <w:pgMar w:top="1134" w:right="1134" w:bottom="1418"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D6E0" w14:textId="77777777" w:rsidR="000668F0" w:rsidRDefault="000668F0">
      <w:r>
        <w:separator/>
      </w:r>
    </w:p>
  </w:endnote>
  <w:endnote w:type="continuationSeparator" w:id="0">
    <w:p w14:paraId="7372B244" w14:textId="77777777" w:rsidR="000668F0" w:rsidRDefault="0006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874" w14:textId="77777777" w:rsidR="00405360" w:rsidRDefault="00B27216">
    <w:pPr>
      <w:pStyle w:val="Zpat"/>
      <w:framePr w:wrap="around" w:vAnchor="text" w:hAnchor="margin" w:xAlign="center" w:y="1"/>
      <w:rPr>
        <w:rStyle w:val="slostrnky"/>
      </w:rPr>
    </w:pPr>
    <w:r>
      <w:rPr>
        <w:rStyle w:val="slostrnky"/>
      </w:rPr>
      <w:fldChar w:fldCharType="begin"/>
    </w:r>
    <w:r w:rsidR="00405360">
      <w:rPr>
        <w:rStyle w:val="slostrnky"/>
      </w:rPr>
      <w:instrText xml:space="preserve">PAGE  </w:instrText>
    </w:r>
    <w:r>
      <w:rPr>
        <w:rStyle w:val="slostrnky"/>
      </w:rPr>
      <w:fldChar w:fldCharType="end"/>
    </w:r>
  </w:p>
  <w:p w14:paraId="1E0A9388" w14:textId="77777777" w:rsidR="00405360" w:rsidRDefault="004053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13B3" w14:textId="77777777" w:rsidR="000668F0" w:rsidRDefault="000668F0">
      <w:r>
        <w:separator/>
      </w:r>
    </w:p>
  </w:footnote>
  <w:footnote w:type="continuationSeparator" w:id="0">
    <w:p w14:paraId="3DFB15D2" w14:textId="77777777" w:rsidR="000668F0" w:rsidRDefault="0006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AF64CD6"/>
    <w:multiLevelType w:val="multilevel"/>
    <w:tmpl w:val="042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15"/>
    <w:rsid w:val="00002722"/>
    <w:rsid w:val="00010558"/>
    <w:rsid w:val="000118DC"/>
    <w:rsid w:val="00012AB5"/>
    <w:rsid w:val="00013155"/>
    <w:rsid w:val="00020007"/>
    <w:rsid w:val="0002045D"/>
    <w:rsid w:val="000233D3"/>
    <w:rsid w:val="00023F95"/>
    <w:rsid w:val="00023FB4"/>
    <w:rsid w:val="00026312"/>
    <w:rsid w:val="00027956"/>
    <w:rsid w:val="000304A0"/>
    <w:rsid w:val="00031892"/>
    <w:rsid w:val="0003281B"/>
    <w:rsid w:val="00034923"/>
    <w:rsid w:val="00041E4B"/>
    <w:rsid w:val="000441F8"/>
    <w:rsid w:val="0004789B"/>
    <w:rsid w:val="00050443"/>
    <w:rsid w:val="00050E0A"/>
    <w:rsid w:val="00051AED"/>
    <w:rsid w:val="00052D99"/>
    <w:rsid w:val="00062563"/>
    <w:rsid w:val="000668F0"/>
    <w:rsid w:val="000669BC"/>
    <w:rsid w:val="0007271B"/>
    <w:rsid w:val="00075325"/>
    <w:rsid w:val="00082385"/>
    <w:rsid w:val="00085A4F"/>
    <w:rsid w:val="00085E2D"/>
    <w:rsid w:val="0008764A"/>
    <w:rsid w:val="00093585"/>
    <w:rsid w:val="0009663C"/>
    <w:rsid w:val="000B0B62"/>
    <w:rsid w:val="000C2261"/>
    <w:rsid w:val="000D1959"/>
    <w:rsid w:val="000D234E"/>
    <w:rsid w:val="000D2725"/>
    <w:rsid w:val="000D4ECD"/>
    <w:rsid w:val="000D7A11"/>
    <w:rsid w:val="000E435F"/>
    <w:rsid w:val="000E79BB"/>
    <w:rsid w:val="000F162D"/>
    <w:rsid w:val="000F164E"/>
    <w:rsid w:val="000F475D"/>
    <w:rsid w:val="000F4A94"/>
    <w:rsid w:val="000F56CC"/>
    <w:rsid w:val="00102E85"/>
    <w:rsid w:val="00106683"/>
    <w:rsid w:val="00107D8E"/>
    <w:rsid w:val="00110537"/>
    <w:rsid w:val="00110D1A"/>
    <w:rsid w:val="00112161"/>
    <w:rsid w:val="00113795"/>
    <w:rsid w:val="0011404B"/>
    <w:rsid w:val="00114338"/>
    <w:rsid w:val="00114BBA"/>
    <w:rsid w:val="00116730"/>
    <w:rsid w:val="00120010"/>
    <w:rsid w:val="00120C32"/>
    <w:rsid w:val="0012245F"/>
    <w:rsid w:val="00131F0D"/>
    <w:rsid w:val="0013391E"/>
    <w:rsid w:val="00162C07"/>
    <w:rsid w:val="00164F77"/>
    <w:rsid w:val="00166AF5"/>
    <w:rsid w:val="001715D6"/>
    <w:rsid w:val="001728B9"/>
    <w:rsid w:val="001743FA"/>
    <w:rsid w:val="0018114B"/>
    <w:rsid w:val="001959F9"/>
    <w:rsid w:val="001A482D"/>
    <w:rsid w:val="001A7318"/>
    <w:rsid w:val="001B130B"/>
    <w:rsid w:val="001B175E"/>
    <w:rsid w:val="001B2373"/>
    <w:rsid w:val="001B57A1"/>
    <w:rsid w:val="001B717E"/>
    <w:rsid w:val="001B7978"/>
    <w:rsid w:val="001C00F1"/>
    <w:rsid w:val="001C04FD"/>
    <w:rsid w:val="001C16CB"/>
    <w:rsid w:val="001C49FB"/>
    <w:rsid w:val="001D4099"/>
    <w:rsid w:val="001D41B5"/>
    <w:rsid w:val="001D4715"/>
    <w:rsid w:val="001D51AB"/>
    <w:rsid w:val="001D55BA"/>
    <w:rsid w:val="001E5606"/>
    <w:rsid w:val="001F25B9"/>
    <w:rsid w:val="001F392C"/>
    <w:rsid w:val="001F60EF"/>
    <w:rsid w:val="002045F5"/>
    <w:rsid w:val="0020490E"/>
    <w:rsid w:val="00206139"/>
    <w:rsid w:val="00211980"/>
    <w:rsid w:val="0021239C"/>
    <w:rsid w:val="0021467E"/>
    <w:rsid w:val="00216165"/>
    <w:rsid w:val="002229CA"/>
    <w:rsid w:val="0022333E"/>
    <w:rsid w:val="002233AB"/>
    <w:rsid w:val="00224042"/>
    <w:rsid w:val="00227B9E"/>
    <w:rsid w:val="00233F26"/>
    <w:rsid w:val="002356F5"/>
    <w:rsid w:val="00235E61"/>
    <w:rsid w:val="0024086E"/>
    <w:rsid w:val="00243EA5"/>
    <w:rsid w:val="002460AE"/>
    <w:rsid w:val="00246915"/>
    <w:rsid w:val="002548BC"/>
    <w:rsid w:val="00256427"/>
    <w:rsid w:val="0025791B"/>
    <w:rsid w:val="00264924"/>
    <w:rsid w:val="0026596A"/>
    <w:rsid w:val="00265B55"/>
    <w:rsid w:val="00273FAB"/>
    <w:rsid w:val="00276F09"/>
    <w:rsid w:val="002810EE"/>
    <w:rsid w:val="0028218B"/>
    <w:rsid w:val="002845D5"/>
    <w:rsid w:val="00286815"/>
    <w:rsid w:val="002A12B7"/>
    <w:rsid w:val="002A16DA"/>
    <w:rsid w:val="002A24BF"/>
    <w:rsid w:val="002A2EDB"/>
    <w:rsid w:val="002A3511"/>
    <w:rsid w:val="002A50BB"/>
    <w:rsid w:val="002A6C09"/>
    <w:rsid w:val="002B00DB"/>
    <w:rsid w:val="002B0CDF"/>
    <w:rsid w:val="002B1BC6"/>
    <w:rsid w:val="002C081A"/>
    <w:rsid w:val="002D343E"/>
    <w:rsid w:val="002D7314"/>
    <w:rsid w:val="002E0D5C"/>
    <w:rsid w:val="002E2D03"/>
    <w:rsid w:val="002E6799"/>
    <w:rsid w:val="002E719C"/>
    <w:rsid w:val="002E7861"/>
    <w:rsid w:val="002E7997"/>
    <w:rsid w:val="002F22EE"/>
    <w:rsid w:val="002F3F6E"/>
    <w:rsid w:val="002F599E"/>
    <w:rsid w:val="002F7BFC"/>
    <w:rsid w:val="00301BCD"/>
    <w:rsid w:val="00301E42"/>
    <w:rsid w:val="0030386D"/>
    <w:rsid w:val="00304A57"/>
    <w:rsid w:val="00305193"/>
    <w:rsid w:val="00317FCA"/>
    <w:rsid w:val="0032254D"/>
    <w:rsid w:val="003231E3"/>
    <w:rsid w:val="00323729"/>
    <w:rsid w:val="00324DC8"/>
    <w:rsid w:val="003359A5"/>
    <w:rsid w:val="00335D1D"/>
    <w:rsid w:val="00337CF5"/>
    <w:rsid w:val="003415B1"/>
    <w:rsid w:val="00342279"/>
    <w:rsid w:val="003468D2"/>
    <w:rsid w:val="00352E89"/>
    <w:rsid w:val="00353ADC"/>
    <w:rsid w:val="00354654"/>
    <w:rsid w:val="00356015"/>
    <w:rsid w:val="00360A37"/>
    <w:rsid w:val="00364482"/>
    <w:rsid w:val="00390862"/>
    <w:rsid w:val="00394B88"/>
    <w:rsid w:val="003A303F"/>
    <w:rsid w:val="003A30E7"/>
    <w:rsid w:val="003A4797"/>
    <w:rsid w:val="003B0822"/>
    <w:rsid w:val="003B2137"/>
    <w:rsid w:val="003B4500"/>
    <w:rsid w:val="003B4992"/>
    <w:rsid w:val="003B6498"/>
    <w:rsid w:val="003B7F9A"/>
    <w:rsid w:val="003D2994"/>
    <w:rsid w:val="003D42D4"/>
    <w:rsid w:val="003E1A59"/>
    <w:rsid w:val="003E48BD"/>
    <w:rsid w:val="003E524F"/>
    <w:rsid w:val="003E5E58"/>
    <w:rsid w:val="003F42B8"/>
    <w:rsid w:val="003F4F44"/>
    <w:rsid w:val="00400870"/>
    <w:rsid w:val="00400AE8"/>
    <w:rsid w:val="004010B0"/>
    <w:rsid w:val="0040484B"/>
    <w:rsid w:val="0040534E"/>
    <w:rsid w:val="00405360"/>
    <w:rsid w:val="00406555"/>
    <w:rsid w:val="00410547"/>
    <w:rsid w:val="00410DBD"/>
    <w:rsid w:val="00411C65"/>
    <w:rsid w:val="004212F8"/>
    <w:rsid w:val="004224BD"/>
    <w:rsid w:val="00423C7A"/>
    <w:rsid w:val="004322B6"/>
    <w:rsid w:val="004328D3"/>
    <w:rsid w:val="004338B3"/>
    <w:rsid w:val="00435197"/>
    <w:rsid w:val="004376D9"/>
    <w:rsid w:val="0044218E"/>
    <w:rsid w:val="00443830"/>
    <w:rsid w:val="00445054"/>
    <w:rsid w:val="00447414"/>
    <w:rsid w:val="004518FD"/>
    <w:rsid w:val="00454469"/>
    <w:rsid w:val="00461864"/>
    <w:rsid w:val="00467655"/>
    <w:rsid w:val="00470836"/>
    <w:rsid w:val="00472401"/>
    <w:rsid w:val="0047414F"/>
    <w:rsid w:val="0047534C"/>
    <w:rsid w:val="00475F79"/>
    <w:rsid w:val="00483B5E"/>
    <w:rsid w:val="00484E29"/>
    <w:rsid w:val="00485044"/>
    <w:rsid w:val="00496C66"/>
    <w:rsid w:val="004A78CF"/>
    <w:rsid w:val="004B1243"/>
    <w:rsid w:val="004B47AF"/>
    <w:rsid w:val="004B5061"/>
    <w:rsid w:val="004C0EC7"/>
    <w:rsid w:val="004C647A"/>
    <w:rsid w:val="004C6BC9"/>
    <w:rsid w:val="004D12A2"/>
    <w:rsid w:val="004D4AD3"/>
    <w:rsid w:val="004E2760"/>
    <w:rsid w:val="004E6A36"/>
    <w:rsid w:val="004F1906"/>
    <w:rsid w:val="004F32DB"/>
    <w:rsid w:val="004F4CEB"/>
    <w:rsid w:val="004F5441"/>
    <w:rsid w:val="005008EF"/>
    <w:rsid w:val="005018F5"/>
    <w:rsid w:val="00512EEC"/>
    <w:rsid w:val="00513D84"/>
    <w:rsid w:val="00514B0B"/>
    <w:rsid w:val="00520A57"/>
    <w:rsid w:val="0052520E"/>
    <w:rsid w:val="00525D80"/>
    <w:rsid w:val="00527277"/>
    <w:rsid w:val="00533C58"/>
    <w:rsid w:val="005412D1"/>
    <w:rsid w:val="0054157E"/>
    <w:rsid w:val="005463F0"/>
    <w:rsid w:val="00547AF8"/>
    <w:rsid w:val="00552F05"/>
    <w:rsid w:val="00561D8D"/>
    <w:rsid w:val="005644C0"/>
    <w:rsid w:val="00566130"/>
    <w:rsid w:val="005841CC"/>
    <w:rsid w:val="005841E1"/>
    <w:rsid w:val="00597046"/>
    <w:rsid w:val="005A22D2"/>
    <w:rsid w:val="005A4DEE"/>
    <w:rsid w:val="005A53E3"/>
    <w:rsid w:val="005B3AAB"/>
    <w:rsid w:val="005B47E6"/>
    <w:rsid w:val="005B6235"/>
    <w:rsid w:val="005C0B55"/>
    <w:rsid w:val="005C2228"/>
    <w:rsid w:val="005C633C"/>
    <w:rsid w:val="005C79B7"/>
    <w:rsid w:val="005D222A"/>
    <w:rsid w:val="005D31B4"/>
    <w:rsid w:val="005D4340"/>
    <w:rsid w:val="005D7823"/>
    <w:rsid w:val="005E013A"/>
    <w:rsid w:val="005E1B8E"/>
    <w:rsid w:val="005E3BBB"/>
    <w:rsid w:val="005F476D"/>
    <w:rsid w:val="005F6430"/>
    <w:rsid w:val="00604F2F"/>
    <w:rsid w:val="006105FF"/>
    <w:rsid w:val="00613CC4"/>
    <w:rsid w:val="00616D8E"/>
    <w:rsid w:val="006205A5"/>
    <w:rsid w:val="006245FD"/>
    <w:rsid w:val="00627651"/>
    <w:rsid w:val="00640144"/>
    <w:rsid w:val="00640F73"/>
    <w:rsid w:val="00643669"/>
    <w:rsid w:val="00643673"/>
    <w:rsid w:val="006468AB"/>
    <w:rsid w:val="00647993"/>
    <w:rsid w:val="00660C31"/>
    <w:rsid w:val="00662A4B"/>
    <w:rsid w:val="006643B8"/>
    <w:rsid w:val="006830CC"/>
    <w:rsid w:val="00684635"/>
    <w:rsid w:val="00686123"/>
    <w:rsid w:val="0069440C"/>
    <w:rsid w:val="0069571C"/>
    <w:rsid w:val="00696767"/>
    <w:rsid w:val="006A0DE4"/>
    <w:rsid w:val="006A16CC"/>
    <w:rsid w:val="006A7F69"/>
    <w:rsid w:val="006B6DD4"/>
    <w:rsid w:val="006C23F7"/>
    <w:rsid w:val="006C3780"/>
    <w:rsid w:val="006C419C"/>
    <w:rsid w:val="006C467C"/>
    <w:rsid w:val="006D5C91"/>
    <w:rsid w:val="006D6FDA"/>
    <w:rsid w:val="006D7A1F"/>
    <w:rsid w:val="006E366B"/>
    <w:rsid w:val="006E5F82"/>
    <w:rsid w:val="006F0E01"/>
    <w:rsid w:val="006F2FC3"/>
    <w:rsid w:val="006F7CD7"/>
    <w:rsid w:val="00701984"/>
    <w:rsid w:val="00702A1A"/>
    <w:rsid w:val="00711F90"/>
    <w:rsid w:val="00714152"/>
    <w:rsid w:val="00715AEB"/>
    <w:rsid w:val="007169B6"/>
    <w:rsid w:val="007227ED"/>
    <w:rsid w:val="00724510"/>
    <w:rsid w:val="007351F3"/>
    <w:rsid w:val="007371EF"/>
    <w:rsid w:val="00747503"/>
    <w:rsid w:val="00752F92"/>
    <w:rsid w:val="007609FA"/>
    <w:rsid w:val="00761505"/>
    <w:rsid w:val="00762A1A"/>
    <w:rsid w:val="00766D9D"/>
    <w:rsid w:val="00771F2E"/>
    <w:rsid w:val="007737CB"/>
    <w:rsid w:val="0077546F"/>
    <w:rsid w:val="00782821"/>
    <w:rsid w:val="007967E1"/>
    <w:rsid w:val="007A11B5"/>
    <w:rsid w:val="007A3F88"/>
    <w:rsid w:val="007B075F"/>
    <w:rsid w:val="007B293B"/>
    <w:rsid w:val="007B2D91"/>
    <w:rsid w:val="007B526E"/>
    <w:rsid w:val="007B70DF"/>
    <w:rsid w:val="007B7E19"/>
    <w:rsid w:val="007C2C9B"/>
    <w:rsid w:val="007D3606"/>
    <w:rsid w:val="007E0BDA"/>
    <w:rsid w:val="007E33CD"/>
    <w:rsid w:val="007F1028"/>
    <w:rsid w:val="0080272A"/>
    <w:rsid w:val="00806433"/>
    <w:rsid w:val="008072D4"/>
    <w:rsid w:val="008073EE"/>
    <w:rsid w:val="00812426"/>
    <w:rsid w:val="0081569B"/>
    <w:rsid w:val="00820CA7"/>
    <w:rsid w:val="0082624D"/>
    <w:rsid w:val="00826590"/>
    <w:rsid w:val="00826D19"/>
    <w:rsid w:val="00830CEC"/>
    <w:rsid w:val="00833AFD"/>
    <w:rsid w:val="0084262B"/>
    <w:rsid w:val="008437E8"/>
    <w:rsid w:val="0084465E"/>
    <w:rsid w:val="00846EF5"/>
    <w:rsid w:val="00847BCA"/>
    <w:rsid w:val="00850E06"/>
    <w:rsid w:val="00856B52"/>
    <w:rsid w:val="00860162"/>
    <w:rsid w:val="0086322D"/>
    <w:rsid w:val="00863FC6"/>
    <w:rsid w:val="00870D3A"/>
    <w:rsid w:val="008753E5"/>
    <w:rsid w:val="0087578D"/>
    <w:rsid w:val="00876CCE"/>
    <w:rsid w:val="008819E3"/>
    <w:rsid w:val="00885085"/>
    <w:rsid w:val="00887796"/>
    <w:rsid w:val="00887CD8"/>
    <w:rsid w:val="008931A3"/>
    <w:rsid w:val="00893D12"/>
    <w:rsid w:val="008941F3"/>
    <w:rsid w:val="008968FB"/>
    <w:rsid w:val="00896FD8"/>
    <w:rsid w:val="008A3759"/>
    <w:rsid w:val="008A4303"/>
    <w:rsid w:val="008A4A2E"/>
    <w:rsid w:val="008A5C95"/>
    <w:rsid w:val="008B027A"/>
    <w:rsid w:val="008B0D05"/>
    <w:rsid w:val="008B1914"/>
    <w:rsid w:val="008B68F5"/>
    <w:rsid w:val="008B76DC"/>
    <w:rsid w:val="008C2496"/>
    <w:rsid w:val="008C2BCF"/>
    <w:rsid w:val="008D120B"/>
    <w:rsid w:val="008D3A42"/>
    <w:rsid w:val="008D42AB"/>
    <w:rsid w:val="008D6B22"/>
    <w:rsid w:val="008E040F"/>
    <w:rsid w:val="008E1E5B"/>
    <w:rsid w:val="008E29CE"/>
    <w:rsid w:val="008F1CE4"/>
    <w:rsid w:val="008F478A"/>
    <w:rsid w:val="008F7910"/>
    <w:rsid w:val="009004B7"/>
    <w:rsid w:val="009115F0"/>
    <w:rsid w:val="00922651"/>
    <w:rsid w:val="00924268"/>
    <w:rsid w:val="00925720"/>
    <w:rsid w:val="00930AE1"/>
    <w:rsid w:val="009318A7"/>
    <w:rsid w:val="0093344A"/>
    <w:rsid w:val="009344D9"/>
    <w:rsid w:val="00934DB5"/>
    <w:rsid w:val="00940FBC"/>
    <w:rsid w:val="009449C7"/>
    <w:rsid w:val="00944A64"/>
    <w:rsid w:val="00945CE3"/>
    <w:rsid w:val="009536F6"/>
    <w:rsid w:val="0095493E"/>
    <w:rsid w:val="00954FD4"/>
    <w:rsid w:val="00960A0E"/>
    <w:rsid w:val="00961B41"/>
    <w:rsid w:val="00963460"/>
    <w:rsid w:val="00970D02"/>
    <w:rsid w:val="00972A1B"/>
    <w:rsid w:val="009742F0"/>
    <w:rsid w:val="00987643"/>
    <w:rsid w:val="00992188"/>
    <w:rsid w:val="009938D8"/>
    <w:rsid w:val="009959FF"/>
    <w:rsid w:val="009969C7"/>
    <w:rsid w:val="009975DD"/>
    <w:rsid w:val="00997A9D"/>
    <w:rsid w:val="009A4137"/>
    <w:rsid w:val="009A5F1C"/>
    <w:rsid w:val="009B63BB"/>
    <w:rsid w:val="009C03AA"/>
    <w:rsid w:val="009C269A"/>
    <w:rsid w:val="009C4FDE"/>
    <w:rsid w:val="009C6CF0"/>
    <w:rsid w:val="009D54D0"/>
    <w:rsid w:val="009E06BB"/>
    <w:rsid w:val="009E2639"/>
    <w:rsid w:val="009E3A11"/>
    <w:rsid w:val="009E4897"/>
    <w:rsid w:val="009E4924"/>
    <w:rsid w:val="009F602F"/>
    <w:rsid w:val="00A029F4"/>
    <w:rsid w:val="00A05920"/>
    <w:rsid w:val="00A0741C"/>
    <w:rsid w:val="00A11F10"/>
    <w:rsid w:val="00A1229F"/>
    <w:rsid w:val="00A13BC7"/>
    <w:rsid w:val="00A15060"/>
    <w:rsid w:val="00A20331"/>
    <w:rsid w:val="00A237D0"/>
    <w:rsid w:val="00A26D96"/>
    <w:rsid w:val="00A3333B"/>
    <w:rsid w:val="00A33FA9"/>
    <w:rsid w:val="00A35DF9"/>
    <w:rsid w:val="00A441A4"/>
    <w:rsid w:val="00A4606A"/>
    <w:rsid w:val="00A47B50"/>
    <w:rsid w:val="00A546A9"/>
    <w:rsid w:val="00A5662D"/>
    <w:rsid w:val="00A567C0"/>
    <w:rsid w:val="00A57C16"/>
    <w:rsid w:val="00A60891"/>
    <w:rsid w:val="00A60F87"/>
    <w:rsid w:val="00A6243E"/>
    <w:rsid w:val="00A64FD5"/>
    <w:rsid w:val="00A658DC"/>
    <w:rsid w:val="00A703CA"/>
    <w:rsid w:val="00A80B69"/>
    <w:rsid w:val="00A84B5C"/>
    <w:rsid w:val="00A902ED"/>
    <w:rsid w:val="00A9069B"/>
    <w:rsid w:val="00AA3E9D"/>
    <w:rsid w:val="00AB4722"/>
    <w:rsid w:val="00AB6254"/>
    <w:rsid w:val="00AB708C"/>
    <w:rsid w:val="00AC1CC4"/>
    <w:rsid w:val="00AC6C8B"/>
    <w:rsid w:val="00AC72EB"/>
    <w:rsid w:val="00AD083C"/>
    <w:rsid w:val="00AD1337"/>
    <w:rsid w:val="00AD41AB"/>
    <w:rsid w:val="00AD4861"/>
    <w:rsid w:val="00AF114D"/>
    <w:rsid w:val="00AF445C"/>
    <w:rsid w:val="00AF6F49"/>
    <w:rsid w:val="00B01514"/>
    <w:rsid w:val="00B02A2B"/>
    <w:rsid w:val="00B02DCD"/>
    <w:rsid w:val="00B048DC"/>
    <w:rsid w:val="00B075C3"/>
    <w:rsid w:val="00B16FAC"/>
    <w:rsid w:val="00B2352F"/>
    <w:rsid w:val="00B255E2"/>
    <w:rsid w:val="00B27216"/>
    <w:rsid w:val="00B27FF6"/>
    <w:rsid w:val="00B3205E"/>
    <w:rsid w:val="00B32AFB"/>
    <w:rsid w:val="00B33977"/>
    <w:rsid w:val="00B35BD2"/>
    <w:rsid w:val="00B37523"/>
    <w:rsid w:val="00B44265"/>
    <w:rsid w:val="00B62A4E"/>
    <w:rsid w:val="00B63B21"/>
    <w:rsid w:val="00B64263"/>
    <w:rsid w:val="00B64807"/>
    <w:rsid w:val="00B66DB7"/>
    <w:rsid w:val="00B71949"/>
    <w:rsid w:val="00B7345D"/>
    <w:rsid w:val="00B764E7"/>
    <w:rsid w:val="00B7770D"/>
    <w:rsid w:val="00B84968"/>
    <w:rsid w:val="00B854F8"/>
    <w:rsid w:val="00B92567"/>
    <w:rsid w:val="00B965DC"/>
    <w:rsid w:val="00B96E2E"/>
    <w:rsid w:val="00BB3A1E"/>
    <w:rsid w:val="00BB6357"/>
    <w:rsid w:val="00BB6C52"/>
    <w:rsid w:val="00BC0866"/>
    <w:rsid w:val="00BC29CF"/>
    <w:rsid w:val="00BC2F24"/>
    <w:rsid w:val="00BC3385"/>
    <w:rsid w:val="00BD2D36"/>
    <w:rsid w:val="00BD2F34"/>
    <w:rsid w:val="00BD304C"/>
    <w:rsid w:val="00BD6842"/>
    <w:rsid w:val="00BE339F"/>
    <w:rsid w:val="00BE3834"/>
    <w:rsid w:val="00BE6C37"/>
    <w:rsid w:val="00BE7D87"/>
    <w:rsid w:val="00BF42DE"/>
    <w:rsid w:val="00BF5BF9"/>
    <w:rsid w:val="00C01279"/>
    <w:rsid w:val="00C018C2"/>
    <w:rsid w:val="00C066FF"/>
    <w:rsid w:val="00C20D0F"/>
    <w:rsid w:val="00C2368F"/>
    <w:rsid w:val="00C2463F"/>
    <w:rsid w:val="00C2650D"/>
    <w:rsid w:val="00C27C4E"/>
    <w:rsid w:val="00C30229"/>
    <w:rsid w:val="00C31CE9"/>
    <w:rsid w:val="00C32374"/>
    <w:rsid w:val="00C37226"/>
    <w:rsid w:val="00C37B67"/>
    <w:rsid w:val="00C408B3"/>
    <w:rsid w:val="00C41576"/>
    <w:rsid w:val="00C419D2"/>
    <w:rsid w:val="00C504BA"/>
    <w:rsid w:val="00C53522"/>
    <w:rsid w:val="00C53C9C"/>
    <w:rsid w:val="00C5463C"/>
    <w:rsid w:val="00C5499D"/>
    <w:rsid w:val="00C57442"/>
    <w:rsid w:val="00C609B5"/>
    <w:rsid w:val="00C63607"/>
    <w:rsid w:val="00C64629"/>
    <w:rsid w:val="00C67736"/>
    <w:rsid w:val="00C71599"/>
    <w:rsid w:val="00C73C28"/>
    <w:rsid w:val="00C80155"/>
    <w:rsid w:val="00C92AA8"/>
    <w:rsid w:val="00C92CC0"/>
    <w:rsid w:val="00C9551C"/>
    <w:rsid w:val="00C974FD"/>
    <w:rsid w:val="00CA0490"/>
    <w:rsid w:val="00CA0A5F"/>
    <w:rsid w:val="00CA23F5"/>
    <w:rsid w:val="00CA7EBC"/>
    <w:rsid w:val="00CC5C61"/>
    <w:rsid w:val="00CC6A84"/>
    <w:rsid w:val="00CD324B"/>
    <w:rsid w:val="00CD36E2"/>
    <w:rsid w:val="00CD3A29"/>
    <w:rsid w:val="00CD793B"/>
    <w:rsid w:val="00CD7C4D"/>
    <w:rsid w:val="00CE1AAE"/>
    <w:rsid w:val="00CE362F"/>
    <w:rsid w:val="00CE3D0F"/>
    <w:rsid w:val="00CE3F80"/>
    <w:rsid w:val="00CE431E"/>
    <w:rsid w:val="00CE4352"/>
    <w:rsid w:val="00CE68BF"/>
    <w:rsid w:val="00CE7B23"/>
    <w:rsid w:val="00CF0420"/>
    <w:rsid w:val="00CF1B31"/>
    <w:rsid w:val="00CF1D9E"/>
    <w:rsid w:val="00CF2104"/>
    <w:rsid w:val="00D01683"/>
    <w:rsid w:val="00D0337A"/>
    <w:rsid w:val="00D0467D"/>
    <w:rsid w:val="00D0523E"/>
    <w:rsid w:val="00D06F3D"/>
    <w:rsid w:val="00D070B5"/>
    <w:rsid w:val="00D107FB"/>
    <w:rsid w:val="00D12725"/>
    <w:rsid w:val="00D15E35"/>
    <w:rsid w:val="00D201CC"/>
    <w:rsid w:val="00D2031F"/>
    <w:rsid w:val="00D223E9"/>
    <w:rsid w:val="00D27F99"/>
    <w:rsid w:val="00D3081D"/>
    <w:rsid w:val="00D3253A"/>
    <w:rsid w:val="00D35845"/>
    <w:rsid w:val="00D36CA8"/>
    <w:rsid w:val="00D41F68"/>
    <w:rsid w:val="00D45509"/>
    <w:rsid w:val="00D458F8"/>
    <w:rsid w:val="00D47005"/>
    <w:rsid w:val="00D47FA6"/>
    <w:rsid w:val="00D5163A"/>
    <w:rsid w:val="00D52CA1"/>
    <w:rsid w:val="00D57258"/>
    <w:rsid w:val="00D60E78"/>
    <w:rsid w:val="00D6518F"/>
    <w:rsid w:val="00D6528D"/>
    <w:rsid w:val="00D65B0D"/>
    <w:rsid w:val="00D669CB"/>
    <w:rsid w:val="00D67878"/>
    <w:rsid w:val="00D73C8A"/>
    <w:rsid w:val="00D73F69"/>
    <w:rsid w:val="00D75715"/>
    <w:rsid w:val="00D7763F"/>
    <w:rsid w:val="00D938B8"/>
    <w:rsid w:val="00D961FB"/>
    <w:rsid w:val="00D977E9"/>
    <w:rsid w:val="00DA2A51"/>
    <w:rsid w:val="00DA557F"/>
    <w:rsid w:val="00DA6DE0"/>
    <w:rsid w:val="00DB5425"/>
    <w:rsid w:val="00DC1999"/>
    <w:rsid w:val="00DC28F3"/>
    <w:rsid w:val="00DC5A54"/>
    <w:rsid w:val="00DD3F10"/>
    <w:rsid w:val="00DD4F1F"/>
    <w:rsid w:val="00DD59AB"/>
    <w:rsid w:val="00DD5E97"/>
    <w:rsid w:val="00DD74CC"/>
    <w:rsid w:val="00DE22B3"/>
    <w:rsid w:val="00DE500E"/>
    <w:rsid w:val="00DE70CD"/>
    <w:rsid w:val="00DF29A7"/>
    <w:rsid w:val="00DF44B9"/>
    <w:rsid w:val="00E05159"/>
    <w:rsid w:val="00E07919"/>
    <w:rsid w:val="00E1066A"/>
    <w:rsid w:val="00E11317"/>
    <w:rsid w:val="00E11C03"/>
    <w:rsid w:val="00E15509"/>
    <w:rsid w:val="00E21DD6"/>
    <w:rsid w:val="00E262A8"/>
    <w:rsid w:val="00E2785B"/>
    <w:rsid w:val="00E3087D"/>
    <w:rsid w:val="00E313AF"/>
    <w:rsid w:val="00E32B4B"/>
    <w:rsid w:val="00E34433"/>
    <w:rsid w:val="00E35786"/>
    <w:rsid w:val="00E43555"/>
    <w:rsid w:val="00E461F9"/>
    <w:rsid w:val="00E5014D"/>
    <w:rsid w:val="00E56FCF"/>
    <w:rsid w:val="00E633FD"/>
    <w:rsid w:val="00E63972"/>
    <w:rsid w:val="00E63FF0"/>
    <w:rsid w:val="00E703FC"/>
    <w:rsid w:val="00E72E0A"/>
    <w:rsid w:val="00E778D7"/>
    <w:rsid w:val="00E81123"/>
    <w:rsid w:val="00E8389B"/>
    <w:rsid w:val="00E916C7"/>
    <w:rsid w:val="00E947F0"/>
    <w:rsid w:val="00EA7064"/>
    <w:rsid w:val="00EB0B5F"/>
    <w:rsid w:val="00EC2E74"/>
    <w:rsid w:val="00EC551B"/>
    <w:rsid w:val="00ED3809"/>
    <w:rsid w:val="00ED3EDB"/>
    <w:rsid w:val="00ED6BA8"/>
    <w:rsid w:val="00EE1F6A"/>
    <w:rsid w:val="00EF3217"/>
    <w:rsid w:val="00EF3DED"/>
    <w:rsid w:val="00F00C6A"/>
    <w:rsid w:val="00F03622"/>
    <w:rsid w:val="00F04854"/>
    <w:rsid w:val="00F13E4E"/>
    <w:rsid w:val="00F23B59"/>
    <w:rsid w:val="00F24286"/>
    <w:rsid w:val="00F34899"/>
    <w:rsid w:val="00F35732"/>
    <w:rsid w:val="00F36995"/>
    <w:rsid w:val="00F42DDE"/>
    <w:rsid w:val="00F43082"/>
    <w:rsid w:val="00F5369C"/>
    <w:rsid w:val="00F57E0F"/>
    <w:rsid w:val="00F61F72"/>
    <w:rsid w:val="00F64FAE"/>
    <w:rsid w:val="00F65194"/>
    <w:rsid w:val="00F66D9A"/>
    <w:rsid w:val="00F74AC4"/>
    <w:rsid w:val="00F76F1F"/>
    <w:rsid w:val="00F8149B"/>
    <w:rsid w:val="00F8154C"/>
    <w:rsid w:val="00F83430"/>
    <w:rsid w:val="00F86454"/>
    <w:rsid w:val="00F90A12"/>
    <w:rsid w:val="00F9252B"/>
    <w:rsid w:val="00F9264A"/>
    <w:rsid w:val="00F939E5"/>
    <w:rsid w:val="00F941A5"/>
    <w:rsid w:val="00F95A77"/>
    <w:rsid w:val="00FA3D3B"/>
    <w:rsid w:val="00FA474F"/>
    <w:rsid w:val="00FA4BBD"/>
    <w:rsid w:val="00FA61E5"/>
    <w:rsid w:val="00FA6B8D"/>
    <w:rsid w:val="00FA7E0F"/>
    <w:rsid w:val="00FB1F0C"/>
    <w:rsid w:val="00FB4406"/>
    <w:rsid w:val="00FB4CDE"/>
    <w:rsid w:val="00FD2FFD"/>
    <w:rsid w:val="00FE3ADD"/>
    <w:rsid w:val="00FE63B5"/>
    <w:rsid w:val="00FE7E38"/>
    <w:rsid w:val="00FF3809"/>
    <w:rsid w:val="00FF4FCE"/>
    <w:rsid w:val="00FF7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1992"/>
  <w15:docId w15:val="{305CA1A6-29EB-4081-83B8-41C54D2A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26E"/>
    <w:rPr>
      <w:sz w:val="24"/>
      <w:szCs w:val="24"/>
    </w:rPr>
  </w:style>
  <w:style w:type="paragraph" w:styleId="Nadpis1">
    <w:name w:val="heading 1"/>
    <w:basedOn w:val="Normln"/>
    <w:next w:val="Normln"/>
    <w:qFormat/>
    <w:rsid w:val="007B526E"/>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B526E"/>
    <w:rPr>
      <w:rFonts w:ascii="Arial" w:hAnsi="Arial" w:cs="Arial"/>
      <w:i/>
      <w:iCs/>
      <w:sz w:val="20"/>
      <w:lang w:val="en-GB"/>
    </w:rPr>
  </w:style>
  <w:style w:type="paragraph" w:styleId="Zkladntextodsazen">
    <w:name w:val="Body Text Indent"/>
    <w:basedOn w:val="Normln"/>
    <w:link w:val="ZkladntextodsazenChar"/>
    <w:rsid w:val="007B526E"/>
    <w:pPr>
      <w:ind w:firstLine="567"/>
      <w:jc w:val="both"/>
    </w:pPr>
    <w:rPr>
      <w:rFonts w:ascii="Arial" w:hAnsi="Arial" w:cs="Arial"/>
      <w:color w:val="FF0000"/>
      <w:sz w:val="20"/>
      <w:szCs w:val="20"/>
    </w:rPr>
  </w:style>
  <w:style w:type="paragraph" w:styleId="Zpat">
    <w:name w:val="footer"/>
    <w:basedOn w:val="Normln"/>
    <w:rsid w:val="007B526E"/>
    <w:pPr>
      <w:tabs>
        <w:tab w:val="center" w:pos="4536"/>
        <w:tab w:val="right" w:pos="9072"/>
      </w:tabs>
    </w:pPr>
  </w:style>
  <w:style w:type="character" w:styleId="slostrnky">
    <w:name w:val="page number"/>
    <w:basedOn w:val="Standardnpsmoodstavce"/>
    <w:rsid w:val="007B526E"/>
  </w:style>
  <w:style w:type="paragraph" w:styleId="Zhlav">
    <w:name w:val="header"/>
    <w:basedOn w:val="Normln"/>
    <w:rsid w:val="007B526E"/>
    <w:pPr>
      <w:tabs>
        <w:tab w:val="center" w:pos="4536"/>
        <w:tab w:val="right" w:pos="9072"/>
      </w:tabs>
    </w:pPr>
  </w:style>
  <w:style w:type="paragraph" w:styleId="Textbubliny">
    <w:name w:val="Balloon Text"/>
    <w:basedOn w:val="Normln"/>
    <w:semiHidden/>
    <w:rsid w:val="007B526E"/>
    <w:rPr>
      <w:rFonts w:ascii="Tahoma" w:hAnsi="Tahoma" w:cs="Tahoma"/>
      <w:sz w:val="16"/>
      <w:szCs w:val="16"/>
    </w:rPr>
  </w:style>
  <w:style w:type="character" w:styleId="Siln">
    <w:name w:val="Strong"/>
    <w:qFormat/>
    <w:rsid w:val="007B526E"/>
    <w:rPr>
      <w:b/>
      <w:bCs/>
    </w:rPr>
  </w:style>
  <w:style w:type="character" w:customStyle="1" w:styleId="ZkladntextodsazenChar">
    <w:name w:val="Základní text odsazený Char"/>
    <w:basedOn w:val="Standardnpsmoodstavce"/>
    <w:link w:val="Zkladntextodsazen"/>
    <w:rsid w:val="00C80155"/>
    <w:rPr>
      <w:rFonts w:ascii="Arial" w:hAnsi="Arial" w:cs="Arial"/>
      <w:color w:val="FF0000"/>
    </w:rPr>
  </w:style>
  <w:style w:type="character" w:styleId="Hypertextovodkaz">
    <w:name w:val="Hyperlink"/>
    <w:unhideWhenUsed/>
    <w:rsid w:val="00D36CA8"/>
    <w:rPr>
      <w:color w:val="0000FF"/>
      <w:u w:val="single"/>
    </w:rPr>
  </w:style>
  <w:style w:type="character" w:styleId="Odkaznakoment">
    <w:name w:val="annotation reference"/>
    <w:semiHidden/>
    <w:rsid w:val="00D7763F"/>
    <w:rPr>
      <w:sz w:val="16"/>
      <w:szCs w:val="16"/>
    </w:rPr>
  </w:style>
  <w:style w:type="paragraph" w:styleId="Textkomente">
    <w:name w:val="annotation text"/>
    <w:basedOn w:val="Normln"/>
    <w:link w:val="TextkomenteChar"/>
    <w:semiHidden/>
    <w:rsid w:val="00D7763F"/>
    <w:rPr>
      <w:sz w:val="20"/>
      <w:szCs w:val="20"/>
    </w:rPr>
  </w:style>
  <w:style w:type="character" w:customStyle="1" w:styleId="TextkomenteChar">
    <w:name w:val="Text komentáře Char"/>
    <w:basedOn w:val="Standardnpsmoodstavce"/>
    <w:link w:val="Textkomente"/>
    <w:semiHidden/>
    <w:rsid w:val="00D7763F"/>
  </w:style>
  <w:style w:type="paragraph" w:styleId="Normlnweb">
    <w:name w:val="Normal (Web)"/>
    <w:basedOn w:val="Normln"/>
    <w:uiPriority w:val="99"/>
    <w:unhideWhenUsed/>
    <w:rsid w:val="00D7763F"/>
    <w:pPr>
      <w:spacing w:before="100" w:beforeAutospacing="1" w:after="100" w:afterAutospacing="1"/>
    </w:pPr>
  </w:style>
  <w:style w:type="character" w:styleId="Sledovanodkaz">
    <w:name w:val="FollowedHyperlink"/>
    <w:basedOn w:val="Standardnpsmoodstavce"/>
    <w:semiHidden/>
    <w:unhideWhenUsed/>
    <w:rsid w:val="00BB6357"/>
    <w:rPr>
      <w:color w:val="800080" w:themeColor="followedHyperlink"/>
      <w:u w:val="single"/>
    </w:rPr>
  </w:style>
  <w:style w:type="paragraph" w:styleId="Odstavecseseznamem">
    <w:name w:val="List Paragraph"/>
    <w:basedOn w:val="Normln"/>
    <w:uiPriority w:val="34"/>
    <w:qFormat/>
    <w:rsid w:val="000F162D"/>
    <w:pPr>
      <w:ind w:left="720"/>
      <w:contextualSpacing/>
    </w:pPr>
  </w:style>
  <w:style w:type="paragraph" w:styleId="Zkladntext3">
    <w:name w:val="Body Text 3"/>
    <w:basedOn w:val="Normln"/>
    <w:link w:val="Zkladntext3Char"/>
    <w:semiHidden/>
    <w:unhideWhenUsed/>
    <w:rsid w:val="00860162"/>
    <w:pPr>
      <w:spacing w:after="120"/>
    </w:pPr>
    <w:rPr>
      <w:sz w:val="16"/>
      <w:szCs w:val="16"/>
    </w:rPr>
  </w:style>
  <w:style w:type="character" w:customStyle="1" w:styleId="Zkladntext3Char">
    <w:name w:val="Základní text 3 Char"/>
    <w:basedOn w:val="Standardnpsmoodstavce"/>
    <w:link w:val="Zkladntext3"/>
    <w:semiHidden/>
    <w:rsid w:val="00860162"/>
    <w:rPr>
      <w:sz w:val="16"/>
      <w:szCs w:val="16"/>
    </w:rPr>
  </w:style>
  <w:style w:type="paragraph" w:styleId="Pedmtkomente">
    <w:name w:val="annotation subject"/>
    <w:basedOn w:val="Textkomente"/>
    <w:next w:val="Textkomente"/>
    <w:link w:val="PedmtkomenteChar"/>
    <w:semiHidden/>
    <w:unhideWhenUsed/>
    <w:rsid w:val="00C2368F"/>
    <w:rPr>
      <w:b/>
      <w:bCs/>
    </w:rPr>
  </w:style>
  <w:style w:type="character" w:customStyle="1" w:styleId="PedmtkomenteChar">
    <w:name w:val="Předmět komentáře Char"/>
    <w:basedOn w:val="TextkomenteChar"/>
    <w:link w:val="Pedmtkomente"/>
    <w:semiHidden/>
    <w:rsid w:val="00C2368F"/>
    <w:rPr>
      <w:b/>
      <w:bCs/>
    </w:rPr>
  </w:style>
  <w:style w:type="character" w:customStyle="1" w:styleId="hgkelc">
    <w:name w:val="hgkelc"/>
    <w:basedOn w:val="Standardnpsmoodstavce"/>
    <w:rsid w:val="0083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nemocenska-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regional-yearbooks" TargetMode="External"/><Relationship Id="rId5" Type="http://schemas.openxmlformats.org/officeDocument/2006/relationships/webSettings" Target="webSettings.xml"/><Relationship Id="rId10" Type="http://schemas.openxmlformats.org/officeDocument/2006/relationships/hyperlink" Target="https://www.czso.cz/csu/czso/25-health-xrt7z36d0v" TargetMode="External"/><Relationship Id="rId4" Type="http://schemas.openxmlformats.org/officeDocument/2006/relationships/settings" Target="settings.xml"/><Relationship Id="rId9" Type="http://schemas.openxmlformats.org/officeDocument/2006/relationships/hyperlink" Target="https://www.czso.cz/csu/czso/public-health"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B921-FA26-49F3-BBE5-83D906D1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3730</Words>
  <Characters>20750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Mgr. Marek Vojtěch Řezanka</cp:lastModifiedBy>
  <cp:revision>3</cp:revision>
  <cp:lastPrinted>2014-12-12T12:29:00Z</cp:lastPrinted>
  <dcterms:created xsi:type="dcterms:W3CDTF">2022-01-28T06:34:00Z</dcterms:created>
  <dcterms:modified xsi:type="dcterms:W3CDTF">2022-01-31T12:20:00Z</dcterms:modified>
</cp:coreProperties>
</file>