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EB26" w14:textId="77777777" w:rsidR="00886C52" w:rsidRDefault="00886C52" w:rsidP="00A577E7">
      <w:pPr>
        <w:pStyle w:val="Nadpis2"/>
        <w:jc w:val="both"/>
      </w:pPr>
      <w:bookmarkStart w:id="0" w:name="_Toc1502566"/>
      <w:bookmarkStart w:id="1" w:name="_Toc11245257"/>
      <w:bookmarkStart w:id="2" w:name="_Toc26941102"/>
      <w:bookmarkStart w:id="3" w:name="_GoBack"/>
      <w:bookmarkEnd w:id="3"/>
      <w:r>
        <w:t xml:space="preserve">1. </w:t>
      </w:r>
      <w:r w:rsidRPr="00E65652">
        <w:t>Vymezení zkoumaných populací</w:t>
      </w:r>
      <w:bookmarkEnd w:id="0"/>
      <w:bookmarkEnd w:id="1"/>
      <w:bookmarkEnd w:id="2"/>
    </w:p>
    <w:p w14:paraId="2A30E9E5" w14:textId="77777777" w:rsidR="00886C52" w:rsidRPr="00E65652" w:rsidRDefault="00886C52" w:rsidP="00A577E7">
      <w:pPr>
        <w:pStyle w:val="Nadpis3"/>
        <w:jc w:val="both"/>
      </w:pPr>
      <w:bookmarkStart w:id="4" w:name="_Toc11245258"/>
      <w:bookmarkStart w:id="5" w:name="_Toc26941103"/>
      <w:r>
        <w:t xml:space="preserve">1.1 </w:t>
      </w:r>
      <w:r w:rsidRPr="00E65652">
        <w:t>Děti</w:t>
      </w:r>
      <w:bookmarkEnd w:id="4"/>
      <w:bookmarkEnd w:id="5"/>
    </w:p>
    <w:p w14:paraId="3189CEE8" w14:textId="77777777" w:rsidR="00886C52" w:rsidRDefault="00886C52" w:rsidP="00A577E7">
      <w:pPr>
        <w:jc w:val="both"/>
      </w:pPr>
      <w:r w:rsidRPr="00E65652">
        <w:t>Populací označovanou jako děti bude pro potřeby této studie uvažována populace osob v dokončeném věku 0 až 14 let</w:t>
      </w:r>
      <w:r w:rsidRPr="00E65652">
        <w:rPr>
          <w:rStyle w:val="Znakapoznpodarou"/>
        </w:rPr>
        <w:footnoteReference w:id="1"/>
      </w:r>
      <w:r w:rsidRPr="00E65652">
        <w:t xml:space="preserve">. </w:t>
      </w:r>
    </w:p>
    <w:p w14:paraId="0ED37685" w14:textId="77777777" w:rsidR="00886C52" w:rsidRDefault="00886C52" w:rsidP="00A577E7">
      <w:pPr>
        <w:pStyle w:val="Nadpis3"/>
        <w:jc w:val="both"/>
      </w:pPr>
      <w:bookmarkStart w:id="6" w:name="_Toc1502568"/>
      <w:bookmarkStart w:id="7" w:name="_Toc11245259"/>
      <w:bookmarkStart w:id="8" w:name="_Toc26941104"/>
      <w:r>
        <w:t xml:space="preserve">1.2 </w:t>
      </w:r>
      <w:r w:rsidRPr="00E65652">
        <w:t>Osoby žijící mimo soukromé domácnosti</w:t>
      </w:r>
      <w:bookmarkEnd w:id="6"/>
      <w:bookmarkEnd w:id="7"/>
      <w:bookmarkEnd w:id="8"/>
    </w:p>
    <w:p w14:paraId="617696CB" w14:textId="4A8C363E" w:rsidR="00886C52" w:rsidRPr="00886C52" w:rsidRDefault="00886C52" w:rsidP="00A577E7">
      <w:pPr>
        <w:jc w:val="both"/>
        <w:rPr>
          <w:rFonts w:cs="Arial"/>
          <w:szCs w:val="20"/>
        </w:rPr>
      </w:pPr>
      <w:r w:rsidRPr="00886C52">
        <w:rPr>
          <w:rFonts w:cs="Arial"/>
          <w:szCs w:val="20"/>
        </w:rPr>
        <w:t>Vymezení pojmu osob žijících mimo soukromé domácnosti vychází z metodiky výběru osob pro Výběrové šetření pracovních sil (VŠPS), jehož respondenti byli následně šetřeni pro potřeby VŠPO. Dle této metodiky je výběrovou jednotkou byt a do zjišťování spadají osoby obvykle bydlící v bytech, které setrvávají či mají v</w:t>
      </w:r>
      <w:r w:rsidR="000778D9">
        <w:rPr>
          <w:rFonts w:cs="Arial"/>
          <w:szCs w:val="20"/>
        </w:rPr>
        <w:t> </w:t>
      </w:r>
      <w:r w:rsidRPr="00886C52">
        <w:rPr>
          <w:rFonts w:cs="Arial"/>
          <w:szCs w:val="20"/>
        </w:rPr>
        <w:t>úmyslu zůstat na území České republiky alespoň jeden rok (osoby žijící společně v jednom bytě tvoří tzv.</w:t>
      </w:r>
      <w:r w:rsidR="000778D9">
        <w:rPr>
          <w:rFonts w:cs="Arial"/>
          <w:szCs w:val="20"/>
        </w:rPr>
        <w:t> </w:t>
      </w:r>
      <w:r w:rsidRPr="00886C52">
        <w:rPr>
          <w:rFonts w:cs="Arial"/>
          <w:szCs w:val="20"/>
        </w:rPr>
        <w:t>bytové domácnosti, a ty představují domácnosti zahrnuté do VŠPO). Populace osob žijících v České republice, která není pokryta šetřením VŠPO a odpovídá tak vymezení osob žijících mimo soukromé domácnosti zahrnuje:</w:t>
      </w:r>
    </w:p>
    <w:p w14:paraId="1D83D8B8" w14:textId="77777777" w:rsidR="00886C52" w:rsidRPr="00886C52" w:rsidRDefault="00886C52" w:rsidP="0072026F">
      <w:pPr>
        <w:pStyle w:val="Odstavecseseznamem"/>
        <w:numPr>
          <w:ilvl w:val="0"/>
          <w:numId w:val="14"/>
        </w:numPr>
        <w:spacing w:line="288" w:lineRule="auto"/>
        <w:ind w:left="714" w:hanging="357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>osoby žijící v kolektivních domácnostech typu institucí (např. ústavní zařízení sociální a zdravotní péče, školská zařízení pro výkon ústavní a ochranné výchovy, nebo věznice),</w:t>
      </w:r>
    </w:p>
    <w:p w14:paraId="661DBEB1" w14:textId="77777777" w:rsidR="00886C52" w:rsidRPr="00886C52" w:rsidRDefault="00886C52" w:rsidP="0072026F">
      <w:pPr>
        <w:pStyle w:val="Odstavecseseznamem"/>
        <w:numPr>
          <w:ilvl w:val="0"/>
          <w:numId w:val="14"/>
        </w:numPr>
        <w:spacing w:line="288" w:lineRule="auto"/>
        <w:ind w:left="714" w:hanging="357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>osoby žijící v ostatních kolektivních domácnostech, tedy bydlící v ubytovacích zařízeních (např. ubytovny a svobodárny, hotely),</w:t>
      </w:r>
    </w:p>
    <w:p w14:paraId="1E2980D1" w14:textId="77777777" w:rsidR="00886C52" w:rsidRPr="00886C52" w:rsidRDefault="00886C52" w:rsidP="0072026F">
      <w:pPr>
        <w:pStyle w:val="Odstavecseseznamem"/>
        <w:numPr>
          <w:ilvl w:val="0"/>
          <w:numId w:val="14"/>
        </w:numPr>
        <w:spacing w:line="288" w:lineRule="auto"/>
        <w:ind w:left="714" w:hanging="357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>osoby bydlící mimo byty a zařízení (např. rekreační chaty, nouzová obydlí, mobilní obydlí),</w:t>
      </w:r>
    </w:p>
    <w:p w14:paraId="393F96B6" w14:textId="77777777" w:rsidR="00886C52" w:rsidRPr="00886C52" w:rsidRDefault="00886C52" w:rsidP="0072026F">
      <w:pPr>
        <w:pStyle w:val="Odstavecseseznamem"/>
        <w:numPr>
          <w:ilvl w:val="0"/>
          <w:numId w:val="14"/>
        </w:numPr>
        <w:spacing w:line="288" w:lineRule="auto"/>
        <w:ind w:left="714" w:hanging="357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>bezdomovce.</w:t>
      </w:r>
    </w:p>
    <w:p w14:paraId="57859437" w14:textId="2924B1F8" w:rsidR="00886C52" w:rsidRPr="00886C52" w:rsidRDefault="00886C52" w:rsidP="00A577E7">
      <w:pPr>
        <w:jc w:val="both"/>
        <w:rPr>
          <w:rFonts w:cs="Arial"/>
          <w:szCs w:val="20"/>
        </w:rPr>
      </w:pPr>
      <w:r w:rsidRPr="00886C52">
        <w:rPr>
          <w:rFonts w:cs="Arial"/>
          <w:szCs w:val="20"/>
        </w:rPr>
        <w:t>Dle metodiky VŠPS není z hlediska zahrnutí konkrétní osoby do domácnosti rozhodující, má-li v šetřeném bytě trvalý, dlouhodobý, přechodný nebo nehlášený pobyt. Rozhodující je ekonomická zainteresovanost jednotlivých členů k domácnosti. Zainteresovaností se rozumí, že jednotliví členové domácnosti ji považují za svou základní domácnost, kde přebývají, bydlí a starají se o udržování bytové jednotky. Za rezidenta domácnosti je považován i ten, kdo podniká časté cesty mimo domácnost, ale je ekonomicky zainteresován na chodu domácnosti (jde o tzv. dočasně nepřítomné osoby). Z praktického hlediska jsou důležité dva speciální případy: osoby, které pracují mimo domov během týdne a vrací se ke své rodině na víkend; a</w:t>
      </w:r>
      <w:r w:rsidR="000778D9">
        <w:rPr>
          <w:rFonts w:cs="Arial"/>
          <w:szCs w:val="20"/>
        </w:rPr>
        <w:t> </w:t>
      </w:r>
      <w:r w:rsidRPr="00886C52">
        <w:rPr>
          <w:rFonts w:cs="Arial"/>
          <w:szCs w:val="20"/>
        </w:rPr>
        <w:t>studenti základních, středních a vysokých škol, kteří jsou během svého studia mimo domov.</w:t>
      </w:r>
    </w:p>
    <w:p w14:paraId="3A93E27D" w14:textId="77777777" w:rsidR="00886C52" w:rsidRPr="00886C52" w:rsidRDefault="00886C52" w:rsidP="00A577E7">
      <w:pPr>
        <w:jc w:val="both"/>
        <w:rPr>
          <w:rFonts w:cs="Arial"/>
          <w:szCs w:val="20"/>
        </w:rPr>
      </w:pPr>
      <w:r w:rsidRPr="00886C52">
        <w:rPr>
          <w:rFonts w:cs="Arial"/>
          <w:szCs w:val="20"/>
        </w:rPr>
        <w:t>Významnou skupinou osob žijících mimo soukromé domácnosti jsou osoby žijící v zařízeních. Zařízení existující v ČR lze rozdělit do několika druhů podle jejich účelu na:</w:t>
      </w:r>
    </w:p>
    <w:p w14:paraId="5664AD73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zařízení pobytových sociálních služeb, </w:t>
      </w:r>
    </w:p>
    <w:p w14:paraId="6F5EFF06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zdravotnická zařízení ústavní péče, </w:t>
      </w:r>
    </w:p>
    <w:p w14:paraId="2A6A78C0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vzdělávací a výchovná zařízení poskytující ubytování, </w:t>
      </w:r>
    </w:p>
    <w:p w14:paraId="51A7230F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vězeňská zařízení pro výkon vazby nebo trestu odnětí svobody, </w:t>
      </w:r>
    </w:p>
    <w:p w14:paraId="13F8D0F7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náboženská zařízení, </w:t>
      </w:r>
    </w:p>
    <w:p w14:paraId="4B755764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zařízení určená pro uprchlíky, </w:t>
      </w:r>
    </w:p>
    <w:p w14:paraId="6FA671FD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line="288" w:lineRule="auto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 xml:space="preserve">ubytovny a svobodárny, </w:t>
      </w:r>
    </w:p>
    <w:p w14:paraId="5F6FEEDE" w14:textId="77777777" w:rsidR="00886C52" w:rsidRPr="00886C52" w:rsidRDefault="00886C52" w:rsidP="000778D9">
      <w:pPr>
        <w:pStyle w:val="Odstavecseseznamem"/>
        <w:numPr>
          <w:ilvl w:val="0"/>
          <w:numId w:val="15"/>
        </w:numPr>
        <w:spacing w:after="24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886C52">
        <w:rPr>
          <w:rFonts w:ascii="Arial" w:hAnsi="Arial" w:cs="Arial"/>
          <w:sz w:val="20"/>
          <w:szCs w:val="20"/>
        </w:rPr>
        <w:t>ubytovací zařízení sloužící pro účely cestovního ruchu.</w:t>
      </w:r>
    </w:p>
    <w:p w14:paraId="642BB382" w14:textId="77777777" w:rsidR="00886C52" w:rsidRPr="00E65652" w:rsidRDefault="00886C52" w:rsidP="00A577E7">
      <w:pPr>
        <w:pStyle w:val="Nadpis3"/>
        <w:jc w:val="both"/>
      </w:pPr>
      <w:bookmarkStart w:id="9" w:name="_Toc11245260"/>
      <w:bookmarkStart w:id="10" w:name="_Toc26941105"/>
      <w:r>
        <w:t xml:space="preserve">1.3 </w:t>
      </w:r>
      <w:r w:rsidRPr="00E65652">
        <w:t>Odhad rozsahu populace nezahrnuté do VŠPO</w:t>
      </w:r>
      <w:bookmarkEnd w:id="9"/>
      <w:bookmarkEnd w:id="10"/>
    </w:p>
    <w:p w14:paraId="7B925B8A" w14:textId="77777777" w:rsidR="00886C52" w:rsidRPr="00E65652" w:rsidRDefault="00886C52" w:rsidP="00A577E7">
      <w:pPr>
        <w:jc w:val="both"/>
      </w:pPr>
      <w:r w:rsidRPr="00E65652">
        <w:t>Sčítání lidu, domů a bytů (SLDB) umožňuje kvantifikovat rozsah populace nepokryté VŠPO. Poslední dostupné výsledky za rok 2011 poskytuje Tabulka 1.1. Z ní je patrné, že dle struktury populace v roce 2011 by VŠPO zahrnovalo 83,1 % obyvatel ČR. Šetření by nezahrnovalo 14,3 % dětí (včetně 0,2 % osob ve věku 0–14 žijících mimo byty) a dále 2,6 % osob ve věku 15 a více let žijících mimo byty.</w:t>
      </w:r>
    </w:p>
    <w:p w14:paraId="38CEAAC1" w14:textId="77777777" w:rsidR="00886C52" w:rsidRPr="00E65652" w:rsidRDefault="00886C52" w:rsidP="00A577E7">
      <w:pPr>
        <w:spacing w:after="0"/>
        <w:jc w:val="both"/>
        <w:rPr>
          <w:b/>
        </w:rPr>
      </w:pPr>
      <w:r w:rsidRPr="00E65652">
        <w:rPr>
          <w:b/>
        </w:rPr>
        <w:lastRenderedPageBreak/>
        <w:t>Tabulka 1.1: Počet osob obvykle bydlících podle věku a způsobu bydlení v ČR v roce 2011</w:t>
      </w:r>
    </w:p>
    <w:tbl>
      <w:tblPr>
        <w:tblW w:w="9674" w:type="dxa"/>
        <w:tblInd w:w="144" w:type="dxa"/>
        <w:tblLayout w:type="fixed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2536"/>
        <w:gridCol w:w="2379"/>
        <w:gridCol w:w="2379"/>
        <w:gridCol w:w="2380"/>
      </w:tblGrid>
      <w:tr w:rsidR="00886C52" w:rsidRPr="00E65652" w14:paraId="0E5D3FFA" w14:textId="77777777" w:rsidTr="003A411E">
        <w:trPr>
          <w:trHeight w:val="296"/>
        </w:trPr>
        <w:tc>
          <w:tcPr>
            <w:tcW w:w="2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A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97E0F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Populace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A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5FE63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0–14 let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A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CD609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15 let a více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5DA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BE858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celkem</w:t>
            </w:r>
          </w:p>
        </w:tc>
      </w:tr>
      <w:tr w:rsidR="000609AF" w:rsidRPr="00E65652" w14:paraId="0F5B3BE1" w14:textId="77777777" w:rsidTr="003A411E">
        <w:trPr>
          <w:trHeight w:val="296"/>
        </w:trPr>
        <w:tc>
          <w:tcPr>
            <w:tcW w:w="2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C22A7" w14:textId="77777777" w:rsidR="00886C52" w:rsidRPr="000609AF" w:rsidRDefault="00886C52" w:rsidP="000738DB">
            <w:pPr>
              <w:spacing w:before="20" w:after="20"/>
              <w:ind w:left="144" w:right="144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žijící v soukromých domácnostech/bytech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86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A296D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1 471 tis.</w:t>
            </w:r>
          </w:p>
          <w:p w14:paraId="1693FC63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(14,1 %)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4D5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627DF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8 674 tis.</w:t>
            </w:r>
          </w:p>
          <w:p w14:paraId="0C7481E9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(83,1 %)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890B2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10 145 tis.</w:t>
            </w:r>
          </w:p>
          <w:p w14:paraId="19C400B1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(97,2 %)</w:t>
            </w:r>
          </w:p>
        </w:tc>
      </w:tr>
      <w:tr w:rsidR="003A411E" w:rsidRPr="00E65652" w14:paraId="688224EA" w14:textId="77777777" w:rsidTr="003A411E">
        <w:trPr>
          <w:trHeight w:val="296"/>
        </w:trPr>
        <w:tc>
          <w:tcPr>
            <w:tcW w:w="2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4D558" w14:textId="77777777" w:rsidR="00886C52" w:rsidRPr="000609AF" w:rsidRDefault="00886C52" w:rsidP="000738DB">
            <w:pPr>
              <w:spacing w:before="20" w:after="20"/>
              <w:ind w:left="144" w:right="144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žijící mimo soukromé domácnosti/byty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86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96A0F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18 tis.</w:t>
            </w:r>
          </w:p>
          <w:p w14:paraId="37769A2A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(0,2 %)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86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5197E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274 tis.</w:t>
            </w:r>
          </w:p>
          <w:p w14:paraId="4AAFE79D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(2,6 %)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56101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292 tis.</w:t>
            </w:r>
          </w:p>
          <w:p w14:paraId="3B773D94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(2,8 %)</w:t>
            </w:r>
          </w:p>
        </w:tc>
      </w:tr>
      <w:tr w:rsidR="00886C52" w:rsidRPr="00E65652" w14:paraId="5337F563" w14:textId="77777777" w:rsidTr="003A411E">
        <w:trPr>
          <w:trHeight w:val="296"/>
        </w:trPr>
        <w:tc>
          <w:tcPr>
            <w:tcW w:w="253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F1027" w14:textId="77777777" w:rsidR="00886C52" w:rsidRPr="000609AF" w:rsidRDefault="00886C52" w:rsidP="000738DB">
            <w:pPr>
              <w:spacing w:before="20" w:after="20"/>
              <w:ind w:left="144" w:right="144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celkem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B9EA2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1 489 tis.</w:t>
            </w:r>
          </w:p>
          <w:p w14:paraId="67F166FE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(14,3 %)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91CAE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8 948 tis.</w:t>
            </w:r>
          </w:p>
          <w:p w14:paraId="7F9E0318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i/>
                <w:iCs/>
                <w:sz w:val="16"/>
                <w:szCs w:val="16"/>
              </w:rPr>
              <w:t>(85,7 %)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99F49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bCs/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10 437 tis.</w:t>
            </w:r>
          </w:p>
          <w:p w14:paraId="7C909F30" w14:textId="77777777" w:rsidR="00886C52" w:rsidRPr="000609AF" w:rsidRDefault="00886C52" w:rsidP="00A577E7">
            <w:pPr>
              <w:spacing w:before="20" w:after="20"/>
              <w:ind w:left="144" w:right="144"/>
              <w:jc w:val="both"/>
              <w:rPr>
                <w:sz w:val="16"/>
                <w:szCs w:val="16"/>
              </w:rPr>
            </w:pPr>
            <w:r w:rsidRPr="000609AF">
              <w:rPr>
                <w:bCs/>
                <w:sz w:val="16"/>
                <w:szCs w:val="16"/>
              </w:rPr>
              <w:t>(100,0 %)</w:t>
            </w:r>
          </w:p>
        </w:tc>
      </w:tr>
      <w:tr w:rsidR="00886C52" w:rsidRPr="000609AF" w14:paraId="057FB86C" w14:textId="77777777" w:rsidTr="003A411E">
        <w:trPr>
          <w:trHeight w:val="296"/>
        </w:trPr>
        <w:tc>
          <w:tcPr>
            <w:tcW w:w="9674" w:type="dxa"/>
            <w:gridSpan w:val="4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DC809" w14:textId="77777777" w:rsidR="00886C52" w:rsidRPr="000609AF" w:rsidRDefault="00886C52" w:rsidP="000738DB">
            <w:pPr>
              <w:spacing w:before="200" w:after="40"/>
              <w:jc w:val="both"/>
              <w:rPr>
                <w:sz w:val="14"/>
                <w:szCs w:val="14"/>
              </w:rPr>
            </w:pPr>
            <w:r w:rsidRPr="000609AF">
              <w:rPr>
                <w:bCs/>
                <w:sz w:val="14"/>
                <w:szCs w:val="14"/>
              </w:rPr>
              <w:t>Zdroj: ČSÚ, SLDB 2011</w:t>
            </w:r>
          </w:p>
        </w:tc>
      </w:tr>
    </w:tbl>
    <w:p w14:paraId="0FD2AEBA" w14:textId="77777777" w:rsidR="00886C52" w:rsidRPr="00E65652" w:rsidRDefault="00886C52" w:rsidP="00A577E7">
      <w:pPr>
        <w:jc w:val="both"/>
      </w:pPr>
      <w:r w:rsidRPr="00E65652">
        <w:t>Novější údaje jsou dostupné pouze v členění podle věku a lze tedy přesněji kvantifikovat pouze část populace ve věku 0–14 let, která nebyla do VŠPO zahrnuta. Dle odhadů ČSÚ žilo v ČR ve 3. čtvrtletí 2018</w:t>
      </w:r>
      <w:r w:rsidRPr="00E65652">
        <w:rPr>
          <w:rStyle w:val="Znakapoznpodarou"/>
        </w:rPr>
        <w:footnoteReference w:id="2"/>
      </w:r>
      <w:r w:rsidRPr="00E65652">
        <w:t xml:space="preserve"> celkem 10 624 tis. obyvatel, z nichž 1 683 tis. (tedy 15,8 %) představovaly děti do 15 let věku.</w:t>
      </w:r>
    </w:p>
    <w:p w14:paraId="2085BE7C" w14:textId="77777777" w:rsidR="00886C52" w:rsidRPr="00E65652" w:rsidRDefault="00886C52" w:rsidP="00A577E7">
      <w:pPr>
        <w:jc w:val="both"/>
      </w:pPr>
      <w:r w:rsidRPr="00E65652">
        <w:t>Úplné a konzistentní údaje za osoby žijící mimo soukromé domácnosti nejsou kromě Sčítání dostupné, a proto následuje jen podrobnější přehled o struktuře populace osob žijících mimo byty. Podle výsledků posledního Sčítání mělo v České republice k 26. 3. 2011 obvyklé bydliště mimo byty</w:t>
      </w:r>
      <w:r w:rsidRPr="00E65652">
        <w:rPr>
          <w:rStyle w:val="Znakapoznpodarou"/>
        </w:rPr>
        <w:footnoteReference w:id="3"/>
      </w:r>
      <w:r w:rsidRPr="00E65652">
        <w:t xml:space="preserve"> celkem 291,6 tis. osob (2,79 %). Podle způsobu bydlení z nich pak 194,4 tis. žilo v zařízeních</w:t>
      </w:r>
      <w:r w:rsidRPr="00E65652">
        <w:rPr>
          <w:rStyle w:val="Znakapoznpodarou"/>
        </w:rPr>
        <w:footnoteReference w:id="4"/>
      </w:r>
      <w:r w:rsidRPr="00E65652">
        <w:t xml:space="preserve"> (1,86 % všech obvykle bydlících osob), 85,6 tis. žilo mimo byty a zařízení (0,82 %) a 11,5 tis. bylo bezdomovců (0,11 %).</w:t>
      </w:r>
    </w:p>
    <w:sectPr w:rsidR="00886C52" w:rsidRPr="00E65652" w:rsidSect="00050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4235" w14:textId="77777777" w:rsidR="00AC42B6" w:rsidRDefault="00AC42B6" w:rsidP="00E71A58">
      <w:r>
        <w:separator/>
      </w:r>
    </w:p>
  </w:endnote>
  <w:endnote w:type="continuationSeparator" w:id="0">
    <w:p w14:paraId="6B3FF10B" w14:textId="77777777" w:rsidR="00AC42B6" w:rsidRDefault="00AC42B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796" w14:textId="40D3433E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4C76C3D" wp14:editId="51905D1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6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73B77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C6DF" w14:textId="6D892462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2A4F2726" wp14:editId="399DABB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7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73B77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91A6" w14:textId="77777777" w:rsidR="00AC42B6" w:rsidRDefault="00AC42B6" w:rsidP="00E71A58">
      <w:r>
        <w:separator/>
      </w:r>
    </w:p>
  </w:footnote>
  <w:footnote w:type="continuationSeparator" w:id="0">
    <w:p w14:paraId="4EB0E333" w14:textId="77777777" w:rsidR="00AC42B6" w:rsidRDefault="00AC42B6" w:rsidP="00E71A58">
      <w:r>
        <w:continuationSeparator/>
      </w:r>
    </w:p>
  </w:footnote>
  <w:footnote w:id="1">
    <w:p w14:paraId="1C736164" w14:textId="77777777" w:rsidR="00AC42B6" w:rsidRPr="000609AF" w:rsidRDefault="00AC42B6" w:rsidP="00886C52">
      <w:pPr>
        <w:pStyle w:val="Textpoznpodarou"/>
        <w:ind w:left="144" w:hanging="144"/>
        <w:rPr>
          <w:sz w:val="14"/>
          <w:szCs w:val="14"/>
        </w:rPr>
      </w:pPr>
      <w:r w:rsidRPr="000609AF">
        <w:rPr>
          <w:rStyle w:val="Znakapoznpodarou"/>
          <w:rFonts w:ascii="Arial" w:hAnsi="Arial" w:cs="Arial"/>
          <w:sz w:val="14"/>
          <w:szCs w:val="14"/>
        </w:rPr>
        <w:footnoteRef/>
      </w:r>
      <w:r w:rsidRPr="000609AF">
        <w:rPr>
          <w:sz w:val="14"/>
          <w:szCs w:val="14"/>
        </w:rPr>
        <w:t xml:space="preserve"> </w:t>
      </w:r>
      <w:r w:rsidRPr="000609AF">
        <w:rPr>
          <w:rFonts w:ascii="Arial" w:hAnsi="Arial" w:cs="Arial"/>
          <w:sz w:val="14"/>
          <w:szCs w:val="14"/>
        </w:rPr>
        <w:t>Dokončený věk 0–14 let odpovídá věkové skupině dětí od narození do dne předcházejícího dosažení věku 15 let. V následujícím textu bude obvykle používán termín dokončený věk. Přesný věk bude použit v případech, kdy půjde o referenci k populaci mladší než určitá přesná věková hranice, např. osoby mladší 65 let (což odpovídá dokončenému věku 0–64 let).</w:t>
      </w:r>
    </w:p>
  </w:footnote>
  <w:footnote w:id="2">
    <w:p w14:paraId="116BF74C" w14:textId="77777777" w:rsidR="00AC42B6" w:rsidRPr="000609AF" w:rsidRDefault="00AC42B6" w:rsidP="00035F2E">
      <w:pPr>
        <w:pStyle w:val="Textpoznpodarou"/>
        <w:rPr>
          <w:rFonts w:ascii="Arial" w:hAnsi="Arial" w:cs="Arial"/>
          <w:sz w:val="14"/>
          <w:szCs w:val="14"/>
        </w:rPr>
      </w:pPr>
      <w:r w:rsidRPr="000609AF">
        <w:rPr>
          <w:rStyle w:val="Znakapoznpodarou"/>
          <w:rFonts w:ascii="Arial" w:hAnsi="Arial" w:cs="Arial"/>
          <w:sz w:val="14"/>
          <w:szCs w:val="14"/>
        </w:rPr>
        <w:footnoteRef/>
      </w:r>
      <w:r w:rsidRPr="000609AF">
        <w:rPr>
          <w:rFonts w:ascii="Arial" w:hAnsi="Arial" w:cs="Arial"/>
          <w:sz w:val="14"/>
          <w:szCs w:val="14"/>
        </w:rPr>
        <w:t xml:space="preserve"> Tedy období, které pokrývá významnou část období sběru dat v rámci VŠPO 2018.</w:t>
      </w:r>
    </w:p>
  </w:footnote>
  <w:footnote w:id="3">
    <w:p w14:paraId="75FADA66" w14:textId="77777777" w:rsidR="00AC42B6" w:rsidRPr="000609AF" w:rsidRDefault="00AC42B6" w:rsidP="00035F2E">
      <w:pPr>
        <w:pStyle w:val="Textpoznpodarou"/>
        <w:spacing w:before="60"/>
        <w:ind w:left="142" w:hanging="142"/>
        <w:rPr>
          <w:rFonts w:ascii="Arial" w:hAnsi="Arial" w:cs="Arial"/>
          <w:sz w:val="14"/>
          <w:szCs w:val="14"/>
        </w:rPr>
      </w:pPr>
      <w:r w:rsidRPr="000609AF">
        <w:rPr>
          <w:rStyle w:val="Znakapoznpodarou"/>
          <w:rFonts w:ascii="Arial" w:hAnsi="Arial" w:cs="Arial"/>
          <w:sz w:val="14"/>
          <w:szCs w:val="14"/>
        </w:rPr>
        <w:footnoteRef/>
      </w:r>
      <w:r w:rsidRPr="000609AF">
        <w:rPr>
          <w:rFonts w:ascii="Arial" w:hAnsi="Arial" w:cs="Arial"/>
          <w:sz w:val="14"/>
          <w:szCs w:val="14"/>
        </w:rPr>
        <w:t xml:space="preserve"> Bytem se rozuměl soubor místností, popřípadě jednotlivá obytná místnost, které jsou stavebním úřadem určeny k bydlení. </w:t>
      </w:r>
    </w:p>
  </w:footnote>
  <w:footnote w:id="4">
    <w:p w14:paraId="3399794F" w14:textId="77777777" w:rsidR="00AC42B6" w:rsidRDefault="00AC42B6" w:rsidP="00035F2E">
      <w:pPr>
        <w:pStyle w:val="Textpoznpodarou"/>
        <w:spacing w:before="60"/>
        <w:ind w:left="142" w:hanging="142"/>
      </w:pPr>
      <w:r w:rsidRPr="000609AF">
        <w:rPr>
          <w:rStyle w:val="Znakapoznpodarou"/>
          <w:rFonts w:ascii="Arial" w:hAnsi="Arial" w:cs="Arial"/>
          <w:sz w:val="14"/>
          <w:szCs w:val="14"/>
        </w:rPr>
        <w:footnoteRef/>
      </w:r>
      <w:r w:rsidRPr="000609AF">
        <w:rPr>
          <w:rFonts w:ascii="Arial" w:hAnsi="Arial" w:cs="Arial"/>
          <w:sz w:val="14"/>
          <w:szCs w:val="14"/>
        </w:rPr>
        <w:t xml:space="preserve"> Zařízením se rozuměla budova, která obsahuje převážně prostory k ubytování nebo je určena k poskytování lůžkové zdravotní nebo sociální péče.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C525" w14:textId="77777777" w:rsidR="00AC42B6" w:rsidRDefault="00AC42B6" w:rsidP="00076243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0A5C0CAF" w14:textId="77777777" w:rsidR="00AC42B6" w:rsidRPr="00CF5861" w:rsidRDefault="00AC42B6" w:rsidP="00CF5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2426" w14:textId="1BB0E8F6" w:rsidR="00AC42B6" w:rsidRDefault="00AC42B6" w:rsidP="00886C52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127DA198" w14:textId="77777777" w:rsidR="00AC42B6" w:rsidRPr="00CF5861" w:rsidRDefault="00AC42B6" w:rsidP="00CF5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26D"/>
    <w:multiLevelType w:val="hybridMultilevel"/>
    <w:tmpl w:val="01705CF8"/>
    <w:lvl w:ilvl="0" w:tplc="3DA07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E592C"/>
    <w:multiLevelType w:val="hybridMultilevel"/>
    <w:tmpl w:val="6AAC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313AA"/>
    <w:multiLevelType w:val="hybridMultilevel"/>
    <w:tmpl w:val="1AD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C63"/>
    <w:multiLevelType w:val="hybridMultilevel"/>
    <w:tmpl w:val="4696727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19DB149A"/>
    <w:multiLevelType w:val="hybridMultilevel"/>
    <w:tmpl w:val="3B2E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1B37"/>
    <w:multiLevelType w:val="hybridMultilevel"/>
    <w:tmpl w:val="93A49A0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3553DDE"/>
    <w:multiLevelType w:val="hybridMultilevel"/>
    <w:tmpl w:val="2932E53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71D0"/>
    <w:multiLevelType w:val="hybridMultilevel"/>
    <w:tmpl w:val="32A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5BB6"/>
    <w:multiLevelType w:val="hybridMultilevel"/>
    <w:tmpl w:val="2ABAA2A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2F0B0129"/>
    <w:multiLevelType w:val="hybridMultilevel"/>
    <w:tmpl w:val="5D70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221B"/>
    <w:multiLevelType w:val="hybridMultilevel"/>
    <w:tmpl w:val="4B94E4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797"/>
    <w:multiLevelType w:val="hybridMultilevel"/>
    <w:tmpl w:val="A43279F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34EA2FF3"/>
    <w:multiLevelType w:val="hybridMultilevel"/>
    <w:tmpl w:val="863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407C1"/>
    <w:multiLevelType w:val="hybridMultilevel"/>
    <w:tmpl w:val="F7CCDD06"/>
    <w:lvl w:ilvl="0" w:tplc="C116E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83A0C"/>
    <w:multiLevelType w:val="hybridMultilevel"/>
    <w:tmpl w:val="3BC8FC1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02B92"/>
    <w:multiLevelType w:val="hybridMultilevel"/>
    <w:tmpl w:val="55D2BE7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0D8592A"/>
    <w:multiLevelType w:val="hybridMultilevel"/>
    <w:tmpl w:val="B54A7A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55463EE"/>
    <w:multiLevelType w:val="hybridMultilevel"/>
    <w:tmpl w:val="E65C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84062"/>
    <w:multiLevelType w:val="hybridMultilevel"/>
    <w:tmpl w:val="68A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2750E"/>
    <w:multiLevelType w:val="hybridMultilevel"/>
    <w:tmpl w:val="DC16D544"/>
    <w:lvl w:ilvl="0" w:tplc="3DA07CCC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3EE100C"/>
    <w:multiLevelType w:val="hybridMultilevel"/>
    <w:tmpl w:val="83FA747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5777A2C"/>
    <w:multiLevelType w:val="hybridMultilevel"/>
    <w:tmpl w:val="96F0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52BE"/>
    <w:multiLevelType w:val="hybridMultilevel"/>
    <w:tmpl w:val="2EEEA996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591A11E2"/>
    <w:multiLevelType w:val="hybridMultilevel"/>
    <w:tmpl w:val="9708924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5A9D07DD"/>
    <w:multiLevelType w:val="hybridMultilevel"/>
    <w:tmpl w:val="CB7E56B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5D875A61"/>
    <w:multiLevelType w:val="hybridMultilevel"/>
    <w:tmpl w:val="E6609A9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5EEE2082"/>
    <w:multiLevelType w:val="hybridMultilevel"/>
    <w:tmpl w:val="AFEEF1A8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179CA"/>
    <w:multiLevelType w:val="hybridMultilevel"/>
    <w:tmpl w:val="0AE6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277D3"/>
    <w:multiLevelType w:val="hybridMultilevel"/>
    <w:tmpl w:val="54B2839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668664CE"/>
    <w:multiLevelType w:val="hybridMultilevel"/>
    <w:tmpl w:val="EC1A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C7A4F"/>
    <w:multiLevelType w:val="hybridMultilevel"/>
    <w:tmpl w:val="99DC135C"/>
    <w:lvl w:ilvl="0" w:tplc="D67E61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46EF7"/>
    <w:multiLevelType w:val="hybridMultilevel"/>
    <w:tmpl w:val="B45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A32EC"/>
    <w:multiLevelType w:val="hybridMultilevel"/>
    <w:tmpl w:val="998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720"/>
    <w:multiLevelType w:val="hybridMultilevel"/>
    <w:tmpl w:val="248C691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81A3F"/>
    <w:multiLevelType w:val="hybridMultilevel"/>
    <w:tmpl w:val="241C9450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1"/>
  </w:num>
  <w:num w:numId="14">
    <w:abstractNumId w:val="14"/>
  </w:num>
  <w:num w:numId="15">
    <w:abstractNumId w:val="12"/>
  </w:num>
  <w:num w:numId="16">
    <w:abstractNumId w:val="24"/>
  </w:num>
  <w:num w:numId="17">
    <w:abstractNumId w:val="43"/>
  </w:num>
  <w:num w:numId="18">
    <w:abstractNumId w:val="47"/>
  </w:num>
  <w:num w:numId="19">
    <w:abstractNumId w:val="10"/>
  </w:num>
  <w:num w:numId="20">
    <w:abstractNumId w:val="30"/>
  </w:num>
  <w:num w:numId="21">
    <w:abstractNumId w:val="13"/>
  </w:num>
  <w:num w:numId="22">
    <w:abstractNumId w:val="45"/>
  </w:num>
  <w:num w:numId="23">
    <w:abstractNumId w:val="39"/>
  </w:num>
  <w:num w:numId="24">
    <w:abstractNumId w:val="18"/>
  </w:num>
  <w:num w:numId="25">
    <w:abstractNumId w:val="35"/>
  </w:num>
  <w:num w:numId="26">
    <w:abstractNumId w:val="15"/>
  </w:num>
  <w:num w:numId="27">
    <w:abstractNumId w:val="33"/>
  </w:num>
  <w:num w:numId="28">
    <w:abstractNumId w:val="19"/>
  </w:num>
  <w:num w:numId="29">
    <w:abstractNumId w:val="16"/>
  </w:num>
  <w:num w:numId="30">
    <w:abstractNumId w:val="37"/>
  </w:num>
  <w:num w:numId="31">
    <w:abstractNumId w:val="26"/>
  </w:num>
  <w:num w:numId="32">
    <w:abstractNumId w:val="23"/>
  </w:num>
  <w:num w:numId="33">
    <w:abstractNumId w:val="38"/>
  </w:num>
  <w:num w:numId="34">
    <w:abstractNumId w:val="32"/>
  </w:num>
  <w:num w:numId="35">
    <w:abstractNumId w:val="44"/>
  </w:num>
  <w:num w:numId="36">
    <w:abstractNumId w:val="36"/>
  </w:num>
  <w:num w:numId="37">
    <w:abstractNumId w:val="27"/>
  </w:num>
  <w:num w:numId="38">
    <w:abstractNumId w:val="40"/>
  </w:num>
  <w:num w:numId="39">
    <w:abstractNumId w:val="20"/>
  </w:num>
  <w:num w:numId="40">
    <w:abstractNumId w:val="42"/>
  </w:num>
  <w:num w:numId="41">
    <w:abstractNumId w:val="46"/>
  </w:num>
  <w:num w:numId="42">
    <w:abstractNumId w:val="21"/>
  </w:num>
  <w:num w:numId="43">
    <w:abstractNumId w:val="34"/>
  </w:num>
  <w:num w:numId="44">
    <w:abstractNumId w:val="25"/>
  </w:num>
  <w:num w:numId="45">
    <w:abstractNumId w:val="22"/>
  </w:num>
  <w:num w:numId="46">
    <w:abstractNumId w:val="41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0"/>
    <w:rsid w:val="0000209D"/>
    <w:rsid w:val="00004D5A"/>
    <w:rsid w:val="000056D5"/>
    <w:rsid w:val="0000767A"/>
    <w:rsid w:val="00010702"/>
    <w:rsid w:val="000117C4"/>
    <w:rsid w:val="00013204"/>
    <w:rsid w:val="00016992"/>
    <w:rsid w:val="000234D6"/>
    <w:rsid w:val="00023D29"/>
    <w:rsid w:val="00026389"/>
    <w:rsid w:val="00031AE0"/>
    <w:rsid w:val="000322EF"/>
    <w:rsid w:val="00033FCD"/>
    <w:rsid w:val="00035F2E"/>
    <w:rsid w:val="00041CEC"/>
    <w:rsid w:val="000436C9"/>
    <w:rsid w:val="0004694F"/>
    <w:rsid w:val="00050190"/>
    <w:rsid w:val="000522E4"/>
    <w:rsid w:val="000533CE"/>
    <w:rsid w:val="000609AF"/>
    <w:rsid w:val="000610E1"/>
    <w:rsid w:val="00061D51"/>
    <w:rsid w:val="00062EC5"/>
    <w:rsid w:val="00062F22"/>
    <w:rsid w:val="000712B3"/>
    <w:rsid w:val="000738DB"/>
    <w:rsid w:val="00076243"/>
    <w:rsid w:val="000778D9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7B0"/>
    <w:rsid w:val="000B1109"/>
    <w:rsid w:val="000B30FA"/>
    <w:rsid w:val="000C3408"/>
    <w:rsid w:val="000C4004"/>
    <w:rsid w:val="000C63FC"/>
    <w:rsid w:val="000C6AFD"/>
    <w:rsid w:val="000D199C"/>
    <w:rsid w:val="000D2847"/>
    <w:rsid w:val="000D35AC"/>
    <w:rsid w:val="000D5637"/>
    <w:rsid w:val="000D74FB"/>
    <w:rsid w:val="000E5A48"/>
    <w:rsid w:val="000E6FBD"/>
    <w:rsid w:val="000F3BF0"/>
    <w:rsid w:val="000F7E86"/>
    <w:rsid w:val="00100F5C"/>
    <w:rsid w:val="0010437D"/>
    <w:rsid w:val="00104C4C"/>
    <w:rsid w:val="00116A86"/>
    <w:rsid w:val="00116F51"/>
    <w:rsid w:val="0012192F"/>
    <w:rsid w:val="00122EA5"/>
    <w:rsid w:val="00125D69"/>
    <w:rsid w:val="001403AC"/>
    <w:rsid w:val="001405FA"/>
    <w:rsid w:val="001425C3"/>
    <w:rsid w:val="00152AB2"/>
    <w:rsid w:val="00155CD6"/>
    <w:rsid w:val="0016256B"/>
    <w:rsid w:val="0016313A"/>
    <w:rsid w:val="00163793"/>
    <w:rsid w:val="001706D6"/>
    <w:rsid w:val="001714F2"/>
    <w:rsid w:val="001831AB"/>
    <w:rsid w:val="001846E8"/>
    <w:rsid w:val="00184B08"/>
    <w:rsid w:val="00185010"/>
    <w:rsid w:val="001A14E6"/>
    <w:rsid w:val="001A552F"/>
    <w:rsid w:val="001B1814"/>
    <w:rsid w:val="001B2CA9"/>
    <w:rsid w:val="001B3110"/>
    <w:rsid w:val="001B4729"/>
    <w:rsid w:val="001B6C09"/>
    <w:rsid w:val="001C05CD"/>
    <w:rsid w:val="001D6135"/>
    <w:rsid w:val="001D68B2"/>
    <w:rsid w:val="001E0E4A"/>
    <w:rsid w:val="001F4597"/>
    <w:rsid w:val="00206424"/>
    <w:rsid w:val="002118B9"/>
    <w:rsid w:val="00215060"/>
    <w:rsid w:val="00217C5B"/>
    <w:rsid w:val="0022139E"/>
    <w:rsid w:val="002252E0"/>
    <w:rsid w:val="002255F6"/>
    <w:rsid w:val="00227850"/>
    <w:rsid w:val="00227A53"/>
    <w:rsid w:val="00230C6E"/>
    <w:rsid w:val="002327AD"/>
    <w:rsid w:val="00236443"/>
    <w:rsid w:val="002436BA"/>
    <w:rsid w:val="00244A15"/>
    <w:rsid w:val="00247319"/>
    <w:rsid w:val="0024799E"/>
    <w:rsid w:val="00253C0F"/>
    <w:rsid w:val="00254CD9"/>
    <w:rsid w:val="00260173"/>
    <w:rsid w:val="00263EC7"/>
    <w:rsid w:val="00271465"/>
    <w:rsid w:val="00285412"/>
    <w:rsid w:val="002A00BE"/>
    <w:rsid w:val="002A16D4"/>
    <w:rsid w:val="002A230C"/>
    <w:rsid w:val="002A41D7"/>
    <w:rsid w:val="002B379D"/>
    <w:rsid w:val="002C43BD"/>
    <w:rsid w:val="002D0E59"/>
    <w:rsid w:val="002E02A1"/>
    <w:rsid w:val="002E4E4C"/>
    <w:rsid w:val="002F2EA0"/>
    <w:rsid w:val="002F5D2C"/>
    <w:rsid w:val="00304771"/>
    <w:rsid w:val="003052D4"/>
    <w:rsid w:val="00306C5B"/>
    <w:rsid w:val="00312D94"/>
    <w:rsid w:val="003209D6"/>
    <w:rsid w:val="00321924"/>
    <w:rsid w:val="0032656E"/>
    <w:rsid w:val="0032659C"/>
    <w:rsid w:val="0032768E"/>
    <w:rsid w:val="00332190"/>
    <w:rsid w:val="00344668"/>
    <w:rsid w:val="003462D9"/>
    <w:rsid w:val="00353C76"/>
    <w:rsid w:val="00360C86"/>
    <w:rsid w:val="003657F3"/>
    <w:rsid w:val="00367030"/>
    <w:rsid w:val="00380D9E"/>
    <w:rsid w:val="003818DC"/>
    <w:rsid w:val="0038262B"/>
    <w:rsid w:val="00384327"/>
    <w:rsid w:val="00385D98"/>
    <w:rsid w:val="003A28F4"/>
    <w:rsid w:val="003A2B4D"/>
    <w:rsid w:val="003A411E"/>
    <w:rsid w:val="003A478C"/>
    <w:rsid w:val="003A5525"/>
    <w:rsid w:val="003A6B38"/>
    <w:rsid w:val="003B5A32"/>
    <w:rsid w:val="003C3490"/>
    <w:rsid w:val="003C7F3B"/>
    <w:rsid w:val="003D6920"/>
    <w:rsid w:val="003E4C91"/>
    <w:rsid w:val="003F063C"/>
    <w:rsid w:val="003F313C"/>
    <w:rsid w:val="003F4B2C"/>
    <w:rsid w:val="003F551C"/>
    <w:rsid w:val="003F7D23"/>
    <w:rsid w:val="00407C13"/>
    <w:rsid w:val="00410638"/>
    <w:rsid w:val="004225D8"/>
    <w:rsid w:val="004234DA"/>
    <w:rsid w:val="00425F69"/>
    <w:rsid w:val="00431821"/>
    <w:rsid w:val="00432A58"/>
    <w:rsid w:val="00434617"/>
    <w:rsid w:val="00440900"/>
    <w:rsid w:val="004437FD"/>
    <w:rsid w:val="004441A0"/>
    <w:rsid w:val="00456B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972"/>
    <w:rsid w:val="004C4CD0"/>
    <w:rsid w:val="004C70DC"/>
    <w:rsid w:val="004D0211"/>
    <w:rsid w:val="004D0794"/>
    <w:rsid w:val="004F06F5"/>
    <w:rsid w:val="004F33A0"/>
    <w:rsid w:val="004F60F5"/>
    <w:rsid w:val="00500A8A"/>
    <w:rsid w:val="005022FE"/>
    <w:rsid w:val="005108C0"/>
    <w:rsid w:val="005115B2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34A6C"/>
    <w:rsid w:val="00534E84"/>
    <w:rsid w:val="00541431"/>
    <w:rsid w:val="00541508"/>
    <w:rsid w:val="00541FFF"/>
    <w:rsid w:val="005536B1"/>
    <w:rsid w:val="00555900"/>
    <w:rsid w:val="0055599F"/>
    <w:rsid w:val="00556D68"/>
    <w:rsid w:val="005647BF"/>
    <w:rsid w:val="0057364B"/>
    <w:rsid w:val="00574773"/>
    <w:rsid w:val="00574B9B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4249"/>
    <w:rsid w:val="005B600D"/>
    <w:rsid w:val="005C06ED"/>
    <w:rsid w:val="005D5802"/>
    <w:rsid w:val="005D7890"/>
    <w:rsid w:val="005E7C78"/>
    <w:rsid w:val="005F184E"/>
    <w:rsid w:val="005F3EB1"/>
    <w:rsid w:val="005F5469"/>
    <w:rsid w:val="00604307"/>
    <w:rsid w:val="0060487F"/>
    <w:rsid w:val="00604EAD"/>
    <w:rsid w:val="00605F37"/>
    <w:rsid w:val="006104FB"/>
    <w:rsid w:val="00610F65"/>
    <w:rsid w:val="00612A2F"/>
    <w:rsid w:val="00616E05"/>
    <w:rsid w:val="00624093"/>
    <w:rsid w:val="00631518"/>
    <w:rsid w:val="006404A7"/>
    <w:rsid w:val="006406BD"/>
    <w:rsid w:val="006414C4"/>
    <w:rsid w:val="006451E4"/>
    <w:rsid w:val="006457F8"/>
    <w:rsid w:val="00645B33"/>
    <w:rsid w:val="00650839"/>
    <w:rsid w:val="006516CB"/>
    <w:rsid w:val="00651811"/>
    <w:rsid w:val="00651CB3"/>
    <w:rsid w:val="00657E87"/>
    <w:rsid w:val="00664803"/>
    <w:rsid w:val="00665BA4"/>
    <w:rsid w:val="00667AF2"/>
    <w:rsid w:val="006710C9"/>
    <w:rsid w:val="00674D89"/>
    <w:rsid w:val="006753B4"/>
    <w:rsid w:val="00675E37"/>
    <w:rsid w:val="0068100F"/>
    <w:rsid w:val="0068174E"/>
    <w:rsid w:val="00681DCE"/>
    <w:rsid w:val="0068260E"/>
    <w:rsid w:val="006840BA"/>
    <w:rsid w:val="00695BEF"/>
    <w:rsid w:val="006977F6"/>
    <w:rsid w:val="00697A13"/>
    <w:rsid w:val="006A109C"/>
    <w:rsid w:val="006A2314"/>
    <w:rsid w:val="006B344A"/>
    <w:rsid w:val="006B78D8"/>
    <w:rsid w:val="006C0395"/>
    <w:rsid w:val="006C113F"/>
    <w:rsid w:val="006C123E"/>
    <w:rsid w:val="006C56D4"/>
    <w:rsid w:val="006C6924"/>
    <w:rsid w:val="006C7CA6"/>
    <w:rsid w:val="006D3E8A"/>
    <w:rsid w:val="006D5950"/>
    <w:rsid w:val="006D61F6"/>
    <w:rsid w:val="006E19F9"/>
    <w:rsid w:val="006E279A"/>
    <w:rsid w:val="006E313B"/>
    <w:rsid w:val="006E3608"/>
    <w:rsid w:val="006F5416"/>
    <w:rsid w:val="006F7137"/>
    <w:rsid w:val="007020B7"/>
    <w:rsid w:val="00705734"/>
    <w:rsid w:val="00706AD4"/>
    <w:rsid w:val="007140BE"/>
    <w:rsid w:val="0072026F"/>
    <w:rsid w:val="007211F5"/>
    <w:rsid w:val="00725BB5"/>
    <w:rsid w:val="00730AE8"/>
    <w:rsid w:val="007371D4"/>
    <w:rsid w:val="00741493"/>
    <w:rsid w:val="00752180"/>
    <w:rsid w:val="00755202"/>
    <w:rsid w:val="00755D3A"/>
    <w:rsid w:val="007578D3"/>
    <w:rsid w:val="007609C6"/>
    <w:rsid w:val="0076175D"/>
    <w:rsid w:val="0076521E"/>
    <w:rsid w:val="00765641"/>
    <w:rsid w:val="007661E9"/>
    <w:rsid w:val="00776169"/>
    <w:rsid w:val="00776527"/>
    <w:rsid w:val="00780EF1"/>
    <w:rsid w:val="00786057"/>
    <w:rsid w:val="007867DF"/>
    <w:rsid w:val="0078793B"/>
    <w:rsid w:val="00790764"/>
    <w:rsid w:val="0079453C"/>
    <w:rsid w:val="00794677"/>
    <w:rsid w:val="00794D59"/>
    <w:rsid w:val="0079543C"/>
    <w:rsid w:val="007B28F6"/>
    <w:rsid w:val="007B2C1B"/>
    <w:rsid w:val="007B6689"/>
    <w:rsid w:val="007C2210"/>
    <w:rsid w:val="007C701A"/>
    <w:rsid w:val="007D0187"/>
    <w:rsid w:val="007D0337"/>
    <w:rsid w:val="007D40DF"/>
    <w:rsid w:val="007E7696"/>
    <w:rsid w:val="007E7E61"/>
    <w:rsid w:val="007F0845"/>
    <w:rsid w:val="007F7A69"/>
    <w:rsid w:val="00807C82"/>
    <w:rsid w:val="00811CCE"/>
    <w:rsid w:val="00816905"/>
    <w:rsid w:val="00821FF6"/>
    <w:rsid w:val="00824417"/>
    <w:rsid w:val="00825C4D"/>
    <w:rsid w:val="0083143E"/>
    <w:rsid w:val="00831CDE"/>
    <w:rsid w:val="00834304"/>
    <w:rsid w:val="00834FAA"/>
    <w:rsid w:val="00836086"/>
    <w:rsid w:val="00836326"/>
    <w:rsid w:val="0084708F"/>
    <w:rsid w:val="008477C8"/>
    <w:rsid w:val="0085114D"/>
    <w:rsid w:val="00852217"/>
    <w:rsid w:val="00855408"/>
    <w:rsid w:val="00856D65"/>
    <w:rsid w:val="00861B41"/>
    <w:rsid w:val="00863434"/>
    <w:rsid w:val="008643C6"/>
    <w:rsid w:val="00865E4C"/>
    <w:rsid w:val="008701E4"/>
    <w:rsid w:val="00875A32"/>
    <w:rsid w:val="00876086"/>
    <w:rsid w:val="00877CFE"/>
    <w:rsid w:val="00886C52"/>
    <w:rsid w:val="008873D4"/>
    <w:rsid w:val="00893E85"/>
    <w:rsid w:val="00894031"/>
    <w:rsid w:val="008A5150"/>
    <w:rsid w:val="008B2A92"/>
    <w:rsid w:val="008B7C02"/>
    <w:rsid w:val="008B7D2B"/>
    <w:rsid w:val="008C0049"/>
    <w:rsid w:val="008C0E88"/>
    <w:rsid w:val="008C3596"/>
    <w:rsid w:val="008C3B08"/>
    <w:rsid w:val="008D1B25"/>
    <w:rsid w:val="008D1E6A"/>
    <w:rsid w:val="008D2A16"/>
    <w:rsid w:val="008D555F"/>
    <w:rsid w:val="008E0D2D"/>
    <w:rsid w:val="008E2C57"/>
    <w:rsid w:val="008E31FF"/>
    <w:rsid w:val="008E3395"/>
    <w:rsid w:val="008E6F06"/>
    <w:rsid w:val="008F029B"/>
    <w:rsid w:val="008F3FC9"/>
    <w:rsid w:val="008F585B"/>
    <w:rsid w:val="009003A8"/>
    <w:rsid w:val="00902500"/>
    <w:rsid w:val="00902EFF"/>
    <w:rsid w:val="0090363C"/>
    <w:rsid w:val="00906401"/>
    <w:rsid w:val="0091155E"/>
    <w:rsid w:val="00912A92"/>
    <w:rsid w:val="0091728D"/>
    <w:rsid w:val="00921430"/>
    <w:rsid w:val="0092180B"/>
    <w:rsid w:val="00921F14"/>
    <w:rsid w:val="00924AC8"/>
    <w:rsid w:val="0092597A"/>
    <w:rsid w:val="00930348"/>
    <w:rsid w:val="00932443"/>
    <w:rsid w:val="00937AE2"/>
    <w:rsid w:val="00940C5E"/>
    <w:rsid w:val="00943D23"/>
    <w:rsid w:val="0094427A"/>
    <w:rsid w:val="00974923"/>
    <w:rsid w:val="00974EFE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C7C23"/>
    <w:rsid w:val="009D3ACD"/>
    <w:rsid w:val="009D7B79"/>
    <w:rsid w:val="009E1B81"/>
    <w:rsid w:val="009E5273"/>
    <w:rsid w:val="009E5DDB"/>
    <w:rsid w:val="009F4CA7"/>
    <w:rsid w:val="00A10D66"/>
    <w:rsid w:val="00A14114"/>
    <w:rsid w:val="00A1425D"/>
    <w:rsid w:val="00A16413"/>
    <w:rsid w:val="00A23E43"/>
    <w:rsid w:val="00A30F65"/>
    <w:rsid w:val="00A33771"/>
    <w:rsid w:val="00A418BC"/>
    <w:rsid w:val="00A46DE0"/>
    <w:rsid w:val="00A50D73"/>
    <w:rsid w:val="00A52CAD"/>
    <w:rsid w:val="00A53FC7"/>
    <w:rsid w:val="00A577E7"/>
    <w:rsid w:val="00A62CE1"/>
    <w:rsid w:val="00A6741E"/>
    <w:rsid w:val="00A73B77"/>
    <w:rsid w:val="00A756ED"/>
    <w:rsid w:val="00A75E40"/>
    <w:rsid w:val="00A77999"/>
    <w:rsid w:val="00A77D1D"/>
    <w:rsid w:val="00A80B84"/>
    <w:rsid w:val="00A857C0"/>
    <w:rsid w:val="00A97CC9"/>
    <w:rsid w:val="00AA1399"/>
    <w:rsid w:val="00AA2996"/>
    <w:rsid w:val="00AA52BF"/>
    <w:rsid w:val="00AA559A"/>
    <w:rsid w:val="00AA5B8F"/>
    <w:rsid w:val="00AB2AF1"/>
    <w:rsid w:val="00AC15A9"/>
    <w:rsid w:val="00AC42B6"/>
    <w:rsid w:val="00AC4BA0"/>
    <w:rsid w:val="00AD2C81"/>
    <w:rsid w:val="00AD306C"/>
    <w:rsid w:val="00AD4D8D"/>
    <w:rsid w:val="00AE09B3"/>
    <w:rsid w:val="00AE1A83"/>
    <w:rsid w:val="00B00913"/>
    <w:rsid w:val="00B01593"/>
    <w:rsid w:val="00B10A4D"/>
    <w:rsid w:val="00B12169"/>
    <w:rsid w:val="00B12401"/>
    <w:rsid w:val="00B17E71"/>
    <w:rsid w:val="00B17FDE"/>
    <w:rsid w:val="00B2379C"/>
    <w:rsid w:val="00B2687D"/>
    <w:rsid w:val="00B302A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48D"/>
    <w:rsid w:val="00B76D1E"/>
    <w:rsid w:val="00B80EC6"/>
    <w:rsid w:val="00B8436C"/>
    <w:rsid w:val="00B92D1D"/>
    <w:rsid w:val="00B938C5"/>
    <w:rsid w:val="00B94959"/>
    <w:rsid w:val="00B95940"/>
    <w:rsid w:val="00B97C32"/>
    <w:rsid w:val="00BB46F3"/>
    <w:rsid w:val="00BB4CB1"/>
    <w:rsid w:val="00BB4F98"/>
    <w:rsid w:val="00BB70A8"/>
    <w:rsid w:val="00BB760E"/>
    <w:rsid w:val="00BC7154"/>
    <w:rsid w:val="00BD366B"/>
    <w:rsid w:val="00BD3699"/>
    <w:rsid w:val="00BD6570"/>
    <w:rsid w:val="00BD6D50"/>
    <w:rsid w:val="00BE18B9"/>
    <w:rsid w:val="00BE2495"/>
    <w:rsid w:val="00BF1578"/>
    <w:rsid w:val="00C14FB4"/>
    <w:rsid w:val="00C21F94"/>
    <w:rsid w:val="00C27913"/>
    <w:rsid w:val="00C27ECC"/>
    <w:rsid w:val="00C33B68"/>
    <w:rsid w:val="00C36A79"/>
    <w:rsid w:val="00C405D4"/>
    <w:rsid w:val="00C43965"/>
    <w:rsid w:val="00C4513B"/>
    <w:rsid w:val="00C53783"/>
    <w:rsid w:val="00C54697"/>
    <w:rsid w:val="00C73885"/>
    <w:rsid w:val="00C747B1"/>
    <w:rsid w:val="00C82191"/>
    <w:rsid w:val="00C864C2"/>
    <w:rsid w:val="00C90CF4"/>
    <w:rsid w:val="00C92EB6"/>
    <w:rsid w:val="00C93389"/>
    <w:rsid w:val="00CA21A2"/>
    <w:rsid w:val="00CB068D"/>
    <w:rsid w:val="00CB31B8"/>
    <w:rsid w:val="00CB4930"/>
    <w:rsid w:val="00CC2E7D"/>
    <w:rsid w:val="00CD10A5"/>
    <w:rsid w:val="00CD2076"/>
    <w:rsid w:val="00CE0B67"/>
    <w:rsid w:val="00CE670B"/>
    <w:rsid w:val="00CE7FA7"/>
    <w:rsid w:val="00CF0C27"/>
    <w:rsid w:val="00CF51EC"/>
    <w:rsid w:val="00CF5861"/>
    <w:rsid w:val="00CF7292"/>
    <w:rsid w:val="00CF73AE"/>
    <w:rsid w:val="00D01BA6"/>
    <w:rsid w:val="00D040DD"/>
    <w:rsid w:val="00D069D4"/>
    <w:rsid w:val="00D11E96"/>
    <w:rsid w:val="00D13861"/>
    <w:rsid w:val="00D13986"/>
    <w:rsid w:val="00D21E89"/>
    <w:rsid w:val="00D235B7"/>
    <w:rsid w:val="00D25F28"/>
    <w:rsid w:val="00D26620"/>
    <w:rsid w:val="00D27973"/>
    <w:rsid w:val="00D3521D"/>
    <w:rsid w:val="00D50F46"/>
    <w:rsid w:val="00D53C26"/>
    <w:rsid w:val="00D62A9A"/>
    <w:rsid w:val="00D66223"/>
    <w:rsid w:val="00D742B9"/>
    <w:rsid w:val="00D8084C"/>
    <w:rsid w:val="00D85514"/>
    <w:rsid w:val="00D92051"/>
    <w:rsid w:val="00DA48AD"/>
    <w:rsid w:val="00DA5F51"/>
    <w:rsid w:val="00DA7C0C"/>
    <w:rsid w:val="00DB2EC8"/>
    <w:rsid w:val="00DB7D9F"/>
    <w:rsid w:val="00DC5B3B"/>
    <w:rsid w:val="00DD0F0A"/>
    <w:rsid w:val="00DD129F"/>
    <w:rsid w:val="00DD49DF"/>
    <w:rsid w:val="00DE08AA"/>
    <w:rsid w:val="00DE6F50"/>
    <w:rsid w:val="00DE77E5"/>
    <w:rsid w:val="00DF42FF"/>
    <w:rsid w:val="00DF50F8"/>
    <w:rsid w:val="00E01C0E"/>
    <w:rsid w:val="00E03F9A"/>
    <w:rsid w:val="00E04694"/>
    <w:rsid w:val="00E06247"/>
    <w:rsid w:val="00E12B1E"/>
    <w:rsid w:val="00E17262"/>
    <w:rsid w:val="00E21543"/>
    <w:rsid w:val="00E229A6"/>
    <w:rsid w:val="00E253A2"/>
    <w:rsid w:val="00E25E60"/>
    <w:rsid w:val="00E3309D"/>
    <w:rsid w:val="00E33D1D"/>
    <w:rsid w:val="00E50156"/>
    <w:rsid w:val="00E53470"/>
    <w:rsid w:val="00E539F6"/>
    <w:rsid w:val="00E62D81"/>
    <w:rsid w:val="00E6519D"/>
    <w:rsid w:val="00E66322"/>
    <w:rsid w:val="00E67696"/>
    <w:rsid w:val="00E71A58"/>
    <w:rsid w:val="00E72A7A"/>
    <w:rsid w:val="00E72E23"/>
    <w:rsid w:val="00E75C94"/>
    <w:rsid w:val="00E76056"/>
    <w:rsid w:val="00E93820"/>
    <w:rsid w:val="00EA0C68"/>
    <w:rsid w:val="00EA32BC"/>
    <w:rsid w:val="00EB2240"/>
    <w:rsid w:val="00EB2BFE"/>
    <w:rsid w:val="00EB3BC3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29D6"/>
    <w:rsid w:val="00EF47BF"/>
    <w:rsid w:val="00F0317D"/>
    <w:rsid w:val="00F03503"/>
    <w:rsid w:val="00F04811"/>
    <w:rsid w:val="00F0488C"/>
    <w:rsid w:val="00F05F5E"/>
    <w:rsid w:val="00F10F11"/>
    <w:rsid w:val="00F146A7"/>
    <w:rsid w:val="00F15AAA"/>
    <w:rsid w:val="00F15BEF"/>
    <w:rsid w:val="00F23EBA"/>
    <w:rsid w:val="00F24407"/>
    <w:rsid w:val="00F24FAA"/>
    <w:rsid w:val="00F3364D"/>
    <w:rsid w:val="00F437CC"/>
    <w:rsid w:val="00F47067"/>
    <w:rsid w:val="00F51E24"/>
    <w:rsid w:val="00F525EB"/>
    <w:rsid w:val="00F61FAA"/>
    <w:rsid w:val="00F63DDE"/>
    <w:rsid w:val="00F63FB7"/>
    <w:rsid w:val="00F649D2"/>
    <w:rsid w:val="00F6602B"/>
    <w:rsid w:val="00F7260E"/>
    <w:rsid w:val="00F73A0C"/>
    <w:rsid w:val="00F756DB"/>
    <w:rsid w:val="00F8287C"/>
    <w:rsid w:val="00F835C8"/>
    <w:rsid w:val="00F84023"/>
    <w:rsid w:val="00F85066"/>
    <w:rsid w:val="00FA5D4D"/>
    <w:rsid w:val="00FA6380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96607D"/>
  <w15:docId w15:val="{66833905-148A-4894-A9CE-C63968A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0F0A"/>
    <w:pPr>
      <w:keepNext/>
      <w:keepLines/>
      <w:spacing w:before="40" w:after="0" w:line="259" w:lineRule="auto"/>
      <w:jc w:val="both"/>
      <w:outlineLvl w:val="4"/>
    </w:pPr>
    <w:rPr>
      <w:rFonts w:eastAsiaTheme="majorEastAsia" w:cstheme="majorBidi"/>
      <w:color w:val="C00000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unhideWhenUsed/>
    <w:rsid w:val="00541FFF"/>
    <w:pPr>
      <w:spacing w:after="0" w:line="240" w:lineRule="auto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1FF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41FF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6C52"/>
    <w:pPr>
      <w:spacing w:after="12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35F2E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0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68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68D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68D"/>
    <w:rPr>
      <w:rFonts w:ascii="Arial" w:eastAsia="Times New Roman" w:hAnsi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0F0A"/>
    <w:rPr>
      <w:rFonts w:ascii="Arial" w:eastAsiaTheme="majorEastAsia" w:hAnsi="Arial" w:cstheme="majorBidi"/>
      <w:color w:val="C00000"/>
      <w:szCs w:val="22"/>
    </w:rPr>
  </w:style>
  <w:style w:type="paragraph" w:styleId="Revize">
    <w:name w:val="Revision"/>
    <w:hidden/>
    <w:uiPriority w:val="99"/>
    <w:semiHidden/>
    <w:rsid w:val="00D92051"/>
    <w:rPr>
      <w:rFonts w:ascii="Arial" w:eastAsia="Times New Roman" w:hAnsi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81B7-135F-45AD-B14B-707D538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4196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Kotrbatá</dc:creator>
  <cp:keywords/>
  <dc:description/>
  <cp:lastModifiedBy>Alena Kotrbatá</cp:lastModifiedBy>
  <cp:revision>2</cp:revision>
  <cp:lastPrinted>2019-11-29T09:32:00Z</cp:lastPrinted>
  <dcterms:created xsi:type="dcterms:W3CDTF">2019-12-12T10:11:00Z</dcterms:created>
  <dcterms:modified xsi:type="dcterms:W3CDTF">2019-12-12T10:11:00Z</dcterms:modified>
  <cp:category/>
</cp:coreProperties>
</file>