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0E1197" w:rsidP="00277407">
      <w:pPr>
        <w:pStyle w:val="Datum"/>
      </w:pPr>
      <w:r>
        <w:t>20</w:t>
      </w:r>
      <w:r w:rsidR="00660D74">
        <w:t>.</w:t>
      </w:r>
      <w:r>
        <w:t xml:space="preserve"> listopadu</w:t>
      </w:r>
      <w:r w:rsidR="00F267CF">
        <w:t xml:space="preserve"> </w:t>
      </w:r>
      <w:r w:rsidR="00660D74">
        <w:t>2019</w:t>
      </w:r>
    </w:p>
    <w:p w:rsidR="00867569" w:rsidRPr="00AE6D5B" w:rsidRDefault="00C22C03" w:rsidP="00277407">
      <w:pPr>
        <w:pStyle w:val="Nzev"/>
      </w:pPr>
      <w:r>
        <w:t xml:space="preserve">Téměř třetina Čechů umírá na </w:t>
      </w:r>
      <w:r w:rsidR="004459A9">
        <w:t xml:space="preserve">nemoci </w:t>
      </w:r>
      <w:r>
        <w:t>srdce</w:t>
      </w:r>
    </w:p>
    <w:p w:rsidR="00C22C03" w:rsidRDefault="000E1197" w:rsidP="00C22C03">
      <w:pPr>
        <w:pStyle w:val="Perex"/>
        <w:spacing w:after="0" w:line="264" w:lineRule="auto"/>
      </w:pPr>
      <w:r>
        <w:t>V</w:t>
      </w:r>
      <w:r w:rsidR="00C22C03">
        <w:t> minulém roce zemřelo 112 920 obyvatel Česka</w:t>
      </w:r>
      <w:r>
        <w:t xml:space="preserve">. </w:t>
      </w:r>
      <w:r w:rsidR="00C22C03">
        <w:t>Více než polovina z nich zemřela</w:t>
      </w:r>
    </w:p>
    <w:p w:rsidR="00C22C03" w:rsidRDefault="000E1197" w:rsidP="00C22C03">
      <w:pPr>
        <w:pStyle w:val="Perex"/>
        <w:spacing w:after="0" w:line="264" w:lineRule="auto"/>
      </w:pPr>
      <w:r>
        <w:t>v důsledku onemocnění srdce (32 %) nebo zhoubného</w:t>
      </w:r>
      <w:r w:rsidR="00DA4692">
        <w:t xml:space="preserve"> nádoru (25 %). T</w:t>
      </w:r>
      <w:r w:rsidR="00C22C03">
        <w:t>rojici nejčastějších příčin úmrtí uzavír</w:t>
      </w:r>
      <w:r w:rsidR="003D389D">
        <w:t>ají</w:t>
      </w:r>
      <w:r>
        <w:t xml:space="preserve"> cévní </w:t>
      </w:r>
      <w:r w:rsidR="004459A9">
        <w:t xml:space="preserve">nemoci </w:t>
      </w:r>
      <w:r w:rsidR="00C22C03">
        <w:t xml:space="preserve">mozku s </w:t>
      </w:r>
      <w:r>
        <w:t xml:space="preserve">podílem </w:t>
      </w:r>
      <w:r w:rsidR="00C22C03">
        <w:t xml:space="preserve">7 % </w:t>
      </w:r>
      <w:r>
        <w:t>na všech úmrtí</w:t>
      </w:r>
      <w:r w:rsidR="00A576B1">
        <w:t>ch</w:t>
      </w:r>
      <w:r>
        <w:t xml:space="preserve">. </w:t>
      </w:r>
    </w:p>
    <w:p w:rsidR="007A2A0C" w:rsidRDefault="007A2A0C" w:rsidP="00822D66">
      <w:pPr>
        <w:pStyle w:val="Perex"/>
        <w:spacing w:after="0" w:line="240" w:lineRule="auto"/>
      </w:pPr>
    </w:p>
    <w:p w:rsidR="000E1197" w:rsidRPr="00C22C03" w:rsidRDefault="00DA4692" w:rsidP="00822D66">
      <w:pPr>
        <w:pStyle w:val="Perex"/>
        <w:spacing w:after="0" w:line="240" w:lineRule="auto"/>
        <w:rPr>
          <w:b w:val="0"/>
        </w:rPr>
      </w:pPr>
      <w:r>
        <w:rPr>
          <w:b w:val="0"/>
        </w:rPr>
        <w:t xml:space="preserve">Uvedené </w:t>
      </w:r>
      <w:r w:rsidR="00822D66">
        <w:rPr>
          <w:b w:val="0"/>
        </w:rPr>
        <w:t xml:space="preserve">skupiny příčin smrti byly </w:t>
      </w:r>
      <w:r w:rsidR="00C22C03" w:rsidRPr="00C22C03">
        <w:rPr>
          <w:b w:val="0"/>
        </w:rPr>
        <w:t>n</w:t>
      </w:r>
      <w:r>
        <w:rPr>
          <w:b w:val="0"/>
        </w:rPr>
        <w:t>ejčetnějšími i před pěti a</w:t>
      </w:r>
      <w:r w:rsidR="00C22C03" w:rsidRPr="00C22C03">
        <w:rPr>
          <w:b w:val="0"/>
        </w:rPr>
        <w:t xml:space="preserve"> deseti lety. </w:t>
      </w:r>
      <w:r w:rsidR="000E1197" w:rsidRPr="00C22C03">
        <w:rPr>
          <w:b w:val="0"/>
        </w:rPr>
        <w:t>Čtvrtou nejčastější příčinou smrti byla v roce 2018 cukrovka se 4 % všech úmrtí, která si ve srovnání se situací před pěti lety vyměnila místo s nehodami (necelá 3,5 %</w:t>
      </w:r>
      <w:r w:rsidR="004459A9">
        <w:rPr>
          <w:b w:val="0"/>
        </w:rPr>
        <w:t xml:space="preserve"> v roce 2018</w:t>
      </w:r>
      <w:r w:rsidR="000E1197" w:rsidRPr="00C22C03">
        <w:rPr>
          <w:b w:val="0"/>
        </w:rPr>
        <w:t>).</w:t>
      </w:r>
      <w:r w:rsidR="00F26DA3">
        <w:rPr>
          <w:b w:val="0"/>
        </w:rPr>
        <w:t xml:space="preserve"> </w:t>
      </w:r>
    </w:p>
    <w:p w:rsidR="000E1197" w:rsidRDefault="000E1197" w:rsidP="00822D66">
      <w:pPr>
        <w:spacing w:line="240" w:lineRule="auto"/>
        <w:ind w:right="284"/>
      </w:pPr>
      <w:r>
        <w:t xml:space="preserve"> </w:t>
      </w:r>
    </w:p>
    <w:p w:rsidR="00DD7B93" w:rsidRPr="00F15519" w:rsidRDefault="00DD7B93" w:rsidP="00DD7B93">
      <w:pPr>
        <w:spacing w:line="240" w:lineRule="auto"/>
        <w:ind w:right="284"/>
      </w:pPr>
      <w:r w:rsidRPr="00F15519">
        <w:t xml:space="preserve">Ze srdečních onemocnění je u mužů i žen nejvyšší úmrtnost na chronickou ischemickou chorobu srdeční, která tvoří polovinu úmrtnosti na nemoci srdce, dále jde o selhání srdce </w:t>
      </w:r>
    </w:p>
    <w:p w:rsidR="000D6639" w:rsidRPr="000D6639" w:rsidRDefault="00DD7B93" w:rsidP="00DD7B93">
      <w:pPr>
        <w:spacing w:line="240" w:lineRule="auto"/>
        <w:ind w:right="284"/>
        <w:rPr>
          <w:i/>
        </w:rPr>
      </w:pPr>
      <w:r w:rsidRPr="00F15519">
        <w:t>a akutní infarkty myokardu</w:t>
      </w:r>
      <w:r w:rsidR="00F15519" w:rsidRPr="00F15519">
        <w:t>.</w:t>
      </w:r>
      <w:r w:rsidR="00F15519">
        <w:rPr>
          <w:i/>
        </w:rPr>
        <w:t xml:space="preserve"> </w:t>
      </w:r>
      <w:r w:rsidR="000D6639" w:rsidRPr="000D6639">
        <w:rPr>
          <w:i/>
        </w:rPr>
        <w:t>„</w:t>
      </w:r>
      <w:r w:rsidRPr="000D6639">
        <w:rPr>
          <w:i/>
        </w:rPr>
        <w:t xml:space="preserve">Mezi nádorovými onemocněními je u mužů a žen nejvyšší úmrtnost na nádor průdušky a plíce, přičemž v případě mužů dochází </w:t>
      </w:r>
      <w:r w:rsidR="000D6639" w:rsidRPr="000D6639">
        <w:rPr>
          <w:i/>
        </w:rPr>
        <w:t xml:space="preserve">u tohoto nádoru </w:t>
      </w:r>
    </w:p>
    <w:p w:rsidR="007C19C4" w:rsidRDefault="00F15519" w:rsidP="00DD7B93">
      <w:pPr>
        <w:spacing w:line="240" w:lineRule="auto"/>
        <w:ind w:right="284"/>
      </w:pPr>
      <w:r w:rsidRPr="000D6639">
        <w:rPr>
          <w:i/>
        </w:rPr>
        <w:t xml:space="preserve">k </w:t>
      </w:r>
      <w:r w:rsidR="00DD7B93" w:rsidRPr="000D6639">
        <w:rPr>
          <w:i/>
        </w:rPr>
        <w:t>poklesu úm</w:t>
      </w:r>
      <w:r w:rsidR="007C19C4">
        <w:rPr>
          <w:i/>
        </w:rPr>
        <w:t>rtnosti. U obou pohlaví také</w:t>
      </w:r>
      <w:r w:rsidR="00965062" w:rsidRPr="000D6639">
        <w:rPr>
          <w:i/>
        </w:rPr>
        <w:t xml:space="preserve"> </w:t>
      </w:r>
      <w:r w:rsidR="00DD7B93" w:rsidRPr="000D6639">
        <w:rPr>
          <w:i/>
        </w:rPr>
        <w:t>mí</w:t>
      </w:r>
      <w:r w:rsidR="007C19C4">
        <w:rPr>
          <w:i/>
        </w:rPr>
        <w:t>rně klesá úmrtnost</w:t>
      </w:r>
      <w:r w:rsidR="00DD7B93" w:rsidRPr="000D6639">
        <w:rPr>
          <w:i/>
        </w:rPr>
        <w:t xml:space="preserve"> na zhoubný novot</w:t>
      </w:r>
      <w:r w:rsidR="000D6639" w:rsidRPr="000D6639">
        <w:rPr>
          <w:i/>
        </w:rPr>
        <w:t>var tlustého střeva a konečníku,“</w:t>
      </w:r>
      <w:r w:rsidR="000D6639">
        <w:t xml:space="preserve"> uvádí</w:t>
      </w:r>
      <w:r w:rsidR="00965062">
        <w:t xml:space="preserve"> </w:t>
      </w:r>
      <w:r w:rsidR="000D6639">
        <w:t xml:space="preserve">Terezie Štyglerová, vedoucí oddělení demografické statistiky ČSÚ. </w:t>
      </w:r>
      <w:r w:rsidR="00965062">
        <w:t xml:space="preserve">Mezi častými příčinami úmrtí figuruje i zhoubný nádor prsu u žen a nádory prostaty </w:t>
      </w:r>
    </w:p>
    <w:p w:rsidR="00DD7B93" w:rsidRDefault="00965062" w:rsidP="00DD7B93">
      <w:pPr>
        <w:spacing w:line="240" w:lineRule="auto"/>
        <w:ind w:right="284"/>
      </w:pPr>
      <w:bookmarkStart w:id="0" w:name="_GoBack"/>
      <w:bookmarkEnd w:id="0"/>
      <w:r>
        <w:t>u mužů.</w:t>
      </w:r>
    </w:p>
    <w:p w:rsidR="000E1197" w:rsidRDefault="000E1197" w:rsidP="00822D66">
      <w:pPr>
        <w:spacing w:line="240" w:lineRule="auto"/>
        <w:ind w:right="284"/>
      </w:pPr>
    </w:p>
    <w:p w:rsidR="00A4725C" w:rsidRDefault="000E1197" w:rsidP="00822D66">
      <w:pPr>
        <w:spacing w:line="240" w:lineRule="auto"/>
        <w:ind w:right="284"/>
        <w:rPr>
          <w:i/>
        </w:rPr>
      </w:pPr>
      <w:r>
        <w:t xml:space="preserve">Pokles celkové úrovně úmrtnosti, </w:t>
      </w:r>
      <w:r w:rsidR="00C3629C">
        <w:t>který za posledních deset let činí</w:t>
      </w:r>
      <w:r>
        <w:t xml:space="preserve"> jednu sedminu, na</w:t>
      </w:r>
      <w:r w:rsidR="00347710">
        <w:t>stal zejména v důsledku poklesu úmrtí</w:t>
      </w:r>
      <w:r w:rsidR="00C3629C">
        <w:t xml:space="preserve"> právě u nemocí srdce, zhoubných novotvarů</w:t>
      </w:r>
      <w:r>
        <w:t xml:space="preserve"> a cévní</w:t>
      </w:r>
      <w:r w:rsidR="00C3629C">
        <w:t>ch onemocnění mozku.</w:t>
      </w:r>
      <w:r>
        <w:t xml:space="preserve"> </w:t>
      </w:r>
      <w:r w:rsidR="00C3629C" w:rsidRPr="00347710">
        <w:rPr>
          <w:i/>
        </w:rPr>
        <w:t>„V</w:t>
      </w:r>
      <w:r w:rsidRPr="00347710">
        <w:rPr>
          <w:i/>
        </w:rPr>
        <w:t xml:space="preserve"> </w:t>
      </w:r>
      <w:r w:rsidR="00347710" w:rsidRPr="00347710">
        <w:rPr>
          <w:i/>
        </w:rPr>
        <w:t xml:space="preserve">případě úmrtí na cévní </w:t>
      </w:r>
      <w:r w:rsidR="004459A9">
        <w:rPr>
          <w:i/>
        </w:rPr>
        <w:t>nemoci</w:t>
      </w:r>
      <w:r w:rsidR="004459A9" w:rsidRPr="00347710">
        <w:rPr>
          <w:i/>
        </w:rPr>
        <w:t xml:space="preserve"> </w:t>
      </w:r>
      <w:r w:rsidR="00347710" w:rsidRPr="00347710">
        <w:rPr>
          <w:i/>
        </w:rPr>
        <w:t xml:space="preserve">mozku došlo mezi roky 2009 </w:t>
      </w:r>
    </w:p>
    <w:p w:rsidR="00A4725C" w:rsidRDefault="00347710" w:rsidP="00822D66">
      <w:pPr>
        <w:spacing w:line="240" w:lineRule="auto"/>
        <w:ind w:right="284"/>
      </w:pPr>
      <w:r w:rsidRPr="00347710">
        <w:rPr>
          <w:i/>
        </w:rPr>
        <w:t xml:space="preserve">až 2018 k relativně velkému </w:t>
      </w:r>
      <w:r w:rsidR="000E1197" w:rsidRPr="00347710">
        <w:rPr>
          <w:i/>
        </w:rPr>
        <w:t>pokles</w:t>
      </w:r>
      <w:r w:rsidRPr="00347710">
        <w:rPr>
          <w:i/>
        </w:rPr>
        <w:t>u</w:t>
      </w:r>
      <w:r>
        <w:rPr>
          <w:i/>
        </w:rPr>
        <w:t>, kdy</w:t>
      </w:r>
      <w:r w:rsidRPr="00347710">
        <w:rPr>
          <w:i/>
        </w:rPr>
        <w:t xml:space="preserve"> </w:t>
      </w:r>
      <w:r w:rsidR="000D6639">
        <w:rPr>
          <w:i/>
        </w:rPr>
        <w:t xml:space="preserve">se </w:t>
      </w:r>
      <w:r>
        <w:rPr>
          <w:i/>
        </w:rPr>
        <w:t>j</w:t>
      </w:r>
      <w:r w:rsidR="000D6639">
        <w:rPr>
          <w:i/>
        </w:rPr>
        <w:t>ejich počet snížil</w:t>
      </w:r>
      <w:r w:rsidRPr="00347710">
        <w:rPr>
          <w:i/>
        </w:rPr>
        <w:t xml:space="preserve"> o celou</w:t>
      </w:r>
      <w:r>
        <w:rPr>
          <w:i/>
        </w:rPr>
        <w:t xml:space="preserve"> jednu</w:t>
      </w:r>
      <w:r w:rsidRPr="00347710">
        <w:rPr>
          <w:i/>
        </w:rPr>
        <w:t xml:space="preserve"> polovinu,“</w:t>
      </w:r>
      <w:r>
        <w:t xml:space="preserve"> upozorňuje Marek Rojíček, předseda Českého statistického úřadu.</w:t>
      </w:r>
      <w:r w:rsidR="000E1197">
        <w:t xml:space="preserve"> Pokles v případě úmrtnosti na nemoci srdce byl u mužů desetiprocentní, u žen patnáctiprocentní. Úmrtnost </w:t>
      </w:r>
    </w:p>
    <w:p w:rsidR="000E1197" w:rsidRDefault="000E1197" w:rsidP="00822D66">
      <w:pPr>
        <w:spacing w:line="240" w:lineRule="auto"/>
        <w:ind w:right="284"/>
      </w:pPr>
      <w:r>
        <w:t>na zhoubné novotvary se za posledníc</w:t>
      </w:r>
      <w:r w:rsidR="00347710">
        <w:t xml:space="preserve">h deset let snížila u mužů </w:t>
      </w:r>
      <w:r>
        <w:t>o 18</w:t>
      </w:r>
      <w:r w:rsidR="00347710">
        <w:t xml:space="preserve"> %, u žen o 12 %</w:t>
      </w:r>
      <w:r>
        <w:t>.</w:t>
      </w:r>
    </w:p>
    <w:p w:rsidR="000E1197" w:rsidRDefault="000E1197" w:rsidP="00822D66">
      <w:pPr>
        <w:spacing w:line="240" w:lineRule="auto"/>
        <w:ind w:right="284"/>
      </w:pPr>
    </w:p>
    <w:p w:rsidR="0060746A" w:rsidRDefault="000D6639" w:rsidP="00822D66">
      <w:pPr>
        <w:spacing w:line="240" w:lineRule="auto"/>
        <w:ind w:right="284"/>
      </w:pPr>
      <w:r>
        <w:t>P</w:t>
      </w:r>
      <w:r w:rsidR="000E1197">
        <w:t>říčin</w:t>
      </w:r>
      <w:r>
        <w:t>y</w:t>
      </w:r>
      <w:r w:rsidR="000E1197">
        <w:t xml:space="preserve"> smrti se liší i podl</w:t>
      </w:r>
      <w:r w:rsidR="00F37CFB">
        <w:t>e věku.</w:t>
      </w:r>
      <w:r w:rsidR="00F37CFB" w:rsidRPr="000D6639">
        <w:t xml:space="preserve"> </w:t>
      </w:r>
      <w:r w:rsidR="007A2A0C" w:rsidRPr="000D6639">
        <w:t xml:space="preserve">Například </w:t>
      </w:r>
      <w:r w:rsidR="00132483">
        <w:t>mezi</w:t>
      </w:r>
      <w:r w:rsidR="007A2A0C" w:rsidRPr="000D6639">
        <w:t xml:space="preserve"> </w:t>
      </w:r>
      <w:r w:rsidR="00132483">
        <w:t>1</w:t>
      </w:r>
      <w:r w:rsidR="007A2A0C" w:rsidRPr="000D6639">
        <w:t>5-</w:t>
      </w:r>
      <w:r w:rsidR="00132483" w:rsidRPr="000D6639">
        <w:t>29letý</w:t>
      </w:r>
      <w:r w:rsidR="00132483">
        <w:t>mi</w:t>
      </w:r>
      <w:r w:rsidR="00132483" w:rsidRPr="000D6639">
        <w:t xml:space="preserve"> </w:t>
      </w:r>
      <w:r w:rsidR="007A2A0C" w:rsidRPr="000D6639">
        <w:t>muž</w:t>
      </w:r>
      <w:r w:rsidR="00132483">
        <w:t>i</w:t>
      </w:r>
      <w:r w:rsidR="0060746A">
        <w:t xml:space="preserve"> </w:t>
      </w:r>
      <w:r w:rsidR="007A2A0C" w:rsidRPr="000D6639">
        <w:t xml:space="preserve">v </w:t>
      </w:r>
      <w:r w:rsidR="000E1197" w:rsidRPr="000D6639">
        <w:t>posledních pět</w:t>
      </w:r>
      <w:r w:rsidR="007A2A0C" w:rsidRPr="000D6639">
        <w:t>i</w:t>
      </w:r>
      <w:r w:rsidR="000E1197" w:rsidRPr="000D6639">
        <w:t xml:space="preserve"> let</w:t>
      </w:r>
      <w:r w:rsidR="007A2A0C" w:rsidRPr="000D6639">
        <w:t>ech</w:t>
      </w:r>
      <w:r w:rsidR="000E1197" w:rsidRPr="000D6639">
        <w:t xml:space="preserve"> tvořila úmrtnost na nehody a sebevraždy </w:t>
      </w:r>
      <w:r w:rsidR="00132483">
        <w:t xml:space="preserve">60-64 % </w:t>
      </w:r>
      <w:r w:rsidR="00A4725C" w:rsidRPr="000D6639">
        <w:t>c</w:t>
      </w:r>
      <w:r w:rsidRPr="000D6639">
        <w:t xml:space="preserve">elkové úmrtnosti v tomto </w:t>
      </w:r>
      <w:r w:rsidRPr="0060746A">
        <w:t xml:space="preserve">věku. </w:t>
      </w:r>
    </w:p>
    <w:p w:rsidR="0060746A" w:rsidRDefault="000E1197" w:rsidP="00822D66">
      <w:pPr>
        <w:spacing w:line="240" w:lineRule="auto"/>
        <w:ind w:right="284"/>
        <w:rPr>
          <w:i/>
        </w:rPr>
      </w:pPr>
      <w:r w:rsidRPr="0060746A">
        <w:t>Z</w:t>
      </w:r>
      <w:r>
        <w:t xml:space="preserve"> hled</w:t>
      </w:r>
      <w:r w:rsidR="007A2A0C">
        <w:t xml:space="preserve">iska rodinného stavu jsou na tom lépe </w:t>
      </w:r>
      <w:r>
        <w:t xml:space="preserve">ženatí muži a vdané ženy, nejvyšší intenzitou úmrtnosti jsou </w:t>
      </w:r>
      <w:r w:rsidR="007A2A0C">
        <w:t xml:space="preserve">naopak </w:t>
      </w:r>
      <w:r w:rsidR="00A4725C">
        <w:t>poznamenáni svobodní</w:t>
      </w:r>
      <w:r>
        <w:t xml:space="preserve">. </w:t>
      </w:r>
      <w:r w:rsidR="000D6639" w:rsidRPr="000D6639">
        <w:rPr>
          <w:i/>
        </w:rPr>
        <w:t>„</w:t>
      </w:r>
      <w:r w:rsidR="006550FD" w:rsidRPr="000D6639">
        <w:rPr>
          <w:i/>
        </w:rPr>
        <w:t xml:space="preserve">Z pohledu sezónnosti lidé </w:t>
      </w:r>
      <w:r w:rsidRPr="000D6639">
        <w:rPr>
          <w:i/>
        </w:rPr>
        <w:t>ne</w:t>
      </w:r>
      <w:r w:rsidR="006550FD" w:rsidRPr="000D6639">
        <w:rPr>
          <w:i/>
        </w:rPr>
        <w:t xml:space="preserve">jvíce umírají </w:t>
      </w:r>
    </w:p>
    <w:p w:rsidR="0060746A" w:rsidRDefault="006550FD" w:rsidP="00822D66">
      <w:pPr>
        <w:spacing w:line="240" w:lineRule="auto"/>
        <w:ind w:right="284"/>
        <w:rPr>
          <w:i/>
        </w:rPr>
      </w:pPr>
      <w:r w:rsidRPr="000D6639">
        <w:rPr>
          <w:i/>
        </w:rPr>
        <w:t xml:space="preserve">v zimních měsících </w:t>
      </w:r>
      <w:r w:rsidR="000E1197" w:rsidRPr="000D6639">
        <w:rPr>
          <w:i/>
        </w:rPr>
        <w:t xml:space="preserve">a </w:t>
      </w:r>
      <w:r w:rsidRPr="000D6639">
        <w:rPr>
          <w:i/>
        </w:rPr>
        <w:t>v březnu, nejméně v teplejší části roku od květ</w:t>
      </w:r>
      <w:r w:rsidR="000E1197" w:rsidRPr="000D6639">
        <w:rPr>
          <w:i/>
        </w:rPr>
        <w:t>n</w:t>
      </w:r>
      <w:r w:rsidRPr="000D6639">
        <w:rPr>
          <w:i/>
        </w:rPr>
        <w:t>a do září</w:t>
      </w:r>
      <w:r w:rsidR="000E1197" w:rsidRPr="000D6639">
        <w:rPr>
          <w:i/>
        </w:rPr>
        <w:t xml:space="preserve">. Počty </w:t>
      </w:r>
      <w:r w:rsidR="00AD1AFA">
        <w:rPr>
          <w:i/>
        </w:rPr>
        <w:t xml:space="preserve">úmrtí </w:t>
      </w:r>
    </w:p>
    <w:p w:rsidR="0060746A" w:rsidRDefault="00AD1AFA" w:rsidP="00822D66">
      <w:pPr>
        <w:spacing w:line="240" w:lineRule="auto"/>
        <w:ind w:right="284"/>
        <w:rPr>
          <w:i/>
        </w:rPr>
      </w:pPr>
      <w:r>
        <w:rPr>
          <w:i/>
        </w:rPr>
        <w:t>v důsledku</w:t>
      </w:r>
      <w:r w:rsidR="000E1197" w:rsidRPr="000D6639">
        <w:rPr>
          <w:i/>
        </w:rPr>
        <w:t xml:space="preserve"> dopravní nehody narůst</w:t>
      </w:r>
      <w:r w:rsidR="006550FD" w:rsidRPr="000D6639">
        <w:rPr>
          <w:i/>
        </w:rPr>
        <w:t xml:space="preserve">ají </w:t>
      </w:r>
      <w:r w:rsidR="000E1197" w:rsidRPr="000D6639">
        <w:rPr>
          <w:i/>
        </w:rPr>
        <w:t>k m</w:t>
      </w:r>
      <w:r w:rsidR="006550FD" w:rsidRPr="000D6639">
        <w:rPr>
          <w:i/>
        </w:rPr>
        <w:t xml:space="preserve">aximům během června až </w:t>
      </w:r>
      <w:r w:rsidR="000D6639" w:rsidRPr="000D6639">
        <w:rPr>
          <w:i/>
        </w:rPr>
        <w:t>září a</w:t>
      </w:r>
      <w:r w:rsidR="000E1197" w:rsidRPr="000D6639">
        <w:rPr>
          <w:i/>
        </w:rPr>
        <w:t xml:space="preserve"> v podzimním </w:t>
      </w:r>
    </w:p>
    <w:p w:rsidR="0060746A" w:rsidRDefault="00853720" w:rsidP="00822D66">
      <w:pPr>
        <w:spacing w:line="240" w:lineRule="auto"/>
        <w:ind w:right="284"/>
      </w:pPr>
      <w:r w:rsidRPr="000D6639">
        <w:rPr>
          <w:i/>
        </w:rPr>
        <w:t xml:space="preserve">a zimním </w:t>
      </w:r>
      <w:r w:rsidR="000D6639" w:rsidRPr="000D6639">
        <w:rPr>
          <w:i/>
        </w:rPr>
        <w:t>období zase klesají,“</w:t>
      </w:r>
      <w:r w:rsidR="000D6639">
        <w:t xml:space="preserve"> říká Markéta </w:t>
      </w:r>
      <w:proofErr w:type="spellStart"/>
      <w:r w:rsidR="000D6639">
        <w:t>Šafusová</w:t>
      </w:r>
      <w:proofErr w:type="spellEnd"/>
      <w:r w:rsidR="000D6639">
        <w:t xml:space="preserve"> z oddělení demografické statistiky ČSÚ.</w:t>
      </w:r>
      <w:r w:rsidR="000E1197">
        <w:t xml:space="preserve"> </w:t>
      </w:r>
      <w:r w:rsidR="006550FD">
        <w:t>Období</w:t>
      </w:r>
      <w:r w:rsidR="000E1197">
        <w:t xml:space="preserve"> letních prázdnin</w:t>
      </w:r>
      <w:r w:rsidR="006550FD">
        <w:t xml:space="preserve"> je</w:t>
      </w:r>
      <w:r w:rsidR="000E1197">
        <w:t xml:space="preserve"> dominantn</w:t>
      </w:r>
      <w:r w:rsidR="00811188">
        <w:t>í v případě úmrtí na náhodné utonutí, kdy</w:t>
      </w:r>
      <w:r w:rsidR="000E1197">
        <w:t xml:space="preserve"> </w:t>
      </w:r>
    </w:p>
    <w:p w:rsidR="0060746A" w:rsidRDefault="000E1197" w:rsidP="00822D66">
      <w:pPr>
        <w:spacing w:line="240" w:lineRule="auto"/>
        <w:ind w:right="284"/>
      </w:pPr>
      <w:r>
        <w:t xml:space="preserve">v červenci </w:t>
      </w:r>
      <w:r w:rsidR="00811188">
        <w:t xml:space="preserve">mezi </w:t>
      </w:r>
      <w:r>
        <w:t>let</w:t>
      </w:r>
      <w:r w:rsidR="00811188">
        <w:t xml:space="preserve">y 2014 a </w:t>
      </w:r>
      <w:r w:rsidR="0060746A">
        <w:t xml:space="preserve">2018 zemřelo průměrně 24 osob, </w:t>
      </w:r>
      <w:r w:rsidR="00AD1AFA">
        <w:t>což je</w:t>
      </w:r>
      <w:r>
        <w:t xml:space="preserve"> o 96 % více</w:t>
      </w:r>
      <w:r w:rsidR="0060746A">
        <w:t xml:space="preserve"> než</w:t>
      </w:r>
      <w:r w:rsidR="00811188">
        <w:t xml:space="preserve"> celoroční průměr</w:t>
      </w:r>
      <w:r>
        <w:t xml:space="preserve">. Velmi specifická je sezónnost sebevražednosti. Nejvíce lidí si sahá </w:t>
      </w:r>
    </w:p>
    <w:p w:rsidR="00F26DA3" w:rsidRDefault="000E1197" w:rsidP="00822D66">
      <w:pPr>
        <w:spacing w:line="240" w:lineRule="auto"/>
        <w:ind w:right="284"/>
      </w:pPr>
      <w:r>
        <w:t xml:space="preserve">na život v jarním období a na začátku léta, nejméně </w:t>
      </w:r>
      <w:r w:rsidR="000D6639">
        <w:t xml:space="preserve">v prosinci. V </w:t>
      </w:r>
      <w:r>
        <w:t>posledn</w:t>
      </w:r>
      <w:r w:rsidR="0060746A">
        <w:t xml:space="preserve">ím měsíci roku </w:t>
      </w:r>
      <w:r w:rsidR="0060746A">
        <w:br/>
        <w:t xml:space="preserve">si v </w:t>
      </w:r>
      <w:r w:rsidR="00811188">
        <w:t xml:space="preserve">letech 2014 až </w:t>
      </w:r>
      <w:r>
        <w:t>2018 vzalo život průměrně 92 osob, což je o 21 % méně než je průměr pro sebevražednost.</w:t>
      </w:r>
    </w:p>
    <w:p w:rsidR="000D6639" w:rsidRDefault="000D6639" w:rsidP="00822D66">
      <w:pPr>
        <w:spacing w:line="240" w:lineRule="auto"/>
        <w:ind w:right="284"/>
      </w:pPr>
    </w:p>
    <w:p w:rsidR="000D6639" w:rsidRDefault="000D6639" w:rsidP="00822D66">
      <w:pPr>
        <w:spacing w:line="240" w:lineRule="auto"/>
        <w:ind w:right="284"/>
      </w:pPr>
      <w:r>
        <w:t xml:space="preserve">Další podrobnosti přináší tematická publikace zveřejněná na </w:t>
      </w:r>
      <w:hyperlink r:id="rId7" w:history="1">
        <w:r w:rsidRPr="000D6639">
          <w:rPr>
            <w:rStyle w:val="Hypertextovodkaz"/>
          </w:rPr>
          <w:t>webových stránkách ČSÚ</w:t>
        </w:r>
      </w:hyperlink>
      <w:r>
        <w:t>.</w:t>
      </w:r>
    </w:p>
    <w:p w:rsidR="000D6639" w:rsidRPr="00B61860" w:rsidRDefault="000D6639" w:rsidP="00AC7283">
      <w:pPr>
        <w:spacing w:line="240" w:lineRule="auto"/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15519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B5AD0" w:rsidRPr="005729D1">
          <w:rPr>
            <w:rStyle w:val="Hypertextovodkaz"/>
            <w:rFonts w:cs="Arial"/>
          </w:rPr>
          <w:t>jan.cieslar@czso.cz</w:t>
        </w:r>
      </w:hyperlink>
      <w:r w:rsidR="007B5AD0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F15519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27" w:rsidRDefault="00042927" w:rsidP="00BA6370">
      <w:r>
        <w:separator/>
      </w:r>
    </w:p>
  </w:endnote>
  <w:endnote w:type="continuationSeparator" w:id="0">
    <w:p w:rsidR="00042927" w:rsidRDefault="0004292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69A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9969A9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969A9" w:rsidRPr="004E479E">
                  <w:rPr>
                    <w:rFonts w:cs="Arial"/>
                    <w:szCs w:val="15"/>
                  </w:rPr>
                  <w:fldChar w:fldCharType="separate"/>
                </w:r>
                <w:r w:rsidR="007B5AD0">
                  <w:rPr>
                    <w:rFonts w:cs="Arial"/>
                    <w:noProof/>
                    <w:szCs w:val="15"/>
                  </w:rPr>
                  <w:t>1</w:t>
                </w:r>
                <w:r w:rsidR="009969A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27" w:rsidRDefault="00042927" w:rsidP="00BA6370">
      <w:r>
        <w:separator/>
      </w:r>
    </w:p>
  </w:footnote>
  <w:footnote w:type="continuationSeparator" w:id="0">
    <w:p w:rsidR="00042927" w:rsidRDefault="0004292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9A9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9969A9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9969A9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9969A9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9969A9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9969A9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9969A9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9969A9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2927"/>
    <w:rsid w:val="00043BF4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0D6639"/>
    <w:rsid w:val="000E1197"/>
    <w:rsid w:val="00113270"/>
    <w:rsid w:val="00123777"/>
    <w:rsid w:val="00132483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607F"/>
    <w:rsid w:val="001B6A02"/>
    <w:rsid w:val="001D369A"/>
    <w:rsid w:val="001E0BEF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49C5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47710"/>
    <w:rsid w:val="0035578A"/>
    <w:rsid w:val="003633BC"/>
    <w:rsid w:val="00363BE0"/>
    <w:rsid w:val="00366A03"/>
    <w:rsid w:val="0036777B"/>
    <w:rsid w:val="0038282A"/>
    <w:rsid w:val="00394D5E"/>
    <w:rsid w:val="00395D7A"/>
    <w:rsid w:val="00397580"/>
    <w:rsid w:val="003A1794"/>
    <w:rsid w:val="003A3DBD"/>
    <w:rsid w:val="003A45C8"/>
    <w:rsid w:val="003A70E7"/>
    <w:rsid w:val="003B24E4"/>
    <w:rsid w:val="003C2DCF"/>
    <w:rsid w:val="003C7FE7"/>
    <w:rsid w:val="003D02AA"/>
    <w:rsid w:val="003D0499"/>
    <w:rsid w:val="003D0E78"/>
    <w:rsid w:val="003D389D"/>
    <w:rsid w:val="003D4C72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436EE"/>
    <w:rsid w:val="004459A9"/>
    <w:rsid w:val="00451D9C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48A9"/>
    <w:rsid w:val="0051529E"/>
    <w:rsid w:val="00516C0C"/>
    <w:rsid w:val="00531DBB"/>
    <w:rsid w:val="005504B3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05A7"/>
    <w:rsid w:val="005F699D"/>
    <w:rsid w:val="005F79FB"/>
    <w:rsid w:val="00604406"/>
    <w:rsid w:val="00605F4A"/>
    <w:rsid w:val="0060746A"/>
    <w:rsid w:val="00607822"/>
    <w:rsid w:val="006103AA"/>
    <w:rsid w:val="006113AB"/>
    <w:rsid w:val="00613BBF"/>
    <w:rsid w:val="006209A8"/>
    <w:rsid w:val="00622B80"/>
    <w:rsid w:val="00623F88"/>
    <w:rsid w:val="00626FA0"/>
    <w:rsid w:val="00640840"/>
    <w:rsid w:val="0064139A"/>
    <w:rsid w:val="006550FD"/>
    <w:rsid w:val="00657795"/>
    <w:rsid w:val="00657B71"/>
    <w:rsid w:val="00660D74"/>
    <w:rsid w:val="00675D16"/>
    <w:rsid w:val="006963A6"/>
    <w:rsid w:val="00696C0C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2AA0"/>
    <w:rsid w:val="00773D3F"/>
    <w:rsid w:val="00776B16"/>
    <w:rsid w:val="007978FE"/>
    <w:rsid w:val="00797DFD"/>
    <w:rsid w:val="007A2A0C"/>
    <w:rsid w:val="007A39B8"/>
    <w:rsid w:val="007A57F2"/>
    <w:rsid w:val="007B1333"/>
    <w:rsid w:val="007B5791"/>
    <w:rsid w:val="007B5AD0"/>
    <w:rsid w:val="007C19C4"/>
    <w:rsid w:val="007C542C"/>
    <w:rsid w:val="007F4AEB"/>
    <w:rsid w:val="007F5F68"/>
    <w:rsid w:val="007F627E"/>
    <w:rsid w:val="007F75B2"/>
    <w:rsid w:val="008043C4"/>
    <w:rsid w:val="00811188"/>
    <w:rsid w:val="008118CC"/>
    <w:rsid w:val="00822D66"/>
    <w:rsid w:val="00824A49"/>
    <w:rsid w:val="00827DA5"/>
    <w:rsid w:val="00831B1B"/>
    <w:rsid w:val="00834F6A"/>
    <w:rsid w:val="00852B1B"/>
    <w:rsid w:val="00853720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3651"/>
    <w:rsid w:val="00965062"/>
    <w:rsid w:val="009668FF"/>
    <w:rsid w:val="009757BA"/>
    <w:rsid w:val="00976AF7"/>
    <w:rsid w:val="00977204"/>
    <w:rsid w:val="009812B8"/>
    <w:rsid w:val="00981C1B"/>
    <w:rsid w:val="00993113"/>
    <w:rsid w:val="009969A9"/>
    <w:rsid w:val="009A152C"/>
    <w:rsid w:val="009A2510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4725C"/>
    <w:rsid w:val="00A502F1"/>
    <w:rsid w:val="00A50708"/>
    <w:rsid w:val="00A55861"/>
    <w:rsid w:val="00A576B1"/>
    <w:rsid w:val="00A63C18"/>
    <w:rsid w:val="00A70A83"/>
    <w:rsid w:val="00A72B1E"/>
    <w:rsid w:val="00A81EB3"/>
    <w:rsid w:val="00A8221D"/>
    <w:rsid w:val="00A842CF"/>
    <w:rsid w:val="00AA495B"/>
    <w:rsid w:val="00AC1636"/>
    <w:rsid w:val="00AC7283"/>
    <w:rsid w:val="00AC7738"/>
    <w:rsid w:val="00AD1AFA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2C03"/>
    <w:rsid w:val="00C269D4"/>
    <w:rsid w:val="00C3252E"/>
    <w:rsid w:val="00C3629C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A4692"/>
    <w:rsid w:val="00DA6B1C"/>
    <w:rsid w:val="00DB0032"/>
    <w:rsid w:val="00DB0CAF"/>
    <w:rsid w:val="00DB2B14"/>
    <w:rsid w:val="00DB3587"/>
    <w:rsid w:val="00DB4EED"/>
    <w:rsid w:val="00DD4E90"/>
    <w:rsid w:val="00DD7755"/>
    <w:rsid w:val="00DD7B93"/>
    <w:rsid w:val="00DE30F0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5E0"/>
    <w:rsid w:val="00E64DFB"/>
    <w:rsid w:val="00E71C56"/>
    <w:rsid w:val="00E72388"/>
    <w:rsid w:val="00E76C27"/>
    <w:rsid w:val="00E8684D"/>
    <w:rsid w:val="00E87591"/>
    <w:rsid w:val="00E877B5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15519"/>
    <w:rsid w:val="00F26395"/>
    <w:rsid w:val="00F267CF"/>
    <w:rsid w:val="00F26DA3"/>
    <w:rsid w:val="00F355FA"/>
    <w:rsid w:val="00F37CFB"/>
    <w:rsid w:val="00F46F18"/>
    <w:rsid w:val="00F54951"/>
    <w:rsid w:val="00F61381"/>
    <w:rsid w:val="00F631B1"/>
    <w:rsid w:val="00F6559C"/>
    <w:rsid w:val="00F658F1"/>
    <w:rsid w:val="00F95AE0"/>
    <w:rsid w:val="00FA5DA5"/>
    <w:rsid w:val="00FB005B"/>
    <w:rsid w:val="00FB5D78"/>
    <w:rsid w:val="00FB687C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emreli-podle-seznamu-pricin-smrti-pohlavi-a-veku-v-cr-krajich-a-okresech-lv8io6up9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EF45-5195-4841-8B71-8442DB88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2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4</cp:revision>
  <cp:lastPrinted>2019-11-19T14:58:00Z</cp:lastPrinted>
  <dcterms:created xsi:type="dcterms:W3CDTF">2019-11-19T19:29:00Z</dcterms:created>
  <dcterms:modified xsi:type="dcterms:W3CDTF">2019-11-20T11:51:00Z</dcterms:modified>
</cp:coreProperties>
</file>