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9F01FD">
        <w:rPr>
          <w:i/>
          <w:iCs/>
          <w:sz w:val="20"/>
          <w:szCs w:val="20"/>
          <w:lang w:val="en-GB"/>
        </w:rPr>
        <w:t>intercensal</w:t>
      </w:r>
      <w:proofErr w:type="spellEnd"/>
      <w:r w:rsidRPr="009F01FD">
        <w:rPr>
          <w:i/>
          <w:iCs/>
          <w:sz w:val="20"/>
          <w:szCs w:val="20"/>
          <w:lang w:val="en-GB"/>
        </w:rPr>
        <w:t xml:space="preserve">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reflected also in modifications of quarterly data so that they follow the annual data. Concurrently, the base year for calculations of values at constant prices changed from 2010 to 2015. </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w:t>
      </w:r>
      <w:r w:rsidRPr="009F01FD">
        <w:rPr>
          <w:rFonts w:cs="Arial"/>
          <w:i/>
          <w:iCs/>
          <w:sz w:val="20"/>
          <w:szCs w:val="20"/>
          <w:lang w:val="en-GB"/>
        </w:rPr>
        <w:lastRenderedPageBreak/>
        <w:t xml:space="preserve">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w:t>
      </w:r>
      <w:r w:rsidR="00EA24F8">
        <w:rPr>
          <w:rFonts w:cs="Arial"/>
          <w:i/>
          <w:iCs/>
          <w:sz w:val="20"/>
          <w:szCs w:val="20"/>
          <w:lang w:val="en-GB"/>
        </w:rPr>
        <w:t>balance</w:t>
      </w:r>
      <w:r w:rsidRPr="009F01FD">
        <w:rPr>
          <w:rFonts w:cs="Arial"/>
          <w:i/>
          <w:iCs/>
          <w:sz w:val="20"/>
          <w:szCs w:val="20"/>
          <w:lang w:val="en-GB"/>
        </w:rPr>
        <w:t xml:space="preserve">) describe the </w:t>
      </w:r>
      <w:r w:rsidRPr="00246B28">
        <w:rPr>
          <w:rFonts w:cs="Arial"/>
          <w:i/>
          <w:iCs/>
          <w:sz w:val="20"/>
          <w:szCs w:val="20"/>
          <w:lang w:val="en-GB"/>
        </w:rPr>
        <w:t xml:space="preserve">resulting impact of external trade in goods and services on the possibility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are b</w:t>
      </w:r>
      <w:r w:rsidR="00226523" w:rsidRPr="00246B28">
        <w:rPr>
          <w:rFonts w:cs="Arial"/>
          <w:i/>
          <w:iCs/>
          <w:sz w:val="20"/>
          <w:szCs w:val="20"/>
          <w:lang w:val="en-GB"/>
        </w:rPr>
        <w:t>ased on change of ownership between Czech residents and non-residents</w:t>
      </w:r>
      <w:r w:rsidRPr="00246B28">
        <w:rPr>
          <w:rFonts w:cs="Arial"/>
          <w:i/>
          <w:sz w:val="20"/>
          <w:szCs w:val="20"/>
          <w:lang w:val="en-GB"/>
        </w:rPr>
        <w:t xml:space="preserve">. </w:t>
      </w:r>
      <w:r w:rsidRPr="00246B28">
        <w:rPr>
          <w:rFonts w:cs="Arial"/>
          <w:i/>
          <w:iCs/>
          <w:sz w:val="20"/>
          <w:szCs w:val="20"/>
          <w:lang w:val="en-GB"/>
        </w:rPr>
        <w:t xml:space="preserve">These figures are derived from the outputs of a statistical survey on exports and imports of goods in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and it also relies on</w:t>
      </w:r>
      <w:r w:rsidR="00F25B7B">
        <w:rPr>
          <w:rFonts w:cs="Arial"/>
          <w:i/>
          <w:iCs/>
          <w:sz w:val="20"/>
          <w:szCs w:val="20"/>
          <w:lang w:val="en-GB"/>
        </w:rPr>
        <w:t xml:space="preserve"> the</w:t>
      </w:r>
      <w:r w:rsidR="00246B28">
        <w:rPr>
          <w:rFonts w:cs="Arial"/>
          <w:i/>
          <w:iCs/>
          <w:sz w:val="20"/>
          <w:szCs w:val="20"/>
          <w:lang w:val="en-GB"/>
        </w:rPr>
        <w:t xml:space="preserve"> data from VAT </w:t>
      </w:r>
      <w:r w:rsidR="00F25B7B">
        <w:rPr>
          <w:rFonts w:cs="Arial"/>
          <w:i/>
          <w:iCs/>
          <w:sz w:val="20"/>
          <w:szCs w:val="20"/>
          <w:lang w:val="en-GB"/>
        </w:rPr>
        <w:t xml:space="preserve">tax </w:t>
      </w:r>
      <w:r w:rsidR="00246B28">
        <w:rPr>
          <w:rFonts w:cs="Arial"/>
          <w:i/>
          <w:iCs/>
          <w:sz w:val="20"/>
          <w:szCs w:val="20"/>
          <w:lang w:val="en-GB"/>
        </w:rPr>
        <w:t xml:space="preserve">returns of non-resident entities (domiciled abroad) that deal with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are taken from the Ministry of Finance.  </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pt;height:53.2pt" o:ole="">
            <v:imagedata r:id="rId8" o:title=""/>
          </v:shape>
          <o:OLEObject Type="Embed" ProgID="Equation.3" ShapeID="_x0000_i1025" DrawAspect="Content" ObjectID="_1662287762"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NACE), the national version of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w:t>
      </w:r>
      <w:r w:rsidRPr="009F01FD">
        <w:rPr>
          <w:rFonts w:ascii="Arial" w:hAnsi="Arial" w:cs="Arial"/>
          <w:i/>
          <w:iCs/>
          <w:sz w:val="20"/>
          <w:szCs w:val="20"/>
          <w:lang w:val="en-GB"/>
        </w:rPr>
        <w:lastRenderedPageBreak/>
        <w:t xml:space="preserve">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al influences, the estimate of the index value includes also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The basic price level for calculations of price indices is the average of 2015. Year-on-year and month-on-month indices are derived from the base.</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lastRenderedPageBreak/>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was made.</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representatives are </w:t>
      </w:r>
      <w:r w:rsidR="0083134B">
        <w:rPr>
          <w:rFonts w:ascii="Arial" w:hAnsi="Arial" w:cs="Arial"/>
          <w:i/>
          <w:iCs/>
          <w:sz w:val="20"/>
          <w:szCs w:val="20"/>
          <w:lang w:val="en-GB"/>
        </w:rPr>
        <w:t>updated</w:t>
      </w:r>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are calculated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r w:rsidR="0045268E" w:rsidRPr="0045268E">
        <w:rPr>
          <w:i/>
          <w:sz w:val="20"/>
          <w:szCs w:val="20"/>
          <w:lang w:val="en-GB"/>
        </w:rPr>
        <w:t>From</w:t>
      </w:r>
      <w:r w:rsidR="00E60636" w:rsidRPr="00093FA4">
        <w:rPr>
          <w:i/>
          <w:sz w:val="20"/>
          <w:szCs w:val="20"/>
          <w:lang w:val="en-GB"/>
        </w:rPr>
        <w:t xml:space="preserve"> 2019</w:t>
      </w:r>
      <w:r w:rsidR="0022612F">
        <w:rPr>
          <w:i/>
          <w:sz w:val="20"/>
          <w:szCs w:val="20"/>
          <w:lang w:val="en-GB"/>
        </w:rPr>
        <w:t xml:space="preserve"> onwards</w:t>
      </w:r>
      <w:r w:rsidR="0045268E" w:rsidRPr="00093FA4">
        <w:rPr>
          <w:i/>
          <w:sz w:val="20"/>
          <w:szCs w:val="20"/>
          <w:lang w:val="en-GB"/>
        </w:rPr>
        <w:t>,</w:t>
      </w:r>
      <w:r w:rsidR="003703C5">
        <w:rPr>
          <w:i/>
          <w:sz w:val="20"/>
          <w:szCs w:val="20"/>
          <w:lang w:val="en-GB"/>
        </w:rPr>
        <w:t xml:space="preserve"> at selected </w:t>
      </w:r>
      <w:r w:rsidR="0045268E">
        <w:rPr>
          <w:i/>
          <w:sz w:val="20"/>
          <w:szCs w:val="20"/>
          <w:lang w:val="en-GB"/>
        </w:rPr>
        <w:t xml:space="preserve">representatives, prices from local price surveys are partially replaced by prices coming from scanner data (data from </w:t>
      </w:r>
      <w:r w:rsidR="0045268E" w:rsidRPr="000370E9">
        <w:rPr>
          <w:i/>
          <w:sz w:val="20"/>
          <w:szCs w:val="20"/>
          <w:lang w:val="en-GB"/>
        </w:rPr>
        <w:t>cash desks of retail</w:t>
      </w:r>
      <w:r w:rsidR="0045268E">
        <w:rPr>
          <w:i/>
          <w:sz w:val="20"/>
          <w:szCs w:val="20"/>
          <w:lang w:val="en-GB"/>
        </w:rPr>
        <w:t xml:space="preserve"> chains). </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4.8pt;height:53.2pt" o:ole="">
            <v:imagedata r:id="rId8" o:title=""/>
          </v:shape>
          <o:OLEObject Type="Embed" ProgID="Equation.3" ShapeID="_x0000_i1026" DrawAspect="Content" ObjectID="_1662287763"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was changed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 indices calculated on the base of the average of </w:t>
      </w:r>
      <w:r w:rsidR="00C65BA9">
        <w:rPr>
          <w:rFonts w:ascii="Arial" w:hAnsi="Arial" w:cs="Arial"/>
          <w:i/>
          <w:sz w:val="20"/>
          <w:szCs w:val="20"/>
          <w:lang w:val="en-GB"/>
        </w:rPr>
        <w:t>2019 </w:t>
      </w:r>
      <w:r>
        <w:rPr>
          <w:rFonts w:ascii="Arial" w:hAnsi="Arial" w:cs="Arial"/>
          <w:i/>
          <w:sz w:val="20"/>
          <w:szCs w:val="20"/>
          <w:lang w:val="en-GB"/>
        </w:rPr>
        <w:t>=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 xml:space="preserve">Data are processed and published according to the Classification of Economic Activities (CZ-NACE), a </w:t>
      </w:r>
      <w:r w:rsidRPr="00093FA4">
        <w:rPr>
          <w:rFonts w:ascii="Arial" w:hAnsi="Arial" w:cs="Arial"/>
          <w:i/>
          <w:iCs/>
          <w:sz w:val="20"/>
          <w:szCs w:val="20"/>
          <w:lang w:val="en-GB"/>
        </w:rPr>
        <w:t>national version of the Statistical classification of economic activities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lastRenderedPageBreak/>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rsidR="00373BB3" w:rsidRPr="00246B28" w:rsidRDefault="00373BB3" w:rsidP="00373BB3">
      <w:pPr>
        <w:pStyle w:val="Zkladntext"/>
        <w:spacing w:before="240" w:after="0" w:line="288" w:lineRule="auto"/>
        <w:ind w:firstLine="425"/>
        <w:rPr>
          <w:rFonts w:cs="Arial"/>
          <w:i/>
          <w:iCs/>
          <w:sz w:val="20"/>
          <w:szCs w:val="20"/>
          <w:lang w:val="en-GB"/>
        </w:rPr>
      </w:pPr>
      <w:r w:rsidRPr="00246B28">
        <w:rPr>
          <w:rFonts w:cs="Arial"/>
          <w:i/>
          <w:iCs/>
          <w:sz w:val="20"/>
          <w:szCs w:val="20"/>
          <w:lang w:val="en-GB"/>
        </w:rPr>
        <w:t>Since 2020, the Czech Statistical Office (CZSO) has changed the applicable terminology and the manner in which data for international trade in goods is presented. Data which is based on the notion of change of ownership between Czech residents and non-residents was formerly known as the “national concept of external trade”. From now on, this data will be referred to by the term “international trade in goods (change of ownership)”. More generally, the term “international trade” will now be used in lieu of the term “external trade”.</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 xml:space="preserve">There are two main data sources used for compiling data on International trade in goods (change of ownership): </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VAT tax returns – this data is used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However, since this data</w:t>
      </w:r>
      <w:r w:rsidRPr="00246B28">
        <w:rPr>
          <w:rFonts w:cs="Arial"/>
          <w:iCs/>
          <w:szCs w:val="22"/>
          <w:lang w:val="en-US"/>
        </w:rPr>
        <w:t xml:space="preserve"> </w:t>
      </w:r>
      <w:r w:rsidRPr="00246B28">
        <w:rPr>
          <w:rFonts w:cs="Arial"/>
          <w:i/>
          <w:iCs/>
          <w:sz w:val="20"/>
          <w:szCs w:val="20"/>
          <w:lang w:val="en-GB"/>
        </w:rPr>
        <w:t xml:space="preserve">from VAT tax returns does not contain information about the commodity structure of purchases and </w:t>
      </w:r>
      <w:r w:rsidRPr="00246B28">
        <w:rPr>
          <w:rFonts w:cs="Arial"/>
          <w:i/>
          <w:iCs/>
          <w:sz w:val="20"/>
          <w:szCs w:val="20"/>
          <w:lang w:val="en-GB"/>
        </w:rPr>
        <w:lastRenderedPageBreak/>
        <w:t xml:space="preserve">sales of non-residents in the territory of the Czech Republic, the commodity structure for such purchases and sales needs to be derived from other statistical sources. These sources are the commodity structure of cross-border movements of goods of non-residents and also industry statistics (pertaining to those Czech-residents who sell their production to non-residents in the territory of the Czech Republic). </w:t>
      </w:r>
    </w:p>
    <w:p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i/>
          <w:iCs/>
          <w:sz w:val="20"/>
          <w:szCs w:val="20"/>
          <w:lang w:val="en-GB"/>
        </w:rPr>
        <w:t>Data on international trade in goods (change of ownership) is the basic source data for the compilation of GDP (based on the expenditure method) and also for the current account of the balance of payments.</w:t>
      </w:r>
    </w:p>
    <w:p w:rsidR="004F7771" w:rsidRPr="004F7771" w:rsidRDefault="004F7771" w:rsidP="004F7771">
      <w:pPr>
        <w:pStyle w:val="Zkladntext"/>
        <w:spacing w:before="120" w:after="0" w:line="288" w:lineRule="auto"/>
        <w:ind w:firstLine="425"/>
        <w:rPr>
          <w:rFonts w:cs="Arial"/>
          <w:i/>
          <w:iCs/>
          <w:sz w:val="20"/>
          <w:szCs w:val="20"/>
          <w:lang w:val="en-GB"/>
        </w:rPr>
      </w:pP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8340A3">
        <w:rPr>
          <w:rFonts w:cs="Arial"/>
          <w:i/>
          <w:iCs/>
          <w:sz w:val="20"/>
          <w:szCs w:val="20"/>
          <w:lang w:val="en-GB"/>
        </w:rPr>
        <w:t xml:space="preserve"> agricultural entrepreneurs – natural persons include persons in business under</w:t>
      </w:r>
      <w:r>
        <w:rPr>
          <w:rFonts w:cs="Arial"/>
          <w:i/>
          <w:iCs/>
          <w:sz w:val="20"/>
          <w:szCs w:val="20"/>
          <w:lang w:val="en-GB"/>
        </w:rPr>
        <w:t xml:space="preserve"> the Act No 252/1997 Sb, on Agriculture. In 2009, the end of transformation process of self-employed farmers to agricultural entrepreneurs has been reflected. </w:t>
      </w:r>
    </w:p>
    <w:p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proofErr w:type="gramStart"/>
      <w:r w:rsidR="002A5252">
        <w:rPr>
          <w:rFonts w:cs="Arial"/>
          <w:i/>
          <w:sz w:val="20"/>
          <w:szCs w:val="20"/>
          <w:lang w:val="en-GB"/>
        </w:rPr>
        <w:t xml:space="preserve">) </w:t>
      </w:r>
      <w:r>
        <w:rPr>
          <w:rFonts w:cs="Arial"/>
          <w:i/>
          <w:sz w:val="20"/>
          <w:szCs w:val="20"/>
          <w:lang w:val="en-GB"/>
        </w:rPr>
        <w:t>,</w:t>
      </w:r>
      <w:proofErr w:type="gramEnd"/>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 xml:space="preserve">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w:t>
      </w:r>
      <w:r w:rsidRPr="00076773">
        <w:rPr>
          <w:rFonts w:cs="Arial"/>
          <w:i/>
          <w:iCs/>
          <w:sz w:val="20"/>
          <w:szCs w:val="20"/>
          <w:lang w:val="en-GB"/>
        </w:rPr>
        <w:lastRenderedPageBreak/>
        <w:t>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proofErr w:type="spellStart"/>
      <w:r w:rsidR="00B224B1" w:rsidRPr="00076773">
        <w:rPr>
          <w:rFonts w:ascii="Arial" w:hAnsi="Arial" w:cs="Arial"/>
          <w:i/>
          <w:iCs/>
          <w:sz w:val="20"/>
          <w:szCs w:val="20"/>
        </w:rPr>
        <w:t>Eurostat</w:t>
      </w:r>
      <w:proofErr w:type="spellEnd"/>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proofErr w:type="spellStart"/>
      <w:r w:rsidR="00B224B1" w:rsidRPr="00076773">
        <w:rPr>
          <w:rFonts w:ascii="Arial" w:hAnsi="Arial" w:cs="Arial"/>
          <w:b/>
          <w:i/>
          <w:iCs/>
          <w:sz w:val="20"/>
          <w:szCs w:val="20"/>
        </w:rPr>
        <w:t>cumulation</w:t>
      </w:r>
      <w:r w:rsidR="00620EE8" w:rsidRPr="00076773">
        <w:rPr>
          <w:rFonts w:ascii="Arial" w:hAnsi="Arial" w:cs="Arial"/>
          <w:b/>
          <w:i/>
          <w:iCs/>
          <w:sz w:val="20"/>
          <w:szCs w:val="20"/>
        </w:rPr>
        <w:t>s</w:t>
      </w:r>
      <w:proofErr w:type="spellEnd"/>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proofErr w:type="spellStart"/>
      <w:r w:rsidR="00B224B1" w:rsidRPr="00076773">
        <w:rPr>
          <w:rFonts w:ascii="Arial" w:hAnsi="Arial" w:cs="Arial"/>
          <w:i/>
          <w:iCs/>
          <w:sz w:val="20"/>
          <w:szCs w:val="20"/>
        </w:rPr>
        <w:t>additivity</w:t>
      </w:r>
      <w:proofErr w:type="spellEnd"/>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 xml:space="preserve">the </w:t>
      </w:r>
      <w:r>
        <w:rPr>
          <w:rFonts w:ascii="Arial" w:hAnsi="Arial" w:cs="Arial"/>
          <w:i/>
          <w:iCs/>
          <w:sz w:val="20"/>
          <w:szCs w:val="17"/>
          <w:lang w:val="en-GB"/>
        </w:rPr>
        <w:lastRenderedPageBreak/>
        <w:t>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lastRenderedPageBreak/>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Pr="009F01FD">
        <w:rPr>
          <w:rFonts w:ascii="Arial" w:hAnsi="Arial" w:cs="Arial"/>
          <w:i/>
          <w:iCs/>
          <w:sz w:val="20"/>
          <w:lang w:val="en-GB"/>
        </w:rPr>
        <w:t>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DD1869">
        <w:rPr>
          <w:rFonts w:cs="Arial"/>
          <w:i/>
          <w:iCs/>
          <w:sz w:val="20"/>
          <w:szCs w:val="20"/>
          <w:lang w:val="en-GB"/>
        </w:rPr>
        <w:t>long-term carer’s allowance</w:t>
      </w:r>
      <w:r w:rsidR="00C21E92" w:rsidRPr="00DD1869">
        <w:rPr>
          <w:rFonts w:ascii="NimbusSanDEE-BoldItal" w:hAnsi="NimbusSanDEE-BoldItal" w:cs="NimbusSanDEE-BoldItal"/>
          <w:b/>
          <w:bCs/>
          <w:i/>
          <w:iCs/>
          <w:sz w:val="16"/>
          <w:szCs w:val="16"/>
        </w:rPr>
        <w:t xml:space="preserve">, </w:t>
      </w:r>
      <w:r w:rsidR="00C21E92" w:rsidRPr="00093FA4">
        <w:rPr>
          <w:rFonts w:cs="Arial"/>
          <w:i/>
          <w:iCs/>
          <w:sz w:val="20"/>
          <w:szCs w:val="20"/>
          <w:lang w:val="en-GB"/>
        </w:rPr>
        <w:t>paternity leave for fathers,</w:t>
      </w:r>
      <w:r>
        <w:rPr>
          <w:rFonts w:cs="Arial"/>
          <w:i/>
          <w:iCs/>
          <w:sz w:val="20"/>
          <w:szCs w:val="20"/>
          <w:lang w:val="en-GB"/>
        </w:rPr>
        <w:t xml:space="preserve">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77" w:rsidRDefault="00590B77">
      <w:r>
        <w:separator/>
      </w:r>
    </w:p>
  </w:endnote>
  <w:endnote w:type="continuationSeparator" w:id="0">
    <w:p w:rsidR="00590B77" w:rsidRDefault="0059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C6385C">
      <w:rPr>
        <w:rFonts w:ascii="Arial" w:hAnsi="Arial" w:cs="Arial"/>
        <w:sz w:val="16"/>
        <w:szCs w:val="16"/>
      </w:rPr>
      <w:t>2</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 xml:space="preserve">20 </w:t>
    </w:r>
    <w:r w:rsidR="004A4853">
      <w:rPr>
        <w:rFonts w:ascii="Arial" w:hAnsi="Arial" w:cs="Arial"/>
        <w:sz w:val="16"/>
        <w:szCs w:val="16"/>
      </w:rPr>
      <w:t xml:space="preserve">/ </w:t>
    </w:r>
    <w:r w:rsidR="00C6385C">
      <w:rPr>
        <w:rFonts w:ascii="Arial" w:hAnsi="Arial" w:cs="Arial"/>
        <w:i/>
        <w:sz w:val="16"/>
        <w:szCs w:val="16"/>
        <w:lang w:val="en-US"/>
      </w:rPr>
      <w:t>2nd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F66E51">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C25701">
    <w:pPr>
      <w:pStyle w:val="Zpat"/>
      <w:jc w:val="center"/>
    </w:pPr>
    <w:r w:rsidRPr="00226408">
      <w:rPr>
        <w:rFonts w:ascii="Arial" w:hAnsi="Arial" w:cs="Arial"/>
        <w:sz w:val="16"/>
        <w:szCs w:val="16"/>
      </w:rPr>
      <w:ptab w:relativeTo="margin" w:alignment="center" w:leader="none"/>
    </w:r>
    <w:r w:rsidR="00C6385C">
      <w:rPr>
        <w:rFonts w:ascii="Arial" w:hAnsi="Arial" w:cs="Arial"/>
        <w:sz w:val="16"/>
        <w:szCs w:val="16"/>
      </w:rPr>
      <w:t>2</w:t>
    </w:r>
    <w:r w:rsidR="003D0DDC">
      <w:rPr>
        <w:rFonts w:ascii="Arial" w:hAnsi="Arial" w:cs="Arial"/>
        <w:sz w:val="16"/>
        <w:szCs w:val="16"/>
      </w:rPr>
      <w:t xml:space="preserve">. čtvrtletí </w:t>
    </w:r>
    <w:r>
      <w:rPr>
        <w:rFonts w:ascii="Arial" w:hAnsi="Arial" w:cs="Arial"/>
        <w:sz w:val="16"/>
        <w:szCs w:val="16"/>
      </w:rPr>
      <w:t xml:space="preserve">2020 </w:t>
    </w:r>
    <w:r w:rsidR="004A4853">
      <w:rPr>
        <w:rFonts w:ascii="Arial" w:hAnsi="Arial" w:cs="Arial"/>
        <w:sz w:val="16"/>
        <w:szCs w:val="16"/>
      </w:rPr>
      <w:t>/</w:t>
    </w:r>
    <w:r w:rsidR="001C1FAA">
      <w:rPr>
        <w:rFonts w:ascii="Arial" w:hAnsi="Arial" w:cs="Arial"/>
        <w:sz w:val="16"/>
        <w:szCs w:val="16"/>
      </w:rPr>
      <w:t xml:space="preserve"> </w:t>
    </w:r>
    <w:r w:rsidR="00C6385C">
      <w:rPr>
        <w:rFonts w:ascii="Arial" w:hAnsi="Arial" w:cs="Arial"/>
        <w:i/>
        <w:sz w:val="16"/>
        <w:szCs w:val="16"/>
        <w:lang w:val="en-US"/>
      </w:rPr>
      <w:t>2nd</w:t>
    </w:r>
    <w:r w:rsidRPr="00591E6E">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20</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F66E51">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77" w:rsidRDefault="00590B77">
      <w:r>
        <w:separator/>
      </w:r>
    </w:p>
  </w:footnote>
  <w:footnote w:type="continuationSeparator" w:id="0">
    <w:p w:rsidR="00590B77" w:rsidRDefault="0059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4BF1"/>
    <w:rsid w:val="00075866"/>
    <w:rsid w:val="00075B58"/>
    <w:rsid w:val="00076773"/>
    <w:rsid w:val="000777C6"/>
    <w:rsid w:val="00077F3D"/>
    <w:rsid w:val="00080298"/>
    <w:rsid w:val="000807DB"/>
    <w:rsid w:val="000818DE"/>
    <w:rsid w:val="000820FB"/>
    <w:rsid w:val="0008489F"/>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370B"/>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D70C0"/>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3E3F"/>
    <w:rsid w:val="00324ADB"/>
    <w:rsid w:val="003265A4"/>
    <w:rsid w:val="00333392"/>
    <w:rsid w:val="003337C2"/>
    <w:rsid w:val="00334457"/>
    <w:rsid w:val="00335139"/>
    <w:rsid w:val="003377A2"/>
    <w:rsid w:val="00337C04"/>
    <w:rsid w:val="00340ECD"/>
    <w:rsid w:val="003431E5"/>
    <w:rsid w:val="00343CEB"/>
    <w:rsid w:val="003446E1"/>
    <w:rsid w:val="00344EC1"/>
    <w:rsid w:val="0034765F"/>
    <w:rsid w:val="00347760"/>
    <w:rsid w:val="00351B15"/>
    <w:rsid w:val="003522A7"/>
    <w:rsid w:val="00353493"/>
    <w:rsid w:val="00355073"/>
    <w:rsid w:val="00357A39"/>
    <w:rsid w:val="003608A6"/>
    <w:rsid w:val="00364B32"/>
    <w:rsid w:val="0036611D"/>
    <w:rsid w:val="003703C5"/>
    <w:rsid w:val="00370939"/>
    <w:rsid w:val="00373BB3"/>
    <w:rsid w:val="00375BE5"/>
    <w:rsid w:val="00377C68"/>
    <w:rsid w:val="00385BF4"/>
    <w:rsid w:val="003866CE"/>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4624"/>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D01"/>
    <w:rsid w:val="00437806"/>
    <w:rsid w:val="00437ED6"/>
    <w:rsid w:val="004422A2"/>
    <w:rsid w:val="00443D79"/>
    <w:rsid w:val="00444E55"/>
    <w:rsid w:val="0044677D"/>
    <w:rsid w:val="0045268E"/>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5350"/>
    <w:rsid w:val="00487EB4"/>
    <w:rsid w:val="004922CD"/>
    <w:rsid w:val="00493D36"/>
    <w:rsid w:val="00496D5D"/>
    <w:rsid w:val="00497847"/>
    <w:rsid w:val="004A2D6D"/>
    <w:rsid w:val="004A4342"/>
    <w:rsid w:val="004A4853"/>
    <w:rsid w:val="004A4B6F"/>
    <w:rsid w:val="004A5B55"/>
    <w:rsid w:val="004A6501"/>
    <w:rsid w:val="004B2030"/>
    <w:rsid w:val="004B3DA9"/>
    <w:rsid w:val="004B74CF"/>
    <w:rsid w:val="004B76B9"/>
    <w:rsid w:val="004B7757"/>
    <w:rsid w:val="004C01F1"/>
    <w:rsid w:val="004C074B"/>
    <w:rsid w:val="004C0E02"/>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442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590D"/>
    <w:rsid w:val="005475E8"/>
    <w:rsid w:val="00547702"/>
    <w:rsid w:val="005513C3"/>
    <w:rsid w:val="00552145"/>
    <w:rsid w:val="00554C3E"/>
    <w:rsid w:val="0055611A"/>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8791E"/>
    <w:rsid w:val="00590B77"/>
    <w:rsid w:val="00591E6E"/>
    <w:rsid w:val="00592752"/>
    <w:rsid w:val="00593402"/>
    <w:rsid w:val="005959BA"/>
    <w:rsid w:val="005A2226"/>
    <w:rsid w:val="005A34F5"/>
    <w:rsid w:val="005A7D39"/>
    <w:rsid w:val="005B4401"/>
    <w:rsid w:val="005B4C1B"/>
    <w:rsid w:val="005B50D5"/>
    <w:rsid w:val="005B5D84"/>
    <w:rsid w:val="005B73DD"/>
    <w:rsid w:val="005B77E2"/>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2391"/>
    <w:rsid w:val="00600C51"/>
    <w:rsid w:val="00605619"/>
    <w:rsid w:val="0060659E"/>
    <w:rsid w:val="00606E83"/>
    <w:rsid w:val="00610172"/>
    <w:rsid w:val="00612029"/>
    <w:rsid w:val="00612CC0"/>
    <w:rsid w:val="00614655"/>
    <w:rsid w:val="00617D6E"/>
    <w:rsid w:val="00620027"/>
    <w:rsid w:val="00620EE8"/>
    <w:rsid w:val="006230CE"/>
    <w:rsid w:val="00625B5A"/>
    <w:rsid w:val="00625D1E"/>
    <w:rsid w:val="00626F7B"/>
    <w:rsid w:val="00630229"/>
    <w:rsid w:val="00630C2A"/>
    <w:rsid w:val="00631761"/>
    <w:rsid w:val="00641A45"/>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B16"/>
    <w:rsid w:val="00676C59"/>
    <w:rsid w:val="0068068F"/>
    <w:rsid w:val="0068177E"/>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414F"/>
    <w:rsid w:val="006C7068"/>
    <w:rsid w:val="006C78D8"/>
    <w:rsid w:val="006C7D85"/>
    <w:rsid w:val="006C7EB9"/>
    <w:rsid w:val="006D039F"/>
    <w:rsid w:val="006D1505"/>
    <w:rsid w:val="006D1DA5"/>
    <w:rsid w:val="006D3064"/>
    <w:rsid w:val="006D4237"/>
    <w:rsid w:val="006D49C7"/>
    <w:rsid w:val="006D579C"/>
    <w:rsid w:val="006E2E5C"/>
    <w:rsid w:val="006E43AF"/>
    <w:rsid w:val="006E77F8"/>
    <w:rsid w:val="006F48EC"/>
    <w:rsid w:val="006F710C"/>
    <w:rsid w:val="00700C85"/>
    <w:rsid w:val="007022DD"/>
    <w:rsid w:val="00703ED5"/>
    <w:rsid w:val="00703FFC"/>
    <w:rsid w:val="00704479"/>
    <w:rsid w:val="00707210"/>
    <w:rsid w:val="00711256"/>
    <w:rsid w:val="00712398"/>
    <w:rsid w:val="00720E87"/>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5774D"/>
    <w:rsid w:val="00761718"/>
    <w:rsid w:val="007656F1"/>
    <w:rsid w:val="00765BBB"/>
    <w:rsid w:val="00766E5B"/>
    <w:rsid w:val="00772AFB"/>
    <w:rsid w:val="00776CAF"/>
    <w:rsid w:val="00781339"/>
    <w:rsid w:val="00783922"/>
    <w:rsid w:val="00787AB2"/>
    <w:rsid w:val="00791BA4"/>
    <w:rsid w:val="0079412E"/>
    <w:rsid w:val="00795067"/>
    <w:rsid w:val="0079725C"/>
    <w:rsid w:val="007A1AAE"/>
    <w:rsid w:val="007A4A31"/>
    <w:rsid w:val="007A4FC5"/>
    <w:rsid w:val="007A5682"/>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7F36E7"/>
    <w:rsid w:val="007F7635"/>
    <w:rsid w:val="00803035"/>
    <w:rsid w:val="00803C7F"/>
    <w:rsid w:val="00804970"/>
    <w:rsid w:val="0080519D"/>
    <w:rsid w:val="0080519F"/>
    <w:rsid w:val="008058AD"/>
    <w:rsid w:val="00807867"/>
    <w:rsid w:val="008101E0"/>
    <w:rsid w:val="00810D8E"/>
    <w:rsid w:val="00811253"/>
    <w:rsid w:val="008113D2"/>
    <w:rsid w:val="00812A92"/>
    <w:rsid w:val="0081354C"/>
    <w:rsid w:val="0081570E"/>
    <w:rsid w:val="008204E4"/>
    <w:rsid w:val="00822219"/>
    <w:rsid w:val="008242C3"/>
    <w:rsid w:val="00824E9C"/>
    <w:rsid w:val="008270BD"/>
    <w:rsid w:val="00830C64"/>
    <w:rsid w:val="0083134B"/>
    <w:rsid w:val="00831CBC"/>
    <w:rsid w:val="0083395D"/>
    <w:rsid w:val="008340A3"/>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2C50"/>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E7C44"/>
    <w:rsid w:val="008F324C"/>
    <w:rsid w:val="008F39BC"/>
    <w:rsid w:val="008F7662"/>
    <w:rsid w:val="00900D94"/>
    <w:rsid w:val="009014E3"/>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371"/>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1278"/>
    <w:rsid w:val="009F1A2F"/>
    <w:rsid w:val="009F5E30"/>
    <w:rsid w:val="009F6D8A"/>
    <w:rsid w:val="00A01494"/>
    <w:rsid w:val="00A031D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B0FF7"/>
    <w:rsid w:val="00AB264A"/>
    <w:rsid w:val="00AB4A18"/>
    <w:rsid w:val="00AB4D50"/>
    <w:rsid w:val="00AB794E"/>
    <w:rsid w:val="00AB7FA1"/>
    <w:rsid w:val="00AC6B63"/>
    <w:rsid w:val="00AD510C"/>
    <w:rsid w:val="00AD530B"/>
    <w:rsid w:val="00AE0AF9"/>
    <w:rsid w:val="00AE316D"/>
    <w:rsid w:val="00AE601B"/>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7E05"/>
    <w:rsid w:val="00B41CCD"/>
    <w:rsid w:val="00B42380"/>
    <w:rsid w:val="00B424A4"/>
    <w:rsid w:val="00B42FAD"/>
    <w:rsid w:val="00B43778"/>
    <w:rsid w:val="00B465B3"/>
    <w:rsid w:val="00B473D2"/>
    <w:rsid w:val="00B515DD"/>
    <w:rsid w:val="00B5561D"/>
    <w:rsid w:val="00B620A9"/>
    <w:rsid w:val="00B622A9"/>
    <w:rsid w:val="00B62FE0"/>
    <w:rsid w:val="00B66502"/>
    <w:rsid w:val="00B70BDE"/>
    <w:rsid w:val="00B71073"/>
    <w:rsid w:val="00B74489"/>
    <w:rsid w:val="00B760F6"/>
    <w:rsid w:val="00B76AE0"/>
    <w:rsid w:val="00B81E99"/>
    <w:rsid w:val="00B83D07"/>
    <w:rsid w:val="00B8486B"/>
    <w:rsid w:val="00B867B8"/>
    <w:rsid w:val="00B924DE"/>
    <w:rsid w:val="00B92538"/>
    <w:rsid w:val="00B92BC3"/>
    <w:rsid w:val="00B937FF"/>
    <w:rsid w:val="00B94E76"/>
    <w:rsid w:val="00B966F3"/>
    <w:rsid w:val="00B97AF8"/>
    <w:rsid w:val="00BA2AEA"/>
    <w:rsid w:val="00BA2D6C"/>
    <w:rsid w:val="00BA42CC"/>
    <w:rsid w:val="00BA7D59"/>
    <w:rsid w:val="00BB23CB"/>
    <w:rsid w:val="00BC6433"/>
    <w:rsid w:val="00BC6D8C"/>
    <w:rsid w:val="00BC77DA"/>
    <w:rsid w:val="00BC7E7C"/>
    <w:rsid w:val="00BD0B79"/>
    <w:rsid w:val="00BD0DCB"/>
    <w:rsid w:val="00BD34DF"/>
    <w:rsid w:val="00BD4A82"/>
    <w:rsid w:val="00BD70FD"/>
    <w:rsid w:val="00BE03A5"/>
    <w:rsid w:val="00BE202E"/>
    <w:rsid w:val="00BE2697"/>
    <w:rsid w:val="00BE2D65"/>
    <w:rsid w:val="00BE602D"/>
    <w:rsid w:val="00BE791A"/>
    <w:rsid w:val="00BE7A03"/>
    <w:rsid w:val="00BF135C"/>
    <w:rsid w:val="00BF4BF1"/>
    <w:rsid w:val="00BF7841"/>
    <w:rsid w:val="00C035D4"/>
    <w:rsid w:val="00C03674"/>
    <w:rsid w:val="00C05264"/>
    <w:rsid w:val="00C058A6"/>
    <w:rsid w:val="00C14A48"/>
    <w:rsid w:val="00C15C15"/>
    <w:rsid w:val="00C17B63"/>
    <w:rsid w:val="00C20E09"/>
    <w:rsid w:val="00C21E86"/>
    <w:rsid w:val="00C21E92"/>
    <w:rsid w:val="00C232AB"/>
    <w:rsid w:val="00C25701"/>
    <w:rsid w:val="00C26175"/>
    <w:rsid w:val="00C264D4"/>
    <w:rsid w:val="00C313FD"/>
    <w:rsid w:val="00C316D3"/>
    <w:rsid w:val="00C35780"/>
    <w:rsid w:val="00C35DE2"/>
    <w:rsid w:val="00C36BA9"/>
    <w:rsid w:val="00C4003C"/>
    <w:rsid w:val="00C45883"/>
    <w:rsid w:val="00C46DE9"/>
    <w:rsid w:val="00C51F09"/>
    <w:rsid w:val="00C52636"/>
    <w:rsid w:val="00C62711"/>
    <w:rsid w:val="00C6385C"/>
    <w:rsid w:val="00C659D1"/>
    <w:rsid w:val="00C65BA9"/>
    <w:rsid w:val="00C71491"/>
    <w:rsid w:val="00C7311C"/>
    <w:rsid w:val="00C76834"/>
    <w:rsid w:val="00C77AE2"/>
    <w:rsid w:val="00C80D54"/>
    <w:rsid w:val="00C843C7"/>
    <w:rsid w:val="00C849E9"/>
    <w:rsid w:val="00C8609C"/>
    <w:rsid w:val="00C9045E"/>
    <w:rsid w:val="00C91D75"/>
    <w:rsid w:val="00C937BB"/>
    <w:rsid w:val="00C93FAC"/>
    <w:rsid w:val="00CA2FAB"/>
    <w:rsid w:val="00CA4AB3"/>
    <w:rsid w:val="00CA59A6"/>
    <w:rsid w:val="00CA7E90"/>
    <w:rsid w:val="00CB141B"/>
    <w:rsid w:val="00CB295C"/>
    <w:rsid w:val="00CB40C1"/>
    <w:rsid w:val="00CB468D"/>
    <w:rsid w:val="00CB6E8E"/>
    <w:rsid w:val="00CB7605"/>
    <w:rsid w:val="00CB7704"/>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4EC9"/>
    <w:rsid w:val="00D062D3"/>
    <w:rsid w:val="00D07EB7"/>
    <w:rsid w:val="00D110AF"/>
    <w:rsid w:val="00D13CD4"/>
    <w:rsid w:val="00D172C6"/>
    <w:rsid w:val="00D17B36"/>
    <w:rsid w:val="00D21838"/>
    <w:rsid w:val="00D22B71"/>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3E38"/>
    <w:rsid w:val="00DA7DA1"/>
    <w:rsid w:val="00DB145A"/>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E85"/>
    <w:rsid w:val="00DE4FFF"/>
    <w:rsid w:val="00DF0292"/>
    <w:rsid w:val="00DF1602"/>
    <w:rsid w:val="00DF5BEE"/>
    <w:rsid w:val="00E01417"/>
    <w:rsid w:val="00E062B1"/>
    <w:rsid w:val="00E073BF"/>
    <w:rsid w:val="00E14DA0"/>
    <w:rsid w:val="00E158B0"/>
    <w:rsid w:val="00E21B24"/>
    <w:rsid w:val="00E22540"/>
    <w:rsid w:val="00E234F3"/>
    <w:rsid w:val="00E23EDE"/>
    <w:rsid w:val="00E23FE3"/>
    <w:rsid w:val="00E23FE4"/>
    <w:rsid w:val="00E240FB"/>
    <w:rsid w:val="00E271B2"/>
    <w:rsid w:val="00E27B00"/>
    <w:rsid w:val="00E319BD"/>
    <w:rsid w:val="00E327A0"/>
    <w:rsid w:val="00E42918"/>
    <w:rsid w:val="00E439DA"/>
    <w:rsid w:val="00E45E71"/>
    <w:rsid w:val="00E45EDE"/>
    <w:rsid w:val="00E467CD"/>
    <w:rsid w:val="00E55A17"/>
    <w:rsid w:val="00E55C27"/>
    <w:rsid w:val="00E56595"/>
    <w:rsid w:val="00E573A2"/>
    <w:rsid w:val="00E60636"/>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24F8"/>
    <w:rsid w:val="00EA36B3"/>
    <w:rsid w:val="00EA4BDF"/>
    <w:rsid w:val="00EA574A"/>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78C"/>
    <w:rsid w:val="00F61E87"/>
    <w:rsid w:val="00F63992"/>
    <w:rsid w:val="00F64C18"/>
    <w:rsid w:val="00F66E51"/>
    <w:rsid w:val="00F701A6"/>
    <w:rsid w:val="00F70D4A"/>
    <w:rsid w:val="00F73EA7"/>
    <w:rsid w:val="00F740DC"/>
    <w:rsid w:val="00F75A6C"/>
    <w:rsid w:val="00F7654B"/>
    <w:rsid w:val="00F76C31"/>
    <w:rsid w:val="00F774BD"/>
    <w:rsid w:val="00F77942"/>
    <w:rsid w:val="00F812E0"/>
    <w:rsid w:val="00F81808"/>
    <w:rsid w:val="00F82566"/>
    <w:rsid w:val="00F86FFA"/>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13CC-3706-49F8-B4BA-792FD6D3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6499</Words>
  <Characters>38349</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44759</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86</cp:revision>
  <cp:lastPrinted>2018-09-24T10:11:00Z</cp:lastPrinted>
  <dcterms:created xsi:type="dcterms:W3CDTF">2020-06-22T11:04:00Z</dcterms:created>
  <dcterms:modified xsi:type="dcterms:W3CDTF">2020-09-22T11:50:00Z</dcterms:modified>
</cp:coreProperties>
</file>