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9" w:rsidRPr="00C822C2" w:rsidRDefault="000572F9" w:rsidP="00EF756D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ostatním rezidentským a nerezidentským sektorům.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>měnového charakteru rezidentských měnových finančních institucí (tzv. sektoru tvorby peněz) vůči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jiným rezidentským sektorům (tzv. sektoru držby peněz).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</w:t>
      </w:r>
      <w:r w:rsidR="00050A8D">
        <w:rPr>
          <w:rFonts w:ascii="Arial" w:hAnsi="Arial" w:cs="Arial"/>
          <w:sz w:val="20"/>
          <w:lang w:val="cs-CZ"/>
        </w:rPr>
        <w:t xml:space="preserve">a neziskových institucí sloužících domácnostem </w:t>
      </w:r>
      <w:r w:rsidRPr="00C822C2">
        <w:rPr>
          <w:rFonts w:ascii="Arial" w:hAnsi="Arial" w:cs="Arial"/>
          <w:sz w:val="20"/>
          <w:lang w:val="cs-CZ"/>
        </w:rPr>
        <w:t>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(S.121)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(S.122</w:t>
      </w:r>
      <w:r w:rsidR="00726D99">
        <w:rPr>
          <w:rFonts w:ascii="Arial" w:hAnsi="Arial" w:cs="Arial"/>
          <w:sz w:val="20"/>
          <w:lang w:val="cs-CZ"/>
        </w:rPr>
        <w:t xml:space="preserve"> a S.123</w:t>
      </w:r>
      <w:r w:rsidRPr="00C822C2">
        <w:rPr>
          <w:rFonts w:ascii="Arial" w:hAnsi="Arial" w:cs="Arial"/>
          <w:sz w:val="20"/>
          <w:lang w:val="cs-CZ"/>
        </w:rPr>
        <w:t xml:space="preserve">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</w:t>
      </w:r>
      <w:r w:rsidR="00D84A55">
        <w:rPr>
          <w:rFonts w:ascii="Arial" w:hAnsi="Arial" w:cs="Arial"/>
          <w:sz w:val="20"/>
          <w:lang w:val="cs-CZ"/>
        </w:rPr>
        <w:t xml:space="preserve"> a</w:t>
      </w:r>
      <w:r w:rsidR="00A57320">
        <w:rPr>
          <w:rFonts w:ascii="Arial" w:hAnsi="Arial" w:cs="Arial"/>
          <w:sz w:val="20"/>
          <w:lang w:val="cs-CZ"/>
        </w:rPr>
        <w:t> </w:t>
      </w:r>
      <w:r w:rsidR="00D84A55">
        <w:rPr>
          <w:rFonts w:ascii="Arial" w:hAnsi="Arial" w:cs="Arial"/>
          <w:sz w:val="20"/>
          <w:lang w:val="cs-CZ"/>
        </w:rPr>
        <w:t>obchodovatelné nástroje</w:t>
      </w:r>
      <w:r w:rsidR="00F1510E">
        <w:rPr>
          <w:rFonts w:ascii="Arial" w:hAnsi="Arial" w:cs="Arial"/>
          <w:sz w:val="20"/>
          <w:lang w:val="cs-CZ"/>
        </w:rPr>
        <w:t>,</w:t>
      </w:r>
      <w:r w:rsidR="00D84A55">
        <w:rPr>
          <w:rFonts w:ascii="Arial" w:hAnsi="Arial" w:cs="Arial"/>
          <w:sz w:val="20"/>
          <w:lang w:val="cs-CZ"/>
        </w:rPr>
        <w:t xml:space="preserve"> které tvoří</w:t>
      </w:r>
      <w:r w:rsidRPr="00C822C2">
        <w:rPr>
          <w:rFonts w:ascii="Arial" w:hAnsi="Arial" w:cs="Arial"/>
          <w:sz w:val="20"/>
          <w:lang w:val="cs-CZ"/>
        </w:rPr>
        <w:t xml:space="preserve"> podílové listy</w:t>
      </w:r>
      <w:r w:rsidR="00414B91">
        <w:rPr>
          <w:rFonts w:ascii="Arial" w:hAnsi="Arial" w:cs="Arial"/>
          <w:sz w:val="20"/>
          <w:lang w:val="cs-CZ"/>
        </w:rPr>
        <w:t>/akcie</w:t>
      </w:r>
      <w:r w:rsidRPr="00C822C2">
        <w:rPr>
          <w:rFonts w:ascii="Arial" w:hAnsi="Arial" w:cs="Arial"/>
          <w:sz w:val="20"/>
          <w:lang w:val="cs-CZ"/>
        </w:rPr>
        <w:t xml:space="preserve"> fondů peněžního trhu, emitované dluhové cenné papíry se splatností do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repo operace.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(S.13)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(S.11+S.124+S.125+S.</w:t>
      </w:r>
      <w:r w:rsidR="003D5AF0">
        <w:rPr>
          <w:rFonts w:ascii="Arial" w:hAnsi="Arial" w:cs="Arial"/>
          <w:sz w:val="20"/>
          <w:lang w:val="cs-CZ"/>
        </w:rPr>
        <w:t>126+S.127+S.128+S.129</w:t>
      </w:r>
      <w:r w:rsidRPr="00C822C2">
        <w:rPr>
          <w:rFonts w:ascii="Arial" w:hAnsi="Arial" w:cs="Arial"/>
          <w:sz w:val="20"/>
          <w:lang w:val="cs-CZ"/>
        </w:rPr>
        <w:t xml:space="preserve">+S.14+S.15)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držbě nerezidentů ČR, repo operace, podíly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akcie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 w:rsidP="00EF756D">
      <w:pPr>
        <w:pStyle w:val="Podnadpis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</w:t>
      </w:r>
      <w:r w:rsidR="00965303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>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r w:rsidRPr="00C822C2">
        <w:rPr>
          <w:rFonts w:ascii="Arial" w:hAnsi="Arial" w:cs="Arial"/>
        </w:rPr>
        <w:t>reklasifikace,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>. Reklasifikace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6A5F34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251659264" fillcolor="#ff9">
            <v:imagedata r:id="rId8" o:title=""/>
          </v:shape>
          <o:OLEObject Type="Embed" ProgID="Equation.3" ShapeID="_x0000_s1033" DrawAspect="Content" ObjectID="_1632565898" r:id="rId9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změna      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6A5F34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632565899" r:id="rId11"/>
        </w:object>
      </w:r>
      <w:r>
        <w:rPr>
          <w:rFonts w:ascii="Arial" w:hAnsi="Arial" w:cs="Arial"/>
          <w:noProof/>
        </w:rPr>
        <w:object w:dxaOrig="84" w:dyaOrig="69"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632565900" r:id="rId12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</w:t>
      </w:r>
      <w:r w:rsidR="00965303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>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6A5F34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0" type="#_x0000_t75" style="position:absolute;left:0;text-align:left;margin-left:47.3pt;margin-top:1.15pt;width:166pt;height:36pt;z-index:251657216" fillcolor="#ff9" strokecolor="#ff9">
            <v:imagedata r:id="rId13" o:title=""/>
          </v:shape>
          <o:OLEObject Type="Embed" ProgID="Equation.3" ShapeID="_x0000_s1030" DrawAspect="Content" ObjectID="_1632565901" r:id="rId14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reklasifikace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směnných kurzů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 w:rsidP="00EF756D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4B3135" w:rsidRPr="00C822C2" w:rsidRDefault="00D77E4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D77E4B">
        <w:rPr>
          <w:rFonts w:ascii="Arial" w:hAnsi="Arial" w:cs="Arial"/>
          <w:b/>
          <w:snapToGrid w:val="0"/>
        </w:rPr>
        <w:t>Garanční systém finančního trhu</w:t>
      </w:r>
      <w:r w:rsidR="004B3135">
        <w:rPr>
          <w:rFonts w:ascii="Arial" w:hAnsi="Arial" w:cs="Arial"/>
          <w:snapToGrid w:val="0"/>
        </w:rPr>
        <w:t xml:space="preserve"> zahrnuje Fond pojištění vkladů a Fond pro řešení krize.</w:t>
      </w:r>
    </w:p>
    <w:p w:rsidR="00707180" w:rsidRPr="00C822C2" w:rsidRDefault="000572F9" w:rsidP="00EF756D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nehmotný majetek, pohledávky za obchodními bankami z titulu čerpání oběživa, ostatní </w:t>
      </w:r>
      <w:r w:rsidRPr="00C822C2">
        <w:rPr>
          <w:rFonts w:ascii="Arial" w:hAnsi="Arial" w:cs="Arial"/>
          <w:snapToGrid w:val="0"/>
        </w:rPr>
        <w:lastRenderedPageBreak/>
        <w:t>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Standby facility: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facility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Lombardní repo (zápůjční facilita): repo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Overnight (O/N) depozitum (depozitní facilita):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se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příslušnosti klientů-dlužníků do jednotlivých ekonomických subsektorů,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 w:rsidP="00EF756D">
      <w:pPr>
        <w:pStyle w:val="Podnadpis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 xml:space="preserve">členění podle sjednané doby trvání vkladu nebo splatnosti přijatého úvěru </w:t>
      </w:r>
      <w:r w:rsidR="00103E94">
        <w:rPr>
          <w:rStyle w:val="Typewriter"/>
          <w:rFonts w:ascii="Arial" w:hAnsi="Arial"/>
          <w:color w:val="000000"/>
        </w:rPr>
        <w:t>a</w:t>
      </w:r>
      <w:r w:rsidR="00965303">
        <w:rPr>
          <w:rStyle w:val="Typewriter"/>
          <w:rFonts w:ascii="Arial" w:hAnsi="Arial"/>
          <w:color w:val="000000"/>
        </w:rPr>
        <w:t> </w:t>
      </w:r>
      <w:r w:rsidRPr="00C822C2">
        <w:rPr>
          <w:rStyle w:val="Typewriter"/>
          <w:rFonts w:ascii="Arial" w:hAnsi="Arial"/>
          <w:color w:val="000000"/>
        </w:rPr>
        <w:t>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ekonomické činnosti věřitele). </w:t>
      </w:r>
    </w:p>
    <w:p w:rsidR="000572F9" w:rsidRPr="00C822C2" w:rsidRDefault="000572F9" w:rsidP="00EF756D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413B7F" w:rsidRPr="00C822C2" w:rsidRDefault="00413B7F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(Prague Interbank Offered Rates)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(overnight),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pro tuto splatnost nestanovují.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r w:rsidRPr="00C822C2">
        <w:rPr>
          <w:rFonts w:ascii="Arial" w:hAnsi="Arial" w:cs="Arial"/>
          <w:iCs/>
          <w:snapToGrid w:val="0"/>
        </w:rPr>
        <w:t>, T</w:t>
      </w:r>
      <w:r w:rsidR="007F6F47" w:rsidRPr="00C822C2">
        <w:rPr>
          <w:rFonts w:ascii="Arial" w:hAnsi="Arial" w:cs="Arial"/>
          <w:iCs/>
          <w:snapToGrid w:val="0"/>
        </w:rPr>
        <w:t>elerate</w:t>
      </w:r>
      <w:r w:rsidR="0046656C" w:rsidRPr="00C822C2">
        <w:rPr>
          <w:rFonts w:ascii="Arial" w:hAnsi="Arial" w:cs="Arial"/>
          <w:iCs/>
          <w:snapToGrid w:val="0"/>
        </w:rPr>
        <w:t xml:space="preserve"> a </w:t>
      </w:r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r w:rsidRPr="00C822C2">
        <w:rPr>
          <w:rFonts w:ascii="Arial" w:hAnsi="Arial" w:cs="Arial"/>
          <w:b/>
          <w:snapToGrid w:val="0"/>
        </w:rPr>
        <w:t>Repo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repo operací prováděných formou tendrů. Při </w:t>
      </w:r>
      <w:r w:rsidRPr="00C822C2">
        <w:rPr>
          <w:rFonts w:ascii="Arial" w:hAnsi="Arial" w:cs="Arial"/>
          <w:b/>
          <w:snapToGrid w:val="0"/>
        </w:rPr>
        <w:t>repo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dní, avšak v závislosti na predikci vývoje likvidity bankovního sektoru jsou čas od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času prováděny i repo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systémovému přebytku likvidity v bankovním sektoru slouží v současné době repo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provádí repo tendry s tzv. variabilní sazbou. To znamená, že vyhlášená repo sazba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to až do výše predikovaného přebytku likvidity na daný den. V případě, že objem objednaný bankami přesáhne predikovaný přebytek likvidity, ČNB nabídky za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nejvyšší sazby buď zcela odmítne, nebo proporcionálně zkrátí. Repo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>statistice úrokových sazeb uplatňovaných měnovými finančními institucemi (přepracované znění) (ECB/2013/34).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</w:t>
      </w:r>
      <w:r w:rsidR="00B738AB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resp. poskytnutých vkladů a úvěrů bankou k okamžiku vykazování. Jsou členěny podle původní sjednané doby splatnosti. </w:t>
      </w:r>
      <w:r w:rsidR="007C37C6">
        <w:rPr>
          <w:rFonts w:ascii="Arial" w:hAnsi="Arial" w:cs="Arial"/>
          <w:snapToGrid w:val="0"/>
        </w:rPr>
        <w:t>V</w:t>
      </w:r>
      <w:r w:rsidR="004A6DB4">
        <w:rPr>
          <w:rFonts w:ascii="Arial" w:hAnsi="Arial" w:cs="Arial"/>
          <w:snapToGrid w:val="0"/>
        </w:rPr>
        <w:t> </w:t>
      </w:r>
      <w:r w:rsidR="007C37C6">
        <w:rPr>
          <w:rFonts w:ascii="Arial" w:hAnsi="Arial" w:cs="Arial"/>
          <w:snapToGrid w:val="0"/>
        </w:rPr>
        <w:t>roce 2004</w:t>
      </w:r>
      <w:r w:rsidR="007C37C6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</w:t>
      </w:r>
      <w:r w:rsidR="007C37C6">
        <w:rPr>
          <w:rFonts w:ascii="Arial" w:hAnsi="Arial" w:cs="Arial"/>
          <w:snapToGrid w:val="0"/>
        </w:rPr>
        <w:t xml:space="preserve"> (bez ohledu na počátek čerpání)</w:t>
      </w:r>
      <w:r w:rsidRPr="00C822C2">
        <w:rPr>
          <w:rFonts w:ascii="Arial" w:hAnsi="Arial" w:cs="Arial"/>
          <w:snapToGrid w:val="0"/>
        </w:rPr>
        <w:t>. Nové úvěrové obchody jsou členěny podle původní doby fixace úrokové sazby. Rozumí se jí období na počátku kontraktu, během kterého se výše úrokové sazby nemůže měnit.</w:t>
      </w:r>
    </w:p>
    <w:p w:rsidR="001A14FE" w:rsidRDefault="00184F43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Nové úvěrové obchody jsou </w:t>
      </w:r>
      <w:r w:rsidR="001D78B7">
        <w:rPr>
          <w:rFonts w:ascii="Arial" w:hAnsi="Arial" w:cs="Arial"/>
          <w:snapToGrid w:val="0"/>
        </w:rPr>
        <w:t>pro sektor domácností a</w:t>
      </w:r>
      <w:r w:rsidR="00FF73E0">
        <w:rPr>
          <w:rFonts w:ascii="Arial" w:hAnsi="Arial" w:cs="Arial"/>
          <w:snapToGrid w:val="0"/>
        </w:rPr>
        <w:t> </w:t>
      </w:r>
      <w:r w:rsidR="001D78B7">
        <w:rPr>
          <w:rFonts w:ascii="Arial" w:hAnsi="Arial" w:cs="Arial"/>
          <w:snapToGrid w:val="0"/>
        </w:rPr>
        <w:t>NIS</w:t>
      </w:r>
      <w:r w:rsidR="00C55882">
        <w:rPr>
          <w:rFonts w:ascii="Arial" w:hAnsi="Arial" w:cs="Arial"/>
          <w:snapToGrid w:val="0"/>
        </w:rPr>
        <w:t>D</w:t>
      </w:r>
      <w:r w:rsidR="001D78B7">
        <w:rPr>
          <w:rFonts w:ascii="Arial" w:hAnsi="Arial" w:cs="Arial"/>
          <w:snapToGrid w:val="0"/>
        </w:rPr>
        <w:t xml:space="preserve"> </w:t>
      </w:r>
      <w:r w:rsidR="00020A4A">
        <w:rPr>
          <w:rFonts w:ascii="Arial" w:hAnsi="Arial" w:cs="Arial"/>
          <w:snapToGrid w:val="0"/>
        </w:rPr>
        <w:t xml:space="preserve">pak v tabulce </w:t>
      </w:r>
      <w:r w:rsidR="00D813AF" w:rsidRPr="00D813AF">
        <w:rPr>
          <w:rFonts w:ascii="Arial" w:hAnsi="Arial" w:cs="Arial"/>
          <w:b/>
          <w:snapToGrid w:val="0"/>
        </w:rPr>
        <w:t>7</w:t>
      </w:r>
      <w:r w:rsidR="00020A4A">
        <w:rPr>
          <w:rFonts w:ascii="Arial" w:hAnsi="Arial" w:cs="Arial"/>
          <w:snapToGrid w:val="0"/>
        </w:rPr>
        <w:t>-9</w:t>
      </w:r>
      <w:r w:rsidR="00FF73E0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dále členěny dle</w:t>
      </w:r>
      <w:r w:rsidR="00965303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kategorie nového obchodu na: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Čisté nové úvěry včetně navýšení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184F43" w:rsidRPr="00184F43">
        <w:rPr>
          <w:snapToGrid w:val="0"/>
          <w:sz w:val="20"/>
          <w:szCs w:val="20"/>
        </w:rPr>
        <w:t xml:space="preserve"> 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v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daném měsíci vstoupily do ekonomiky poprvé. Součástí je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refinancovaným úvěrům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ostatním novým ujednáním.</w:t>
      </w:r>
    </w:p>
    <w:p w:rsidR="00744B25" w:rsidRDefault="009A56C7" w:rsidP="00EF756D">
      <w:pPr>
        <w:pStyle w:val="Default"/>
        <w:spacing w:before="120"/>
        <w:jc w:val="both"/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Refinancované úvěry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jinou institucí než vykazující bankou a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 jejichž nesplacenou část je znovu uzavřena úvěrová smlouva u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banky. Jestliže při refinancování úvěru došlo zároveň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úvěru, tato kategorie pak obsahuje pouze objem nenavýšené části nového refinancovaného úvěru. Navýšení je součástí čistých nových úvěrů. V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položce se dále vykazují konsolidované úvěry, jejichž původním věřitelem byla jiná instituce.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Ostatní nová ujednání</w:t>
      </w:r>
      <w:r w:rsidR="00D813AF" w:rsidRPr="00D813AF">
        <w:rPr>
          <w:snapToGrid w:val="0"/>
          <w:sz w:val="20"/>
          <w:szCs w:val="20"/>
        </w:rPr>
        <w:t xml:space="preserve"> ke stávajícím úvěrům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vykazující bankou a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došlo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nich pouze k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novému ujednání (např. refixace úrokové sazby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úvěrů na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bydlení). Dále se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vykazují konsolidované úvěry, jejichž původním věřitelem je jak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jiná/jiné instituce</w:t>
      </w:r>
      <w:r w:rsidR="0075344E">
        <w:rPr>
          <w:snapToGrid w:val="0"/>
          <w:sz w:val="20"/>
          <w:szCs w:val="20"/>
        </w:rPr>
        <w:t>,</w:t>
      </w:r>
      <w:r w:rsidR="00D813AF" w:rsidRPr="00D813AF">
        <w:rPr>
          <w:snapToGrid w:val="0"/>
          <w:sz w:val="20"/>
          <w:szCs w:val="20"/>
        </w:rPr>
        <w:t xml:space="preserve"> tak i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banka nebo případně pouze vykazující banka. Případné navýšení úvěru je analogicky jako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 xml:space="preserve">refinancovaných úvěrů součástí kategorie čistých nových úvěrů. </w:t>
      </w:r>
    </w:p>
    <w:p w:rsidR="00744B25" w:rsidRDefault="00D813AF" w:rsidP="00EF756D">
      <w:pPr>
        <w:pStyle w:val="Default"/>
        <w:spacing w:before="120"/>
        <w:ind w:firstLine="709"/>
        <w:jc w:val="both"/>
        <w:rPr>
          <w:snapToGrid w:val="0"/>
          <w:sz w:val="20"/>
          <w:szCs w:val="20"/>
        </w:rPr>
      </w:pPr>
      <w:r w:rsidRPr="00D813AF">
        <w:rPr>
          <w:snapToGrid w:val="0"/>
          <w:sz w:val="20"/>
          <w:szCs w:val="20"/>
        </w:rPr>
        <w:t xml:space="preserve">Neobchodovatelné cenné papíry nejsou </w:t>
      </w:r>
      <w:r w:rsidR="00995CD6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Pr="00D813AF">
        <w:rPr>
          <w:snapToGrid w:val="0"/>
          <w:sz w:val="20"/>
          <w:szCs w:val="20"/>
        </w:rPr>
        <w:t>jedn</w:t>
      </w:r>
      <w:r w:rsidR="00441322" w:rsidRPr="00441322">
        <w:rPr>
          <w:snapToGrid w:val="0"/>
          <w:sz w:val="20"/>
          <w:szCs w:val="20"/>
        </w:rPr>
        <w:t>otliv</w:t>
      </w:r>
      <w:r w:rsidR="00995CD6">
        <w:rPr>
          <w:snapToGrid w:val="0"/>
          <w:sz w:val="20"/>
          <w:szCs w:val="20"/>
        </w:rPr>
        <w:t>ých</w:t>
      </w:r>
      <w:r w:rsidR="00441322" w:rsidRPr="00441322">
        <w:rPr>
          <w:snapToGrid w:val="0"/>
          <w:sz w:val="20"/>
          <w:szCs w:val="20"/>
        </w:rPr>
        <w:t xml:space="preserve"> kategori</w:t>
      </w:r>
      <w:r w:rsidR="00995CD6">
        <w:rPr>
          <w:snapToGrid w:val="0"/>
          <w:sz w:val="20"/>
          <w:szCs w:val="20"/>
        </w:rPr>
        <w:t>ích</w:t>
      </w:r>
      <w:r w:rsidRPr="00D813AF">
        <w:rPr>
          <w:snapToGrid w:val="0"/>
          <w:sz w:val="20"/>
          <w:szCs w:val="20"/>
        </w:rPr>
        <w:t xml:space="preserve"> nových obchodů</w:t>
      </w:r>
      <w:r w:rsidR="00020A4A">
        <w:rPr>
          <w:snapToGrid w:val="0"/>
          <w:sz w:val="20"/>
          <w:szCs w:val="20"/>
        </w:rPr>
        <w:t xml:space="preserve"> zahrnuty. Proto </w:t>
      </w:r>
      <w:r w:rsidR="000204BA">
        <w:rPr>
          <w:snapToGrid w:val="0"/>
          <w:sz w:val="20"/>
          <w:szCs w:val="20"/>
        </w:rPr>
        <w:t xml:space="preserve">se úrokové sazby </w:t>
      </w:r>
      <w:r w:rsidR="001D78B7">
        <w:rPr>
          <w:snapToGrid w:val="0"/>
          <w:sz w:val="20"/>
          <w:szCs w:val="20"/>
        </w:rPr>
        <w:t>nemusí</w:t>
      </w:r>
      <w:r w:rsidR="00020A4A">
        <w:rPr>
          <w:snapToGrid w:val="0"/>
          <w:sz w:val="20"/>
          <w:szCs w:val="20"/>
        </w:rPr>
        <w:t xml:space="preserve"> </w:t>
      </w:r>
      <w:r w:rsidR="001D78B7">
        <w:rPr>
          <w:snapToGrid w:val="0"/>
          <w:sz w:val="20"/>
          <w:szCs w:val="20"/>
        </w:rPr>
        <w:t>vždy rovnat</w:t>
      </w:r>
      <w:r w:rsidRPr="00D813AF">
        <w:rPr>
          <w:snapToGrid w:val="0"/>
          <w:sz w:val="20"/>
          <w:szCs w:val="20"/>
        </w:rPr>
        <w:t xml:space="preserve"> novým obchodům </w:t>
      </w:r>
      <w:r w:rsidR="00020A4A">
        <w:rPr>
          <w:snapToGrid w:val="0"/>
          <w:sz w:val="20"/>
          <w:szCs w:val="20"/>
        </w:rPr>
        <w:t>(na spotřebu a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>na koupi bytových nemovitostí)</w:t>
      </w:r>
      <w:r w:rsidRPr="00D813AF">
        <w:rPr>
          <w:snapToGrid w:val="0"/>
          <w:sz w:val="20"/>
          <w:szCs w:val="20"/>
        </w:rPr>
        <w:t xml:space="preserve"> uvedeným </w:t>
      </w:r>
      <w:r w:rsidR="000204BA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 xml:space="preserve">horní části tabulky </w:t>
      </w:r>
      <w:r w:rsidRPr="00D813AF">
        <w:rPr>
          <w:b/>
          <w:snapToGrid w:val="0"/>
          <w:sz w:val="20"/>
          <w:szCs w:val="20"/>
        </w:rPr>
        <w:t>7</w:t>
      </w:r>
      <w:r w:rsidR="00020A4A">
        <w:rPr>
          <w:snapToGrid w:val="0"/>
          <w:sz w:val="20"/>
          <w:szCs w:val="20"/>
        </w:rPr>
        <w:t>-9</w:t>
      </w:r>
      <w:r w:rsidR="001D78B7">
        <w:rPr>
          <w:snapToGrid w:val="0"/>
          <w:sz w:val="20"/>
          <w:szCs w:val="2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U ukazatelů – jednodenní vklady, vklady s výpovědní lhůtou</w:t>
      </w:r>
      <w:r w:rsidR="00340DB1">
        <w:rPr>
          <w:rFonts w:ascii="Arial" w:hAnsi="Arial" w:cs="Arial"/>
          <w:snapToGrid w:val="0"/>
        </w:rPr>
        <w:t>, vklady na běžných účtech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přečerpání bankovních účtů – se nové obchody shodují se stavy.</w:t>
      </w:r>
    </w:p>
    <w:p w:rsidR="006468C7" w:rsidRPr="00460051" w:rsidRDefault="00D813AF" w:rsidP="00EF756D">
      <w:pPr>
        <w:spacing w:before="120"/>
        <w:ind w:firstLine="709"/>
        <w:jc w:val="both"/>
        <w:rPr>
          <w:rFonts w:ascii="Arial" w:hAnsi="Arial"/>
        </w:rPr>
      </w:pPr>
      <w:r w:rsidRPr="00D813AF">
        <w:rPr>
          <w:rFonts w:ascii="Arial" w:hAnsi="Arial"/>
        </w:rPr>
        <w:t>Celkové ukazatele nových obchodů, jejichž součástí byly nové obchody odpovídající zůstatkům vkladů na konci sledovaného období, byly z metodických důvodů z výstupů úrokové statistiky odstraněny.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Zdrojem dat jsou výkazy úrokové statistiky, které banky předkládají ČNB.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>
        <w:rPr>
          <w:rFonts w:ascii="Arial" w:hAnsi="Arial" w:cs="Arial"/>
          <w:color w:val="auto"/>
          <w:sz w:val="20"/>
        </w:rPr>
        <w:t>6</w:t>
      </w:r>
      <w:r w:rsidRPr="00C822C2">
        <w:rPr>
          <w:rFonts w:ascii="Arial" w:hAnsi="Arial" w:cs="Arial"/>
          <w:color w:val="auto"/>
          <w:sz w:val="20"/>
        </w:rPr>
        <w:t xml:space="preserve">. vydání, </w:t>
      </w:r>
      <w:r w:rsidR="00A319AF">
        <w:rPr>
          <w:rFonts w:ascii="Arial" w:hAnsi="Arial" w:cs="Arial"/>
          <w:color w:val="auto"/>
          <w:sz w:val="20"/>
        </w:rPr>
        <w:t>2009</w:t>
      </w:r>
      <w:r w:rsidRPr="00C822C2">
        <w:rPr>
          <w:rFonts w:ascii="Arial" w:hAnsi="Arial" w:cs="Arial"/>
          <w:color w:val="auto"/>
          <w:sz w:val="20"/>
        </w:rPr>
        <w:t>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</w:t>
      </w:r>
      <w:r w:rsidR="00A319AF">
        <w:rPr>
          <w:rFonts w:ascii="Arial" w:hAnsi="Arial" w:cs="Arial"/>
          <w:color w:val="auto"/>
          <w:sz w:val="20"/>
        </w:rPr>
        <w:t>vč</w:t>
      </w:r>
      <w:r w:rsidR="000B149F">
        <w:rPr>
          <w:rFonts w:ascii="Arial" w:hAnsi="Arial" w:cs="Arial"/>
          <w:color w:val="auto"/>
          <w:sz w:val="20"/>
        </w:rPr>
        <w:t>etně</w:t>
      </w:r>
      <w:r w:rsidR="00A319AF">
        <w:rPr>
          <w:rFonts w:ascii="Arial" w:hAnsi="Arial" w:cs="Arial"/>
          <w:color w:val="auto"/>
          <w:sz w:val="20"/>
        </w:rPr>
        <w:t xml:space="preserve"> změny rezervních aktiv.</w:t>
      </w:r>
      <w:r w:rsidRPr="00C822C2">
        <w:rPr>
          <w:rFonts w:ascii="Arial" w:hAnsi="Arial" w:cs="Arial"/>
          <w:color w:val="auto"/>
          <w:sz w:val="20"/>
        </w:rPr>
        <w:t xml:space="preserve">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dovoz)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služeb (</w:t>
      </w:r>
      <w:r w:rsidR="006F3573" w:rsidRPr="00C822C2">
        <w:rPr>
          <w:rFonts w:ascii="Arial" w:hAnsi="Arial" w:cs="Arial"/>
          <w:color w:val="auto"/>
          <w:sz w:val="20"/>
        </w:rPr>
        <w:t>vývoz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6F3573" w:rsidRPr="00C822C2">
        <w:rPr>
          <w:rFonts w:ascii="Arial" w:hAnsi="Arial" w:cs="Arial"/>
          <w:color w:val="auto"/>
          <w:sz w:val="20"/>
        </w:rPr>
        <w:t xml:space="preserve">dovoz </w:t>
      </w:r>
      <w:r w:rsidR="00102B3F">
        <w:rPr>
          <w:rFonts w:ascii="Arial" w:hAnsi="Arial" w:cs="Arial"/>
          <w:color w:val="auto"/>
          <w:sz w:val="20"/>
        </w:rPr>
        <w:t>služeb zpracování, oprav a</w:t>
      </w:r>
      <w:r w:rsidR="000B149F">
        <w:rPr>
          <w:rFonts w:ascii="Arial" w:hAnsi="Arial" w:cs="Arial"/>
          <w:color w:val="auto"/>
          <w:sz w:val="20"/>
        </w:rPr>
        <w:t> </w:t>
      </w:r>
      <w:r w:rsidR="00102B3F">
        <w:rPr>
          <w:rFonts w:ascii="Arial" w:hAnsi="Arial" w:cs="Arial"/>
          <w:color w:val="auto"/>
          <w:sz w:val="20"/>
        </w:rPr>
        <w:t xml:space="preserve">údržby,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), </w:t>
      </w:r>
      <w:r w:rsidR="00A319AF">
        <w:rPr>
          <w:rFonts w:ascii="Arial" w:hAnsi="Arial" w:cs="Arial"/>
          <w:color w:val="auto"/>
          <w:sz w:val="20"/>
        </w:rPr>
        <w:t xml:space="preserve">prvotní důchody </w:t>
      </w:r>
      <w:r w:rsidRPr="00C822C2">
        <w:rPr>
          <w:rFonts w:ascii="Arial" w:hAnsi="Arial" w:cs="Arial"/>
          <w:color w:val="auto"/>
          <w:sz w:val="20"/>
        </w:rPr>
        <w:t>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práce (úroky, dividendy, reinvestované zisky, pracovní příjmy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DA5445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>část odvodů a</w:t>
      </w:r>
      <w:r w:rsidR="000B149F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 xml:space="preserve">dotací </w:t>
      </w:r>
      <w:r w:rsidR="00FE574F">
        <w:rPr>
          <w:rFonts w:ascii="Arial" w:hAnsi="Arial" w:cs="Arial"/>
          <w:color w:val="auto"/>
          <w:sz w:val="20"/>
        </w:rPr>
        <w:t>ve vztahu k rozpočtu Evropské unie</w:t>
      </w:r>
      <w:r w:rsidRPr="00C822C2">
        <w:rPr>
          <w:rFonts w:ascii="Arial" w:hAnsi="Arial" w:cs="Arial"/>
          <w:color w:val="auto"/>
          <w:sz w:val="20"/>
        </w:rPr>
        <w:t xml:space="preserve">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finančním zdrojům poskytnutým či získaným bez protihodnoty (</w:t>
      </w:r>
      <w:r w:rsidR="00A319AF">
        <w:rPr>
          <w:rFonts w:ascii="Arial" w:hAnsi="Arial" w:cs="Arial"/>
          <w:color w:val="auto"/>
          <w:sz w:val="20"/>
        </w:rPr>
        <w:t>druhotné důchody</w:t>
      </w:r>
      <w:r w:rsidRPr="00C822C2">
        <w:rPr>
          <w:rFonts w:ascii="Arial" w:hAnsi="Arial" w:cs="Arial"/>
          <w:color w:val="auto"/>
          <w:sz w:val="20"/>
        </w:rPr>
        <w:t xml:space="preserve">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8B6BF7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lastRenderedPageBreak/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56C47">
        <w:rPr>
          <w:rFonts w:ascii="Arial" w:hAnsi="Arial" w:cs="Arial"/>
          <w:color w:val="auto"/>
          <w:sz w:val="20"/>
        </w:rPr>
        <w:t>reinvestování zisku</w:t>
      </w:r>
      <w:r w:rsidRPr="00C822C2">
        <w:rPr>
          <w:rFonts w:ascii="Arial" w:hAnsi="Arial" w:cs="Arial"/>
          <w:color w:val="auto"/>
          <w:sz w:val="20"/>
        </w:rPr>
        <w:t>, </w:t>
      </w:r>
      <w:r w:rsidR="00556C47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A319AF">
        <w:rPr>
          <w:rFonts w:ascii="Arial" w:hAnsi="Arial" w:cs="Arial"/>
          <w:color w:val="auto"/>
          <w:sz w:val="20"/>
        </w:rPr>
        <w:t>,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A319AF">
        <w:rPr>
          <w:rFonts w:ascii="Arial" w:hAnsi="Arial" w:cs="Arial"/>
          <w:color w:val="auto"/>
          <w:sz w:val="20"/>
        </w:rPr>
        <w:t xml:space="preserve"> a</w:t>
      </w:r>
      <w:r w:rsidR="000B149F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rezervní aktiva. Základní členění ostatních investic je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podle používaného finančního instrumentu (majetkové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dluhové cenné papíry, oběživo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 xml:space="preserve">depozita, půjčky, </w:t>
      </w:r>
      <w:r w:rsidR="005A3C44">
        <w:rPr>
          <w:rFonts w:ascii="Arial" w:hAnsi="Arial" w:cs="Arial"/>
          <w:color w:val="auto"/>
          <w:sz w:val="20"/>
        </w:rPr>
        <w:t>pojistné, penzijní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standardizované záruční programy, obchodní úvěry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zálohy, jiné pohledávky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závazky, </w:t>
      </w:r>
      <w:r w:rsidR="005A3C44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zvláštní práva čerpání)</w:t>
      </w:r>
      <w:r w:rsidR="00A319AF">
        <w:rPr>
          <w:rFonts w:ascii="Arial" w:hAnsi="Arial" w:cs="Arial"/>
          <w:color w:val="auto"/>
          <w:sz w:val="20"/>
        </w:rPr>
        <w:t xml:space="preserve">, 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časového hlediska</w:t>
      </w:r>
      <w:r w:rsidR="00A319AF">
        <w:rPr>
          <w:rFonts w:ascii="Arial" w:hAnsi="Arial" w:cs="Arial"/>
          <w:color w:val="auto"/>
          <w:sz w:val="20"/>
        </w:rPr>
        <w:t xml:space="preserve"> (dlo</w:t>
      </w:r>
      <w:r w:rsidR="005A3C44">
        <w:rPr>
          <w:rFonts w:ascii="Arial" w:hAnsi="Arial" w:cs="Arial"/>
          <w:color w:val="auto"/>
          <w:sz w:val="20"/>
        </w:rPr>
        <w:t>u</w:t>
      </w:r>
      <w:r w:rsidR="00A319AF">
        <w:rPr>
          <w:rFonts w:ascii="Arial" w:hAnsi="Arial" w:cs="Arial"/>
          <w:color w:val="auto"/>
          <w:sz w:val="20"/>
        </w:rPr>
        <w:t>hodobé, krátkodobé)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</w:t>
      </w:r>
      <w:r w:rsidR="00A319AF">
        <w:rPr>
          <w:rFonts w:ascii="Arial" w:hAnsi="Arial" w:cs="Arial"/>
          <w:color w:val="auto"/>
          <w:sz w:val="20"/>
        </w:rPr>
        <w:t>.</w:t>
      </w:r>
    </w:p>
    <w:p w:rsidR="000572F9" w:rsidRPr="00C822C2" w:rsidRDefault="005A3C44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</w:t>
      </w:r>
      <w:r w:rsidR="00D6328D">
        <w:rPr>
          <w:rFonts w:ascii="Arial" w:hAnsi="Arial" w:cs="Arial"/>
          <w:b/>
          <w:color w:val="auto"/>
          <w:sz w:val="20"/>
        </w:rPr>
        <w:t xml:space="preserve"> položce</w:t>
      </w:r>
      <w:r>
        <w:rPr>
          <w:rFonts w:ascii="Arial" w:hAnsi="Arial" w:cs="Arial"/>
          <w:b/>
          <w:color w:val="auto"/>
          <w:sz w:val="20"/>
        </w:rPr>
        <w:t xml:space="preserve"> rezervní aktiv</w:t>
      </w:r>
      <w:r w:rsidR="00D6328D">
        <w:rPr>
          <w:rFonts w:ascii="Arial" w:hAnsi="Arial" w:cs="Arial"/>
          <w:b/>
          <w:color w:val="auto"/>
          <w:sz w:val="20"/>
        </w:rPr>
        <w:t>a</w:t>
      </w:r>
      <w:r w:rsidR="000572F9"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</w:t>
      </w:r>
      <w:r w:rsidR="00D6328D">
        <w:rPr>
          <w:rFonts w:ascii="Arial" w:hAnsi="Arial" w:cs="Arial"/>
          <w:color w:val="auto"/>
          <w:sz w:val="20"/>
        </w:rPr>
        <w:t xml:space="preserve">Jedná se </w:t>
      </w:r>
      <w:r w:rsidR="005C3D6D">
        <w:rPr>
          <w:rFonts w:ascii="Arial" w:hAnsi="Arial" w:cs="Arial"/>
          <w:color w:val="auto"/>
          <w:sz w:val="20"/>
        </w:rPr>
        <w:t>o </w:t>
      </w:r>
      <w:r w:rsidR="000572F9" w:rsidRPr="00C822C2">
        <w:rPr>
          <w:rFonts w:ascii="Arial" w:hAnsi="Arial" w:cs="Arial"/>
          <w:color w:val="auto"/>
          <w:sz w:val="20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>
        <w:rPr>
          <w:rFonts w:ascii="Arial" w:hAnsi="Arial" w:cs="Arial"/>
          <w:color w:val="auto"/>
          <w:sz w:val="20"/>
        </w:rPr>
        <w:t xml:space="preserve"> Rezervní aktiva jsou zahrnuta ve finančním účtu p</w:t>
      </w:r>
      <w:r w:rsidR="00FE574F">
        <w:rPr>
          <w:rFonts w:ascii="Arial" w:hAnsi="Arial" w:cs="Arial"/>
          <w:color w:val="auto"/>
          <w:sz w:val="20"/>
        </w:rPr>
        <w:t>la</w:t>
      </w:r>
      <w:r>
        <w:rPr>
          <w:rFonts w:ascii="Arial" w:hAnsi="Arial" w:cs="Arial"/>
          <w:color w:val="auto"/>
          <w:sz w:val="20"/>
        </w:rPr>
        <w:t xml:space="preserve">tební bilance.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dopočtovou položkou mezi výsledným saldem běžného</w:t>
      </w:r>
      <w:r w:rsidR="005A3C44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kapitálového účtu</w:t>
      </w:r>
      <w:r w:rsidRPr="00C822C2">
        <w:rPr>
          <w:rFonts w:ascii="Arial" w:hAnsi="Arial" w:cs="Arial"/>
          <w:color w:val="auto"/>
          <w:sz w:val="20"/>
        </w:rPr>
        <w:t xml:space="preserve">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A3C44">
        <w:rPr>
          <w:rFonts w:ascii="Arial" w:hAnsi="Arial" w:cs="Arial"/>
          <w:color w:val="auto"/>
          <w:sz w:val="20"/>
        </w:rPr>
        <w:t xml:space="preserve">saldem finančního účtu </w:t>
      </w:r>
      <w:r w:rsidRPr="00C822C2">
        <w:rPr>
          <w:rFonts w:ascii="Arial" w:hAnsi="Arial" w:cs="Arial"/>
          <w:color w:val="auto"/>
          <w:sz w:val="20"/>
        </w:rPr>
        <w:t>na straně druhé</w:t>
      </w:r>
      <w:r w:rsidR="005A3C44">
        <w:rPr>
          <w:rFonts w:ascii="Arial" w:hAnsi="Arial" w:cs="Arial"/>
          <w:color w:val="auto"/>
          <w:sz w:val="20"/>
        </w:rPr>
        <w:t>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5A3C44">
        <w:rPr>
          <w:rFonts w:ascii="Arial" w:hAnsi="Arial" w:cs="Arial"/>
          <w:color w:val="auto"/>
          <w:sz w:val="20"/>
        </w:rPr>
        <w:t>P</w:t>
      </w:r>
      <w:r w:rsidR="005A3C44" w:rsidRPr="00C822C2">
        <w:rPr>
          <w:rFonts w:ascii="Arial" w:hAnsi="Arial" w:cs="Arial"/>
          <w:color w:val="auto"/>
          <w:sz w:val="20"/>
        </w:rPr>
        <w:t xml:space="preserve">ředstavují </w:t>
      </w:r>
      <w:r w:rsidRPr="00C822C2">
        <w:rPr>
          <w:rFonts w:ascii="Arial" w:hAnsi="Arial" w:cs="Arial"/>
          <w:color w:val="auto"/>
          <w:sz w:val="20"/>
        </w:rPr>
        <w:t>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sestavení platební bilance je statistika zahraničního obchodu se zbožím a službami (ČSÚ)</w:t>
      </w:r>
      <w:r w:rsidR="005A3C44">
        <w:rPr>
          <w:rFonts w:ascii="Arial" w:hAnsi="Arial" w:cs="Arial"/>
          <w:color w:val="auto"/>
          <w:sz w:val="20"/>
        </w:rPr>
        <w:t xml:space="preserve"> v národním pojetí</w:t>
      </w:r>
      <w:r w:rsidRPr="00C822C2">
        <w:rPr>
          <w:rFonts w:ascii="Arial" w:hAnsi="Arial" w:cs="Arial"/>
          <w:color w:val="auto"/>
          <w:sz w:val="20"/>
        </w:rPr>
        <w:t>, údaje z výkazů bankovních a nebankovních subjektů, informace z administrativních zdrojů od centrálních orgánů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dalších institucí,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E6093D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554A4F">
      <w:pPr>
        <w:autoSpaceDE w:val="0"/>
        <w:autoSpaceDN w:val="0"/>
        <w:adjustRightInd w:val="0"/>
        <w:rPr>
          <w:rFonts w:ascii="Arial" w:hAnsi="Arial" w:cs="Arial"/>
        </w:rPr>
      </w:pPr>
      <w:r w:rsidRPr="00E6093D">
        <w:rPr>
          <w:rFonts w:ascii="Arial" w:hAnsi="Arial" w:cs="Arial"/>
        </w:rPr>
        <w:t xml:space="preserve">Tab. 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>-13. a 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 xml:space="preserve">-14. </w:t>
      </w:r>
      <w:r w:rsidRPr="00E6093D">
        <w:rPr>
          <w:rFonts w:ascii="Arial" w:hAnsi="Arial" w:cs="Arial"/>
          <w:b/>
        </w:rPr>
        <w:t>Přímé zahraniční investice do České republiky podle zemí a činností</w:t>
      </w:r>
    </w:p>
    <w:p w:rsidR="00AB2595" w:rsidRPr="00E6093D" w:rsidRDefault="00554A4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E6093D">
        <w:rPr>
          <w:rFonts w:ascii="Arial" w:hAnsi="Arial" w:cs="Arial"/>
        </w:rPr>
        <w:t xml:space="preserve">Vykazované údaje zachycují příliv (tok) přímých zahraničních investic do České republiky v daném období. V souvislosti se zavedením šestého vydání </w:t>
      </w:r>
      <w:r w:rsidR="00BD11A6" w:rsidRPr="00E6093D">
        <w:rPr>
          <w:rFonts w:ascii="Arial" w:hAnsi="Arial" w:cs="Arial"/>
        </w:rPr>
        <w:t xml:space="preserve">Manuálu k sestavování </w:t>
      </w:r>
      <w:r w:rsidRPr="00E6093D">
        <w:rPr>
          <w:rFonts w:ascii="Arial" w:hAnsi="Arial" w:cs="Arial"/>
        </w:rPr>
        <w:t xml:space="preserve">platební bilance </w:t>
      </w:r>
      <w:r w:rsidR="00E6093D" w:rsidRPr="00E6093D">
        <w:rPr>
          <w:rFonts w:ascii="Arial" w:hAnsi="Arial" w:cs="Arial"/>
        </w:rPr>
        <w:t>a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investiční pozice </w:t>
      </w:r>
      <w:r w:rsidR="00BD11A6" w:rsidRPr="00E6093D">
        <w:rPr>
          <w:rFonts w:ascii="Arial" w:hAnsi="Arial" w:cs="Arial"/>
        </w:rPr>
        <w:t>vůči zahraničí</w:t>
      </w:r>
      <w:r w:rsidRPr="00E6093D">
        <w:rPr>
          <w:rFonts w:ascii="Arial" w:hAnsi="Arial" w:cs="Arial"/>
        </w:rPr>
        <w:t xml:space="preserve"> </w:t>
      </w:r>
      <w:r w:rsidR="0054766B" w:rsidRPr="00E6093D">
        <w:rPr>
          <w:rFonts w:ascii="Arial" w:hAnsi="Arial" w:cs="Arial"/>
        </w:rPr>
        <w:t>(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roce 2014</w:t>
      </w:r>
      <w:r w:rsidR="0054766B" w:rsidRPr="00E6093D">
        <w:rPr>
          <w:rFonts w:ascii="Arial" w:hAnsi="Arial" w:cs="Arial"/>
        </w:rPr>
        <w:t>)</w:t>
      </w:r>
      <w:r w:rsidRPr="00E6093D">
        <w:rPr>
          <w:rFonts w:ascii="Arial" w:hAnsi="Arial" w:cs="Arial"/>
        </w:rPr>
        <w:t xml:space="preserve"> došlo </w:t>
      </w:r>
      <w:r w:rsidR="00E6093D" w:rsidRPr="00E6093D">
        <w:rPr>
          <w:rFonts w:ascii="Arial" w:hAnsi="Arial" w:cs="Arial"/>
        </w:rPr>
        <w:t>u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přímých zahraničních investic ke změnám 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prezentaci dat. Výstupy jsou členěny podle principu aktiv/pasiv. Na straně aktiv jsou zachyceny úvěrové vztahy vůči přímému investorovi (změna poskytnutých úvěrů)</w:t>
      </w:r>
      <w:r w:rsidR="00BD11A6" w:rsidRPr="00E6093D">
        <w:rPr>
          <w:rFonts w:ascii="Arial" w:hAnsi="Arial" w:cs="Arial"/>
        </w:rPr>
        <w:t>.</w:t>
      </w:r>
      <w:r w:rsidRPr="00E6093D">
        <w:rPr>
          <w:rFonts w:ascii="Arial" w:hAnsi="Arial" w:cs="Arial"/>
        </w:rPr>
        <w:t xml:space="preserve"> </w:t>
      </w:r>
      <w:r w:rsidR="00BD11A6" w:rsidRPr="00E6093D">
        <w:rPr>
          <w:rFonts w:ascii="Arial" w:hAnsi="Arial" w:cs="Arial"/>
        </w:rPr>
        <w:t xml:space="preserve">Na </w:t>
      </w:r>
      <w:r w:rsidRPr="00E6093D">
        <w:rPr>
          <w:rFonts w:ascii="Arial" w:hAnsi="Arial" w:cs="Arial"/>
        </w:rPr>
        <w:t>straně pasiv jsou zahrnuty vklady do základního kapitálu včetně reinvestovaných zisků a úvěrové vztahy s přímým investorem (změna přijatých úvěrů). Položka NET</w:t>
      </w:r>
      <w:r w:rsidR="00BD11A6" w:rsidRPr="00E6093D">
        <w:rPr>
          <w:rFonts w:ascii="Arial" w:hAnsi="Arial" w:cs="Arial"/>
        </w:rPr>
        <w:t>TO</w:t>
      </w:r>
      <w:r w:rsidRPr="00E6093D">
        <w:rPr>
          <w:rFonts w:ascii="Arial" w:hAnsi="Arial" w:cs="Arial"/>
        </w:rPr>
        <w:t xml:space="preserve"> zachycuje čistý příliv přímých zahraničních investic od</w:t>
      </w:r>
      <w:r w:rsidR="00965303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nerezidentů do České republiky (pasiva snížená </w:t>
      </w:r>
      <w:r w:rsidR="00E6093D" w:rsidRPr="00E6093D">
        <w:rPr>
          <w:rFonts w:ascii="Arial" w:hAnsi="Arial" w:cs="Arial"/>
        </w:rPr>
        <w:t>o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aktiva). </w:t>
      </w:r>
      <w:r w:rsidRPr="00E6093D">
        <w:rPr>
          <w:rFonts w:ascii="Arial" w:hAnsi="Arial" w:cs="Arial"/>
          <w:snapToGrid w:val="0"/>
        </w:rPr>
        <w:t xml:space="preserve">Prezentace přílivu přímých zahraničních investic je v teritoriální struktuře (země bezprostředního investora) </w:t>
      </w:r>
      <w:r w:rsidR="00E6093D" w:rsidRPr="00E6093D">
        <w:rPr>
          <w:rFonts w:ascii="Arial" w:hAnsi="Arial" w:cs="Arial"/>
          <w:snapToGrid w:val="0"/>
        </w:rPr>
        <w:t>a</w:t>
      </w:r>
      <w:r w:rsidR="00006D71">
        <w:rPr>
          <w:rFonts w:ascii="Arial" w:hAnsi="Arial" w:cs="Arial"/>
          <w:snapToGrid w:val="0"/>
        </w:rPr>
        <w:t> </w:t>
      </w:r>
      <w:r w:rsidR="00E6093D" w:rsidRPr="00E6093D">
        <w:rPr>
          <w:rFonts w:ascii="Arial" w:hAnsi="Arial" w:cs="Arial"/>
          <w:snapToGrid w:val="0"/>
        </w:rPr>
        <w:t>v</w:t>
      </w:r>
      <w:r w:rsidR="00E6093D">
        <w:rPr>
          <w:rFonts w:ascii="Arial" w:hAnsi="Arial" w:cs="Arial"/>
          <w:snapToGrid w:val="0"/>
        </w:rPr>
        <w:t> </w:t>
      </w:r>
      <w:r w:rsidRPr="00E6093D">
        <w:rPr>
          <w:rFonts w:ascii="Arial" w:hAnsi="Arial" w:cs="Arial"/>
          <w:snapToGrid w:val="0"/>
        </w:rPr>
        <w:t>odvětvovém členění (</w:t>
      </w:r>
      <w:r w:rsidR="00BD11A6" w:rsidRPr="00E6093D">
        <w:rPr>
          <w:rFonts w:ascii="Arial" w:hAnsi="Arial" w:cs="Arial"/>
          <w:snapToGrid w:val="0"/>
        </w:rPr>
        <w:t xml:space="preserve">Klasifikace </w:t>
      </w:r>
      <w:r w:rsidRPr="00E6093D">
        <w:rPr>
          <w:rFonts w:ascii="Arial" w:hAnsi="Arial" w:cs="Arial"/>
          <w:snapToGrid w:val="0"/>
        </w:rPr>
        <w:t>ekonomických činností NACE Rev.</w:t>
      </w:r>
      <w:r w:rsidR="00E6093D">
        <w:rPr>
          <w:rFonts w:ascii="Arial" w:hAnsi="Arial" w:cs="Arial"/>
          <w:snapToGrid w:val="0"/>
        </w:rPr>
        <w:t xml:space="preserve"> </w:t>
      </w:r>
      <w:r w:rsidRPr="00E6093D">
        <w:rPr>
          <w:rFonts w:ascii="Arial" w:hAnsi="Arial" w:cs="Arial"/>
          <w:snapToGrid w:val="0"/>
        </w:rPr>
        <w:t xml:space="preserve">2).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 xml:space="preserve">Za přímou zahraniční investici se považuje taková přeshraniční investice, která odráží záměr nerezidenta (přímého investora) získat trvalou účast v podniku přímé investice v České republice. Trvalá účast implikuje existenci dlouhodobého vztahu mezi přímým investorem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přímou investicí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významný vliv na řízení podniku.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>Údaje o přímých zahraničních investicích jsou vypracovány na základě informací a podkladů ve formě statistických výkazů nebankovních subjektů vyplývajících z § 41, odst. 1, písm. c) zákona č. 6/1993 Sb., o České národní bance a ve znění zákona č. 227/2013 Sb. Obsah, formu, lhůty a způsob sestavování a předkládání stanoví vyhláška č. 235/2013 Sb. Jako hlavní zdroj jsou využívány čtvrtletní výkazy o vybraných aktivech a pasivech vůči zahraničí a roční výkazy nefinančních podniků o stavech přímých investic v tuzemsku. Doplňujícími informačními zdroji jsou výkazy bankovních subjektů, ministerstva financí o zahraničních platbách, informace z burzy cenných papírů, obchodní věstník a tisk.</w:t>
      </w: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E6093D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134134">
        <w:rPr>
          <w:rFonts w:ascii="Arial" w:hAnsi="Arial" w:cs="Arial"/>
          <w:color w:val="auto"/>
          <w:sz w:val="20"/>
        </w:rPr>
        <w:t xml:space="preserve"> vč</w:t>
      </w:r>
      <w:r w:rsidR="00DC446A">
        <w:rPr>
          <w:rFonts w:ascii="Arial" w:hAnsi="Arial" w:cs="Arial"/>
          <w:color w:val="auto"/>
          <w:sz w:val="20"/>
        </w:rPr>
        <w:t>etně</w:t>
      </w:r>
      <w:r w:rsidR="00134134">
        <w:rPr>
          <w:rFonts w:ascii="Arial" w:hAnsi="Arial" w:cs="Arial"/>
          <w:color w:val="auto"/>
          <w:sz w:val="20"/>
        </w:rPr>
        <w:t xml:space="preserve"> reinvestovaného zisku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134134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členěny </w:t>
      </w:r>
      <w:r w:rsidR="00134134">
        <w:rPr>
          <w:rFonts w:ascii="Arial" w:hAnsi="Arial" w:cs="Arial"/>
          <w:color w:val="auto"/>
          <w:sz w:val="20"/>
        </w:rPr>
        <w:t>podle finančních instrumentů (majetkové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dluhové cenné papíry, oběživo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depozita, půjčky, pojistné, penzijní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standardizované záruční programy, obchodní úvěry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zálohy, jiné pohledávky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závazky,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zvláštní práva čerpání), podle splatnosti (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134134">
        <w:rPr>
          <w:rFonts w:ascii="Arial" w:hAnsi="Arial" w:cs="Arial"/>
          <w:color w:val="auto"/>
          <w:sz w:val="20"/>
        </w:rPr>
        <w:t>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 xml:space="preserve">sektorů. Na straně aktiv jsou </w:t>
      </w:r>
      <w:r w:rsidR="00134134">
        <w:rPr>
          <w:rFonts w:ascii="Arial" w:hAnsi="Arial" w:cs="Arial"/>
          <w:color w:val="auto"/>
          <w:sz w:val="20"/>
        </w:rPr>
        <w:t xml:space="preserve">dále </w:t>
      </w:r>
      <w:r w:rsidRPr="00C822C2">
        <w:rPr>
          <w:rFonts w:ascii="Arial" w:hAnsi="Arial" w:cs="Arial"/>
          <w:color w:val="auto"/>
          <w:sz w:val="20"/>
        </w:rPr>
        <w:t xml:space="preserve">uvedeny </w:t>
      </w:r>
      <w:r w:rsidR="00134134">
        <w:rPr>
          <w:rFonts w:ascii="Arial" w:hAnsi="Arial" w:cs="Arial"/>
          <w:color w:val="auto"/>
          <w:sz w:val="20"/>
        </w:rPr>
        <w:lastRenderedPageBreak/>
        <w:t>rezervní aktiva</w:t>
      </w:r>
      <w:r w:rsidR="00134134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</w:t>
      </w:r>
      <w:r w:rsidR="00965303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  <w:r w:rsidR="00134134">
        <w:rPr>
          <w:rFonts w:ascii="Arial" w:hAnsi="Arial" w:cs="Arial"/>
          <w:color w:val="auto"/>
          <w:sz w:val="20"/>
        </w:rPr>
        <w:t xml:space="preserve"> Na straně pasiv </w:t>
      </w:r>
      <w:r w:rsidR="00D6328D">
        <w:rPr>
          <w:rFonts w:ascii="Arial" w:hAnsi="Arial" w:cs="Arial"/>
          <w:color w:val="auto"/>
          <w:sz w:val="20"/>
        </w:rPr>
        <w:t xml:space="preserve">jsou odděleně uvedeny </w:t>
      </w:r>
      <w:r w:rsidR="00134134">
        <w:rPr>
          <w:rFonts w:ascii="Arial" w:hAnsi="Arial" w:cs="Arial"/>
          <w:color w:val="auto"/>
          <w:sz w:val="20"/>
        </w:rPr>
        <w:t>závazky z</w:t>
      </w:r>
      <w:r w:rsidR="00544CA6">
        <w:rPr>
          <w:rFonts w:ascii="Arial" w:hAnsi="Arial" w:cs="Arial"/>
          <w:color w:val="auto"/>
          <w:sz w:val="20"/>
        </w:rPr>
        <w:t xml:space="preserve"> alokace</w:t>
      </w:r>
      <w:r w:rsidR="00134134">
        <w:rPr>
          <w:rFonts w:ascii="Arial" w:hAnsi="Arial" w:cs="Arial"/>
          <w:color w:val="auto"/>
          <w:sz w:val="20"/>
        </w:rPr>
        <w:t xml:space="preserve"> </w:t>
      </w:r>
      <w:r w:rsidR="00FD5BF6">
        <w:rPr>
          <w:rFonts w:ascii="Arial" w:hAnsi="Arial" w:cs="Arial"/>
          <w:color w:val="auto"/>
          <w:sz w:val="20"/>
        </w:rPr>
        <w:t xml:space="preserve">zvláštních </w:t>
      </w:r>
      <w:r w:rsidR="00134134">
        <w:rPr>
          <w:rFonts w:ascii="Arial" w:hAnsi="Arial" w:cs="Arial"/>
          <w:color w:val="auto"/>
          <w:sz w:val="20"/>
        </w:rPr>
        <w:t>práv čerpání.</w:t>
      </w:r>
    </w:p>
    <w:p w:rsidR="000572F9" w:rsidRPr="00C822C2" w:rsidRDefault="00783CB5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</w:t>
      </w:r>
      <w:r w:rsidR="00965303">
        <w:rPr>
          <w:rFonts w:ascii="Arial" w:hAnsi="Arial" w:cs="Arial"/>
          <w:color w:val="auto"/>
          <w:sz w:val="20"/>
        </w:rPr>
        <w:t> </w:t>
      </w:r>
      <w:r w:rsidR="000572F9" w:rsidRPr="00C822C2">
        <w:rPr>
          <w:rFonts w:ascii="Arial" w:hAnsi="Arial" w:cs="Arial"/>
          <w:color w:val="auto"/>
          <w:sz w:val="20"/>
        </w:rPr>
        <w:t>zahraničí (věřitelskou či dlužnickou pozici).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vykázaných v platební bilanci </w:t>
      </w:r>
      <w:r w:rsidR="00A07482">
        <w:rPr>
          <w:rFonts w:ascii="Arial" w:hAnsi="Arial" w:cs="Arial"/>
          <w:color w:val="auto"/>
          <w:sz w:val="20"/>
        </w:rPr>
        <w:t>–</w:t>
      </w:r>
      <w:r w:rsidR="00134134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134134">
        <w:rPr>
          <w:rFonts w:ascii="Arial" w:hAnsi="Arial" w:cs="Arial"/>
          <w:color w:val="auto"/>
          <w:sz w:val="20"/>
        </w:rPr>
        <w:t>, cenové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vlivy.</w:t>
      </w:r>
    </w:p>
    <w:p w:rsidR="00783CB5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</w:t>
      </w:r>
      <w:r w:rsidR="00965303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</w:t>
      </w:r>
      <w:r w:rsidR="007246BF">
        <w:rPr>
          <w:rFonts w:ascii="Arial" w:hAnsi="Arial" w:cs="Arial"/>
          <w:color w:val="auto"/>
          <w:sz w:val="20"/>
        </w:rPr>
        <w:t xml:space="preserve"> vč</w:t>
      </w:r>
      <w:r w:rsidR="00985FF3">
        <w:rPr>
          <w:rFonts w:ascii="Arial" w:hAnsi="Arial" w:cs="Arial"/>
          <w:color w:val="auto"/>
          <w:sz w:val="20"/>
        </w:rPr>
        <w:t>etně</w:t>
      </w:r>
      <w:r w:rsidR="007246BF">
        <w:rPr>
          <w:rFonts w:ascii="Arial" w:hAnsi="Arial" w:cs="Arial"/>
          <w:color w:val="auto"/>
          <w:sz w:val="20"/>
        </w:rPr>
        <w:t xml:space="preserve"> reinvestovaného zisku</w:t>
      </w:r>
      <w:r w:rsidRPr="00C822C2">
        <w:rPr>
          <w:rFonts w:ascii="Arial" w:hAnsi="Arial" w:cs="Arial"/>
          <w:color w:val="auto"/>
          <w:sz w:val="20"/>
        </w:rPr>
        <w:t>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 xml:space="preserve">, </w:t>
      </w:r>
      <w:r w:rsidR="007246BF">
        <w:rPr>
          <w:rFonts w:ascii="Arial" w:hAnsi="Arial" w:cs="Arial"/>
          <w:color w:val="auto"/>
          <w:sz w:val="20"/>
        </w:rPr>
        <w:t xml:space="preserve">ostatní </w:t>
      </w:r>
      <w:r w:rsidR="00374D75" w:rsidRPr="00C822C2">
        <w:rPr>
          <w:rFonts w:ascii="Arial" w:hAnsi="Arial" w:cs="Arial"/>
          <w:color w:val="auto"/>
          <w:sz w:val="20"/>
        </w:rPr>
        <w:t>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</w:t>
      </w:r>
      <w:r w:rsidR="007246BF">
        <w:rPr>
          <w:rFonts w:ascii="Arial" w:hAnsi="Arial" w:cs="Arial"/>
          <w:b/>
          <w:color w:val="auto"/>
          <w:sz w:val="20"/>
        </w:rPr>
        <w:t>Rezervní aktiva</w:t>
      </w:r>
    </w:p>
    <w:p w:rsidR="000572F9" w:rsidRPr="00C822C2" w:rsidRDefault="007246B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Rezervní aktiva</w:t>
      </w:r>
      <w:r w:rsidR="000572F9" w:rsidRPr="00C822C2">
        <w:rPr>
          <w:rFonts w:ascii="Arial" w:hAnsi="Arial" w:cs="Arial"/>
          <w:color w:val="auto"/>
          <w:sz w:val="20"/>
        </w:rPr>
        <w:t xml:space="preserve">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="000572F9"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="000572F9"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="000572F9"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="000572F9"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="000572F9"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="000572F9"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jejich propočet je </w:t>
      </w:r>
      <w:r w:rsidR="00D77E4B" w:rsidRPr="000210CC">
        <w:rPr>
          <w:rFonts w:ascii="Arial" w:hAnsi="Arial" w:cs="Arial"/>
          <w:color w:val="auto"/>
          <w:sz w:val="20"/>
        </w:rPr>
        <w:t>rozvaha</w:t>
      </w:r>
      <w:r w:rsidR="00FB55C0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="00F01B00">
        <w:rPr>
          <w:rFonts w:ascii="Arial" w:hAnsi="Arial" w:cs="Arial"/>
          <w:snapToGrid w:val="0"/>
        </w:rPr>
        <w:t>5</w:t>
      </w:r>
      <w:r w:rsidRPr="00C822C2">
        <w:rPr>
          <w:rFonts w:ascii="Arial" w:hAnsi="Arial" w:cs="Arial"/>
          <w:snapToGrid w:val="0"/>
        </w:rPr>
        <w:t xml:space="preserve">).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eurozóny,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</w:t>
      </w:r>
      <w:r w:rsidR="0046656C" w:rsidRPr="00C822C2">
        <w:rPr>
          <w:rFonts w:ascii="Arial" w:hAnsi="Arial" w:cs="Arial"/>
          <w:snapToGrid w:val="0"/>
        </w:rPr>
        <w:lastRenderedPageBreak/>
        <w:t>a </w:t>
      </w:r>
      <w:r w:rsidRPr="00C822C2">
        <w:rPr>
          <w:rFonts w:ascii="Arial" w:hAnsi="Arial" w:cs="Arial"/>
          <w:snapToGrid w:val="0"/>
        </w:rPr>
        <w:t>kurzem EUR, je to</w:t>
      </w:r>
      <w:r w:rsidR="00380788">
        <w:rPr>
          <w:rFonts w:ascii="Arial" w:hAnsi="Arial" w:cs="Arial"/>
          <w:snapToGrid w:val="0"/>
        </w:rPr>
        <w:t xml:space="preserve"> </w:t>
      </w:r>
      <w:r w:rsidR="00380788" w:rsidRPr="00380788">
        <w:rPr>
          <w:rFonts w:ascii="Arial" w:hAnsi="Arial" w:cs="Arial"/>
          <w:snapToGrid w:val="0"/>
        </w:rPr>
        <w:t>Čína, Polsko, Velká Británie, Maďarsko, Rusko, Spojené státy, Švýcarsko, Korejská republika, Rumunsko, Švédsko, Japonsko a</w:t>
      </w:r>
      <w:r w:rsidR="003C0513">
        <w:rPr>
          <w:rFonts w:ascii="Arial" w:hAnsi="Arial" w:cs="Arial"/>
          <w:snapToGrid w:val="0"/>
        </w:rPr>
        <w:t> </w:t>
      </w:r>
      <w:r w:rsidR="00380788" w:rsidRPr="00380788">
        <w:rPr>
          <w:rFonts w:ascii="Arial" w:hAnsi="Arial" w:cs="Arial"/>
          <w:snapToGrid w:val="0"/>
        </w:rPr>
        <w:t>Dánsko</w:t>
      </w:r>
      <w:r w:rsidRPr="00C822C2">
        <w:rPr>
          <w:rFonts w:ascii="Arial" w:hAnsi="Arial" w:cs="Arial"/>
          <w:snapToGrid w:val="0"/>
        </w:rPr>
        <w:t>. Váhové podíly byly zpracovány ve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>vztahuje pouze ke čtyřem komoditním skupinám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>Standard International Trade Classification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</w:t>
      </w:r>
      <w:r w:rsidR="00940723" w:rsidRPr="00940723">
        <w:rPr>
          <w:rFonts w:ascii="Arial" w:hAnsi="Arial" w:cs="Arial"/>
          <w:i/>
          <w:snapToGrid w:val="0"/>
        </w:rPr>
        <w:t>SITC</w:t>
      </w:r>
      <w:r w:rsidRPr="00C822C2">
        <w:rPr>
          <w:rFonts w:ascii="Arial" w:hAnsi="Arial" w:cs="Arial"/>
          <w:snapToGrid w:val="0"/>
        </w:rPr>
        <w:t>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="0060228D">
        <w:rPr>
          <w:rFonts w:ascii="Arial" w:hAnsi="Arial" w:cs="Arial"/>
          <w:sz w:val="20"/>
        </w:rPr>
        <w:t>5</w:t>
      </w:r>
      <w:r w:rsidRPr="00C822C2">
        <w:rPr>
          <w:rFonts w:ascii="Arial" w:hAnsi="Arial" w:cs="Arial"/>
          <w:sz w:val="20"/>
        </w:rPr>
        <w:t>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zemí mimo eurozónu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všech zemí eurozóny. Jednotlivé země eurozóny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eurozóny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klasifikace SITC.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EF756D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EF756D">
      <w:pPr>
        <w:pStyle w:val="Zkladntext"/>
        <w:widowControl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9" type="#_x0000_t75" style="width:180.6pt;height:60pt" o:ole="" fillcolor="window">
            <v:imagedata r:id="rId15" o:title=""/>
          </v:shape>
          <o:OLEObject Type="Embed" ProgID="Equation.3" ShapeID="_x0000_i1029" DrawAspect="Content" ObjectID="_1632565897" r:id="rId16"/>
        </w:object>
      </w: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i-tého obchodního partnera v období t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i-tého obchodního partnera</w:t>
            </w:r>
          </w:p>
        </w:tc>
      </w:tr>
    </w:tbl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*          *          *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EF756D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9067CA" w:rsidRDefault="000572F9" w:rsidP="00EF756D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9067CA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7" w:history="1">
        <w:r w:rsidR="0000297B" w:rsidRPr="009067CA">
          <w:rPr>
            <w:rStyle w:val="Hypertextovodkaz"/>
            <w:rFonts w:ascii="Arial" w:hAnsi="Arial" w:cs="Arial"/>
            <w:bCs/>
            <w:sz w:val="20"/>
          </w:rPr>
          <w:t>www.cnb.cz/cs/statistika</w:t>
        </w:r>
      </w:hyperlink>
      <w:r w:rsidR="00433F84" w:rsidRPr="009067CA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9067CA" w:rsidSect="00615E70">
      <w:headerReference w:type="even" r:id="rId18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34" w:rsidRDefault="006A5F34">
      <w:r>
        <w:separator/>
      </w:r>
    </w:p>
  </w:endnote>
  <w:endnote w:type="continuationSeparator" w:id="0">
    <w:p w:rsidR="006A5F34" w:rsidRDefault="006A5F34">
      <w:r>
        <w:continuationSeparator/>
      </w:r>
    </w:p>
  </w:endnote>
  <w:endnote w:type="continuationNotice" w:id="1">
    <w:p w:rsidR="006A5F34" w:rsidRDefault="006A5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34" w:rsidRDefault="006A5F34">
      <w:r>
        <w:separator/>
      </w:r>
    </w:p>
  </w:footnote>
  <w:footnote w:type="continuationSeparator" w:id="0">
    <w:p w:rsidR="006A5F34" w:rsidRDefault="006A5F34">
      <w:r>
        <w:continuationSeparator/>
      </w:r>
    </w:p>
  </w:footnote>
  <w:footnote w:type="continuationNotice" w:id="1">
    <w:p w:rsidR="006A5F34" w:rsidRDefault="006A5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A" w:rsidRDefault="00AB25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8"/>
    <w:rsid w:val="0000297B"/>
    <w:rsid w:val="000057E2"/>
    <w:rsid w:val="00006D71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0A8D"/>
    <w:rsid w:val="000572F9"/>
    <w:rsid w:val="0006716A"/>
    <w:rsid w:val="000754C7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102B3F"/>
    <w:rsid w:val="00103E94"/>
    <w:rsid w:val="00104267"/>
    <w:rsid w:val="00110527"/>
    <w:rsid w:val="00125F53"/>
    <w:rsid w:val="001314C6"/>
    <w:rsid w:val="00134134"/>
    <w:rsid w:val="00136612"/>
    <w:rsid w:val="00137347"/>
    <w:rsid w:val="00156C83"/>
    <w:rsid w:val="00162F27"/>
    <w:rsid w:val="00164427"/>
    <w:rsid w:val="00173A21"/>
    <w:rsid w:val="00173F39"/>
    <w:rsid w:val="00184F43"/>
    <w:rsid w:val="00191C8E"/>
    <w:rsid w:val="001933C7"/>
    <w:rsid w:val="00193E70"/>
    <w:rsid w:val="001A14FE"/>
    <w:rsid w:val="001A33C5"/>
    <w:rsid w:val="001A5E5B"/>
    <w:rsid w:val="001B0D4E"/>
    <w:rsid w:val="001B7B11"/>
    <w:rsid w:val="001D300C"/>
    <w:rsid w:val="001D301D"/>
    <w:rsid w:val="001D3DCD"/>
    <w:rsid w:val="001D78B7"/>
    <w:rsid w:val="001E107E"/>
    <w:rsid w:val="001F0D38"/>
    <w:rsid w:val="001F3F9F"/>
    <w:rsid w:val="001F706B"/>
    <w:rsid w:val="002023AC"/>
    <w:rsid w:val="00203D9E"/>
    <w:rsid w:val="002125E4"/>
    <w:rsid w:val="00214344"/>
    <w:rsid w:val="00214452"/>
    <w:rsid w:val="002148E2"/>
    <w:rsid w:val="00216260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666D"/>
    <w:rsid w:val="00310952"/>
    <w:rsid w:val="00310A25"/>
    <w:rsid w:val="00314A5F"/>
    <w:rsid w:val="0031770F"/>
    <w:rsid w:val="00322EDB"/>
    <w:rsid w:val="00336EC0"/>
    <w:rsid w:val="0033754D"/>
    <w:rsid w:val="00340DB1"/>
    <w:rsid w:val="003478B2"/>
    <w:rsid w:val="00353844"/>
    <w:rsid w:val="00354553"/>
    <w:rsid w:val="00355B80"/>
    <w:rsid w:val="00373677"/>
    <w:rsid w:val="003738AF"/>
    <w:rsid w:val="0037401A"/>
    <w:rsid w:val="00374D75"/>
    <w:rsid w:val="00377B82"/>
    <w:rsid w:val="00380788"/>
    <w:rsid w:val="00381E65"/>
    <w:rsid w:val="00382AA3"/>
    <w:rsid w:val="003B077F"/>
    <w:rsid w:val="003B2090"/>
    <w:rsid w:val="003C0513"/>
    <w:rsid w:val="003C1771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14B91"/>
    <w:rsid w:val="00420721"/>
    <w:rsid w:val="00433F84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9E8"/>
    <w:rsid w:val="004951DC"/>
    <w:rsid w:val="004A6DB4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271E2"/>
    <w:rsid w:val="005317F5"/>
    <w:rsid w:val="005337EA"/>
    <w:rsid w:val="005379AC"/>
    <w:rsid w:val="00537C1B"/>
    <w:rsid w:val="005407C2"/>
    <w:rsid w:val="005419BF"/>
    <w:rsid w:val="0054296F"/>
    <w:rsid w:val="00544857"/>
    <w:rsid w:val="00544CA6"/>
    <w:rsid w:val="0054766B"/>
    <w:rsid w:val="00554A4F"/>
    <w:rsid w:val="00556C47"/>
    <w:rsid w:val="005679FE"/>
    <w:rsid w:val="00574EAE"/>
    <w:rsid w:val="0058314A"/>
    <w:rsid w:val="00586676"/>
    <w:rsid w:val="005967C8"/>
    <w:rsid w:val="005A3C44"/>
    <w:rsid w:val="005C00D3"/>
    <w:rsid w:val="005C070A"/>
    <w:rsid w:val="005C3D6D"/>
    <w:rsid w:val="005C427B"/>
    <w:rsid w:val="005D5A54"/>
    <w:rsid w:val="005E650A"/>
    <w:rsid w:val="00601606"/>
    <w:rsid w:val="0060228D"/>
    <w:rsid w:val="0060409A"/>
    <w:rsid w:val="00615E70"/>
    <w:rsid w:val="00625A82"/>
    <w:rsid w:val="00626950"/>
    <w:rsid w:val="006468C7"/>
    <w:rsid w:val="00647EE0"/>
    <w:rsid w:val="00655E31"/>
    <w:rsid w:val="00672335"/>
    <w:rsid w:val="0067753F"/>
    <w:rsid w:val="00685343"/>
    <w:rsid w:val="006A4D6B"/>
    <w:rsid w:val="006A5F34"/>
    <w:rsid w:val="006B2312"/>
    <w:rsid w:val="006B3F7B"/>
    <w:rsid w:val="006B4BA9"/>
    <w:rsid w:val="006C0161"/>
    <w:rsid w:val="006C26CC"/>
    <w:rsid w:val="006C380B"/>
    <w:rsid w:val="006D45F6"/>
    <w:rsid w:val="006D72FF"/>
    <w:rsid w:val="006F3573"/>
    <w:rsid w:val="006F5AAA"/>
    <w:rsid w:val="00702827"/>
    <w:rsid w:val="00707180"/>
    <w:rsid w:val="00710B5A"/>
    <w:rsid w:val="007118D8"/>
    <w:rsid w:val="00714B89"/>
    <w:rsid w:val="00715964"/>
    <w:rsid w:val="007246BF"/>
    <w:rsid w:val="007255BB"/>
    <w:rsid w:val="0072688C"/>
    <w:rsid w:val="00726D99"/>
    <w:rsid w:val="00733795"/>
    <w:rsid w:val="0074223B"/>
    <w:rsid w:val="0074241A"/>
    <w:rsid w:val="00744B25"/>
    <w:rsid w:val="00744FE7"/>
    <w:rsid w:val="0075023A"/>
    <w:rsid w:val="0075344E"/>
    <w:rsid w:val="00760E27"/>
    <w:rsid w:val="007701F8"/>
    <w:rsid w:val="007709C2"/>
    <w:rsid w:val="00771A50"/>
    <w:rsid w:val="00771FD4"/>
    <w:rsid w:val="00781BC9"/>
    <w:rsid w:val="00783CB5"/>
    <w:rsid w:val="007B2365"/>
    <w:rsid w:val="007B4A87"/>
    <w:rsid w:val="007C37C6"/>
    <w:rsid w:val="007D3609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68D6"/>
    <w:rsid w:val="008875E8"/>
    <w:rsid w:val="0089102C"/>
    <w:rsid w:val="008932C2"/>
    <w:rsid w:val="0089424A"/>
    <w:rsid w:val="008A1D53"/>
    <w:rsid w:val="008A3195"/>
    <w:rsid w:val="008B67FB"/>
    <w:rsid w:val="008B6BF7"/>
    <w:rsid w:val="008B71D3"/>
    <w:rsid w:val="008D2FDE"/>
    <w:rsid w:val="008D3471"/>
    <w:rsid w:val="008E675C"/>
    <w:rsid w:val="008F4534"/>
    <w:rsid w:val="008F474A"/>
    <w:rsid w:val="00900606"/>
    <w:rsid w:val="009067CA"/>
    <w:rsid w:val="00940723"/>
    <w:rsid w:val="00947303"/>
    <w:rsid w:val="00964FA2"/>
    <w:rsid w:val="00965303"/>
    <w:rsid w:val="00983AD7"/>
    <w:rsid w:val="00985FF3"/>
    <w:rsid w:val="00995CD6"/>
    <w:rsid w:val="00996013"/>
    <w:rsid w:val="009A4A2D"/>
    <w:rsid w:val="009A56C7"/>
    <w:rsid w:val="009B6CB2"/>
    <w:rsid w:val="009C3F86"/>
    <w:rsid w:val="009D7A9D"/>
    <w:rsid w:val="009E3002"/>
    <w:rsid w:val="009E6D29"/>
    <w:rsid w:val="009F3604"/>
    <w:rsid w:val="00A031DA"/>
    <w:rsid w:val="00A04CD0"/>
    <w:rsid w:val="00A07482"/>
    <w:rsid w:val="00A319AF"/>
    <w:rsid w:val="00A338FF"/>
    <w:rsid w:val="00A43914"/>
    <w:rsid w:val="00A47F5D"/>
    <w:rsid w:val="00A534B0"/>
    <w:rsid w:val="00A563BC"/>
    <w:rsid w:val="00A57320"/>
    <w:rsid w:val="00A85731"/>
    <w:rsid w:val="00AA00B2"/>
    <w:rsid w:val="00AA14F9"/>
    <w:rsid w:val="00AA7517"/>
    <w:rsid w:val="00AB2595"/>
    <w:rsid w:val="00AC25B9"/>
    <w:rsid w:val="00AD5E63"/>
    <w:rsid w:val="00AE118D"/>
    <w:rsid w:val="00AF4E93"/>
    <w:rsid w:val="00B01E93"/>
    <w:rsid w:val="00B14691"/>
    <w:rsid w:val="00B161E5"/>
    <w:rsid w:val="00B462CA"/>
    <w:rsid w:val="00B57F7F"/>
    <w:rsid w:val="00B63BDD"/>
    <w:rsid w:val="00B7004D"/>
    <w:rsid w:val="00B738AB"/>
    <w:rsid w:val="00B91D94"/>
    <w:rsid w:val="00B961B1"/>
    <w:rsid w:val="00BA3F1C"/>
    <w:rsid w:val="00BB1052"/>
    <w:rsid w:val="00BB23B7"/>
    <w:rsid w:val="00BB69ED"/>
    <w:rsid w:val="00BC074A"/>
    <w:rsid w:val="00BD0F80"/>
    <w:rsid w:val="00BD11A6"/>
    <w:rsid w:val="00BD41C9"/>
    <w:rsid w:val="00BD4BF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3849"/>
    <w:rsid w:val="00C55882"/>
    <w:rsid w:val="00C56E0B"/>
    <w:rsid w:val="00C60A31"/>
    <w:rsid w:val="00C80648"/>
    <w:rsid w:val="00C822C2"/>
    <w:rsid w:val="00C86A31"/>
    <w:rsid w:val="00C97F6F"/>
    <w:rsid w:val="00CC0A91"/>
    <w:rsid w:val="00CC1B1B"/>
    <w:rsid w:val="00CC6BAA"/>
    <w:rsid w:val="00CD2908"/>
    <w:rsid w:val="00CE4728"/>
    <w:rsid w:val="00CF06E3"/>
    <w:rsid w:val="00D06A34"/>
    <w:rsid w:val="00D0771A"/>
    <w:rsid w:val="00D11DEA"/>
    <w:rsid w:val="00D12EBA"/>
    <w:rsid w:val="00D17970"/>
    <w:rsid w:val="00D33E20"/>
    <w:rsid w:val="00D35264"/>
    <w:rsid w:val="00D37C43"/>
    <w:rsid w:val="00D46514"/>
    <w:rsid w:val="00D47B2B"/>
    <w:rsid w:val="00D560D6"/>
    <w:rsid w:val="00D6328D"/>
    <w:rsid w:val="00D755D4"/>
    <w:rsid w:val="00D77E4B"/>
    <w:rsid w:val="00D813AF"/>
    <w:rsid w:val="00D843FD"/>
    <w:rsid w:val="00D84A55"/>
    <w:rsid w:val="00D965A3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2559C"/>
    <w:rsid w:val="00E3417C"/>
    <w:rsid w:val="00E34847"/>
    <w:rsid w:val="00E35332"/>
    <w:rsid w:val="00E41919"/>
    <w:rsid w:val="00E54F3A"/>
    <w:rsid w:val="00E56D8A"/>
    <w:rsid w:val="00E6093D"/>
    <w:rsid w:val="00E67753"/>
    <w:rsid w:val="00E67817"/>
    <w:rsid w:val="00E757DC"/>
    <w:rsid w:val="00E845F2"/>
    <w:rsid w:val="00E93D81"/>
    <w:rsid w:val="00EA165A"/>
    <w:rsid w:val="00EA42AB"/>
    <w:rsid w:val="00EA7F4C"/>
    <w:rsid w:val="00EB10DC"/>
    <w:rsid w:val="00EC59A9"/>
    <w:rsid w:val="00EC5FCF"/>
    <w:rsid w:val="00ED6289"/>
    <w:rsid w:val="00ED695D"/>
    <w:rsid w:val="00EE1943"/>
    <w:rsid w:val="00EF756D"/>
    <w:rsid w:val="00F012D7"/>
    <w:rsid w:val="00F01B00"/>
    <w:rsid w:val="00F1510E"/>
    <w:rsid w:val="00F2035A"/>
    <w:rsid w:val="00F2295B"/>
    <w:rsid w:val="00F2522E"/>
    <w:rsid w:val="00F3345E"/>
    <w:rsid w:val="00F33C3A"/>
    <w:rsid w:val="00F375A7"/>
    <w:rsid w:val="00F628D6"/>
    <w:rsid w:val="00F643C6"/>
    <w:rsid w:val="00F702DC"/>
    <w:rsid w:val="00F726C8"/>
    <w:rsid w:val="00F950A2"/>
    <w:rsid w:val="00F975EC"/>
    <w:rsid w:val="00FA5D80"/>
    <w:rsid w:val="00FA741A"/>
    <w:rsid w:val="00FB0416"/>
    <w:rsid w:val="00FB55C0"/>
    <w:rsid w:val="00FD5BF6"/>
    <w:rsid w:val="00FD7B55"/>
    <w:rsid w:val="00FE574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695D1A2C-7BA1-43E1-9186-76CDB14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nadpis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70DA-E4C0-416C-9281-FA369DE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4195</Words>
  <Characters>24754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28892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V. Novotná</cp:lastModifiedBy>
  <cp:revision>14</cp:revision>
  <cp:lastPrinted>2017-03-14T09:03:00Z</cp:lastPrinted>
  <dcterms:created xsi:type="dcterms:W3CDTF">2019-01-17T08:56:00Z</dcterms:created>
  <dcterms:modified xsi:type="dcterms:W3CDTF">2019-10-14T11:45:00Z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-173904650</vt:i4>
  </property>
  <property fmtid="{D5CDD505-2E9C-101B-9397-08002B2CF9AE}" pid="3" name="_NewReviewCycle">
    <vt:lpwstr/>
  </property>
  <property fmtid="{D5CDD505-2E9C-101B-9397-08002B2CF9AE}" pid="4" name="_EmailSubject">
    <vt:lpwstr> Příprava Statistické ročenky ČR 2019</vt:lpwstr>
  </property>
  <property fmtid="{D5CDD505-2E9C-101B-9397-08002B2CF9AE}" pid="5" name="_AuthorEmail">
    <vt:lpwstr>Iva.Chrtkova@cnb.cz</vt:lpwstr>
  </property>
  <property fmtid="{D5CDD505-2E9C-101B-9397-08002B2CF9AE}" pid="6" name="_AuthorEmailDisplayName">
    <vt:lpwstr>Chrtková Iva</vt:lpwstr>
  </property>
  <property fmtid="{D5CDD505-2E9C-101B-9397-08002B2CF9AE}" pid="7" name="_PreviousAdHocReviewCycleID">
    <vt:i4>1626932449</vt:i4>
  </property>
  <property fmtid="{D5CDD505-2E9C-101B-9397-08002B2CF9AE}" pid="8" name="_ReviewingToolsShownOnce">
    <vt:lpwstr/>
  </property>
</Properties>
</file>