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F4" w:rsidRPr="00742B86" w:rsidRDefault="00791BF4" w:rsidP="00791BF4">
      <w:pPr>
        <w:pStyle w:val="Nadpis11"/>
        <w:spacing w:after="0"/>
        <w:rPr>
          <w:b w:val="0"/>
          <w:sz w:val="2"/>
          <w:szCs w:val="2"/>
          <w:lang w:val="en-GB"/>
        </w:rPr>
      </w:pPr>
      <w:bookmarkStart w:id="0" w:name="_Toc532558284"/>
      <w:bookmarkStart w:id="1" w:name="_Toc26539341"/>
      <w:bookmarkStart w:id="2" w:name="_Toc11237634"/>
    </w:p>
    <w:p w:rsidR="00791BF4" w:rsidRPr="00742B86" w:rsidRDefault="00791BF4" w:rsidP="00791BF4">
      <w:pPr>
        <w:spacing w:after="0" w:line="240" w:lineRule="auto"/>
        <w:jc w:val="left"/>
        <w:rPr>
          <w:b/>
          <w:sz w:val="2"/>
          <w:szCs w:val="2"/>
          <w:highlight w:val="yellow"/>
          <w:lang w:val="en-GB"/>
        </w:rPr>
      </w:pPr>
    </w:p>
    <w:p w:rsidR="00B96D74" w:rsidRPr="00742B86" w:rsidRDefault="00B96D74" w:rsidP="00E13995">
      <w:pPr>
        <w:pStyle w:val="Nadpis11"/>
        <w:rPr>
          <w:lang w:val="en-GB"/>
        </w:rPr>
      </w:pPr>
      <w:bookmarkStart w:id="3" w:name="_Toc66954404"/>
      <w:r w:rsidRPr="00742B86">
        <w:rPr>
          <w:lang w:val="en-GB"/>
        </w:rPr>
        <w:t>3. </w:t>
      </w:r>
      <w:r w:rsidR="0070612C" w:rsidRPr="00742B86">
        <w:rPr>
          <w:lang w:val="en-GB"/>
        </w:rPr>
        <w:t>Branches Performance</w:t>
      </w:r>
      <w:bookmarkEnd w:id="3"/>
    </w:p>
    <w:tbl>
      <w:tblPr>
        <w:tblW w:w="9664" w:type="dxa"/>
        <w:tblInd w:w="-30" w:type="dxa"/>
        <w:tblCellMar>
          <w:left w:w="0" w:type="dxa"/>
          <w:right w:w="0" w:type="dxa"/>
        </w:tblCellMar>
        <w:tblLook w:val="00A0" w:firstRow="1" w:lastRow="0" w:firstColumn="1" w:lastColumn="0" w:noHBand="0" w:noVBand="0"/>
      </w:tblPr>
      <w:tblGrid>
        <w:gridCol w:w="1494"/>
        <w:gridCol w:w="185"/>
        <w:gridCol w:w="7985"/>
      </w:tblGrid>
      <w:tr w:rsidR="00B96D74" w:rsidRPr="00742B86" w:rsidTr="00A52348">
        <w:trPr>
          <w:trHeight w:val="155"/>
        </w:trPr>
        <w:tc>
          <w:tcPr>
            <w:tcW w:w="1494" w:type="dxa"/>
            <w:shd w:val="clear" w:color="auto" w:fill="auto"/>
            <w:tcMar>
              <w:left w:w="0" w:type="dxa"/>
            </w:tcMar>
          </w:tcPr>
          <w:p w:rsidR="00B96D74" w:rsidRPr="00742B86" w:rsidRDefault="001B707F" w:rsidP="0091476D">
            <w:pPr>
              <w:pStyle w:val="Marginlie"/>
              <w:rPr>
                <w:lang w:val="en-GB"/>
              </w:rPr>
            </w:pPr>
            <w:r w:rsidRPr="00742B86">
              <w:rPr>
                <w:lang w:val="en-GB"/>
              </w:rPr>
              <w:t xml:space="preserve">Gross value added decreased by </w:t>
            </w:r>
            <w:r w:rsidR="00B96D74" w:rsidRPr="00742B86">
              <w:rPr>
                <w:lang w:val="en-GB"/>
              </w:rPr>
              <w:t>5</w:t>
            </w:r>
            <w:r w:rsidRPr="00742B86">
              <w:rPr>
                <w:lang w:val="en-GB"/>
              </w:rPr>
              <w:t>.</w:t>
            </w:r>
            <w:r w:rsidR="00B96D74" w:rsidRPr="00742B86">
              <w:rPr>
                <w:lang w:val="en-GB"/>
              </w:rPr>
              <w:t>5%</w:t>
            </w:r>
            <w:r w:rsidRPr="00742B86">
              <w:rPr>
                <w:lang w:val="en-GB"/>
              </w:rPr>
              <w:t xml:space="preserve"> last year and thus slightly exceeded the record slump from the crisis year </w:t>
            </w:r>
            <w:r w:rsidR="00B96D74" w:rsidRPr="00742B86">
              <w:rPr>
                <w:lang w:val="en-GB"/>
              </w:rPr>
              <w:t>2009.</w:t>
            </w:r>
          </w:p>
          <w:p w:rsidR="00B96D74" w:rsidRPr="00742B86" w:rsidRDefault="00B96D74" w:rsidP="0091476D">
            <w:pPr>
              <w:pStyle w:val="Marginlie"/>
              <w:rPr>
                <w:lang w:val="en-GB"/>
              </w:rPr>
            </w:pPr>
          </w:p>
          <w:p w:rsidR="00B96D74" w:rsidRPr="00742B86" w:rsidRDefault="00B96D74" w:rsidP="0091476D">
            <w:pPr>
              <w:pStyle w:val="Marginlie"/>
              <w:rPr>
                <w:lang w:val="en-GB"/>
              </w:rPr>
            </w:pPr>
          </w:p>
          <w:p w:rsidR="00B96D74" w:rsidRPr="00742B86" w:rsidRDefault="00B96D74" w:rsidP="0091476D">
            <w:pPr>
              <w:pStyle w:val="Marginlie"/>
              <w:rPr>
                <w:lang w:val="en-GB"/>
              </w:rPr>
            </w:pPr>
          </w:p>
          <w:p w:rsidR="00B96D74" w:rsidRPr="00742B86" w:rsidRDefault="00B96D74" w:rsidP="0091476D">
            <w:pPr>
              <w:pStyle w:val="Marginlie"/>
              <w:rPr>
                <w:lang w:val="en-GB"/>
              </w:rPr>
            </w:pPr>
          </w:p>
          <w:p w:rsidR="00B96D74" w:rsidRPr="00742B86" w:rsidRDefault="00C9507E" w:rsidP="0091476D">
            <w:pPr>
              <w:pStyle w:val="Marginlie"/>
              <w:rPr>
                <w:lang w:val="en-GB"/>
              </w:rPr>
            </w:pPr>
            <w:r>
              <w:rPr>
                <w:lang w:val="en-GB"/>
              </w:rPr>
              <w:t>Many</w:t>
            </w:r>
            <w:r w:rsidR="00C12617" w:rsidRPr="00742B86">
              <w:rPr>
                <w:lang w:val="en-GB"/>
              </w:rPr>
              <w:t xml:space="preserve"> branches demonstrated a solid cap</w:t>
            </w:r>
            <w:r>
              <w:rPr>
                <w:lang w:val="en-GB"/>
              </w:rPr>
              <w:t>acity for adjustment to the r</w:t>
            </w:r>
            <w:r w:rsidR="00C12617" w:rsidRPr="00742B86">
              <w:rPr>
                <w:lang w:val="en-GB"/>
              </w:rPr>
              <w:t>estrictive measures</w:t>
            </w:r>
            <w:r>
              <w:rPr>
                <w:lang w:val="en-GB"/>
              </w:rPr>
              <w:t xml:space="preserve"> in Q4.</w:t>
            </w:r>
          </w:p>
        </w:tc>
        <w:tc>
          <w:tcPr>
            <w:tcW w:w="185" w:type="dxa"/>
            <w:shd w:val="clear" w:color="auto" w:fill="auto"/>
            <w:tcMar>
              <w:left w:w="0" w:type="dxa"/>
            </w:tcMar>
          </w:tcPr>
          <w:p w:rsidR="00B96D74" w:rsidRPr="00742B86" w:rsidRDefault="00B96D74" w:rsidP="0091476D">
            <w:pPr>
              <w:pStyle w:val="Textpoznpodarou"/>
              <w:jc w:val="both"/>
              <w:rPr>
                <w:spacing w:val="-4"/>
                <w:lang w:val="en-GB"/>
              </w:rPr>
            </w:pPr>
          </w:p>
        </w:tc>
        <w:tc>
          <w:tcPr>
            <w:tcW w:w="7985" w:type="dxa"/>
            <w:shd w:val="clear" w:color="auto" w:fill="auto"/>
            <w:tcMar>
              <w:left w:w="0" w:type="dxa"/>
            </w:tcMar>
          </w:tcPr>
          <w:p w:rsidR="00B96D74" w:rsidRPr="00742B86" w:rsidRDefault="005D34F8" w:rsidP="00C9507E">
            <w:pPr>
              <w:rPr>
                <w:spacing w:val="-2"/>
                <w:lang w:val="en-GB"/>
              </w:rPr>
            </w:pPr>
            <w:r w:rsidRPr="00742B86">
              <w:rPr>
                <w:spacing w:val="-3"/>
                <w:lang w:val="en-GB"/>
              </w:rPr>
              <w:t>If the restrictive pandemic measures severely hit primarily the branches closely tied to tourism in Q1 2020, it already managed to paralyse a large part of the economy during the subsequent quarter.</w:t>
            </w:r>
            <w:r w:rsidR="00791E9D" w:rsidRPr="00742B86">
              <w:rPr>
                <w:spacing w:val="-3"/>
                <w:lang w:val="en-GB"/>
              </w:rPr>
              <w:t xml:space="preserve"> </w:t>
            </w:r>
            <w:r w:rsidRPr="00742B86">
              <w:rPr>
                <w:spacing w:val="-3"/>
                <w:lang w:val="en-GB"/>
              </w:rPr>
              <w:t>The gross value added (GVA)</w:t>
            </w:r>
            <w:r w:rsidRPr="00742B86">
              <w:rPr>
                <w:rStyle w:val="Znakapoznpodarou"/>
                <w:spacing w:val="-2"/>
                <w:lang w:val="en-GB"/>
              </w:rPr>
              <w:footnoteReference w:id="1"/>
            </w:r>
            <w:r w:rsidRPr="00742B86">
              <w:rPr>
                <w:spacing w:val="-3"/>
                <w:lang w:val="en-GB"/>
              </w:rPr>
              <w:t xml:space="preserve"> </w:t>
            </w:r>
            <w:r w:rsidR="00C9507E">
              <w:rPr>
                <w:spacing w:val="-3"/>
                <w:lang w:val="en-GB"/>
              </w:rPr>
              <w:t xml:space="preserve">in Q2 </w:t>
            </w:r>
            <w:r w:rsidRPr="00742B86">
              <w:rPr>
                <w:spacing w:val="-3"/>
                <w:lang w:val="en-GB"/>
              </w:rPr>
              <w:t>thus dived by record 9.6% quarter-on-quarter and deepened its descend from Q1 (</w:t>
            </w:r>
            <w:r w:rsidRPr="00742B86">
              <w:rPr>
                <w:color w:val="000000" w:themeColor="text1"/>
                <w:spacing w:val="-3"/>
                <w:lang w:val="en-GB"/>
              </w:rPr>
              <w:t>–</w:t>
            </w:r>
            <w:r w:rsidRPr="00742B86">
              <w:rPr>
                <w:spacing w:val="-3"/>
                <w:lang w:val="en-GB"/>
              </w:rPr>
              <w:t xml:space="preserve">2.4%). </w:t>
            </w:r>
            <w:r w:rsidR="00C12617" w:rsidRPr="00742B86">
              <w:rPr>
                <w:spacing w:val="-3"/>
                <w:lang w:val="en-GB"/>
              </w:rPr>
              <w:t>In Q</w:t>
            </w:r>
            <w:r w:rsidR="00B96D74" w:rsidRPr="00742B86">
              <w:rPr>
                <w:spacing w:val="-2"/>
                <w:lang w:val="en-GB"/>
              </w:rPr>
              <w:t>3</w:t>
            </w:r>
            <w:r w:rsidR="00C12617" w:rsidRPr="00742B86">
              <w:rPr>
                <w:spacing w:val="-2"/>
                <w:lang w:val="en-GB"/>
              </w:rPr>
              <w:t xml:space="preserve">, the majority of significant restrictive measures were abolished and thus the economy could take a breath again. </w:t>
            </w:r>
            <w:r w:rsidR="00C9507E">
              <w:rPr>
                <w:spacing w:val="-2"/>
                <w:lang w:val="en-GB"/>
              </w:rPr>
              <w:t xml:space="preserve">So </w:t>
            </w:r>
            <w:r w:rsidR="00B96D74" w:rsidRPr="00742B86">
              <w:rPr>
                <w:spacing w:val="-2"/>
                <w:lang w:val="en-GB"/>
              </w:rPr>
              <w:t>7</w:t>
            </w:r>
            <w:r w:rsidR="0008318E" w:rsidRPr="00742B86">
              <w:rPr>
                <w:spacing w:val="-2"/>
                <w:lang w:val="en-GB"/>
              </w:rPr>
              <w:t>.</w:t>
            </w:r>
            <w:r w:rsidR="00B96D74" w:rsidRPr="00742B86">
              <w:rPr>
                <w:spacing w:val="-2"/>
                <w:lang w:val="en-GB"/>
              </w:rPr>
              <w:t>5</w:t>
            </w:r>
            <w:r w:rsidR="0008318E" w:rsidRPr="00742B86">
              <w:rPr>
                <w:spacing w:val="-2"/>
                <w:lang w:val="en-GB"/>
              </w:rPr>
              <w:t>%</w:t>
            </w:r>
            <w:r w:rsidR="00B96D74" w:rsidRPr="00742B86">
              <w:rPr>
                <w:spacing w:val="-2"/>
                <w:lang w:val="en-GB"/>
              </w:rPr>
              <w:t xml:space="preserve"> </w:t>
            </w:r>
            <w:r w:rsidR="0008318E" w:rsidRPr="00742B86">
              <w:rPr>
                <w:spacing w:val="-2"/>
                <w:lang w:val="en-GB"/>
              </w:rPr>
              <w:t xml:space="preserve">quarter-on-quarter GVA growth, which was also unique in the nearly 25 year available time series, </w:t>
            </w:r>
            <w:r w:rsidR="00711959" w:rsidRPr="00742B86">
              <w:rPr>
                <w:spacing w:val="-2"/>
                <w:lang w:val="en-GB"/>
              </w:rPr>
              <w:t>proves fast resuscitation</w:t>
            </w:r>
            <w:r w:rsidR="00B96D74" w:rsidRPr="00742B86">
              <w:rPr>
                <w:spacing w:val="-2"/>
                <w:lang w:val="en-GB"/>
              </w:rPr>
              <w:t>.</w:t>
            </w:r>
            <w:r w:rsidR="00711959" w:rsidRPr="00742B86">
              <w:rPr>
                <w:spacing w:val="-2"/>
                <w:lang w:val="en-GB"/>
              </w:rPr>
              <w:t xml:space="preserve"> </w:t>
            </w:r>
            <w:r w:rsidR="0008318E" w:rsidRPr="00742B86">
              <w:rPr>
                <w:spacing w:val="-2"/>
                <w:lang w:val="en-GB"/>
              </w:rPr>
              <w:t xml:space="preserve">Serious deterioration of the epidemic situation in </w:t>
            </w:r>
            <w:r w:rsidR="00C9507E">
              <w:rPr>
                <w:spacing w:val="-2"/>
                <w:lang w:val="en-GB"/>
              </w:rPr>
              <w:t>Q4 2020</w:t>
            </w:r>
            <w:r w:rsidR="0008318E" w:rsidRPr="00742B86">
              <w:rPr>
                <w:spacing w:val="-2"/>
                <w:lang w:val="en-GB"/>
              </w:rPr>
              <w:t xml:space="preserve"> strongly stifled but did not hal</w:t>
            </w:r>
            <w:r w:rsidR="00791E9D" w:rsidRPr="00742B86">
              <w:rPr>
                <w:spacing w:val="-2"/>
                <w:lang w:val="en-GB"/>
              </w:rPr>
              <w:t>t</w:t>
            </w:r>
            <w:r w:rsidR="0008318E" w:rsidRPr="00742B86">
              <w:rPr>
                <w:spacing w:val="-2"/>
                <w:lang w:val="en-GB"/>
              </w:rPr>
              <w:t xml:space="preserve"> the ongoing economic revival. </w:t>
            </w:r>
            <w:r w:rsidR="00711959" w:rsidRPr="00742B86">
              <w:rPr>
                <w:spacing w:val="-2"/>
                <w:lang w:val="en-GB"/>
              </w:rPr>
              <w:t xml:space="preserve">Its impacts were compared to the </w:t>
            </w:r>
            <w:r w:rsidR="00202575">
              <w:rPr>
                <w:spacing w:val="-2"/>
                <w:lang w:val="en-GB"/>
              </w:rPr>
              <w:t>spring</w:t>
            </w:r>
            <w:r w:rsidR="00711959" w:rsidRPr="00742B86">
              <w:rPr>
                <w:spacing w:val="-2"/>
                <w:lang w:val="en-GB"/>
              </w:rPr>
              <w:t xml:space="preserve"> perio</w:t>
            </w:r>
            <w:r w:rsidR="0008318E" w:rsidRPr="00742B86">
              <w:rPr>
                <w:spacing w:val="-2"/>
                <w:lang w:val="en-GB"/>
              </w:rPr>
              <w:t>d</w:t>
            </w:r>
            <w:r w:rsidR="00711959" w:rsidRPr="00742B86">
              <w:rPr>
                <w:spacing w:val="-2"/>
                <w:lang w:val="en-GB"/>
              </w:rPr>
              <w:t xml:space="preserve"> more selective, they affected </w:t>
            </w:r>
            <w:r w:rsidR="0008318E" w:rsidRPr="00742B86">
              <w:rPr>
                <w:spacing w:val="-2"/>
                <w:lang w:val="en-GB"/>
              </w:rPr>
              <w:t>especially</w:t>
            </w:r>
            <w:r w:rsidR="00711959" w:rsidRPr="00742B86">
              <w:rPr>
                <w:spacing w:val="-2"/>
                <w:lang w:val="en-GB"/>
              </w:rPr>
              <w:t xml:space="preserve"> the activities closely tied to the </w:t>
            </w:r>
            <w:r w:rsidR="00C9507E">
              <w:rPr>
                <w:spacing w:val="-2"/>
                <w:lang w:val="en-GB"/>
              </w:rPr>
              <w:t>household consumption. Many economic branches</w:t>
            </w:r>
            <w:r w:rsidR="00711959" w:rsidRPr="00742B86">
              <w:rPr>
                <w:spacing w:val="-2"/>
                <w:lang w:val="en-GB"/>
              </w:rPr>
              <w:t xml:space="preserve"> demonstrated </w:t>
            </w:r>
            <w:r w:rsidR="00C9507E">
              <w:rPr>
                <w:spacing w:val="-2"/>
                <w:lang w:val="en-GB"/>
              </w:rPr>
              <w:t xml:space="preserve">a </w:t>
            </w:r>
            <w:r w:rsidR="00711959" w:rsidRPr="00742B86">
              <w:rPr>
                <w:spacing w:val="-2"/>
                <w:lang w:val="en-GB"/>
              </w:rPr>
              <w:t xml:space="preserve">solid capacity for adjustment, when they capitalised on more favourable development of the foreign demand as well as higher expenditures of the government institutions sector. The GVA decreased by </w:t>
            </w:r>
            <w:r w:rsidR="00B96D74" w:rsidRPr="00742B86">
              <w:rPr>
                <w:spacing w:val="-2"/>
                <w:lang w:val="en-GB"/>
              </w:rPr>
              <w:t>5</w:t>
            </w:r>
            <w:r w:rsidR="00711959" w:rsidRPr="00742B86">
              <w:rPr>
                <w:spacing w:val="-2"/>
                <w:lang w:val="en-GB"/>
              </w:rPr>
              <w:t>.</w:t>
            </w:r>
            <w:r w:rsidR="00B96D74" w:rsidRPr="00742B86">
              <w:rPr>
                <w:spacing w:val="-2"/>
                <w:lang w:val="en-GB"/>
              </w:rPr>
              <w:t>5%</w:t>
            </w:r>
            <w:r w:rsidR="00711959" w:rsidRPr="00742B86">
              <w:rPr>
                <w:spacing w:val="-2"/>
                <w:lang w:val="en-GB"/>
              </w:rPr>
              <w:t xml:space="preserve"> for the whole last year and it thus narrowly overtook the slump from year </w:t>
            </w:r>
            <w:r w:rsidR="00B96D74" w:rsidRPr="00742B86">
              <w:rPr>
                <w:spacing w:val="-2"/>
                <w:lang w:val="en-GB"/>
              </w:rPr>
              <w:t xml:space="preserve">2009, </w:t>
            </w:r>
            <w:r w:rsidR="00711959" w:rsidRPr="00742B86">
              <w:rPr>
                <w:spacing w:val="-2"/>
                <w:lang w:val="en-GB"/>
              </w:rPr>
              <w:t>which was the highest in the history of the independent CR</w:t>
            </w:r>
            <w:r w:rsidR="00791E9D" w:rsidRPr="00742B86">
              <w:rPr>
                <w:spacing w:val="-2"/>
                <w:lang w:val="en-GB"/>
              </w:rPr>
              <w:t xml:space="preserve"> so far</w:t>
            </w:r>
            <w:r w:rsidR="00711959" w:rsidRPr="00742B86">
              <w:rPr>
                <w:spacing w:val="-2"/>
                <w:lang w:val="en-GB"/>
              </w:rPr>
              <w:t xml:space="preserve">. </w:t>
            </w:r>
          </w:p>
        </w:tc>
      </w:tr>
      <w:tr w:rsidR="00B96D74" w:rsidRPr="00742B86" w:rsidTr="00A52348">
        <w:trPr>
          <w:trHeight w:val="155"/>
        </w:trPr>
        <w:tc>
          <w:tcPr>
            <w:tcW w:w="1494" w:type="dxa"/>
            <w:shd w:val="clear" w:color="auto" w:fill="auto"/>
            <w:tcMar>
              <w:left w:w="0" w:type="dxa"/>
            </w:tcMar>
          </w:tcPr>
          <w:p w:rsidR="00B96D74" w:rsidRPr="00742B86" w:rsidRDefault="0073677E" w:rsidP="0091476D">
            <w:pPr>
              <w:pStyle w:val="Marginlie"/>
              <w:rPr>
                <w:lang w:val="en-GB"/>
              </w:rPr>
            </w:pPr>
            <w:r w:rsidRPr="00742B86">
              <w:rPr>
                <w:spacing w:val="-4"/>
                <w:lang w:val="en-GB"/>
              </w:rPr>
              <w:t>Manufacturing contributed the most to the lower economic output in both Q</w:t>
            </w:r>
            <w:r w:rsidR="00B96D74" w:rsidRPr="00742B86">
              <w:rPr>
                <w:spacing w:val="-4"/>
                <w:lang w:val="en-GB"/>
              </w:rPr>
              <w:t>1</w:t>
            </w:r>
            <w:r w:rsidRPr="00742B86">
              <w:rPr>
                <w:spacing w:val="-4"/>
                <w:lang w:val="en-GB"/>
              </w:rPr>
              <w:t xml:space="preserve"> and </w:t>
            </w:r>
            <w:r w:rsidR="00D13829">
              <w:rPr>
                <w:spacing w:val="-4"/>
                <w:lang w:val="en-GB"/>
              </w:rPr>
              <w:t>Q</w:t>
            </w:r>
            <w:r w:rsidR="000C0E35" w:rsidRPr="00742B86">
              <w:rPr>
                <w:spacing w:val="-4"/>
                <w:lang w:val="en-GB"/>
              </w:rPr>
              <w:t>2</w:t>
            </w:r>
            <w:r w:rsidRPr="00742B86">
              <w:rPr>
                <w:spacing w:val="-4"/>
                <w:lang w:val="en-GB"/>
              </w:rPr>
              <w:t xml:space="preserve">, the grouping trade, transportation, </w:t>
            </w:r>
            <w:r w:rsidR="00B74EA8" w:rsidRPr="00742B86">
              <w:rPr>
                <w:spacing w:val="-4"/>
                <w:lang w:val="en-GB"/>
              </w:rPr>
              <w:t>accommodation,</w:t>
            </w:r>
            <w:r w:rsidRPr="00742B86">
              <w:rPr>
                <w:spacing w:val="-4"/>
                <w:lang w:val="en-GB"/>
              </w:rPr>
              <w:t xml:space="preserve"> and food </w:t>
            </w:r>
            <w:r w:rsidR="00095273" w:rsidRPr="00742B86">
              <w:rPr>
                <w:spacing w:val="-4"/>
                <w:lang w:val="en-GB"/>
              </w:rPr>
              <w:t>service</w:t>
            </w:r>
            <w:r w:rsidRPr="00742B86">
              <w:rPr>
                <w:spacing w:val="-4"/>
                <w:lang w:val="en-GB"/>
              </w:rPr>
              <w:t xml:space="preserve"> in the subsequent period</w:t>
            </w:r>
            <w:r w:rsidR="00D13829">
              <w:rPr>
                <w:spacing w:val="-4"/>
                <w:lang w:val="en-GB"/>
              </w:rPr>
              <w:t>s</w:t>
            </w:r>
            <w:r w:rsidRPr="00742B86">
              <w:rPr>
                <w:spacing w:val="-4"/>
                <w:lang w:val="en-GB"/>
              </w:rPr>
              <w:t xml:space="preserve">. </w:t>
            </w:r>
          </w:p>
          <w:p w:rsidR="00B96D74" w:rsidRPr="00742B86" w:rsidRDefault="00B96D74" w:rsidP="0091476D">
            <w:pPr>
              <w:pStyle w:val="Marginlie"/>
              <w:rPr>
                <w:lang w:val="en-GB"/>
              </w:rPr>
            </w:pPr>
          </w:p>
          <w:p w:rsidR="00B96D74" w:rsidRPr="00742B86" w:rsidRDefault="00B96D74" w:rsidP="0091476D">
            <w:pPr>
              <w:pStyle w:val="Marginlie"/>
              <w:rPr>
                <w:lang w:val="en-GB"/>
              </w:rPr>
            </w:pPr>
          </w:p>
          <w:p w:rsidR="00B96D74" w:rsidRPr="00742B86" w:rsidRDefault="0073677E" w:rsidP="0091476D">
            <w:pPr>
              <w:pStyle w:val="Marginlie"/>
              <w:rPr>
                <w:lang w:val="en-GB"/>
              </w:rPr>
            </w:pPr>
            <w:r w:rsidRPr="00742B86">
              <w:rPr>
                <w:lang w:val="en-GB"/>
              </w:rPr>
              <w:t xml:space="preserve">Some branches of services featured record slumps of GVA last year. </w:t>
            </w:r>
          </w:p>
          <w:p w:rsidR="00B96D74" w:rsidRPr="00742B86" w:rsidRDefault="00B96D74" w:rsidP="0091476D">
            <w:pPr>
              <w:pStyle w:val="Marginlie"/>
              <w:rPr>
                <w:lang w:val="en-GB"/>
              </w:rPr>
            </w:pPr>
          </w:p>
          <w:p w:rsidR="00B96D74" w:rsidRPr="00742B86" w:rsidRDefault="00B96D74" w:rsidP="0091476D">
            <w:pPr>
              <w:pStyle w:val="Marginlie"/>
              <w:rPr>
                <w:lang w:val="en-GB"/>
              </w:rPr>
            </w:pPr>
          </w:p>
          <w:p w:rsidR="00B96D74" w:rsidRPr="00742B86" w:rsidRDefault="00B96D74" w:rsidP="0091476D">
            <w:pPr>
              <w:pStyle w:val="Marginlie"/>
              <w:rPr>
                <w:lang w:val="en-GB"/>
              </w:rPr>
            </w:pPr>
          </w:p>
          <w:p w:rsidR="00B96D74" w:rsidRPr="00742B86" w:rsidRDefault="00B96D74" w:rsidP="0091476D">
            <w:pPr>
              <w:pStyle w:val="Marginlie"/>
              <w:rPr>
                <w:lang w:val="en-GB"/>
              </w:rPr>
            </w:pPr>
          </w:p>
          <w:p w:rsidR="00B96D74" w:rsidRPr="00742B86" w:rsidRDefault="00095273" w:rsidP="0091476D">
            <w:pPr>
              <w:pStyle w:val="Marginlie"/>
              <w:rPr>
                <w:lang w:val="en-GB"/>
              </w:rPr>
            </w:pPr>
            <w:r w:rsidRPr="00742B86">
              <w:rPr>
                <w:lang w:val="en-GB"/>
              </w:rPr>
              <w:t>In contrast to manufacturing or energetics, construction did not experience recovery towards the end of the year.</w:t>
            </w:r>
          </w:p>
        </w:tc>
        <w:tc>
          <w:tcPr>
            <w:tcW w:w="185" w:type="dxa"/>
            <w:shd w:val="clear" w:color="auto" w:fill="auto"/>
            <w:tcMar>
              <w:left w:w="0" w:type="dxa"/>
            </w:tcMar>
          </w:tcPr>
          <w:p w:rsidR="00B96D74" w:rsidRPr="00742B86" w:rsidRDefault="00B96D74" w:rsidP="0091476D">
            <w:pPr>
              <w:pStyle w:val="Textpoznpodarou"/>
              <w:jc w:val="both"/>
              <w:rPr>
                <w:spacing w:val="-4"/>
                <w:lang w:val="en-GB"/>
              </w:rPr>
            </w:pPr>
          </w:p>
        </w:tc>
        <w:tc>
          <w:tcPr>
            <w:tcW w:w="7985" w:type="dxa"/>
            <w:shd w:val="clear" w:color="auto" w:fill="auto"/>
            <w:tcMar>
              <w:left w:w="0" w:type="dxa"/>
            </w:tcMar>
          </w:tcPr>
          <w:p w:rsidR="00B96D74" w:rsidRPr="00742B86" w:rsidRDefault="00C32073" w:rsidP="00D13829">
            <w:pPr>
              <w:rPr>
                <w:spacing w:val="-3"/>
                <w:lang w:val="en-GB"/>
              </w:rPr>
            </w:pPr>
            <w:r>
              <w:rPr>
                <w:spacing w:val="-2"/>
                <w:lang w:val="en-GB"/>
              </w:rPr>
              <w:t>The l</w:t>
            </w:r>
            <w:r w:rsidR="00B74EA8" w:rsidRPr="00742B86">
              <w:rPr>
                <w:spacing w:val="-2"/>
                <w:lang w:val="en-GB"/>
              </w:rPr>
              <w:t xml:space="preserve">ast year´s fall of the value added </w:t>
            </w:r>
            <w:r>
              <w:rPr>
                <w:spacing w:val="-2"/>
                <w:lang w:val="en-GB"/>
              </w:rPr>
              <w:t xml:space="preserve">in whole economy </w:t>
            </w:r>
            <w:r w:rsidR="00B74EA8" w:rsidRPr="00742B86">
              <w:rPr>
                <w:spacing w:val="-2"/>
                <w:lang w:val="en-GB"/>
              </w:rPr>
              <w:t xml:space="preserve">was tightly bound to the decrease of the number of hours worked </w:t>
            </w:r>
            <w:r w:rsidR="00B96D74" w:rsidRPr="00742B86">
              <w:rPr>
                <w:spacing w:val="-2"/>
                <w:lang w:val="en-GB"/>
              </w:rPr>
              <w:t>(–6</w:t>
            </w:r>
            <w:r w:rsidR="00B74EA8" w:rsidRPr="00742B86">
              <w:rPr>
                <w:spacing w:val="-2"/>
                <w:lang w:val="en-GB"/>
              </w:rPr>
              <w:t>.</w:t>
            </w:r>
            <w:r w:rsidR="00B96D74" w:rsidRPr="00742B86">
              <w:rPr>
                <w:spacing w:val="-2"/>
                <w:lang w:val="en-GB"/>
              </w:rPr>
              <w:t>0%),</w:t>
            </w:r>
            <w:r w:rsidR="00B96D74" w:rsidRPr="00742B86">
              <w:rPr>
                <w:spacing w:val="-3"/>
                <w:lang w:val="en-GB"/>
              </w:rPr>
              <w:t xml:space="preserve"> t</w:t>
            </w:r>
            <w:r w:rsidR="00711959" w:rsidRPr="00742B86">
              <w:rPr>
                <w:spacing w:val="-3"/>
                <w:lang w:val="en-GB"/>
              </w:rPr>
              <w:t xml:space="preserve">hree times higher compared to the crisis year </w:t>
            </w:r>
            <w:r w:rsidR="00B96D74" w:rsidRPr="00742B86">
              <w:rPr>
                <w:spacing w:val="-3"/>
                <w:lang w:val="en-GB"/>
              </w:rPr>
              <w:t xml:space="preserve">2009. </w:t>
            </w:r>
            <w:r w:rsidR="00B74EA8" w:rsidRPr="00742B86">
              <w:rPr>
                <w:spacing w:val="-3"/>
                <w:lang w:val="en-GB"/>
              </w:rPr>
              <w:t xml:space="preserve">At the same time, the composition of the most considerably affected branches was not identical and underwent significant changes during the last year. </w:t>
            </w:r>
            <w:r w:rsidR="00711959" w:rsidRPr="00742B86">
              <w:rPr>
                <w:spacing w:val="-3"/>
                <w:lang w:val="en-GB"/>
              </w:rPr>
              <w:t>While the industry played a major role in all previous recessio</w:t>
            </w:r>
            <w:r>
              <w:rPr>
                <w:spacing w:val="-3"/>
                <w:lang w:val="en-GB"/>
              </w:rPr>
              <w:t>n periods in the history of the</w:t>
            </w:r>
            <w:r w:rsidR="00711959" w:rsidRPr="00742B86">
              <w:rPr>
                <w:spacing w:val="-3"/>
                <w:lang w:val="en-GB"/>
              </w:rPr>
              <w:t xml:space="preserve"> CR so far, </w:t>
            </w:r>
            <w:r w:rsidR="00902EEB" w:rsidRPr="00742B86">
              <w:rPr>
                <w:spacing w:val="-3"/>
                <w:lang w:val="en-GB"/>
              </w:rPr>
              <w:t xml:space="preserve">the sector of services left its mark the most on the decrease of economic output last year (contribution </w:t>
            </w:r>
            <w:r w:rsidR="00B96D74" w:rsidRPr="00742B86">
              <w:rPr>
                <w:spacing w:val="-3"/>
                <w:lang w:val="en-GB"/>
              </w:rPr>
              <w:t>–</w:t>
            </w:r>
            <w:r w:rsidR="00B96D74" w:rsidRPr="00742B86">
              <w:rPr>
                <w:color w:val="0D0D0D" w:themeColor="text1" w:themeTint="F2"/>
                <w:spacing w:val="-3"/>
                <w:lang w:val="en-GB"/>
              </w:rPr>
              <w:t>3</w:t>
            </w:r>
            <w:r w:rsidR="00902EEB" w:rsidRPr="00742B86">
              <w:rPr>
                <w:color w:val="0D0D0D" w:themeColor="text1" w:themeTint="F2"/>
                <w:spacing w:val="-3"/>
                <w:lang w:val="en-GB"/>
              </w:rPr>
              <w:t>.</w:t>
            </w:r>
            <w:r w:rsidR="00B96D74" w:rsidRPr="00742B86">
              <w:rPr>
                <w:color w:val="0D0D0D" w:themeColor="text1" w:themeTint="F2"/>
                <w:spacing w:val="-3"/>
                <w:lang w:val="en-GB"/>
              </w:rPr>
              <w:t>3 p.</w:t>
            </w:r>
            <w:r w:rsidR="00902EEB" w:rsidRPr="00742B86">
              <w:rPr>
                <w:color w:val="0D0D0D" w:themeColor="text1" w:themeTint="F2"/>
                <w:spacing w:val="-3"/>
                <w:lang w:val="en-GB"/>
              </w:rPr>
              <w:t>p</w:t>
            </w:r>
            <w:r w:rsidR="00B96D74" w:rsidRPr="00742B86">
              <w:rPr>
                <w:color w:val="0D0D0D" w:themeColor="text1" w:themeTint="F2"/>
                <w:spacing w:val="-3"/>
                <w:lang w:val="en-GB"/>
              </w:rPr>
              <w:t>.),</w:t>
            </w:r>
            <w:r w:rsidR="00902EEB" w:rsidRPr="00742B86">
              <w:rPr>
                <w:color w:val="0D0D0D" w:themeColor="text1" w:themeTint="F2"/>
                <w:spacing w:val="-3"/>
                <w:lang w:val="en-GB"/>
              </w:rPr>
              <w:t xml:space="preserve"> specifically the grouping trade, transportation, </w:t>
            </w:r>
            <w:r w:rsidR="00280D36" w:rsidRPr="00742B86">
              <w:rPr>
                <w:color w:val="0D0D0D" w:themeColor="text1" w:themeTint="F2"/>
                <w:spacing w:val="-3"/>
                <w:lang w:val="en-GB"/>
              </w:rPr>
              <w:t>accommodation,</w:t>
            </w:r>
            <w:r w:rsidR="00902EEB" w:rsidRPr="00742B86">
              <w:rPr>
                <w:color w:val="0D0D0D" w:themeColor="text1" w:themeTint="F2"/>
                <w:spacing w:val="-3"/>
                <w:lang w:val="en-GB"/>
              </w:rPr>
              <w:t xml:space="preserve"> and food service </w:t>
            </w:r>
            <w:r w:rsidR="00B96D74" w:rsidRPr="00742B86">
              <w:rPr>
                <w:color w:val="0D0D0D" w:themeColor="text1" w:themeTint="F2"/>
                <w:spacing w:val="-3"/>
                <w:lang w:val="en-GB"/>
              </w:rPr>
              <w:t>(</w:t>
            </w:r>
            <w:r w:rsidR="00B96D74" w:rsidRPr="00742B86">
              <w:rPr>
                <w:spacing w:val="-3"/>
                <w:lang w:val="en-GB"/>
              </w:rPr>
              <w:t>–</w:t>
            </w:r>
            <w:r w:rsidR="00B96D74" w:rsidRPr="00742B86">
              <w:rPr>
                <w:color w:val="0D0D0D" w:themeColor="text1" w:themeTint="F2"/>
                <w:spacing w:val="-3"/>
                <w:lang w:val="en-GB"/>
              </w:rPr>
              <w:t>2</w:t>
            </w:r>
            <w:r w:rsidR="00902EEB" w:rsidRPr="00742B86">
              <w:rPr>
                <w:color w:val="0D0D0D" w:themeColor="text1" w:themeTint="F2"/>
                <w:spacing w:val="-3"/>
                <w:lang w:val="en-GB"/>
              </w:rPr>
              <w:t>.</w:t>
            </w:r>
            <w:r w:rsidR="00B96D74" w:rsidRPr="00742B86">
              <w:rPr>
                <w:color w:val="0D0D0D" w:themeColor="text1" w:themeTint="F2"/>
                <w:spacing w:val="-3"/>
                <w:lang w:val="en-GB"/>
              </w:rPr>
              <w:t>2 p.</w:t>
            </w:r>
            <w:r w:rsidR="00902EEB" w:rsidRPr="00742B86">
              <w:rPr>
                <w:color w:val="0D0D0D" w:themeColor="text1" w:themeTint="F2"/>
                <w:spacing w:val="-3"/>
                <w:lang w:val="en-GB"/>
              </w:rPr>
              <w:t>p</w:t>
            </w:r>
            <w:r w:rsidR="00B96D74" w:rsidRPr="00742B86">
              <w:rPr>
                <w:color w:val="0D0D0D" w:themeColor="text1" w:themeTint="F2"/>
                <w:spacing w:val="-3"/>
                <w:lang w:val="en-GB"/>
              </w:rPr>
              <w:t>.)</w:t>
            </w:r>
            <w:r w:rsidR="00B96D74" w:rsidRPr="00742B86">
              <w:rPr>
                <w:rStyle w:val="Znakapoznpodarou"/>
                <w:color w:val="0D0D0D" w:themeColor="text1" w:themeTint="F2"/>
                <w:spacing w:val="-3"/>
                <w:lang w:val="en-GB"/>
              </w:rPr>
              <w:footnoteReference w:id="2"/>
            </w:r>
            <w:r w:rsidR="00B96D74" w:rsidRPr="00742B86">
              <w:rPr>
                <w:color w:val="0D0D0D" w:themeColor="text1" w:themeTint="F2"/>
                <w:spacing w:val="-3"/>
                <w:lang w:val="en-GB"/>
              </w:rPr>
              <w:t xml:space="preserve">. </w:t>
            </w:r>
            <w:r w:rsidR="00280D36" w:rsidRPr="00742B86">
              <w:rPr>
                <w:color w:val="0D0D0D" w:themeColor="text1" w:themeTint="F2"/>
                <w:spacing w:val="-3"/>
                <w:lang w:val="en-GB"/>
              </w:rPr>
              <w:t xml:space="preserve">GVA for the last year plunged in this branch the most in the modern history, similarly to the professional, scientific, </w:t>
            </w:r>
            <w:r w:rsidR="002635A1" w:rsidRPr="00742B86">
              <w:rPr>
                <w:color w:val="0D0D0D" w:themeColor="text1" w:themeTint="F2"/>
                <w:spacing w:val="-3"/>
                <w:lang w:val="en-GB"/>
              </w:rPr>
              <w:t>technical,</w:t>
            </w:r>
            <w:r w:rsidR="00280D36" w:rsidRPr="00742B86">
              <w:rPr>
                <w:color w:val="0D0D0D" w:themeColor="text1" w:themeTint="F2"/>
                <w:spacing w:val="-3"/>
                <w:lang w:val="en-GB"/>
              </w:rPr>
              <w:t xml:space="preserve"> and administrative activities or the branch other service</w:t>
            </w:r>
            <w:r w:rsidR="000C0E35" w:rsidRPr="00742B86">
              <w:rPr>
                <w:color w:val="0D0D0D" w:themeColor="text1" w:themeTint="F2"/>
                <w:spacing w:val="-3"/>
                <w:lang w:val="en-GB"/>
              </w:rPr>
              <w:t>s</w:t>
            </w:r>
            <w:r w:rsidR="00B96D74" w:rsidRPr="00742B86">
              <w:rPr>
                <w:rStyle w:val="Znakapoznpodarou"/>
                <w:color w:val="0D0D0D" w:themeColor="text1" w:themeTint="F2"/>
                <w:spacing w:val="-4"/>
                <w:lang w:val="en-GB"/>
              </w:rPr>
              <w:footnoteReference w:id="3"/>
            </w:r>
            <w:r w:rsidR="00B96D74" w:rsidRPr="00742B86">
              <w:rPr>
                <w:color w:val="0D0D0D" w:themeColor="text1" w:themeTint="F2"/>
                <w:spacing w:val="-4"/>
                <w:lang w:val="en-GB"/>
              </w:rPr>
              <w:t xml:space="preserve">. </w:t>
            </w:r>
            <w:r w:rsidR="003217C7" w:rsidRPr="00742B86">
              <w:rPr>
                <w:color w:val="0D0D0D" w:themeColor="text1" w:themeTint="F2"/>
                <w:spacing w:val="-4"/>
                <w:lang w:val="en-GB"/>
              </w:rPr>
              <w:t xml:space="preserve">Industry contribution was </w:t>
            </w:r>
            <w:r w:rsidR="00B96D74" w:rsidRPr="00742B86">
              <w:rPr>
                <w:spacing w:val="-3"/>
                <w:lang w:val="en-GB"/>
              </w:rPr>
              <w:t>–</w:t>
            </w:r>
            <w:r w:rsidR="00B96D74" w:rsidRPr="00742B86">
              <w:rPr>
                <w:color w:val="0D0D0D" w:themeColor="text1" w:themeTint="F2"/>
                <w:spacing w:val="-4"/>
                <w:lang w:val="en-GB"/>
              </w:rPr>
              <w:t>2</w:t>
            </w:r>
            <w:r w:rsidR="003217C7" w:rsidRPr="00742B86">
              <w:rPr>
                <w:color w:val="0D0D0D" w:themeColor="text1" w:themeTint="F2"/>
                <w:spacing w:val="-4"/>
                <w:lang w:val="en-GB"/>
              </w:rPr>
              <w:t>.</w:t>
            </w:r>
            <w:r w:rsidR="00B96D74" w:rsidRPr="00742B86">
              <w:rPr>
                <w:color w:val="0D0D0D" w:themeColor="text1" w:themeTint="F2"/>
                <w:spacing w:val="-4"/>
                <w:lang w:val="en-GB"/>
              </w:rPr>
              <w:t>1 p.</w:t>
            </w:r>
            <w:r w:rsidR="003217C7" w:rsidRPr="00742B86">
              <w:rPr>
                <w:color w:val="0D0D0D" w:themeColor="text1" w:themeTint="F2"/>
                <w:spacing w:val="-4"/>
                <w:lang w:val="en-GB"/>
              </w:rPr>
              <w:t>p</w:t>
            </w:r>
            <w:r w:rsidR="00B96D74" w:rsidRPr="00742B86">
              <w:rPr>
                <w:color w:val="0D0D0D" w:themeColor="text1" w:themeTint="F2"/>
                <w:spacing w:val="-4"/>
                <w:lang w:val="en-GB"/>
              </w:rPr>
              <w:t>.</w:t>
            </w:r>
            <w:r w:rsidR="003217C7" w:rsidRPr="00742B86">
              <w:rPr>
                <w:color w:val="0D0D0D" w:themeColor="text1" w:themeTint="F2"/>
                <w:spacing w:val="-4"/>
                <w:lang w:val="en-GB"/>
              </w:rPr>
              <w:t xml:space="preserve"> last year.</w:t>
            </w:r>
            <w:r w:rsidR="00B96D74" w:rsidRPr="00742B86">
              <w:rPr>
                <w:color w:val="0D0D0D" w:themeColor="text1" w:themeTint="F2"/>
                <w:spacing w:val="-4"/>
                <w:lang w:val="en-GB"/>
              </w:rPr>
              <w:t xml:space="preserve"> </w:t>
            </w:r>
            <w:r w:rsidR="002635A1" w:rsidRPr="00742B86">
              <w:rPr>
                <w:color w:val="0D0D0D" w:themeColor="text1" w:themeTint="F2"/>
                <w:spacing w:val="-4"/>
                <w:lang w:val="en-GB"/>
              </w:rPr>
              <w:t xml:space="preserve">It dragged down the whole economy the most in </w:t>
            </w:r>
            <w:r w:rsidR="000C0E35" w:rsidRPr="00742B86">
              <w:rPr>
                <w:color w:val="0D0D0D" w:themeColor="text1" w:themeTint="F2"/>
                <w:spacing w:val="-4"/>
                <w:lang w:val="en-GB"/>
              </w:rPr>
              <w:t>H1 when</w:t>
            </w:r>
            <w:r w:rsidR="002635A1" w:rsidRPr="00742B86">
              <w:rPr>
                <w:color w:val="0D0D0D" w:themeColor="text1" w:themeTint="F2"/>
                <w:spacing w:val="-4"/>
                <w:lang w:val="en-GB"/>
              </w:rPr>
              <w:t xml:space="preserve"> its output was affected by the April clos</w:t>
            </w:r>
            <w:r w:rsidR="00EB7243" w:rsidRPr="00742B86">
              <w:rPr>
                <w:color w:val="0D0D0D" w:themeColor="text1" w:themeTint="F2"/>
                <w:spacing w:val="-4"/>
                <w:lang w:val="en-GB"/>
              </w:rPr>
              <w:t>ure</w:t>
            </w:r>
            <w:r w:rsidR="002635A1" w:rsidRPr="00742B86">
              <w:rPr>
                <w:color w:val="0D0D0D" w:themeColor="text1" w:themeTint="F2"/>
                <w:spacing w:val="-4"/>
                <w:lang w:val="en-GB"/>
              </w:rPr>
              <w:t xml:space="preserve"> of operations of key export businesses</w:t>
            </w:r>
            <w:r w:rsidR="00B96D74" w:rsidRPr="00742B86">
              <w:rPr>
                <w:color w:val="0D0D0D" w:themeColor="text1" w:themeTint="F2"/>
                <w:spacing w:val="-4"/>
                <w:lang w:val="en-GB"/>
              </w:rPr>
              <w:t>.</w:t>
            </w:r>
            <w:r w:rsidR="002635A1" w:rsidRPr="00742B86">
              <w:rPr>
                <w:color w:val="0D0D0D" w:themeColor="text1" w:themeTint="F2"/>
                <w:spacing w:val="-4"/>
                <w:lang w:val="en-GB"/>
              </w:rPr>
              <w:t xml:space="preserve"> </w:t>
            </w:r>
            <w:r w:rsidR="003217C7" w:rsidRPr="00742B86">
              <w:rPr>
                <w:color w:val="0D0D0D" w:themeColor="text1" w:themeTint="F2"/>
                <w:spacing w:val="-4"/>
                <w:lang w:val="en-GB"/>
              </w:rPr>
              <w:t>In contrast it benefited</w:t>
            </w:r>
            <w:r w:rsidR="005B1688" w:rsidRPr="00742B86">
              <w:rPr>
                <w:color w:val="0D0D0D" w:themeColor="text1" w:themeTint="F2"/>
                <w:spacing w:val="-4"/>
                <w:lang w:val="en-GB"/>
              </w:rPr>
              <w:t xml:space="preserve"> from the fast recovering </w:t>
            </w:r>
            <w:r w:rsidR="00D13829">
              <w:rPr>
                <w:color w:val="0D0D0D" w:themeColor="text1" w:themeTint="F2"/>
                <w:spacing w:val="-4"/>
                <w:lang w:val="en-GB"/>
              </w:rPr>
              <w:t>of foreign demand,</w:t>
            </w:r>
            <w:r w:rsidR="005B1688" w:rsidRPr="00742B86">
              <w:rPr>
                <w:color w:val="0D0D0D" w:themeColor="text1" w:themeTint="F2"/>
                <w:spacing w:val="-4"/>
                <w:lang w:val="en-GB"/>
              </w:rPr>
              <w:t xml:space="preserve"> associated with the favourable development of important east Asian economies in the second half of the year</w:t>
            </w:r>
            <w:r w:rsidR="00B96D74" w:rsidRPr="00742B86">
              <w:rPr>
                <w:color w:val="0D0D0D" w:themeColor="text1" w:themeTint="F2"/>
                <w:spacing w:val="-4"/>
                <w:lang w:val="en-GB"/>
              </w:rPr>
              <w:t xml:space="preserve">. </w:t>
            </w:r>
            <w:r w:rsidR="00CD0EA7" w:rsidRPr="00742B86">
              <w:rPr>
                <w:color w:val="0D0D0D" w:themeColor="text1" w:themeTint="F2"/>
                <w:spacing w:val="-4"/>
                <w:lang w:val="en-GB"/>
              </w:rPr>
              <w:t xml:space="preserve">The industry contribution to the year-on-year GVA change in the economy was only </w:t>
            </w:r>
            <w:r w:rsidR="00B96D74" w:rsidRPr="00742B86">
              <w:rPr>
                <w:spacing w:val="-4"/>
                <w:lang w:val="en-GB"/>
              </w:rPr>
              <w:t>–</w:t>
            </w:r>
            <w:r w:rsidR="00B96D74" w:rsidRPr="00742B86">
              <w:rPr>
                <w:color w:val="0D0D0D" w:themeColor="text1" w:themeTint="F2"/>
                <w:spacing w:val="-4"/>
                <w:lang w:val="en-GB"/>
              </w:rPr>
              <w:t>0</w:t>
            </w:r>
            <w:r w:rsidR="00CD0EA7" w:rsidRPr="00742B86">
              <w:rPr>
                <w:color w:val="0D0D0D" w:themeColor="text1" w:themeTint="F2"/>
                <w:spacing w:val="-4"/>
                <w:lang w:val="en-GB"/>
              </w:rPr>
              <w:t>.</w:t>
            </w:r>
            <w:r w:rsidR="00B96D74" w:rsidRPr="00742B86">
              <w:rPr>
                <w:color w:val="0D0D0D" w:themeColor="text1" w:themeTint="F2"/>
                <w:spacing w:val="-4"/>
                <w:lang w:val="en-GB"/>
              </w:rPr>
              <w:t>4 p.</w:t>
            </w:r>
            <w:r w:rsidR="00CD0EA7" w:rsidRPr="00742B86">
              <w:rPr>
                <w:color w:val="0D0D0D" w:themeColor="text1" w:themeTint="F2"/>
                <w:spacing w:val="-4"/>
                <w:lang w:val="en-GB"/>
              </w:rPr>
              <w:t>p</w:t>
            </w:r>
            <w:r w:rsidR="00B96D74" w:rsidRPr="00742B86">
              <w:rPr>
                <w:color w:val="0D0D0D" w:themeColor="text1" w:themeTint="F2"/>
                <w:spacing w:val="-4"/>
                <w:lang w:val="en-GB"/>
              </w:rPr>
              <w:t>.</w:t>
            </w:r>
            <w:r w:rsidR="00CD0EA7" w:rsidRPr="00742B86">
              <w:rPr>
                <w:color w:val="0D0D0D" w:themeColor="text1" w:themeTint="F2"/>
                <w:spacing w:val="-4"/>
                <w:lang w:val="en-GB"/>
              </w:rPr>
              <w:t xml:space="preserve"> in Q4</w:t>
            </w:r>
            <w:r w:rsidR="00EB7243" w:rsidRPr="00742B86">
              <w:rPr>
                <w:color w:val="0D0D0D" w:themeColor="text1" w:themeTint="F2"/>
                <w:spacing w:val="-4"/>
                <w:lang w:val="en-GB"/>
              </w:rPr>
              <w:t>.</w:t>
            </w:r>
            <w:r w:rsidR="00B96D74" w:rsidRPr="00742B86">
              <w:rPr>
                <w:color w:val="0D0D0D" w:themeColor="text1" w:themeTint="F2"/>
                <w:spacing w:val="-4"/>
                <w:lang w:val="en-GB"/>
              </w:rPr>
              <w:t xml:space="preserve"> </w:t>
            </w:r>
            <w:r w:rsidR="003217C7" w:rsidRPr="00742B86">
              <w:rPr>
                <w:color w:val="0D0D0D" w:themeColor="text1" w:themeTint="F2"/>
                <w:spacing w:val="-4"/>
                <w:lang w:val="en-GB"/>
              </w:rPr>
              <w:t>Revived demand as well as the continue</w:t>
            </w:r>
            <w:r w:rsidR="00EB7243" w:rsidRPr="00742B86">
              <w:rPr>
                <w:color w:val="0D0D0D" w:themeColor="text1" w:themeTint="F2"/>
                <w:spacing w:val="-4"/>
                <w:lang w:val="en-GB"/>
              </w:rPr>
              <w:t>d</w:t>
            </w:r>
            <w:r w:rsidR="003217C7" w:rsidRPr="00742B86">
              <w:rPr>
                <w:color w:val="0D0D0D" w:themeColor="text1" w:themeTint="F2"/>
                <w:spacing w:val="-4"/>
                <w:lang w:val="en-GB"/>
              </w:rPr>
              <w:t xml:space="preserve"> production in manufacturing also had a positive effect on energetics. </w:t>
            </w:r>
            <w:r w:rsidR="00CD0EA7" w:rsidRPr="00742B86">
              <w:rPr>
                <w:color w:val="0D0D0D" w:themeColor="text1" w:themeTint="F2"/>
                <w:spacing w:val="-5"/>
                <w:lang w:val="en-GB"/>
              </w:rPr>
              <w:t xml:space="preserve">Similar recovery did not eventuate in construction. </w:t>
            </w:r>
            <w:r w:rsidR="00B96D74" w:rsidRPr="00742B86">
              <w:rPr>
                <w:color w:val="0D0D0D" w:themeColor="text1" w:themeTint="F2"/>
                <w:spacing w:val="-5"/>
                <w:lang w:val="en-GB"/>
              </w:rPr>
              <w:t>D</w:t>
            </w:r>
            <w:r w:rsidR="003217C7" w:rsidRPr="00742B86">
              <w:rPr>
                <w:color w:val="0D0D0D" w:themeColor="text1" w:themeTint="F2"/>
                <w:spacing w:val="-5"/>
                <w:lang w:val="en-GB"/>
              </w:rPr>
              <w:t xml:space="preserve">ue to the inertial character of productions as well high stock of orders, the counter pandemic measures had smaller impact in this branch initially and manifested especially by the limited availability of foreign workers. Growing economic uncertainties of both businesses and households together with high administrative demands on the process of preparation as well as realisation of constructions gradually started to take its toll. </w:t>
            </w:r>
            <w:r w:rsidR="00D13829">
              <w:rPr>
                <w:color w:val="0D0D0D" w:themeColor="text1" w:themeTint="F2"/>
                <w:spacing w:val="-5"/>
                <w:lang w:val="en-GB"/>
              </w:rPr>
              <w:t xml:space="preserve">So </w:t>
            </w:r>
            <w:r w:rsidR="00D13829">
              <w:rPr>
                <w:spacing w:val="-4"/>
                <w:lang w:val="en-GB"/>
              </w:rPr>
              <w:t>t</w:t>
            </w:r>
            <w:r w:rsidR="00CD0EA7" w:rsidRPr="00742B86">
              <w:rPr>
                <w:spacing w:val="-4"/>
                <w:lang w:val="en-GB"/>
              </w:rPr>
              <w:t xml:space="preserve">he GVA in construction, as in one of few of the main branches, </w:t>
            </w:r>
            <w:r w:rsidR="00D13829">
              <w:rPr>
                <w:spacing w:val="-4"/>
                <w:lang w:val="en-GB"/>
              </w:rPr>
              <w:t xml:space="preserve">recorded a </w:t>
            </w:r>
            <w:r w:rsidR="00D13829" w:rsidRPr="00742B86">
              <w:rPr>
                <w:spacing w:val="-3"/>
                <w:lang w:val="en-GB"/>
              </w:rPr>
              <w:t xml:space="preserve">quarter-on-quarter </w:t>
            </w:r>
            <w:r w:rsidR="00D13829">
              <w:rPr>
                <w:spacing w:val="-4"/>
                <w:lang w:val="en-GB"/>
              </w:rPr>
              <w:t>decrease in</w:t>
            </w:r>
            <w:r w:rsidR="00CD0EA7" w:rsidRPr="00742B86">
              <w:rPr>
                <w:spacing w:val="-4"/>
                <w:lang w:val="en-GB"/>
              </w:rPr>
              <w:t xml:space="preserve"> Q</w:t>
            </w:r>
            <w:r w:rsidR="00D13829">
              <w:rPr>
                <w:spacing w:val="-4"/>
                <w:lang w:val="en-GB"/>
              </w:rPr>
              <w:t>4</w:t>
            </w:r>
            <w:r w:rsidR="00CD0EA7" w:rsidRPr="00742B86">
              <w:rPr>
                <w:spacing w:val="-4"/>
                <w:lang w:val="en-GB"/>
              </w:rPr>
              <w:t xml:space="preserve"> </w:t>
            </w:r>
            <w:r w:rsidR="00B96D74" w:rsidRPr="00742B86">
              <w:rPr>
                <w:spacing w:val="-4"/>
                <w:lang w:val="en-GB"/>
              </w:rPr>
              <w:t>2020</w:t>
            </w:r>
            <w:r w:rsidR="00CD0EA7" w:rsidRPr="00742B86">
              <w:rPr>
                <w:spacing w:val="-4"/>
                <w:lang w:val="en-GB"/>
              </w:rPr>
              <w:t xml:space="preserve"> </w:t>
            </w:r>
            <w:r w:rsidR="00B96D74" w:rsidRPr="00742B86">
              <w:rPr>
                <w:spacing w:val="-4"/>
                <w:lang w:val="en-GB"/>
              </w:rPr>
              <w:t>(</w:t>
            </w:r>
            <w:r w:rsidR="00CD0EA7" w:rsidRPr="00742B86">
              <w:rPr>
                <w:spacing w:val="-4"/>
                <w:lang w:val="en-GB"/>
              </w:rPr>
              <w:t xml:space="preserve">by </w:t>
            </w:r>
            <w:r w:rsidR="00B96D74" w:rsidRPr="00742B86">
              <w:rPr>
                <w:spacing w:val="-4"/>
                <w:lang w:val="en-GB"/>
              </w:rPr>
              <w:t>1</w:t>
            </w:r>
            <w:r w:rsidR="00CD0EA7" w:rsidRPr="00742B86">
              <w:rPr>
                <w:spacing w:val="-4"/>
                <w:lang w:val="en-GB"/>
              </w:rPr>
              <w:t>.</w:t>
            </w:r>
            <w:r w:rsidR="004F3698">
              <w:rPr>
                <w:spacing w:val="-4"/>
                <w:lang w:val="en-GB"/>
              </w:rPr>
              <w:t>2</w:t>
            </w:r>
            <w:r w:rsidR="00B96D74" w:rsidRPr="00742B86">
              <w:rPr>
                <w:spacing w:val="-4"/>
                <w:lang w:val="en-GB"/>
              </w:rPr>
              <w:t>%).</w:t>
            </w:r>
          </w:p>
        </w:tc>
      </w:tr>
      <w:tr w:rsidR="00B96D74" w:rsidRPr="00742B86" w:rsidTr="00A52348">
        <w:trPr>
          <w:trHeight w:val="155"/>
        </w:trPr>
        <w:tc>
          <w:tcPr>
            <w:tcW w:w="1494" w:type="dxa"/>
            <w:shd w:val="clear" w:color="auto" w:fill="auto"/>
            <w:tcMar>
              <w:left w:w="0" w:type="dxa"/>
            </w:tcMar>
          </w:tcPr>
          <w:p w:rsidR="00B96D74" w:rsidRPr="00742B86" w:rsidRDefault="00095273" w:rsidP="0091476D">
            <w:pPr>
              <w:pStyle w:val="Marginlie"/>
              <w:rPr>
                <w:spacing w:val="-4"/>
                <w:lang w:val="en-GB"/>
              </w:rPr>
            </w:pPr>
            <w:r w:rsidRPr="00742B86">
              <w:rPr>
                <w:spacing w:val="-4"/>
                <w:lang w:val="en-GB"/>
              </w:rPr>
              <w:t xml:space="preserve">GVA decrease in the economy was curbed the most by higher output of the public services. </w:t>
            </w:r>
          </w:p>
          <w:p w:rsidR="00B96D74" w:rsidRPr="00742B86" w:rsidRDefault="00B96D74" w:rsidP="0091476D">
            <w:pPr>
              <w:pStyle w:val="Marginlie"/>
              <w:rPr>
                <w:spacing w:val="-4"/>
                <w:lang w:val="en-GB"/>
              </w:rPr>
            </w:pPr>
          </w:p>
          <w:p w:rsidR="00B96D74" w:rsidRPr="00742B86" w:rsidRDefault="00B96D74" w:rsidP="0091476D">
            <w:pPr>
              <w:pStyle w:val="Marginlie"/>
              <w:rPr>
                <w:spacing w:val="-4"/>
                <w:lang w:val="en-GB"/>
              </w:rPr>
            </w:pPr>
          </w:p>
          <w:p w:rsidR="00B96D74" w:rsidRPr="00742B86" w:rsidRDefault="003D3245" w:rsidP="0091476D">
            <w:pPr>
              <w:pStyle w:val="Marginlie"/>
              <w:rPr>
                <w:spacing w:val="-4"/>
                <w:lang w:val="en-GB"/>
              </w:rPr>
            </w:pPr>
            <w:r w:rsidRPr="00742B86">
              <w:rPr>
                <w:lang w:val="en-GB"/>
              </w:rPr>
              <w:lastRenderedPageBreak/>
              <w:t xml:space="preserve">GVA grew the most in agriculture, forestry, and fishing. Solid harvest, stabilised animal production as well as strong </w:t>
            </w:r>
            <w:r w:rsidR="003B2718" w:rsidRPr="003B2718">
              <w:rPr>
                <w:color w:val="0D0D0D" w:themeColor="text1" w:themeTint="F2"/>
                <w:spacing w:val="-5"/>
                <w:lang w:val="en-GB"/>
              </w:rPr>
              <w:t>roundwood removals</w:t>
            </w:r>
            <w:r w:rsidRPr="006272EF">
              <w:rPr>
                <w:color w:val="FF0000"/>
                <w:lang w:val="en-GB"/>
              </w:rPr>
              <w:t xml:space="preserve"> </w:t>
            </w:r>
            <w:r w:rsidRPr="00742B86">
              <w:rPr>
                <w:lang w:val="en-GB"/>
              </w:rPr>
              <w:t>took effect</w:t>
            </w:r>
            <w:r w:rsidR="00B96D74" w:rsidRPr="00742B86">
              <w:rPr>
                <w:lang w:val="en-GB"/>
              </w:rPr>
              <w:t>.</w:t>
            </w:r>
          </w:p>
        </w:tc>
        <w:tc>
          <w:tcPr>
            <w:tcW w:w="185" w:type="dxa"/>
            <w:shd w:val="clear" w:color="auto" w:fill="auto"/>
            <w:tcMar>
              <w:left w:w="0" w:type="dxa"/>
            </w:tcMar>
          </w:tcPr>
          <w:p w:rsidR="00B96D74" w:rsidRPr="00742B86" w:rsidRDefault="00B96D74" w:rsidP="0091476D">
            <w:pPr>
              <w:pStyle w:val="Textpoznpodarou"/>
              <w:jc w:val="both"/>
              <w:rPr>
                <w:spacing w:val="-4"/>
                <w:lang w:val="en-GB"/>
              </w:rPr>
            </w:pPr>
          </w:p>
        </w:tc>
        <w:tc>
          <w:tcPr>
            <w:tcW w:w="7985" w:type="dxa"/>
            <w:shd w:val="clear" w:color="auto" w:fill="auto"/>
            <w:tcMar>
              <w:left w:w="0" w:type="dxa"/>
            </w:tcMar>
          </w:tcPr>
          <w:p w:rsidR="00B96D74" w:rsidRPr="00742B86" w:rsidRDefault="001D3B6C" w:rsidP="006272EF">
            <w:pPr>
              <w:rPr>
                <w:rFonts w:cs="Arial"/>
                <w:bCs/>
                <w:color w:val="0D0D0D" w:themeColor="text1" w:themeTint="F2"/>
                <w:spacing w:val="-4"/>
                <w:szCs w:val="20"/>
                <w:lang w:val="en-GB"/>
              </w:rPr>
            </w:pPr>
            <w:r w:rsidRPr="00742B86">
              <w:rPr>
                <w:rFonts w:cs="Arial"/>
                <w:bCs/>
                <w:color w:val="000000"/>
                <w:spacing w:val="-4"/>
                <w:szCs w:val="20"/>
                <w:lang w:val="en-GB"/>
              </w:rPr>
              <w:t>The branches with the predominanc</w:t>
            </w:r>
            <w:r w:rsidR="006272EF">
              <w:rPr>
                <w:rFonts w:cs="Arial"/>
                <w:bCs/>
                <w:color w:val="000000"/>
                <w:spacing w:val="-4"/>
                <w:szCs w:val="20"/>
                <w:lang w:val="en-GB"/>
              </w:rPr>
              <w:t>e of the government institution sector</w:t>
            </w:r>
            <w:r w:rsidRPr="00742B86">
              <w:rPr>
                <w:rFonts w:cs="Arial"/>
                <w:bCs/>
                <w:color w:val="000000"/>
                <w:spacing w:val="-4"/>
                <w:szCs w:val="20"/>
                <w:lang w:val="en-GB"/>
              </w:rPr>
              <w:t xml:space="preserve"> worked the most against the deeper fall of the GVA in the economy last year, especially in the second half of the year </w:t>
            </w:r>
            <w:r w:rsidR="00B96D74" w:rsidRPr="00742B86">
              <w:rPr>
                <w:rFonts w:cs="Arial"/>
                <w:bCs/>
                <w:color w:val="000000"/>
                <w:spacing w:val="-4"/>
                <w:szCs w:val="20"/>
                <w:lang w:val="en-GB"/>
              </w:rPr>
              <w:t>(+0</w:t>
            </w:r>
            <w:r w:rsidRPr="00742B86">
              <w:rPr>
                <w:rFonts w:cs="Arial"/>
                <w:bCs/>
                <w:color w:val="000000"/>
                <w:spacing w:val="-4"/>
                <w:szCs w:val="20"/>
                <w:lang w:val="en-GB"/>
              </w:rPr>
              <w:t>.</w:t>
            </w:r>
            <w:r w:rsidR="00B96D74" w:rsidRPr="00742B86">
              <w:rPr>
                <w:rFonts w:cs="Arial"/>
                <w:bCs/>
                <w:color w:val="000000"/>
                <w:spacing w:val="-4"/>
                <w:szCs w:val="20"/>
                <w:lang w:val="en-GB"/>
              </w:rPr>
              <w:t>3 p</w:t>
            </w:r>
            <w:r w:rsidRPr="00742B86">
              <w:rPr>
                <w:rFonts w:cs="Arial"/>
                <w:bCs/>
                <w:color w:val="000000"/>
                <w:spacing w:val="-4"/>
                <w:szCs w:val="20"/>
                <w:lang w:val="en-GB"/>
              </w:rPr>
              <w:t>.p</w:t>
            </w:r>
            <w:r w:rsidR="00B96D74" w:rsidRPr="00742B86">
              <w:rPr>
                <w:rFonts w:cs="Arial"/>
                <w:bCs/>
                <w:color w:val="000000"/>
                <w:spacing w:val="-4"/>
                <w:szCs w:val="20"/>
                <w:lang w:val="en-GB"/>
              </w:rPr>
              <w:t>.),</w:t>
            </w:r>
            <w:r w:rsidRPr="00742B86">
              <w:rPr>
                <w:rFonts w:cs="Arial"/>
                <w:bCs/>
                <w:color w:val="000000"/>
                <w:spacing w:val="-4"/>
                <w:szCs w:val="20"/>
                <w:lang w:val="en-GB"/>
              </w:rPr>
              <w:t xml:space="preserve"> when </w:t>
            </w:r>
            <w:r w:rsidR="00E624E8" w:rsidRPr="00742B86">
              <w:rPr>
                <w:rFonts w:cs="Arial"/>
                <w:bCs/>
                <w:color w:val="000000"/>
                <w:spacing w:val="-4"/>
                <w:szCs w:val="20"/>
                <w:lang w:val="en-GB"/>
              </w:rPr>
              <w:t>the demands on the outputs in health care grew as a consequence of the adverse epidemic situation</w:t>
            </w:r>
            <w:r w:rsidR="00B96D74" w:rsidRPr="00742B86">
              <w:rPr>
                <w:rStyle w:val="Znakapoznpodarou"/>
                <w:bCs/>
                <w:color w:val="000000"/>
                <w:spacing w:val="-4"/>
                <w:szCs w:val="20"/>
                <w:lang w:val="en-GB"/>
              </w:rPr>
              <w:footnoteReference w:id="4"/>
            </w:r>
            <w:r w:rsidR="00B96D74" w:rsidRPr="00742B86">
              <w:rPr>
                <w:rFonts w:cs="Arial"/>
                <w:bCs/>
                <w:color w:val="000000"/>
                <w:spacing w:val="-4"/>
                <w:szCs w:val="20"/>
                <w:lang w:val="en-GB"/>
              </w:rPr>
              <w:t xml:space="preserve">. </w:t>
            </w:r>
            <w:r w:rsidR="00E624E8" w:rsidRPr="00742B86">
              <w:rPr>
                <w:rFonts w:cs="Arial"/>
                <w:bCs/>
                <w:color w:val="000000"/>
                <w:spacing w:val="-4"/>
                <w:szCs w:val="20"/>
                <w:lang w:val="en-GB"/>
              </w:rPr>
              <w:t xml:space="preserve">The same was also valid for information and communication. Still, the GVA grew here the least in the last eight years last year </w:t>
            </w:r>
            <w:r w:rsidR="00B96D74" w:rsidRPr="00742B86">
              <w:rPr>
                <w:rFonts w:cs="Arial"/>
                <w:bCs/>
                <w:color w:val="000000"/>
                <w:spacing w:val="-4"/>
                <w:szCs w:val="20"/>
                <w:lang w:val="en-GB"/>
              </w:rPr>
              <w:t>(+1</w:t>
            </w:r>
            <w:r w:rsidR="00E624E8" w:rsidRPr="00742B86">
              <w:rPr>
                <w:rFonts w:cs="Arial"/>
                <w:bCs/>
                <w:color w:val="000000"/>
                <w:spacing w:val="-4"/>
                <w:szCs w:val="20"/>
                <w:lang w:val="en-GB"/>
              </w:rPr>
              <w:t>.</w:t>
            </w:r>
            <w:r w:rsidR="00B96D74" w:rsidRPr="00742B86">
              <w:rPr>
                <w:rFonts w:cs="Arial"/>
                <w:bCs/>
                <w:color w:val="000000"/>
                <w:spacing w:val="-4"/>
                <w:szCs w:val="20"/>
                <w:lang w:val="en-GB"/>
              </w:rPr>
              <w:t>6%)</w:t>
            </w:r>
            <w:r w:rsidR="00B96D74" w:rsidRPr="00742B86">
              <w:rPr>
                <w:rStyle w:val="Znakapoznpodarou"/>
                <w:bCs/>
                <w:color w:val="000000"/>
                <w:spacing w:val="-4"/>
                <w:szCs w:val="20"/>
                <w:lang w:val="en-GB"/>
              </w:rPr>
              <w:footnoteReference w:id="5"/>
            </w:r>
            <w:r w:rsidR="00B96D74" w:rsidRPr="00742B86">
              <w:rPr>
                <w:rFonts w:cs="Arial"/>
                <w:bCs/>
                <w:color w:val="000000"/>
                <w:spacing w:val="-4"/>
                <w:szCs w:val="20"/>
                <w:lang w:val="en-GB"/>
              </w:rPr>
              <w:t xml:space="preserve">. </w:t>
            </w:r>
            <w:r w:rsidR="00AF22CD" w:rsidRPr="00742B86">
              <w:rPr>
                <w:rFonts w:cs="Arial"/>
                <w:bCs/>
                <w:color w:val="000000"/>
                <w:spacing w:val="-4"/>
                <w:szCs w:val="20"/>
                <w:lang w:val="en-GB"/>
              </w:rPr>
              <w:t xml:space="preserve">The GVA of agriculture, forestry and fishing climbed up by nearly 5% last year and similarly to year 2019, it represented </w:t>
            </w:r>
            <w:r w:rsidR="00AF22CD" w:rsidRPr="00742B86">
              <w:rPr>
                <w:rFonts w:cs="Arial"/>
                <w:bCs/>
                <w:color w:val="000000"/>
                <w:spacing w:val="-4"/>
                <w:szCs w:val="20"/>
                <w:lang w:val="en-GB"/>
              </w:rPr>
              <w:lastRenderedPageBreak/>
              <w:t>one of the most dynamic economic branch</w:t>
            </w:r>
            <w:r w:rsidR="00C32073">
              <w:rPr>
                <w:rFonts w:cs="Arial"/>
                <w:bCs/>
                <w:color w:val="000000"/>
                <w:spacing w:val="-4"/>
                <w:szCs w:val="20"/>
                <w:lang w:val="en-GB"/>
              </w:rPr>
              <w:t>d</w:t>
            </w:r>
            <w:r w:rsidR="007E591C" w:rsidRPr="00742B86">
              <w:rPr>
                <w:rFonts w:cs="Arial"/>
                <w:bCs/>
                <w:color w:val="000000"/>
                <w:spacing w:val="-4"/>
                <w:szCs w:val="20"/>
                <w:lang w:val="en-GB"/>
              </w:rPr>
              <w:t>es</w:t>
            </w:r>
            <w:r w:rsidR="00AF22CD" w:rsidRPr="00742B86">
              <w:rPr>
                <w:rFonts w:cs="Arial"/>
                <w:bCs/>
                <w:color w:val="000000"/>
                <w:spacing w:val="-4"/>
                <w:szCs w:val="20"/>
                <w:lang w:val="en-GB"/>
              </w:rPr>
              <w:t xml:space="preserve">. </w:t>
            </w:r>
            <w:r w:rsidR="007E591C" w:rsidRPr="00742B86">
              <w:rPr>
                <w:rFonts w:cs="Arial"/>
                <w:bCs/>
                <w:color w:val="000000"/>
                <w:spacing w:val="-4"/>
                <w:szCs w:val="20"/>
                <w:lang w:val="en-GB"/>
              </w:rPr>
              <w:t xml:space="preserve">Stabilised situation in the agricultural primary production, which was not </w:t>
            </w:r>
            <w:r w:rsidR="006272EF">
              <w:rPr>
                <w:rFonts w:cs="Arial"/>
                <w:bCs/>
                <w:color w:val="000000"/>
                <w:spacing w:val="-4"/>
                <w:szCs w:val="20"/>
                <w:lang w:val="en-GB"/>
              </w:rPr>
              <w:t>directly</w:t>
            </w:r>
            <w:r w:rsidR="007E591C" w:rsidRPr="00742B86">
              <w:rPr>
                <w:rFonts w:cs="Arial"/>
                <w:bCs/>
                <w:color w:val="000000"/>
                <w:spacing w:val="-4"/>
                <w:szCs w:val="20"/>
                <w:lang w:val="en-GB"/>
              </w:rPr>
              <w:t xml:space="preserve"> affec</w:t>
            </w:r>
            <w:r w:rsidR="006272EF">
              <w:rPr>
                <w:rFonts w:cs="Arial"/>
                <w:bCs/>
                <w:color w:val="000000"/>
                <w:spacing w:val="-4"/>
                <w:szCs w:val="20"/>
                <w:lang w:val="en-GB"/>
              </w:rPr>
              <w:t>ted by the state regulative measures (</w:t>
            </w:r>
            <w:r w:rsidR="006272EF" w:rsidRPr="00742B86">
              <w:rPr>
                <w:rFonts w:cs="Arial"/>
                <w:bCs/>
                <w:color w:val="000000"/>
                <w:spacing w:val="-4"/>
                <w:szCs w:val="20"/>
                <w:lang w:val="en-GB"/>
              </w:rPr>
              <w:t>apart from stricter hygienic measures</w:t>
            </w:r>
            <w:r w:rsidR="006272EF">
              <w:rPr>
                <w:rFonts w:cs="Arial"/>
                <w:bCs/>
                <w:color w:val="000000"/>
                <w:spacing w:val="-4"/>
                <w:szCs w:val="20"/>
                <w:lang w:val="en-GB"/>
              </w:rPr>
              <w:t>)</w:t>
            </w:r>
            <w:r w:rsidR="007E591C" w:rsidRPr="00742B86">
              <w:rPr>
                <w:rFonts w:cs="Arial"/>
                <w:bCs/>
                <w:color w:val="000000"/>
                <w:spacing w:val="-4"/>
                <w:szCs w:val="20"/>
                <w:lang w:val="en-GB"/>
              </w:rPr>
              <w:t xml:space="preserve"> in year 2020 </w:t>
            </w:r>
            <w:r w:rsidR="007E591C" w:rsidRPr="00742B86">
              <w:rPr>
                <w:spacing w:val="-4"/>
                <w:lang w:val="en-GB"/>
              </w:rPr>
              <w:t>was instrumental in this result</w:t>
            </w:r>
            <w:r w:rsidR="00B96D74" w:rsidRPr="00742B86">
              <w:rPr>
                <w:spacing w:val="-4"/>
                <w:lang w:val="en-GB"/>
              </w:rPr>
              <w:t xml:space="preserve">. </w:t>
            </w:r>
            <w:r w:rsidR="003A3741" w:rsidRPr="00742B86">
              <w:rPr>
                <w:spacing w:val="-4"/>
                <w:lang w:val="en-GB"/>
              </w:rPr>
              <w:t xml:space="preserve">Production of meat slightly grew </w:t>
            </w:r>
            <w:r w:rsidR="00B96D74" w:rsidRPr="00742B86">
              <w:rPr>
                <w:spacing w:val="-4"/>
                <w:lang w:val="en-GB"/>
              </w:rPr>
              <w:t>(+0</w:t>
            </w:r>
            <w:r w:rsidR="003A3741" w:rsidRPr="00742B86">
              <w:rPr>
                <w:spacing w:val="-4"/>
                <w:lang w:val="en-GB"/>
              </w:rPr>
              <w:t>.</w:t>
            </w:r>
            <w:r w:rsidR="00B96D74" w:rsidRPr="00742B86">
              <w:rPr>
                <w:spacing w:val="-4"/>
                <w:lang w:val="en-GB"/>
              </w:rPr>
              <w:t>9%</w:t>
            </w:r>
            <w:r w:rsidR="006272EF">
              <w:rPr>
                <w:spacing w:val="-4"/>
                <w:lang w:val="en-GB"/>
              </w:rPr>
              <w:t xml:space="preserve">, </w:t>
            </w:r>
            <w:r w:rsidR="006272EF">
              <w:rPr>
                <w:spacing w:val="-2"/>
                <w:lang w:val="en-GB"/>
              </w:rPr>
              <w:t>year-on-year</w:t>
            </w:r>
            <w:r w:rsidR="00B96D74" w:rsidRPr="00742B86">
              <w:rPr>
                <w:spacing w:val="-4"/>
                <w:lang w:val="en-GB"/>
              </w:rPr>
              <w:t>),</w:t>
            </w:r>
            <w:r w:rsidR="003A3741" w:rsidRPr="00742B86">
              <w:rPr>
                <w:spacing w:val="-4"/>
                <w:lang w:val="en-GB"/>
              </w:rPr>
              <w:t xml:space="preserve"> due to the higher</w:t>
            </w:r>
            <w:r w:rsidR="007E591C" w:rsidRPr="00742B86">
              <w:rPr>
                <w:spacing w:val="-4"/>
                <w:lang w:val="en-GB"/>
              </w:rPr>
              <w:t xml:space="preserve"> slaughter weight of the fattened </w:t>
            </w:r>
            <w:r w:rsidR="00442D8F" w:rsidRPr="00742B86">
              <w:rPr>
                <w:spacing w:val="-4"/>
                <w:lang w:val="en-GB"/>
              </w:rPr>
              <w:t xml:space="preserve">beef cattle and pigs as well as long term growing consumer popularity of poultry. Domestic producers sold in-kind by </w:t>
            </w:r>
            <w:r w:rsidR="00B96D74" w:rsidRPr="00742B86">
              <w:rPr>
                <w:spacing w:val="-5"/>
                <w:lang w:val="en-GB"/>
              </w:rPr>
              <w:t>3</w:t>
            </w:r>
            <w:r w:rsidR="00442D8F" w:rsidRPr="00742B86">
              <w:rPr>
                <w:spacing w:val="-5"/>
                <w:lang w:val="en-GB"/>
              </w:rPr>
              <w:t>.</w:t>
            </w:r>
            <w:r w:rsidR="00B96D74" w:rsidRPr="00742B86">
              <w:rPr>
                <w:spacing w:val="-5"/>
                <w:lang w:val="en-GB"/>
              </w:rPr>
              <w:t>9%</w:t>
            </w:r>
            <w:r w:rsidR="00442D8F" w:rsidRPr="00742B86">
              <w:rPr>
                <w:spacing w:val="-5"/>
                <w:lang w:val="en-GB"/>
              </w:rPr>
              <w:t xml:space="preserve"> milk more.</w:t>
            </w:r>
            <w:r w:rsidR="004D6FBA" w:rsidRPr="00742B86">
              <w:rPr>
                <w:spacing w:val="-5"/>
                <w:lang w:val="en-GB"/>
              </w:rPr>
              <w:t xml:space="preserve"> Plan</w:t>
            </w:r>
            <w:r w:rsidR="009755D6" w:rsidRPr="00742B86">
              <w:rPr>
                <w:spacing w:val="-5"/>
                <w:lang w:val="en-GB"/>
              </w:rPr>
              <w:t>t</w:t>
            </w:r>
            <w:r w:rsidR="004D6FBA" w:rsidRPr="00742B86">
              <w:rPr>
                <w:spacing w:val="-5"/>
                <w:lang w:val="en-GB"/>
              </w:rPr>
              <w:t xml:space="preserve"> production was supported by good last year´s harvest, especially of cereals, potatoes or </w:t>
            </w:r>
            <w:r w:rsidR="004D6FBA" w:rsidRPr="003B2718">
              <w:rPr>
                <w:color w:val="0D0D0D" w:themeColor="text1" w:themeTint="F2"/>
                <w:spacing w:val="-5"/>
                <w:lang w:val="en-GB"/>
              </w:rPr>
              <w:t>forage crops</w:t>
            </w:r>
            <w:r w:rsidR="00B96D74" w:rsidRPr="00742B86">
              <w:rPr>
                <w:rStyle w:val="Znakapoznpodarou"/>
                <w:spacing w:val="-5"/>
                <w:lang w:val="en-GB"/>
              </w:rPr>
              <w:footnoteReference w:id="6"/>
            </w:r>
            <w:r w:rsidR="00B96D74" w:rsidRPr="00742B86">
              <w:rPr>
                <w:spacing w:val="-5"/>
                <w:lang w:val="en-GB"/>
              </w:rPr>
              <w:t xml:space="preserve">. </w:t>
            </w:r>
            <w:r w:rsidR="004D6FBA" w:rsidRPr="00742B86">
              <w:rPr>
                <w:spacing w:val="-5"/>
                <w:lang w:val="en-GB"/>
              </w:rPr>
              <w:t xml:space="preserve">The </w:t>
            </w:r>
            <w:r w:rsidR="004D6FBA" w:rsidRPr="003B2718">
              <w:rPr>
                <w:color w:val="0D0D0D" w:themeColor="text1" w:themeTint="F2"/>
                <w:spacing w:val="-5"/>
                <w:lang w:val="en-GB"/>
              </w:rPr>
              <w:t xml:space="preserve">continuing </w:t>
            </w:r>
            <w:r w:rsidR="003B2718">
              <w:rPr>
                <w:color w:val="0D0D0D" w:themeColor="text1" w:themeTint="F2"/>
                <w:spacing w:val="-5"/>
                <w:lang w:val="en-GB"/>
              </w:rPr>
              <w:t>natural</w:t>
            </w:r>
            <w:r w:rsidR="003B2718" w:rsidRPr="003B2718">
              <w:rPr>
                <w:color w:val="0D0D0D" w:themeColor="text1" w:themeTint="F2"/>
                <w:spacing w:val="-5"/>
                <w:lang w:val="en-GB"/>
              </w:rPr>
              <w:t xml:space="preserve"> roundwood removals</w:t>
            </w:r>
            <w:r w:rsidR="003B2718">
              <w:rPr>
                <w:color w:val="FF0000"/>
                <w:spacing w:val="-5"/>
                <w:lang w:val="en-GB"/>
              </w:rPr>
              <w:t xml:space="preserve"> </w:t>
            </w:r>
            <w:r w:rsidR="004D6FBA" w:rsidRPr="00742B86">
              <w:rPr>
                <w:spacing w:val="-5"/>
                <w:lang w:val="en-GB"/>
              </w:rPr>
              <w:t xml:space="preserve">also likely had a pro-growth effect on the whole primary sector. </w:t>
            </w:r>
          </w:p>
        </w:tc>
      </w:tr>
      <w:tr w:rsidR="00B96D74" w:rsidRPr="00742B86" w:rsidTr="00A52348">
        <w:trPr>
          <w:trHeight w:val="155"/>
        </w:trPr>
        <w:tc>
          <w:tcPr>
            <w:tcW w:w="1494" w:type="dxa"/>
            <w:shd w:val="clear" w:color="auto" w:fill="auto"/>
            <w:tcMar>
              <w:left w:w="0" w:type="dxa"/>
            </w:tcMar>
          </w:tcPr>
          <w:p w:rsidR="00B96D74" w:rsidRPr="00742B86" w:rsidRDefault="00CE6E27" w:rsidP="0091476D">
            <w:pPr>
              <w:pStyle w:val="Marginlie"/>
              <w:rPr>
                <w:spacing w:val="-4"/>
                <w:lang w:val="en-GB"/>
              </w:rPr>
            </w:pPr>
            <w:r w:rsidRPr="00742B86">
              <w:rPr>
                <w:lang w:val="en-GB"/>
              </w:rPr>
              <w:lastRenderedPageBreak/>
              <w:t>The largest year-on-year GVA slump struck the states of the euro area southern wing last year</w:t>
            </w:r>
            <w:r w:rsidR="00B96D74" w:rsidRPr="00742B86">
              <w:rPr>
                <w:lang w:val="en-GB"/>
              </w:rPr>
              <w:t xml:space="preserve">. </w:t>
            </w:r>
            <w:r w:rsidRPr="00742B86">
              <w:rPr>
                <w:lang w:val="en-GB"/>
              </w:rPr>
              <w:t xml:space="preserve">Poland fared the best among the central European economies. </w:t>
            </w:r>
          </w:p>
        </w:tc>
        <w:tc>
          <w:tcPr>
            <w:tcW w:w="185" w:type="dxa"/>
            <w:shd w:val="clear" w:color="auto" w:fill="auto"/>
            <w:tcMar>
              <w:left w:w="0" w:type="dxa"/>
            </w:tcMar>
          </w:tcPr>
          <w:p w:rsidR="00B96D74" w:rsidRPr="00742B86" w:rsidRDefault="00B96D74" w:rsidP="0091476D">
            <w:pPr>
              <w:pStyle w:val="Textpoznpodarou"/>
              <w:jc w:val="both"/>
              <w:rPr>
                <w:spacing w:val="-4"/>
                <w:lang w:val="en-GB"/>
              </w:rPr>
            </w:pPr>
          </w:p>
        </w:tc>
        <w:tc>
          <w:tcPr>
            <w:tcW w:w="7985" w:type="dxa"/>
            <w:shd w:val="clear" w:color="auto" w:fill="auto"/>
            <w:tcMar>
              <w:left w:w="0" w:type="dxa"/>
            </w:tcMar>
          </w:tcPr>
          <w:p w:rsidR="00B96D74" w:rsidRPr="003C3A1D" w:rsidRDefault="007E591C" w:rsidP="0091476D">
            <w:pPr>
              <w:rPr>
                <w:rFonts w:cs="Arial"/>
                <w:bCs/>
                <w:color w:val="000000"/>
                <w:spacing w:val="-3"/>
                <w:szCs w:val="20"/>
                <w:lang w:val="en-GB"/>
              </w:rPr>
            </w:pPr>
            <w:r w:rsidRPr="003C3A1D">
              <w:rPr>
                <w:spacing w:val="-3"/>
                <w:lang w:val="en-GB"/>
              </w:rPr>
              <w:t xml:space="preserve">Total value added </w:t>
            </w:r>
            <w:r w:rsidR="005B506A" w:rsidRPr="003C3A1D">
              <w:rPr>
                <w:spacing w:val="-3"/>
                <w:lang w:val="en-GB"/>
              </w:rPr>
              <w:t>dived by 6.1% in the EU for the last year and by 6.5% in the euro area countries,</w:t>
            </w:r>
            <w:r w:rsidR="00B96D74" w:rsidRPr="003C3A1D">
              <w:rPr>
                <w:spacing w:val="-3"/>
                <w:lang w:val="en-GB"/>
              </w:rPr>
              <w:t xml:space="preserve"> </w:t>
            </w:r>
            <w:r w:rsidRPr="003C3A1D">
              <w:rPr>
                <w:spacing w:val="-3"/>
                <w:lang w:val="en-GB"/>
              </w:rPr>
              <w:t>i.e. more than in the CR</w:t>
            </w:r>
            <w:r w:rsidR="00B96D74" w:rsidRPr="003C3A1D">
              <w:rPr>
                <w:rStyle w:val="Znakapoznpodarou"/>
                <w:spacing w:val="-3"/>
                <w:lang w:val="en-GB"/>
              </w:rPr>
              <w:footnoteReference w:id="7"/>
            </w:r>
            <w:r w:rsidR="00B96D74" w:rsidRPr="003C3A1D">
              <w:rPr>
                <w:spacing w:val="-3"/>
                <w:lang w:val="en-GB"/>
              </w:rPr>
              <w:t xml:space="preserve">. </w:t>
            </w:r>
            <w:r w:rsidR="005B506A" w:rsidRPr="003C3A1D">
              <w:rPr>
                <w:spacing w:val="-3"/>
                <w:lang w:val="en-GB"/>
              </w:rPr>
              <w:t xml:space="preserve">Still, the domestic downturn was the tenth largest among the EU states. </w:t>
            </w:r>
            <w:r w:rsidR="005F509C" w:rsidRPr="003C3A1D">
              <w:rPr>
                <w:spacing w:val="-3"/>
                <w:lang w:val="en-GB"/>
              </w:rPr>
              <w:t xml:space="preserve">The Union results were influenced by the output downswing in the significant economies especially on the southern wing of the euro area </w:t>
            </w:r>
            <w:r w:rsidR="00B96D74" w:rsidRPr="003C3A1D">
              <w:rPr>
                <w:spacing w:val="-3"/>
                <w:lang w:val="en-GB"/>
              </w:rPr>
              <w:t>(</w:t>
            </w:r>
            <w:r w:rsidR="005F509C" w:rsidRPr="003C3A1D">
              <w:rPr>
                <w:spacing w:val="-3"/>
                <w:lang w:val="en-GB"/>
              </w:rPr>
              <w:t xml:space="preserve">Spain </w:t>
            </w:r>
            <w:r w:rsidR="00B96D74" w:rsidRPr="003C3A1D">
              <w:rPr>
                <w:spacing w:val="-3"/>
                <w:lang w:val="en-GB"/>
              </w:rPr>
              <w:t>10</w:t>
            </w:r>
            <w:r w:rsidR="005F509C" w:rsidRPr="003C3A1D">
              <w:rPr>
                <w:spacing w:val="-3"/>
                <w:lang w:val="en-GB"/>
              </w:rPr>
              <w:t>.</w:t>
            </w:r>
            <w:r w:rsidR="00B96D74" w:rsidRPr="003C3A1D">
              <w:rPr>
                <w:spacing w:val="-3"/>
                <w:lang w:val="en-GB"/>
              </w:rPr>
              <w:t>8%, It</w:t>
            </w:r>
            <w:r w:rsidR="005F509C" w:rsidRPr="003C3A1D">
              <w:rPr>
                <w:spacing w:val="-3"/>
                <w:lang w:val="en-GB"/>
              </w:rPr>
              <w:t xml:space="preserve">aly </w:t>
            </w:r>
            <w:r w:rsidR="00B96D74" w:rsidRPr="003C3A1D">
              <w:rPr>
                <w:spacing w:val="-3"/>
                <w:lang w:val="en-GB"/>
              </w:rPr>
              <w:t>8</w:t>
            </w:r>
            <w:r w:rsidR="005F509C" w:rsidRPr="003C3A1D">
              <w:rPr>
                <w:spacing w:val="-3"/>
                <w:lang w:val="en-GB"/>
              </w:rPr>
              <w:t>.</w:t>
            </w:r>
            <w:r w:rsidR="00B96D74" w:rsidRPr="003C3A1D">
              <w:rPr>
                <w:spacing w:val="-3"/>
                <w:lang w:val="en-GB"/>
              </w:rPr>
              <w:t xml:space="preserve">6%, </w:t>
            </w:r>
            <w:r w:rsidR="005F509C" w:rsidRPr="003C3A1D">
              <w:rPr>
                <w:spacing w:val="-3"/>
                <w:lang w:val="en-GB"/>
              </w:rPr>
              <w:t xml:space="preserve">Greece </w:t>
            </w:r>
            <w:r w:rsidR="00B96D74" w:rsidRPr="003C3A1D">
              <w:rPr>
                <w:lang w:val="en-GB"/>
              </w:rPr>
              <w:t>8</w:t>
            </w:r>
            <w:r w:rsidR="005F509C" w:rsidRPr="003C3A1D">
              <w:rPr>
                <w:lang w:val="en-GB"/>
              </w:rPr>
              <w:t>.</w:t>
            </w:r>
            <w:r w:rsidR="00B96D74" w:rsidRPr="003C3A1D">
              <w:rPr>
                <w:lang w:val="en-GB"/>
              </w:rPr>
              <w:t>1%, P</w:t>
            </w:r>
            <w:r w:rsidR="005F509C" w:rsidRPr="003C3A1D">
              <w:rPr>
                <w:lang w:val="en-GB"/>
              </w:rPr>
              <w:t xml:space="preserve">ortugal </w:t>
            </w:r>
            <w:r w:rsidR="00B96D74" w:rsidRPr="003C3A1D">
              <w:rPr>
                <w:lang w:val="en-GB"/>
              </w:rPr>
              <w:t>6</w:t>
            </w:r>
            <w:r w:rsidR="005F509C" w:rsidRPr="003C3A1D">
              <w:rPr>
                <w:lang w:val="en-GB"/>
              </w:rPr>
              <w:t>.</w:t>
            </w:r>
            <w:r w:rsidR="00B96D74" w:rsidRPr="003C3A1D">
              <w:rPr>
                <w:lang w:val="en-GB"/>
              </w:rPr>
              <w:t>4%) a</w:t>
            </w:r>
            <w:r w:rsidR="005F509C" w:rsidRPr="003C3A1D">
              <w:rPr>
                <w:lang w:val="en-GB"/>
              </w:rPr>
              <w:t xml:space="preserve">nd also France </w:t>
            </w:r>
            <w:r w:rsidR="00B96D74" w:rsidRPr="003C3A1D">
              <w:rPr>
                <w:lang w:val="en-GB"/>
              </w:rPr>
              <w:t>(8</w:t>
            </w:r>
            <w:r w:rsidR="005F509C" w:rsidRPr="003C3A1D">
              <w:rPr>
                <w:lang w:val="en-GB"/>
              </w:rPr>
              <w:t>.</w:t>
            </w:r>
            <w:r w:rsidR="00B96D74" w:rsidRPr="003C3A1D">
              <w:rPr>
                <w:lang w:val="en-GB"/>
              </w:rPr>
              <w:t xml:space="preserve">1%). </w:t>
            </w:r>
            <w:r w:rsidR="005B506A" w:rsidRPr="003C3A1D">
              <w:rPr>
                <w:lang w:val="en-GB"/>
              </w:rPr>
              <w:t xml:space="preserve">Among the central European states, Poland </w:t>
            </w:r>
            <w:r w:rsidR="00B96D74" w:rsidRPr="003C3A1D">
              <w:rPr>
                <w:lang w:val="en-GB"/>
              </w:rPr>
              <w:t>(–2</w:t>
            </w:r>
            <w:r w:rsidR="005F509C" w:rsidRPr="003C3A1D">
              <w:rPr>
                <w:lang w:val="en-GB"/>
              </w:rPr>
              <w:t>.</w:t>
            </w:r>
            <w:r w:rsidR="00B96D74" w:rsidRPr="003C3A1D">
              <w:rPr>
                <w:lang w:val="en-GB"/>
              </w:rPr>
              <w:t>8%)</w:t>
            </w:r>
            <w:r w:rsidR="005B506A" w:rsidRPr="003C3A1D">
              <w:rPr>
                <w:spacing w:val="-3"/>
                <w:lang w:val="en-GB"/>
              </w:rPr>
              <w:t xml:space="preserve"> fared the best</w:t>
            </w:r>
            <w:r w:rsidR="00B96D74" w:rsidRPr="003C3A1D">
              <w:rPr>
                <w:spacing w:val="-3"/>
                <w:lang w:val="en-GB"/>
              </w:rPr>
              <w:t>,</w:t>
            </w:r>
            <w:r w:rsidR="005B506A" w:rsidRPr="003C3A1D">
              <w:rPr>
                <w:spacing w:val="-3"/>
                <w:lang w:val="en-GB"/>
              </w:rPr>
              <w:t xml:space="preserve"> Austria </w:t>
            </w:r>
            <w:r w:rsidR="00B96D74" w:rsidRPr="003C3A1D">
              <w:rPr>
                <w:spacing w:val="-3"/>
                <w:lang w:val="en-GB"/>
              </w:rPr>
              <w:t>(–6</w:t>
            </w:r>
            <w:r w:rsidR="005F509C" w:rsidRPr="003C3A1D">
              <w:rPr>
                <w:spacing w:val="-3"/>
                <w:lang w:val="en-GB"/>
              </w:rPr>
              <w:t>.</w:t>
            </w:r>
            <w:r w:rsidR="00B96D74" w:rsidRPr="003C3A1D">
              <w:rPr>
                <w:spacing w:val="-3"/>
                <w:lang w:val="en-GB"/>
              </w:rPr>
              <w:t>4%)</w:t>
            </w:r>
            <w:r w:rsidR="005B506A" w:rsidRPr="003C3A1D">
              <w:rPr>
                <w:spacing w:val="-3"/>
                <w:lang w:val="en-GB"/>
              </w:rPr>
              <w:t xml:space="preserve"> the worst</w:t>
            </w:r>
            <w:r w:rsidR="00B96D74" w:rsidRPr="003C3A1D">
              <w:rPr>
                <w:spacing w:val="-3"/>
                <w:lang w:val="en-GB"/>
              </w:rPr>
              <w:t>.</w:t>
            </w:r>
            <w:r w:rsidR="005B506A" w:rsidRPr="003C3A1D">
              <w:rPr>
                <w:spacing w:val="-3"/>
                <w:lang w:val="en-GB"/>
              </w:rPr>
              <w:t xml:space="preserve"> Both Germany and Slovakia recorded comparable slump to the CR. Only Ireland registered the growth of the value added </w:t>
            </w:r>
            <w:r w:rsidR="00B96D74" w:rsidRPr="003C3A1D">
              <w:rPr>
                <w:spacing w:val="-3"/>
                <w:lang w:val="en-GB"/>
              </w:rPr>
              <w:t>(+2</w:t>
            </w:r>
            <w:r w:rsidR="005B506A" w:rsidRPr="003C3A1D">
              <w:rPr>
                <w:spacing w:val="-3"/>
                <w:lang w:val="en-GB"/>
              </w:rPr>
              <w:t>.</w:t>
            </w:r>
            <w:r w:rsidR="00B96D74" w:rsidRPr="003C3A1D">
              <w:rPr>
                <w:spacing w:val="-3"/>
                <w:lang w:val="en-GB"/>
              </w:rPr>
              <w:t>5%),</w:t>
            </w:r>
            <w:r w:rsidR="003E7971" w:rsidRPr="003C3A1D">
              <w:rPr>
                <w:spacing w:val="-3"/>
                <w:lang w:val="en-GB"/>
              </w:rPr>
              <w:t xml:space="preserve"> </w:t>
            </w:r>
            <w:r w:rsidR="00D205DA" w:rsidRPr="003C3A1D">
              <w:rPr>
                <w:spacing w:val="-3"/>
                <w:lang w:val="en-GB"/>
              </w:rPr>
              <w:t xml:space="preserve">North states or Baltic states also reported relatively favourable results. Differences between states primarily testify about the onset of the coronavirus infection across the EU, the speed and intensity of government restrictive measures and partially also about the varying sectoral structure of economies </w:t>
            </w:r>
            <w:r w:rsidR="00B96D74" w:rsidRPr="003C3A1D">
              <w:rPr>
                <w:spacing w:val="-3"/>
                <w:lang w:val="en-GB"/>
              </w:rPr>
              <w:t>(</w:t>
            </w:r>
            <w:r w:rsidR="00ED3818" w:rsidRPr="003C3A1D">
              <w:rPr>
                <w:spacing w:val="-3"/>
                <w:lang w:val="en-GB"/>
              </w:rPr>
              <w:t>larger proportion of activities tied to tourism had a negative effect, the role of public services but also manufacturing then for example a positive effect</w:t>
            </w:r>
            <w:r w:rsidR="00B96D74" w:rsidRPr="003C3A1D">
              <w:rPr>
                <w:spacing w:val="-3"/>
                <w:lang w:val="en-GB"/>
              </w:rPr>
              <w:t>).</w:t>
            </w:r>
          </w:p>
        </w:tc>
      </w:tr>
      <w:tr w:rsidR="00B96D74" w:rsidRPr="00742B86" w:rsidTr="00A52348">
        <w:trPr>
          <w:trHeight w:val="155"/>
        </w:trPr>
        <w:tc>
          <w:tcPr>
            <w:tcW w:w="1494" w:type="dxa"/>
            <w:shd w:val="clear" w:color="auto" w:fill="auto"/>
            <w:tcMar>
              <w:left w:w="0" w:type="dxa"/>
            </w:tcMar>
          </w:tcPr>
          <w:p w:rsidR="00B96D74" w:rsidRPr="00742B86" w:rsidRDefault="00CE6E27" w:rsidP="0091476D">
            <w:pPr>
              <w:pStyle w:val="Marginlie"/>
              <w:rPr>
                <w:spacing w:val="-4"/>
                <w:lang w:val="en-GB"/>
              </w:rPr>
            </w:pPr>
            <w:r w:rsidRPr="00742B86">
              <w:rPr>
                <w:spacing w:val="-4"/>
                <w:lang w:val="en-GB"/>
              </w:rPr>
              <w:t xml:space="preserve">Despite strong </w:t>
            </w:r>
            <w:r w:rsidR="00202575">
              <w:rPr>
                <w:spacing w:val="-4"/>
                <w:lang w:val="en-GB"/>
              </w:rPr>
              <w:t>summer</w:t>
            </w:r>
            <w:r w:rsidRPr="00742B86">
              <w:rPr>
                <w:spacing w:val="-4"/>
                <w:lang w:val="en-GB"/>
              </w:rPr>
              <w:t xml:space="preserve"> recovery, the value of industrial production still remained below its </w:t>
            </w:r>
            <w:r w:rsidR="00B96D74" w:rsidRPr="00742B86">
              <w:rPr>
                <w:spacing w:val="-4"/>
                <w:lang w:val="en-GB"/>
              </w:rPr>
              <w:t>„p</w:t>
            </w:r>
            <w:r w:rsidRPr="00742B86">
              <w:rPr>
                <w:spacing w:val="-4"/>
                <w:lang w:val="en-GB"/>
              </w:rPr>
              <w:t>re-pandemic</w:t>
            </w:r>
            <w:r w:rsidR="00B96D74" w:rsidRPr="00742B86">
              <w:rPr>
                <w:spacing w:val="-4"/>
                <w:lang w:val="en-GB"/>
              </w:rPr>
              <w:t xml:space="preserve">“ </w:t>
            </w:r>
            <w:r w:rsidRPr="00742B86">
              <w:rPr>
                <w:spacing w:val="-4"/>
                <w:lang w:val="en-GB"/>
              </w:rPr>
              <w:t xml:space="preserve">peak. </w:t>
            </w:r>
          </w:p>
          <w:p w:rsidR="00B96D74" w:rsidRPr="00742B86" w:rsidRDefault="00B96D74" w:rsidP="0091476D">
            <w:pPr>
              <w:pStyle w:val="Marginlie"/>
              <w:rPr>
                <w:spacing w:val="-4"/>
                <w:lang w:val="en-GB"/>
              </w:rPr>
            </w:pPr>
          </w:p>
          <w:p w:rsidR="00B96D74" w:rsidRPr="00742B86" w:rsidRDefault="00B96D74" w:rsidP="0091476D">
            <w:pPr>
              <w:pStyle w:val="Marginlie"/>
              <w:rPr>
                <w:spacing w:val="-4"/>
                <w:lang w:val="en-GB"/>
              </w:rPr>
            </w:pPr>
          </w:p>
          <w:p w:rsidR="00B96D74" w:rsidRPr="00742B86" w:rsidRDefault="00B96D74" w:rsidP="0091476D">
            <w:pPr>
              <w:pStyle w:val="Marginlie"/>
              <w:rPr>
                <w:spacing w:val="-4"/>
                <w:lang w:val="en-GB"/>
              </w:rPr>
            </w:pPr>
          </w:p>
          <w:p w:rsidR="00B96D74" w:rsidRPr="00742B86" w:rsidRDefault="0093799F" w:rsidP="0091476D">
            <w:pPr>
              <w:pStyle w:val="Marginlie"/>
              <w:rPr>
                <w:lang w:val="en-GB"/>
              </w:rPr>
            </w:pPr>
            <w:r w:rsidRPr="00742B86">
              <w:rPr>
                <w:spacing w:val="-4"/>
                <w:lang w:val="en-GB"/>
              </w:rPr>
              <w:t>Motor vehicle production stood behind the slump of the whole industry in H</w:t>
            </w:r>
            <w:r w:rsidR="00B96D74" w:rsidRPr="00742B86">
              <w:rPr>
                <w:spacing w:val="-4"/>
                <w:lang w:val="en-GB"/>
              </w:rPr>
              <w:t>1</w:t>
            </w:r>
            <w:r w:rsidRPr="00742B86">
              <w:rPr>
                <w:spacing w:val="-4"/>
                <w:lang w:val="en-GB"/>
              </w:rPr>
              <w:t xml:space="preserve">, it was however also key for the renewal of its growth at the end of the year. </w:t>
            </w:r>
          </w:p>
        </w:tc>
        <w:tc>
          <w:tcPr>
            <w:tcW w:w="185" w:type="dxa"/>
            <w:shd w:val="clear" w:color="auto" w:fill="auto"/>
            <w:tcMar>
              <w:left w:w="0" w:type="dxa"/>
            </w:tcMar>
          </w:tcPr>
          <w:p w:rsidR="00B96D74" w:rsidRPr="00742B86" w:rsidRDefault="00B96D74" w:rsidP="0091476D">
            <w:pPr>
              <w:pStyle w:val="Textpoznpodarou"/>
              <w:jc w:val="both"/>
              <w:rPr>
                <w:spacing w:val="-4"/>
                <w:lang w:val="en-GB"/>
              </w:rPr>
            </w:pPr>
          </w:p>
        </w:tc>
        <w:tc>
          <w:tcPr>
            <w:tcW w:w="7985" w:type="dxa"/>
            <w:shd w:val="clear" w:color="auto" w:fill="auto"/>
            <w:tcMar>
              <w:left w:w="0" w:type="dxa"/>
            </w:tcMar>
          </w:tcPr>
          <w:p w:rsidR="00B96D74" w:rsidRPr="00742B86" w:rsidRDefault="00ED3818" w:rsidP="00862C0A">
            <w:pPr>
              <w:rPr>
                <w:spacing w:val="-4"/>
                <w:lang w:val="en-GB"/>
              </w:rPr>
            </w:pPr>
            <w:r w:rsidRPr="00742B86">
              <w:rPr>
                <w:spacing w:val="-4"/>
                <w:lang w:val="en-GB"/>
              </w:rPr>
              <w:t xml:space="preserve">Also more detailed data of </w:t>
            </w:r>
            <w:r w:rsidR="009A03A5" w:rsidRPr="00742B86">
              <w:rPr>
                <w:spacing w:val="-4"/>
                <w:lang w:val="en-GB"/>
              </w:rPr>
              <w:t>enterprise</w:t>
            </w:r>
            <w:r w:rsidRPr="00742B86">
              <w:rPr>
                <w:spacing w:val="-4"/>
                <w:lang w:val="en-GB"/>
              </w:rPr>
              <w:t xml:space="preserve"> statistics </w:t>
            </w:r>
            <w:r w:rsidR="00B301DB" w:rsidRPr="00742B86">
              <w:rPr>
                <w:spacing w:val="-4"/>
                <w:lang w:val="en-GB"/>
              </w:rPr>
              <w:t>confirm</w:t>
            </w:r>
            <w:r w:rsidRPr="00742B86">
              <w:rPr>
                <w:spacing w:val="-4"/>
                <w:lang w:val="en-GB"/>
              </w:rPr>
              <w:t xml:space="preserve"> that a significant revival of industrial production</w:t>
            </w:r>
            <w:r w:rsidRPr="00742B86">
              <w:rPr>
                <w:color w:val="000000" w:themeColor="text1"/>
                <w:spacing w:val="-4"/>
                <w:vertAlign w:val="superscript"/>
                <w:lang w:val="en-GB"/>
              </w:rPr>
              <w:footnoteReference w:id="8"/>
            </w:r>
            <w:r w:rsidRPr="00742B86">
              <w:rPr>
                <w:spacing w:val="-4"/>
                <w:lang w:val="en-GB"/>
              </w:rPr>
              <w:t xml:space="preserve"> </w:t>
            </w:r>
            <w:r w:rsidR="009A03A5" w:rsidRPr="00742B86">
              <w:rPr>
                <w:spacing w:val="-4"/>
                <w:lang w:val="en-GB"/>
              </w:rPr>
              <w:t>occurred</w:t>
            </w:r>
            <w:r w:rsidRPr="00742B86">
              <w:rPr>
                <w:spacing w:val="-4"/>
                <w:lang w:val="en-GB"/>
              </w:rPr>
              <w:t xml:space="preserve"> during both May and June, </w:t>
            </w:r>
            <w:r w:rsidRPr="00742B86">
              <w:rPr>
                <w:color w:val="000000" w:themeColor="text1"/>
                <w:spacing w:val="-4"/>
                <w:lang w:val="en-GB"/>
              </w:rPr>
              <w:t xml:space="preserve">following the steep </w:t>
            </w:r>
            <w:r w:rsidR="00202575">
              <w:rPr>
                <w:color w:val="000000" w:themeColor="text1"/>
                <w:spacing w:val="-4"/>
                <w:lang w:val="en-GB"/>
              </w:rPr>
              <w:t>spring</w:t>
            </w:r>
            <w:r w:rsidRPr="00742B86">
              <w:rPr>
                <w:color w:val="000000" w:themeColor="text1"/>
                <w:spacing w:val="-4"/>
                <w:lang w:val="en-GB"/>
              </w:rPr>
              <w:t xml:space="preserve"> descend</w:t>
            </w:r>
            <w:r w:rsidRPr="00742B86">
              <w:rPr>
                <w:rStyle w:val="Znakapoznpodarou"/>
                <w:spacing w:val="-4"/>
                <w:lang w:val="en-GB"/>
              </w:rPr>
              <w:footnoteReference w:id="9"/>
            </w:r>
            <w:r w:rsidRPr="00742B86">
              <w:rPr>
                <w:color w:val="000000" w:themeColor="text1"/>
                <w:spacing w:val="-4"/>
                <w:lang w:val="en-GB"/>
              </w:rPr>
              <w:t xml:space="preserve"> </w:t>
            </w:r>
            <w:r w:rsidR="009A03A5" w:rsidRPr="00742B86">
              <w:rPr>
                <w:color w:val="000000" w:themeColor="text1"/>
                <w:spacing w:val="-4"/>
                <w:lang w:val="en-GB"/>
              </w:rPr>
              <w:t>accompanied</w:t>
            </w:r>
            <w:r w:rsidRPr="00742B86">
              <w:rPr>
                <w:color w:val="000000" w:themeColor="text1"/>
                <w:spacing w:val="-4"/>
                <w:lang w:val="en-GB"/>
              </w:rPr>
              <w:t xml:space="preserve"> by several-week closure of number of operations</w:t>
            </w:r>
            <w:r w:rsidR="00B96D74" w:rsidRPr="00742B86">
              <w:rPr>
                <w:color w:val="000000" w:themeColor="text1"/>
                <w:spacing w:val="-4"/>
                <w:lang w:val="en-GB"/>
              </w:rPr>
              <w:t xml:space="preserve">. </w:t>
            </w:r>
            <w:r w:rsidR="009A03A5" w:rsidRPr="00742B86">
              <w:rPr>
                <w:color w:val="000000" w:themeColor="text1"/>
                <w:spacing w:val="-4"/>
                <w:lang w:val="en-GB"/>
              </w:rPr>
              <w:t>Bo</w:t>
            </w:r>
            <w:r w:rsidR="00186562" w:rsidRPr="00742B86">
              <w:rPr>
                <w:color w:val="000000" w:themeColor="text1"/>
                <w:spacing w:val="-4"/>
                <w:lang w:val="en-GB"/>
              </w:rPr>
              <w:t>th</w:t>
            </w:r>
            <w:r w:rsidR="009A03A5" w:rsidRPr="00742B86">
              <w:rPr>
                <w:color w:val="000000" w:themeColor="text1"/>
                <w:spacing w:val="-4"/>
                <w:lang w:val="en-GB"/>
              </w:rPr>
              <w:t xml:space="preserve"> fast renewal of demand in key export activit</w:t>
            </w:r>
            <w:r w:rsidR="00186562" w:rsidRPr="00742B86">
              <w:rPr>
                <w:color w:val="000000" w:themeColor="text1"/>
                <w:spacing w:val="-4"/>
                <w:lang w:val="en-GB"/>
              </w:rPr>
              <w:t>i</w:t>
            </w:r>
            <w:r w:rsidR="009A03A5" w:rsidRPr="00742B86">
              <w:rPr>
                <w:color w:val="000000" w:themeColor="text1"/>
                <w:spacing w:val="-4"/>
                <w:lang w:val="en-GB"/>
              </w:rPr>
              <w:t xml:space="preserve">es and persisting weaker koruna foreign exchange </w:t>
            </w:r>
            <w:r w:rsidR="00186562" w:rsidRPr="00742B86">
              <w:rPr>
                <w:color w:val="000000" w:themeColor="text1"/>
                <w:spacing w:val="-4"/>
                <w:lang w:val="en-GB"/>
              </w:rPr>
              <w:t xml:space="preserve">had a positive effect. </w:t>
            </w:r>
            <w:r w:rsidR="00317263" w:rsidRPr="00742B86">
              <w:rPr>
                <w:color w:val="000000" w:themeColor="text1"/>
                <w:spacing w:val="-4"/>
                <w:lang w:val="en-GB"/>
              </w:rPr>
              <w:t xml:space="preserve">It was also important, that the global production chains were not suspended more </w:t>
            </w:r>
            <w:r w:rsidR="00B96D74" w:rsidRPr="00742B86">
              <w:rPr>
                <w:color w:val="000000" w:themeColor="text1"/>
                <w:spacing w:val="-4"/>
                <w:lang w:val="en-GB"/>
              </w:rPr>
              <w:t>a</w:t>
            </w:r>
            <w:r w:rsidR="009A03A5" w:rsidRPr="00742B86">
              <w:rPr>
                <w:color w:val="000000" w:themeColor="text1"/>
                <w:spacing w:val="-4"/>
                <w:lang w:val="en-GB"/>
              </w:rPr>
              <w:t xml:space="preserve">nd the </w:t>
            </w:r>
            <w:r w:rsidR="00317263" w:rsidRPr="00742B86">
              <w:rPr>
                <w:color w:val="000000" w:themeColor="text1"/>
                <w:spacing w:val="-4"/>
                <w:lang w:val="en-GB"/>
              </w:rPr>
              <w:t>p</w:t>
            </w:r>
            <w:r w:rsidR="009A03A5" w:rsidRPr="00742B86">
              <w:rPr>
                <w:color w:val="000000" w:themeColor="text1"/>
                <w:spacing w:val="-4"/>
                <w:lang w:val="en-GB"/>
              </w:rPr>
              <w:t>ermeability of borders</w:t>
            </w:r>
            <w:r w:rsidR="00317263" w:rsidRPr="00742B86">
              <w:rPr>
                <w:color w:val="000000" w:themeColor="text1"/>
                <w:spacing w:val="-4"/>
                <w:lang w:val="en-GB"/>
              </w:rPr>
              <w:t xml:space="preserve"> for the freight transport was not disrupted any more</w:t>
            </w:r>
            <w:r w:rsidR="00B96D74" w:rsidRPr="00742B86">
              <w:rPr>
                <w:color w:val="000000" w:themeColor="text1"/>
                <w:spacing w:val="-4"/>
                <w:lang w:val="en-GB"/>
              </w:rPr>
              <w:t xml:space="preserve">. </w:t>
            </w:r>
            <w:r w:rsidR="00317263" w:rsidRPr="00742B86">
              <w:rPr>
                <w:color w:val="000000" w:themeColor="text1"/>
                <w:spacing w:val="-4"/>
                <w:lang w:val="en-GB"/>
              </w:rPr>
              <w:t>The month-on-month industrial output grew until October, in the last m</w:t>
            </w:r>
            <w:r w:rsidR="00053625">
              <w:rPr>
                <w:color w:val="000000" w:themeColor="text1"/>
                <w:spacing w:val="-4"/>
                <w:lang w:val="en-GB"/>
              </w:rPr>
              <w:t>onths of the year it almost</w:t>
            </w:r>
            <w:r w:rsidR="00317263" w:rsidRPr="00742B86">
              <w:rPr>
                <w:color w:val="000000" w:themeColor="text1"/>
                <w:spacing w:val="-4"/>
                <w:lang w:val="en-GB"/>
              </w:rPr>
              <w:t xml:space="preserve"> stagnated</w:t>
            </w:r>
            <w:r w:rsidR="00B96D74" w:rsidRPr="00742B86">
              <w:rPr>
                <w:color w:val="000000" w:themeColor="text1"/>
                <w:spacing w:val="-4"/>
                <w:lang w:val="en-GB"/>
              </w:rPr>
              <w:t xml:space="preserve">. </w:t>
            </w:r>
            <w:r w:rsidR="00186562" w:rsidRPr="00742B86">
              <w:rPr>
                <w:color w:val="000000" w:themeColor="text1"/>
                <w:spacing w:val="-4"/>
                <w:lang w:val="en-GB"/>
              </w:rPr>
              <w:t xml:space="preserve">Despite this development, even the December output level still did not reach its </w:t>
            </w:r>
            <w:r w:rsidR="00B96D74" w:rsidRPr="00742B86">
              <w:rPr>
                <w:color w:val="000000" w:themeColor="text1"/>
                <w:spacing w:val="-4"/>
                <w:lang w:val="en-GB"/>
              </w:rPr>
              <w:t>„p</w:t>
            </w:r>
            <w:r w:rsidR="00186562" w:rsidRPr="00742B86">
              <w:rPr>
                <w:color w:val="000000" w:themeColor="text1"/>
                <w:spacing w:val="-4"/>
                <w:lang w:val="en-GB"/>
              </w:rPr>
              <w:t>re-pandemic</w:t>
            </w:r>
            <w:r w:rsidR="00B96D74" w:rsidRPr="00742B86">
              <w:rPr>
                <w:color w:val="000000" w:themeColor="text1"/>
                <w:spacing w:val="-4"/>
                <w:lang w:val="en-GB"/>
              </w:rPr>
              <w:t>“ maxim</w:t>
            </w:r>
            <w:r w:rsidR="00186562" w:rsidRPr="00742B86">
              <w:rPr>
                <w:color w:val="000000" w:themeColor="text1"/>
                <w:spacing w:val="-4"/>
                <w:lang w:val="en-GB"/>
              </w:rPr>
              <w:t>um</w:t>
            </w:r>
            <w:r w:rsidR="00B96D74" w:rsidRPr="00742B86">
              <w:rPr>
                <w:rStyle w:val="Znakapoznpodarou"/>
                <w:color w:val="000000" w:themeColor="text1"/>
                <w:spacing w:val="-4"/>
                <w:lang w:val="en-GB"/>
              </w:rPr>
              <w:footnoteReference w:id="10"/>
            </w:r>
            <w:r w:rsidR="00B96D74" w:rsidRPr="00742B86">
              <w:rPr>
                <w:color w:val="000000" w:themeColor="text1"/>
                <w:spacing w:val="-4"/>
                <w:lang w:val="en-GB"/>
              </w:rPr>
              <w:t xml:space="preserve">. </w:t>
            </w:r>
            <w:r w:rsidR="0094257D" w:rsidRPr="00742B86">
              <w:rPr>
                <w:color w:val="000000" w:themeColor="text1"/>
                <w:spacing w:val="-4"/>
                <w:lang w:val="en-GB"/>
              </w:rPr>
              <w:t>However, it was positive that the industry returned to growth in the year-on-year expression in Q</w:t>
            </w:r>
            <w:r w:rsidR="00B96D74" w:rsidRPr="00742B86">
              <w:rPr>
                <w:color w:val="000000" w:themeColor="text1"/>
                <w:spacing w:val="-4"/>
                <w:lang w:val="en-GB"/>
              </w:rPr>
              <w:t>4</w:t>
            </w:r>
            <w:r w:rsidR="0094257D" w:rsidRPr="00742B86">
              <w:rPr>
                <w:color w:val="000000" w:themeColor="text1"/>
                <w:spacing w:val="-4"/>
                <w:lang w:val="en-GB"/>
              </w:rPr>
              <w:t xml:space="preserve"> </w:t>
            </w:r>
            <w:r w:rsidR="00B96D74" w:rsidRPr="00742B86">
              <w:rPr>
                <w:color w:val="000000" w:themeColor="text1"/>
                <w:spacing w:val="-4"/>
                <w:lang w:val="en-GB"/>
              </w:rPr>
              <w:t>(+2</w:t>
            </w:r>
            <w:r w:rsidR="0094257D" w:rsidRPr="00742B86">
              <w:rPr>
                <w:color w:val="000000" w:themeColor="text1"/>
                <w:spacing w:val="-4"/>
                <w:lang w:val="en-GB"/>
              </w:rPr>
              <w:t>.</w:t>
            </w:r>
            <w:r w:rsidR="00B96D74" w:rsidRPr="00742B86">
              <w:rPr>
                <w:color w:val="000000" w:themeColor="text1"/>
                <w:spacing w:val="-4"/>
                <w:lang w:val="en-GB"/>
              </w:rPr>
              <w:t>0%).</w:t>
            </w:r>
            <w:r w:rsidR="0094257D" w:rsidRPr="00742B86">
              <w:rPr>
                <w:color w:val="000000" w:themeColor="text1"/>
                <w:spacing w:val="-4"/>
                <w:lang w:val="en-GB"/>
              </w:rPr>
              <w:t xml:space="preserve"> The industrial production declined by </w:t>
            </w:r>
            <w:r w:rsidR="00B96D74" w:rsidRPr="00742B86">
              <w:rPr>
                <w:color w:val="000000" w:themeColor="text1"/>
                <w:spacing w:val="-4"/>
                <w:lang w:val="en-GB"/>
              </w:rPr>
              <w:t>7</w:t>
            </w:r>
            <w:r w:rsidR="0094257D" w:rsidRPr="00742B86">
              <w:rPr>
                <w:color w:val="000000" w:themeColor="text1"/>
                <w:spacing w:val="-4"/>
                <w:lang w:val="en-GB"/>
              </w:rPr>
              <w:t>.</w:t>
            </w:r>
            <w:r w:rsidR="00B96D74" w:rsidRPr="00742B86">
              <w:rPr>
                <w:color w:val="000000" w:themeColor="text1"/>
                <w:spacing w:val="-4"/>
                <w:lang w:val="en-GB"/>
              </w:rPr>
              <w:t>2%</w:t>
            </w:r>
            <w:r w:rsidR="00B96D74" w:rsidRPr="00742B86">
              <w:rPr>
                <w:rStyle w:val="Znakapoznpodarou"/>
                <w:color w:val="000000" w:themeColor="text1"/>
                <w:spacing w:val="-4"/>
                <w:lang w:val="en-GB"/>
              </w:rPr>
              <w:footnoteReference w:id="11"/>
            </w:r>
            <w:r w:rsidR="0094257D" w:rsidRPr="00742B86">
              <w:rPr>
                <w:color w:val="000000" w:themeColor="text1"/>
                <w:spacing w:val="-4"/>
                <w:lang w:val="en-GB"/>
              </w:rPr>
              <w:t xml:space="preserve"> for the whole year 2020</w:t>
            </w:r>
            <w:r w:rsidR="00B96D74" w:rsidRPr="00742B86">
              <w:rPr>
                <w:color w:val="000000" w:themeColor="text1"/>
                <w:spacing w:val="-4"/>
                <w:lang w:val="en-GB"/>
              </w:rPr>
              <w:t xml:space="preserve">. </w:t>
            </w:r>
            <w:r w:rsidR="003F08E2" w:rsidRPr="00742B86">
              <w:rPr>
                <w:color w:val="000000" w:themeColor="text1"/>
                <w:spacing w:val="-4"/>
                <w:lang w:val="en-GB"/>
              </w:rPr>
              <w:t>While the motor vehicle production drove the whole branch down the most in both Q</w:t>
            </w:r>
            <w:r w:rsidR="00B96D74" w:rsidRPr="00742B86">
              <w:rPr>
                <w:color w:val="000000" w:themeColor="text1"/>
                <w:spacing w:val="-4"/>
                <w:lang w:val="en-GB"/>
              </w:rPr>
              <w:t>1</w:t>
            </w:r>
            <w:r w:rsidR="003F08E2" w:rsidRPr="00742B86">
              <w:rPr>
                <w:color w:val="000000" w:themeColor="text1"/>
                <w:spacing w:val="-4"/>
                <w:lang w:val="en-GB"/>
              </w:rPr>
              <w:t xml:space="preserve"> and </w:t>
            </w:r>
            <w:r w:rsidR="00E15361">
              <w:rPr>
                <w:color w:val="000000" w:themeColor="text1"/>
                <w:spacing w:val="-4"/>
                <w:lang w:val="en-GB"/>
              </w:rPr>
              <w:t>Q</w:t>
            </w:r>
            <w:r w:rsidR="00B96D74" w:rsidRPr="00742B86">
              <w:rPr>
                <w:color w:val="000000" w:themeColor="text1"/>
                <w:spacing w:val="-4"/>
                <w:lang w:val="en-GB"/>
              </w:rPr>
              <w:t>2</w:t>
            </w:r>
            <w:r w:rsidR="003F08E2" w:rsidRPr="00742B86">
              <w:rPr>
                <w:color w:val="000000" w:themeColor="text1"/>
                <w:spacing w:val="-4"/>
                <w:lang w:val="en-GB"/>
              </w:rPr>
              <w:t xml:space="preserve"> </w:t>
            </w:r>
            <w:r w:rsidR="00B96D74" w:rsidRPr="00742B86">
              <w:rPr>
                <w:color w:val="000000" w:themeColor="text1"/>
                <w:spacing w:val="-4"/>
                <w:lang w:val="en-GB"/>
              </w:rPr>
              <w:t>(</w:t>
            </w:r>
            <w:r w:rsidR="003F08E2" w:rsidRPr="00742B86">
              <w:rPr>
                <w:color w:val="000000" w:themeColor="text1"/>
                <w:spacing w:val="-4"/>
                <w:lang w:val="en-GB"/>
              </w:rPr>
              <w:t xml:space="preserve">it was responsible for more than one third of the year-on-year slump of the </w:t>
            </w:r>
            <w:r w:rsidR="00E15361">
              <w:rPr>
                <w:color w:val="000000" w:themeColor="text1"/>
                <w:spacing w:val="-4"/>
                <w:lang w:val="en-GB"/>
              </w:rPr>
              <w:t xml:space="preserve">total </w:t>
            </w:r>
            <w:r w:rsidR="003F08E2" w:rsidRPr="00742B86">
              <w:rPr>
                <w:color w:val="000000" w:themeColor="text1"/>
                <w:spacing w:val="-4"/>
                <w:lang w:val="en-GB"/>
              </w:rPr>
              <w:t>industrial output</w:t>
            </w:r>
            <w:r w:rsidR="00B96D74" w:rsidRPr="00742B86">
              <w:rPr>
                <w:color w:val="000000" w:themeColor="text1"/>
                <w:spacing w:val="-4"/>
                <w:lang w:val="en-GB"/>
              </w:rPr>
              <w:t>),</w:t>
            </w:r>
            <w:r w:rsidR="003F08E2" w:rsidRPr="00742B86">
              <w:rPr>
                <w:color w:val="000000" w:themeColor="text1"/>
                <w:spacing w:val="-4"/>
                <w:lang w:val="en-GB"/>
              </w:rPr>
              <w:t xml:space="preserve"> machinery took over this role in the remaining part of the year</w:t>
            </w:r>
            <w:r w:rsidR="00B96D74" w:rsidRPr="00742B86">
              <w:rPr>
                <w:color w:val="000000" w:themeColor="text1"/>
                <w:spacing w:val="-4"/>
                <w:lang w:val="en-GB"/>
              </w:rPr>
              <w:t xml:space="preserve">. </w:t>
            </w:r>
            <w:r w:rsidR="0094257D" w:rsidRPr="00742B86">
              <w:rPr>
                <w:color w:val="000000" w:themeColor="text1"/>
                <w:spacing w:val="-4"/>
                <w:lang w:val="en-GB"/>
              </w:rPr>
              <w:t xml:space="preserve">On the contrary, the motor vehicle industry </w:t>
            </w:r>
            <w:r w:rsidR="00A66F79" w:rsidRPr="00742B86">
              <w:rPr>
                <w:color w:val="000000" w:themeColor="text1"/>
                <w:spacing w:val="-4"/>
                <w:lang w:val="en-GB"/>
              </w:rPr>
              <w:t>proved to</w:t>
            </w:r>
            <w:r w:rsidR="00B301DB" w:rsidRPr="00742B86">
              <w:rPr>
                <w:color w:val="000000" w:themeColor="text1"/>
                <w:spacing w:val="-4"/>
                <w:lang w:val="en-GB"/>
              </w:rPr>
              <w:t xml:space="preserve"> be</w:t>
            </w:r>
            <w:r w:rsidR="00A66F79" w:rsidRPr="00742B86">
              <w:rPr>
                <w:color w:val="000000" w:themeColor="text1"/>
                <w:spacing w:val="-4"/>
                <w:lang w:val="en-GB"/>
              </w:rPr>
              <w:t xml:space="preserve"> the principal factor for the growth reestablishment in the whole industry in Q</w:t>
            </w:r>
            <w:r w:rsidR="00B96D74" w:rsidRPr="00742B86">
              <w:rPr>
                <w:color w:val="000000" w:themeColor="text1"/>
                <w:spacing w:val="-4"/>
                <w:lang w:val="en-GB"/>
              </w:rPr>
              <w:t>4</w:t>
            </w:r>
            <w:r w:rsidR="00A66F79" w:rsidRPr="00742B86">
              <w:rPr>
                <w:color w:val="000000" w:themeColor="text1"/>
                <w:spacing w:val="-4"/>
                <w:lang w:val="en-GB"/>
              </w:rPr>
              <w:t xml:space="preserve"> </w:t>
            </w:r>
            <w:r w:rsidR="00B96D74" w:rsidRPr="00742B86">
              <w:rPr>
                <w:color w:val="000000" w:themeColor="text1"/>
                <w:spacing w:val="-4"/>
                <w:lang w:val="en-GB"/>
              </w:rPr>
              <w:t>(</w:t>
            </w:r>
            <w:r w:rsidR="00A66F79" w:rsidRPr="00742B86">
              <w:rPr>
                <w:color w:val="000000" w:themeColor="text1"/>
                <w:spacing w:val="-4"/>
                <w:lang w:val="en-GB"/>
              </w:rPr>
              <w:t xml:space="preserve">contribution </w:t>
            </w:r>
            <w:r w:rsidR="00B96D74" w:rsidRPr="00742B86">
              <w:rPr>
                <w:color w:val="000000" w:themeColor="text1"/>
                <w:spacing w:val="-4"/>
                <w:lang w:val="en-GB"/>
              </w:rPr>
              <w:t>+1</w:t>
            </w:r>
            <w:r w:rsidR="00A66F79" w:rsidRPr="00742B86">
              <w:rPr>
                <w:color w:val="000000" w:themeColor="text1"/>
                <w:spacing w:val="-4"/>
                <w:lang w:val="en-GB"/>
              </w:rPr>
              <w:t>.</w:t>
            </w:r>
            <w:r w:rsidR="00B96D74" w:rsidRPr="00742B86">
              <w:rPr>
                <w:color w:val="000000" w:themeColor="text1"/>
                <w:spacing w:val="-4"/>
                <w:lang w:val="en-GB"/>
              </w:rPr>
              <w:t>9 p.</w:t>
            </w:r>
            <w:r w:rsidR="00A66F79" w:rsidRPr="00742B86">
              <w:rPr>
                <w:color w:val="000000" w:themeColor="text1"/>
                <w:spacing w:val="-4"/>
                <w:lang w:val="en-GB"/>
              </w:rPr>
              <w:t>p</w:t>
            </w:r>
            <w:r w:rsidR="00B96D74" w:rsidRPr="00742B86">
              <w:rPr>
                <w:color w:val="000000" w:themeColor="text1"/>
                <w:spacing w:val="-4"/>
                <w:lang w:val="en-GB"/>
              </w:rPr>
              <w:t>.,</w:t>
            </w:r>
            <w:r w:rsidR="00A66F79" w:rsidRPr="00742B86">
              <w:rPr>
                <w:color w:val="000000" w:themeColor="text1"/>
                <w:spacing w:val="-4"/>
                <w:lang w:val="en-GB"/>
              </w:rPr>
              <w:t xml:space="preserve"> together with the nearest subcontractor branches </w:t>
            </w:r>
            <w:r w:rsidR="00B96D74" w:rsidRPr="00742B86">
              <w:rPr>
                <w:color w:val="000000" w:themeColor="text1"/>
                <w:spacing w:val="-4"/>
                <w:lang w:val="en-GB"/>
              </w:rPr>
              <w:t>+2</w:t>
            </w:r>
            <w:r w:rsidR="00A66F79" w:rsidRPr="00742B86">
              <w:rPr>
                <w:color w:val="000000" w:themeColor="text1"/>
                <w:spacing w:val="-4"/>
                <w:lang w:val="en-GB"/>
              </w:rPr>
              <w:t>.</w:t>
            </w:r>
            <w:r w:rsidR="00B96D74" w:rsidRPr="00742B86">
              <w:rPr>
                <w:color w:val="000000" w:themeColor="text1"/>
                <w:spacing w:val="-4"/>
                <w:lang w:val="en-GB"/>
              </w:rPr>
              <w:t>5 p.</w:t>
            </w:r>
            <w:r w:rsidR="00A66F79" w:rsidRPr="00742B86">
              <w:rPr>
                <w:color w:val="000000" w:themeColor="text1"/>
                <w:spacing w:val="-4"/>
                <w:lang w:val="en-GB"/>
              </w:rPr>
              <w:t>p</w:t>
            </w:r>
            <w:r w:rsidR="00B96D74" w:rsidRPr="00742B86">
              <w:rPr>
                <w:color w:val="000000" w:themeColor="text1"/>
                <w:spacing w:val="-4"/>
                <w:lang w:val="en-GB"/>
              </w:rPr>
              <w:t>.). T</w:t>
            </w:r>
            <w:r w:rsidR="00A66F79" w:rsidRPr="00742B86">
              <w:rPr>
                <w:color w:val="000000" w:themeColor="text1"/>
                <w:spacing w:val="-4"/>
                <w:lang w:val="en-GB"/>
              </w:rPr>
              <w:t>his revival, even though with smaller</w:t>
            </w:r>
            <w:r w:rsidR="00E15361">
              <w:rPr>
                <w:color w:val="000000" w:themeColor="text1"/>
                <w:spacing w:val="-4"/>
                <w:lang w:val="en-GB"/>
              </w:rPr>
              <w:t xml:space="preserve"> intensity, arrived in all </w:t>
            </w:r>
            <w:r w:rsidR="00A66F79" w:rsidRPr="00742B86">
              <w:rPr>
                <w:color w:val="000000" w:themeColor="text1"/>
                <w:spacing w:val="-4"/>
                <w:lang w:val="en-GB"/>
              </w:rPr>
              <w:t xml:space="preserve">significant manufacturing activities </w:t>
            </w:r>
            <w:r w:rsidR="00B96D74" w:rsidRPr="00742B86">
              <w:rPr>
                <w:color w:val="000000" w:themeColor="text1"/>
                <w:spacing w:val="-4"/>
                <w:lang w:val="en-GB"/>
              </w:rPr>
              <w:t>(</w:t>
            </w:r>
            <w:r w:rsidR="00A66F79" w:rsidRPr="00742B86">
              <w:rPr>
                <w:color w:val="000000" w:themeColor="text1"/>
                <w:spacing w:val="-4"/>
                <w:lang w:val="en-GB"/>
              </w:rPr>
              <w:t>apart for machinery</w:t>
            </w:r>
            <w:r w:rsidR="00B96D74" w:rsidRPr="00742B86">
              <w:rPr>
                <w:color w:val="000000" w:themeColor="text1"/>
                <w:spacing w:val="-4"/>
                <w:lang w:val="en-GB"/>
              </w:rPr>
              <w:t>).</w:t>
            </w:r>
          </w:p>
        </w:tc>
      </w:tr>
      <w:tr w:rsidR="00B96D74" w:rsidRPr="00742B86" w:rsidTr="0042612F">
        <w:trPr>
          <w:trHeight w:val="155"/>
        </w:trPr>
        <w:tc>
          <w:tcPr>
            <w:tcW w:w="1494" w:type="dxa"/>
            <w:shd w:val="clear" w:color="auto" w:fill="auto"/>
            <w:tcMar>
              <w:left w:w="0" w:type="dxa"/>
            </w:tcMar>
          </w:tcPr>
          <w:p w:rsidR="00B96D74" w:rsidRPr="00742B86" w:rsidRDefault="00EC769F" w:rsidP="0091476D">
            <w:pPr>
              <w:pStyle w:val="Marginlie"/>
              <w:rPr>
                <w:spacing w:val="-4"/>
                <w:lang w:val="en-GB"/>
              </w:rPr>
            </w:pPr>
            <w:r w:rsidRPr="00742B86">
              <w:rPr>
                <w:spacing w:val="-4"/>
                <w:lang w:val="en-GB"/>
              </w:rPr>
              <w:lastRenderedPageBreak/>
              <w:t xml:space="preserve">Motor vehicle manufacturers strived to offset part of the </w:t>
            </w:r>
            <w:r w:rsidR="00202575">
              <w:rPr>
                <w:spacing w:val="-4"/>
                <w:lang w:val="en-GB"/>
              </w:rPr>
              <w:t>spring</w:t>
            </w:r>
            <w:r w:rsidRPr="00742B86">
              <w:rPr>
                <w:spacing w:val="-4"/>
                <w:lang w:val="en-GB"/>
              </w:rPr>
              <w:t xml:space="preserve"> losses in the second half of the year</w:t>
            </w:r>
            <w:r w:rsidR="00B96D74" w:rsidRPr="00742B86">
              <w:rPr>
                <w:spacing w:val="-4"/>
                <w:lang w:val="en-GB"/>
              </w:rPr>
              <w:t>.</w:t>
            </w:r>
            <w:r w:rsidRPr="00742B86">
              <w:rPr>
                <w:spacing w:val="-4"/>
                <w:lang w:val="en-GB"/>
              </w:rPr>
              <w:t xml:space="preserve"> Utilisation of production capacities returned to a high level. </w:t>
            </w:r>
          </w:p>
        </w:tc>
        <w:tc>
          <w:tcPr>
            <w:tcW w:w="185" w:type="dxa"/>
            <w:shd w:val="clear" w:color="auto" w:fill="auto"/>
            <w:tcMar>
              <w:left w:w="0" w:type="dxa"/>
            </w:tcMar>
          </w:tcPr>
          <w:p w:rsidR="00B96D74" w:rsidRPr="00742B86" w:rsidRDefault="00B96D74" w:rsidP="0091476D">
            <w:pPr>
              <w:pStyle w:val="Textpoznpodarou"/>
              <w:jc w:val="both"/>
              <w:rPr>
                <w:spacing w:val="-4"/>
                <w:lang w:val="en-GB"/>
              </w:rPr>
            </w:pPr>
          </w:p>
        </w:tc>
        <w:tc>
          <w:tcPr>
            <w:tcW w:w="7985" w:type="dxa"/>
            <w:shd w:val="clear" w:color="auto" w:fill="auto"/>
            <w:tcMar>
              <w:left w:w="0" w:type="dxa"/>
            </w:tcMar>
          </w:tcPr>
          <w:p w:rsidR="00B96D74" w:rsidRPr="00A21F33" w:rsidRDefault="00060022" w:rsidP="0091476D">
            <w:pPr>
              <w:rPr>
                <w:spacing w:val="-5"/>
                <w:lang w:val="en-GB"/>
              </w:rPr>
            </w:pPr>
            <w:r w:rsidRPr="00A21F33">
              <w:rPr>
                <w:spacing w:val="-5"/>
                <w:lang w:val="en-GB"/>
              </w:rPr>
              <w:t>Output of motor vehicle manufacturing declined by one eighth for the last year</w:t>
            </w:r>
            <w:r w:rsidR="00B96D74" w:rsidRPr="00A21F33">
              <w:rPr>
                <w:spacing w:val="-5"/>
                <w:lang w:val="en-GB"/>
              </w:rPr>
              <w:t xml:space="preserve">, </w:t>
            </w:r>
            <w:r w:rsidR="0005746E" w:rsidRPr="00A21F33">
              <w:rPr>
                <w:spacing w:val="-5"/>
                <w:lang w:val="en-GB"/>
              </w:rPr>
              <w:t xml:space="preserve">that is slightly more in comparison to the crisis year </w:t>
            </w:r>
            <w:r w:rsidR="00B96D74" w:rsidRPr="00A21F33">
              <w:rPr>
                <w:spacing w:val="-5"/>
                <w:lang w:val="en-GB"/>
              </w:rPr>
              <w:t xml:space="preserve">2009. </w:t>
            </w:r>
            <w:r w:rsidR="001F38A3" w:rsidRPr="00A21F33">
              <w:rPr>
                <w:spacing w:val="-5"/>
                <w:lang w:val="en-GB"/>
              </w:rPr>
              <w:t>Effective</w:t>
            </w:r>
            <w:r w:rsidRPr="00A21F33">
              <w:rPr>
                <w:spacing w:val="-5"/>
                <w:lang w:val="en-GB"/>
              </w:rPr>
              <w:t>ly</w:t>
            </w:r>
            <w:r w:rsidR="001F38A3" w:rsidRPr="00A21F33">
              <w:rPr>
                <w:spacing w:val="-5"/>
                <w:lang w:val="en-GB"/>
              </w:rPr>
              <w:t xml:space="preserve"> closure of operations</w:t>
            </w:r>
            <w:r w:rsidRPr="00A21F33">
              <w:rPr>
                <w:spacing w:val="-5"/>
                <w:lang w:val="en-GB"/>
              </w:rPr>
              <w:t xml:space="preserve"> of key businesses as well as simultaneous paralysing of activity of many subcontractors </w:t>
            </w:r>
            <w:r w:rsidR="001F38A3" w:rsidRPr="00A21F33">
              <w:rPr>
                <w:spacing w:val="-5"/>
                <w:lang w:val="en-GB"/>
              </w:rPr>
              <w:t xml:space="preserve">led </w:t>
            </w:r>
            <w:r w:rsidR="0005746E" w:rsidRPr="00A21F33">
              <w:rPr>
                <w:spacing w:val="-5"/>
                <w:lang w:val="en-GB"/>
              </w:rPr>
              <w:t>to the unprecedented fallout of production</w:t>
            </w:r>
            <w:r w:rsidRPr="00A21F33">
              <w:rPr>
                <w:spacing w:val="-5"/>
                <w:lang w:val="en-GB"/>
              </w:rPr>
              <w:t xml:space="preserve">, </w:t>
            </w:r>
            <w:r w:rsidR="00E02CF7" w:rsidRPr="00A21F33">
              <w:rPr>
                <w:spacing w:val="-5"/>
                <w:lang w:val="en-GB"/>
              </w:rPr>
              <w:t>export,</w:t>
            </w:r>
            <w:r w:rsidRPr="00A21F33">
              <w:rPr>
                <w:spacing w:val="-5"/>
                <w:lang w:val="en-GB"/>
              </w:rPr>
              <w:t xml:space="preserve"> and also new orders by more than </w:t>
            </w:r>
            <w:r w:rsidR="00B96D74" w:rsidRPr="00A21F33">
              <w:rPr>
                <w:spacing w:val="-5"/>
                <w:lang w:val="en-GB"/>
              </w:rPr>
              <w:t>75%</w:t>
            </w:r>
            <w:r w:rsidR="00B96D74" w:rsidRPr="00A21F33">
              <w:rPr>
                <w:rStyle w:val="Znakapoznpodarou"/>
                <w:spacing w:val="-5"/>
                <w:lang w:val="en-GB"/>
              </w:rPr>
              <w:footnoteReference w:id="12"/>
            </w:r>
            <w:r w:rsidR="001F38A3" w:rsidRPr="00A21F33">
              <w:rPr>
                <w:spacing w:val="-5"/>
                <w:lang w:val="en-GB"/>
              </w:rPr>
              <w:t xml:space="preserve"> in April</w:t>
            </w:r>
            <w:r w:rsidR="00E15361" w:rsidRPr="00A21F33">
              <w:rPr>
                <w:spacing w:val="-5"/>
                <w:lang w:val="en-GB"/>
              </w:rPr>
              <w:t xml:space="preserve"> 2020</w:t>
            </w:r>
            <w:r w:rsidR="00B96D74" w:rsidRPr="00A21F33">
              <w:rPr>
                <w:spacing w:val="-5"/>
                <w:lang w:val="en-GB"/>
              </w:rPr>
              <w:t xml:space="preserve">. </w:t>
            </w:r>
            <w:r w:rsidR="00E02CF7" w:rsidRPr="00A21F33">
              <w:rPr>
                <w:spacing w:val="-5"/>
                <w:lang w:val="en-GB"/>
              </w:rPr>
              <w:t xml:space="preserve">The </w:t>
            </w:r>
            <w:r w:rsidR="00202575" w:rsidRPr="00A21F33">
              <w:rPr>
                <w:spacing w:val="-5"/>
                <w:lang w:val="en-GB"/>
              </w:rPr>
              <w:t>spring</w:t>
            </w:r>
            <w:r w:rsidR="00E02CF7" w:rsidRPr="00A21F33">
              <w:rPr>
                <w:spacing w:val="-5"/>
                <w:lang w:val="en-GB"/>
              </w:rPr>
              <w:t xml:space="preserve"> economic freeze was not manifested to such an extent in any other industrial activity. However, already during Jun</w:t>
            </w:r>
            <w:r w:rsidR="00BB069B" w:rsidRPr="00A21F33">
              <w:rPr>
                <w:spacing w:val="-5"/>
                <w:lang w:val="en-GB"/>
              </w:rPr>
              <w:t>e</w:t>
            </w:r>
            <w:r w:rsidR="00E02CF7" w:rsidRPr="00A21F33">
              <w:rPr>
                <w:spacing w:val="-5"/>
                <w:lang w:val="en-GB"/>
              </w:rPr>
              <w:t xml:space="preserve"> and July, the motor vehicles manufacturers registered year-on-year growth of foreign orders, which they used to help to offset at least part of </w:t>
            </w:r>
            <w:r w:rsidR="00202575" w:rsidRPr="00A21F33">
              <w:rPr>
                <w:spacing w:val="-5"/>
                <w:lang w:val="en-GB"/>
              </w:rPr>
              <w:t>spring</w:t>
            </w:r>
            <w:r w:rsidR="00E02CF7" w:rsidRPr="00A21F33">
              <w:rPr>
                <w:spacing w:val="-5"/>
                <w:lang w:val="en-GB"/>
              </w:rPr>
              <w:t xml:space="preserve"> losses. </w:t>
            </w:r>
            <w:r w:rsidR="00D73BEB" w:rsidRPr="00A21F33">
              <w:rPr>
                <w:rFonts w:ascii="Helvetica" w:hAnsi="Helvetica"/>
                <w:color w:val="000000"/>
                <w:spacing w:val="-5"/>
                <w:szCs w:val="20"/>
                <w:lang w:val="en-GB"/>
              </w:rPr>
              <w:t xml:space="preserve">The utilisation of production capacities exceeded </w:t>
            </w:r>
            <w:r w:rsidR="00B96D74" w:rsidRPr="00A21F33">
              <w:rPr>
                <w:spacing w:val="-5"/>
                <w:lang w:val="en-GB"/>
              </w:rPr>
              <w:t>90%</w:t>
            </w:r>
            <w:r w:rsidR="00D73BEB" w:rsidRPr="00A21F33">
              <w:rPr>
                <w:spacing w:val="-5"/>
                <w:lang w:val="en-GB"/>
              </w:rPr>
              <w:t xml:space="preserve"> in this field in Q4</w:t>
            </w:r>
            <w:r w:rsidR="00E15361" w:rsidRPr="00A21F33">
              <w:rPr>
                <w:spacing w:val="-5"/>
                <w:lang w:val="en-GB"/>
              </w:rPr>
              <w:t xml:space="preserve"> 2020</w:t>
            </w:r>
            <w:r w:rsidR="00D73BEB" w:rsidRPr="00A21F33">
              <w:rPr>
                <w:spacing w:val="-5"/>
                <w:lang w:val="en-GB"/>
              </w:rPr>
              <w:t xml:space="preserve"> and thus return</w:t>
            </w:r>
            <w:r w:rsidR="00E02CF7" w:rsidRPr="00A21F33">
              <w:rPr>
                <w:spacing w:val="-5"/>
                <w:lang w:val="en-GB"/>
              </w:rPr>
              <w:t>ed</w:t>
            </w:r>
            <w:r w:rsidR="00D73BEB" w:rsidRPr="00A21F33">
              <w:rPr>
                <w:spacing w:val="-5"/>
                <w:lang w:val="en-GB"/>
              </w:rPr>
              <w:t xml:space="preserve"> to the level usual in the previous</w:t>
            </w:r>
            <w:r w:rsidR="00E02CF7" w:rsidRPr="00A21F33">
              <w:rPr>
                <w:spacing w:val="-5"/>
                <w:lang w:val="en-GB"/>
              </w:rPr>
              <w:t xml:space="preserve"> peak period</w:t>
            </w:r>
            <w:r w:rsidR="00B96D74" w:rsidRPr="00A21F33">
              <w:rPr>
                <w:spacing w:val="-5"/>
                <w:lang w:val="en-GB"/>
              </w:rPr>
              <w:t xml:space="preserve">. </w:t>
            </w:r>
            <w:r w:rsidR="00E02CF7" w:rsidRPr="00A21F33">
              <w:rPr>
                <w:spacing w:val="-5"/>
                <w:lang w:val="en-GB"/>
              </w:rPr>
              <w:t>The output thus grew by more than one tenth here year-on-year</w:t>
            </w:r>
            <w:r w:rsidR="00B96D74" w:rsidRPr="00A21F33">
              <w:rPr>
                <w:spacing w:val="-5"/>
                <w:lang w:val="en-GB"/>
              </w:rPr>
              <w:t>.</w:t>
            </w:r>
          </w:p>
        </w:tc>
      </w:tr>
      <w:tr w:rsidR="0042612F" w:rsidRPr="00742B86" w:rsidTr="0042612F">
        <w:trPr>
          <w:trHeight w:val="155"/>
        </w:trPr>
        <w:tc>
          <w:tcPr>
            <w:tcW w:w="1494" w:type="dxa"/>
            <w:shd w:val="clear" w:color="auto" w:fill="auto"/>
            <w:tcMar>
              <w:left w:w="0" w:type="dxa"/>
            </w:tcMar>
          </w:tcPr>
          <w:p w:rsidR="0042612F" w:rsidRPr="00742B86" w:rsidRDefault="00E15361" w:rsidP="0091476D">
            <w:pPr>
              <w:pStyle w:val="Marginlie"/>
              <w:rPr>
                <w:spacing w:val="-5"/>
                <w:lang w:val="en-GB"/>
              </w:rPr>
            </w:pPr>
            <w:r>
              <w:rPr>
                <w:spacing w:val="-5"/>
                <w:lang w:val="en-GB"/>
              </w:rPr>
              <w:t xml:space="preserve"> </w:t>
            </w:r>
          </w:p>
        </w:tc>
        <w:tc>
          <w:tcPr>
            <w:tcW w:w="185" w:type="dxa"/>
            <w:shd w:val="clear" w:color="auto" w:fill="auto"/>
            <w:tcMar>
              <w:left w:w="0" w:type="dxa"/>
            </w:tcMar>
          </w:tcPr>
          <w:p w:rsidR="0042612F" w:rsidRPr="00742B86" w:rsidRDefault="0042612F" w:rsidP="0091476D">
            <w:pPr>
              <w:pStyle w:val="Textpoznpodarou"/>
              <w:jc w:val="both"/>
              <w:rPr>
                <w:spacing w:val="-4"/>
                <w:lang w:val="en-GB"/>
              </w:rPr>
            </w:pPr>
          </w:p>
        </w:tc>
        <w:tc>
          <w:tcPr>
            <w:tcW w:w="7985" w:type="dxa"/>
            <w:shd w:val="clear" w:color="auto" w:fill="auto"/>
            <w:tcMar>
              <w:left w:w="0" w:type="dxa"/>
            </w:tcMar>
          </w:tcPr>
          <w:p w:rsidR="0042612F" w:rsidRPr="00742B86" w:rsidRDefault="0042612F" w:rsidP="0042612F">
            <w:pPr>
              <w:spacing w:after="0"/>
              <w:rPr>
                <w:spacing w:val="-4"/>
                <w:lang w:val="en-GB"/>
              </w:rPr>
            </w:pPr>
            <w:r w:rsidRPr="00742B86">
              <w:rPr>
                <w:rFonts w:cs="Arial"/>
                <w:b/>
                <w:bCs/>
                <w:color w:val="000000"/>
                <w:szCs w:val="20"/>
                <w:lang w:val="en-GB"/>
              </w:rPr>
              <w:t xml:space="preserve">Chart 4  </w:t>
            </w:r>
            <w:r w:rsidRPr="00742B86">
              <w:rPr>
                <w:b/>
                <w:lang w:val="en-GB"/>
              </w:rPr>
              <w:t xml:space="preserve">Contributions of sub-branches to the year-on-year change of the industrial production </w:t>
            </w:r>
            <w:r w:rsidRPr="00742B86">
              <w:rPr>
                <w:lang w:val="en-GB"/>
              </w:rPr>
              <w:t xml:space="preserve">(in p.p., adjusted for calendar effects), </w:t>
            </w:r>
            <w:r w:rsidRPr="00742B86">
              <w:rPr>
                <w:b/>
                <w:bCs/>
                <w:lang w:val="en-GB"/>
              </w:rPr>
              <w:t>confidence indicator in industry</w:t>
            </w:r>
            <w:r w:rsidRPr="00742B86">
              <w:rPr>
                <w:b/>
                <w:lang w:val="en-GB"/>
              </w:rPr>
              <w:t xml:space="preserve">* </w:t>
            </w:r>
            <w:r w:rsidRPr="00742B86">
              <w:rPr>
                <w:lang w:val="en-GB"/>
              </w:rPr>
              <w:t>(in p.p., right axis)</w:t>
            </w:r>
          </w:p>
        </w:tc>
      </w:tr>
      <w:tr w:rsidR="0042612F" w:rsidRPr="00742B86" w:rsidTr="0042612F">
        <w:trPr>
          <w:trHeight w:val="155"/>
        </w:trPr>
        <w:tc>
          <w:tcPr>
            <w:tcW w:w="1494" w:type="dxa"/>
            <w:shd w:val="clear" w:color="auto" w:fill="auto"/>
            <w:tcMar>
              <w:left w:w="0" w:type="dxa"/>
            </w:tcMar>
          </w:tcPr>
          <w:p w:rsidR="0042612F" w:rsidRPr="00742B86" w:rsidRDefault="0042612F" w:rsidP="0091476D">
            <w:pPr>
              <w:pStyle w:val="Marginlie"/>
              <w:rPr>
                <w:spacing w:val="-5"/>
                <w:lang w:val="en-GB"/>
              </w:rPr>
            </w:pPr>
          </w:p>
        </w:tc>
        <w:tc>
          <w:tcPr>
            <w:tcW w:w="185" w:type="dxa"/>
            <w:shd w:val="clear" w:color="auto" w:fill="auto"/>
            <w:tcMar>
              <w:left w:w="0" w:type="dxa"/>
            </w:tcMar>
          </w:tcPr>
          <w:p w:rsidR="0042612F" w:rsidRPr="00742B86" w:rsidRDefault="0042612F" w:rsidP="0091476D">
            <w:pPr>
              <w:pStyle w:val="Textpoznpodarou"/>
              <w:jc w:val="both"/>
              <w:rPr>
                <w:spacing w:val="-4"/>
                <w:lang w:val="en-GB"/>
              </w:rPr>
            </w:pPr>
          </w:p>
        </w:tc>
        <w:tc>
          <w:tcPr>
            <w:tcW w:w="7985" w:type="dxa"/>
            <w:shd w:val="clear" w:color="auto" w:fill="auto"/>
            <w:tcMar>
              <w:left w:w="0" w:type="dxa"/>
            </w:tcMar>
          </w:tcPr>
          <w:p w:rsidR="0042612F" w:rsidRPr="00742B86" w:rsidRDefault="0042612F" w:rsidP="0042612F">
            <w:pPr>
              <w:spacing w:after="0"/>
              <w:rPr>
                <w:rFonts w:cs="Arial"/>
                <w:b/>
                <w:bCs/>
                <w:color w:val="000000"/>
                <w:szCs w:val="20"/>
                <w:lang w:val="en-GB"/>
              </w:rPr>
            </w:pPr>
            <w:r>
              <w:rPr>
                <w:noProof/>
              </w:rPr>
              <w:drawing>
                <wp:inline distT="0" distB="0" distL="0" distR="0" wp14:anchorId="07FD70DA" wp14:editId="6E561786">
                  <wp:extent cx="4981575" cy="3663043"/>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42612F" w:rsidRPr="00742B86" w:rsidTr="0042612F">
        <w:trPr>
          <w:trHeight w:val="155"/>
        </w:trPr>
        <w:tc>
          <w:tcPr>
            <w:tcW w:w="1494" w:type="dxa"/>
            <w:shd w:val="clear" w:color="auto" w:fill="auto"/>
            <w:tcMar>
              <w:left w:w="0" w:type="dxa"/>
            </w:tcMar>
          </w:tcPr>
          <w:p w:rsidR="0042612F" w:rsidRPr="00742B86" w:rsidRDefault="0042612F" w:rsidP="0042612F">
            <w:pPr>
              <w:pStyle w:val="Marginlie"/>
              <w:rPr>
                <w:spacing w:val="-5"/>
                <w:lang w:val="en-GB"/>
              </w:rPr>
            </w:pPr>
          </w:p>
        </w:tc>
        <w:tc>
          <w:tcPr>
            <w:tcW w:w="185" w:type="dxa"/>
            <w:shd w:val="clear" w:color="auto" w:fill="auto"/>
            <w:tcMar>
              <w:left w:w="0" w:type="dxa"/>
            </w:tcMar>
          </w:tcPr>
          <w:p w:rsidR="0042612F" w:rsidRPr="00742B86" w:rsidRDefault="0042612F" w:rsidP="0042612F">
            <w:pPr>
              <w:pStyle w:val="Textpoznpodarou"/>
              <w:jc w:val="both"/>
              <w:rPr>
                <w:spacing w:val="-4"/>
                <w:lang w:val="en-GB"/>
              </w:rPr>
            </w:pPr>
          </w:p>
        </w:tc>
        <w:tc>
          <w:tcPr>
            <w:tcW w:w="7985" w:type="dxa"/>
            <w:shd w:val="clear" w:color="auto" w:fill="auto"/>
            <w:tcMar>
              <w:left w:w="0" w:type="dxa"/>
            </w:tcMar>
          </w:tcPr>
          <w:p w:rsidR="0042612F" w:rsidRPr="00595FDE" w:rsidRDefault="0042612F" w:rsidP="0042612F">
            <w:pPr>
              <w:spacing w:after="0"/>
              <w:rPr>
                <w:rFonts w:cs="Arial"/>
                <w:sz w:val="14"/>
                <w:szCs w:val="14"/>
                <w:lang w:val="en-GB"/>
              </w:rPr>
            </w:pPr>
            <w:r w:rsidRPr="00595FDE">
              <w:rPr>
                <w:rFonts w:cs="Arial"/>
                <w:sz w:val="14"/>
                <w:szCs w:val="14"/>
                <w:lang w:val="en-GB"/>
              </w:rPr>
              <w:t xml:space="preserve">*The confidence indicator balance is seasonally adjusted and expresses the state in the second month of the given quarter. </w:t>
            </w:r>
          </w:p>
          <w:p w:rsidR="0042612F" w:rsidRPr="00742B86" w:rsidRDefault="0042612F" w:rsidP="0042612F">
            <w:pPr>
              <w:spacing w:after="220"/>
              <w:rPr>
                <w:rFonts w:cs="Arial"/>
                <w:b/>
                <w:bCs/>
                <w:color w:val="000000"/>
                <w:szCs w:val="20"/>
                <w:lang w:val="en-GB"/>
              </w:rPr>
            </w:pPr>
            <w:r w:rsidRPr="00595FDE">
              <w:rPr>
                <w:rFonts w:cs="Arial"/>
                <w:sz w:val="14"/>
                <w:szCs w:val="14"/>
                <w:lang w:val="en-GB"/>
              </w:rPr>
              <w:t>Source: CZSO</w:t>
            </w:r>
          </w:p>
        </w:tc>
      </w:tr>
      <w:tr w:rsidR="0042612F" w:rsidRPr="00742B86" w:rsidTr="0042612F">
        <w:trPr>
          <w:trHeight w:val="155"/>
        </w:trPr>
        <w:tc>
          <w:tcPr>
            <w:tcW w:w="1494" w:type="dxa"/>
            <w:shd w:val="clear" w:color="auto" w:fill="auto"/>
            <w:tcMar>
              <w:left w:w="0" w:type="dxa"/>
            </w:tcMar>
          </w:tcPr>
          <w:p w:rsidR="0042612F" w:rsidRPr="00742B86" w:rsidRDefault="0042612F" w:rsidP="0042612F">
            <w:pPr>
              <w:pStyle w:val="Marginlie"/>
              <w:rPr>
                <w:spacing w:val="-5"/>
                <w:lang w:val="en-GB"/>
              </w:rPr>
            </w:pPr>
            <w:r w:rsidRPr="00742B86">
              <w:rPr>
                <w:spacing w:val="-5"/>
                <w:lang w:val="en-GB"/>
              </w:rPr>
              <w:t xml:space="preserve">Revival of machinery was obstructed by the lasting weak private investment activity in the economy. </w:t>
            </w:r>
          </w:p>
          <w:p w:rsidR="0042612F" w:rsidRPr="00742B86" w:rsidRDefault="0042612F" w:rsidP="0042612F">
            <w:pPr>
              <w:pStyle w:val="Marginlie"/>
              <w:rPr>
                <w:spacing w:val="-5"/>
                <w:lang w:val="en-GB"/>
              </w:rPr>
            </w:pPr>
          </w:p>
          <w:p w:rsidR="0042612F" w:rsidRDefault="0042612F" w:rsidP="0042612F">
            <w:pPr>
              <w:pStyle w:val="Marginlie"/>
              <w:rPr>
                <w:spacing w:val="-5"/>
                <w:lang w:val="en-GB"/>
              </w:rPr>
            </w:pPr>
          </w:p>
          <w:p w:rsidR="00A02311" w:rsidRPr="00742B86" w:rsidRDefault="00A02311" w:rsidP="0042612F">
            <w:pPr>
              <w:pStyle w:val="Marginlie"/>
              <w:rPr>
                <w:spacing w:val="-5"/>
                <w:lang w:val="en-GB"/>
              </w:rPr>
            </w:pPr>
          </w:p>
          <w:p w:rsidR="0042612F" w:rsidRPr="00742B86" w:rsidRDefault="0042612F" w:rsidP="00A02311">
            <w:pPr>
              <w:pStyle w:val="Marginlie"/>
              <w:rPr>
                <w:spacing w:val="-4"/>
                <w:lang w:val="en-GB"/>
              </w:rPr>
            </w:pPr>
            <w:r w:rsidRPr="00742B86">
              <w:rPr>
                <w:spacing w:val="-5"/>
                <w:lang w:val="en-GB"/>
              </w:rPr>
              <w:t>Production fallouts in both mining and energetics we</w:t>
            </w:r>
            <w:r w:rsidR="00A02311">
              <w:rPr>
                <w:spacing w:val="-5"/>
                <w:lang w:val="en-GB"/>
              </w:rPr>
              <w:t>re the largest in the two last decades.</w:t>
            </w:r>
          </w:p>
        </w:tc>
        <w:tc>
          <w:tcPr>
            <w:tcW w:w="185" w:type="dxa"/>
            <w:shd w:val="clear" w:color="auto" w:fill="auto"/>
            <w:tcMar>
              <w:left w:w="0" w:type="dxa"/>
            </w:tcMar>
          </w:tcPr>
          <w:p w:rsidR="0042612F" w:rsidRPr="00742B86" w:rsidRDefault="0042612F" w:rsidP="0042612F">
            <w:pPr>
              <w:pStyle w:val="Textpoznpodarou"/>
              <w:jc w:val="both"/>
              <w:rPr>
                <w:spacing w:val="-4"/>
                <w:lang w:val="en-GB"/>
              </w:rPr>
            </w:pPr>
          </w:p>
        </w:tc>
        <w:tc>
          <w:tcPr>
            <w:tcW w:w="7985" w:type="dxa"/>
            <w:shd w:val="clear" w:color="auto" w:fill="auto"/>
            <w:tcMar>
              <w:left w:w="0" w:type="dxa"/>
            </w:tcMar>
          </w:tcPr>
          <w:p w:rsidR="0042612F" w:rsidRPr="00A02311" w:rsidRDefault="0042612F" w:rsidP="009D0D61">
            <w:pPr>
              <w:spacing w:after="0"/>
              <w:rPr>
                <w:spacing w:val="-4"/>
                <w:lang w:val="en-GB"/>
              </w:rPr>
            </w:pPr>
            <w:r w:rsidRPr="00A02311">
              <w:rPr>
                <w:spacing w:val="-4"/>
                <w:lang w:val="en-GB"/>
              </w:rPr>
              <w:t>One-eighth decrease of production also struck machinery last year, which thus contributed to the decline of the whole industry 1 p.p. (by one half less than the motor vehicle manufacturers). Machinery faced the reduced both domesti</w:t>
            </w:r>
            <w:r w:rsidR="00A21F33" w:rsidRPr="00A02311">
              <w:rPr>
                <w:spacing w:val="-4"/>
                <w:lang w:val="en-GB"/>
              </w:rPr>
              <w:t>c and foreign demand almost</w:t>
            </w:r>
            <w:r w:rsidRPr="00A02311">
              <w:rPr>
                <w:spacing w:val="-4"/>
                <w:lang w:val="en-GB"/>
              </w:rPr>
              <w:t xml:space="preserve"> throughout the whole year, which was connected to the persisting slump of the investment activity in the economy. The outp</w:t>
            </w:r>
            <w:r w:rsidR="00A21F33" w:rsidRPr="00A02311">
              <w:rPr>
                <w:spacing w:val="-4"/>
                <w:lang w:val="en-GB"/>
              </w:rPr>
              <w:t>ut however fell the most</w:t>
            </w:r>
            <w:r w:rsidRPr="00A02311">
              <w:rPr>
                <w:spacing w:val="-4"/>
                <w:lang w:val="en-GB"/>
              </w:rPr>
              <w:t xml:space="preserve"> in the long-term subdued mining industry last year (by record 16.5%, by nearly one quarter in the still dominant </w:t>
            </w:r>
            <w:r w:rsidR="00A21F33" w:rsidRPr="00A02311">
              <w:rPr>
                <w:spacing w:val="-4"/>
                <w:lang w:val="en-GB"/>
              </w:rPr>
              <w:t xml:space="preserve">division – </w:t>
            </w:r>
            <w:r w:rsidRPr="00A02311">
              <w:rPr>
                <w:spacing w:val="-4"/>
                <w:lang w:val="en-GB"/>
              </w:rPr>
              <w:t xml:space="preserve">coal mining). However, given the </w:t>
            </w:r>
            <w:r w:rsidRPr="00A02311">
              <w:rPr>
                <w:spacing w:val="2"/>
                <w:lang w:val="en-GB"/>
              </w:rPr>
              <w:t>proportion of this activity in the output of the whole industry, it only had a limited impact (–0.3 p.p.).</w:t>
            </w:r>
            <w:r w:rsidRPr="00A02311">
              <w:rPr>
                <w:spacing w:val="-4"/>
                <w:lang w:val="en-GB"/>
              </w:rPr>
              <w:t xml:space="preserve"> Energetics, where record 6.3% year-on-year fall of output narrowly copied the pace of the electricity production, played a large role (–0.7 p.p.). Especially the decrease of demand in businesses due to the lowered or temporarily halted production activity was evident</w:t>
            </w:r>
            <w:r w:rsidRPr="00A02311">
              <w:rPr>
                <w:rStyle w:val="Znakapoznpodarou"/>
                <w:spacing w:val="-4"/>
                <w:lang w:val="en-GB"/>
              </w:rPr>
              <w:footnoteReference w:id="13"/>
            </w:r>
            <w:r w:rsidRPr="00A02311">
              <w:rPr>
                <w:spacing w:val="-4"/>
                <w:lang w:val="en-GB"/>
              </w:rPr>
              <w:t>.</w:t>
            </w:r>
            <w:r w:rsidR="009D0D61" w:rsidRPr="00A02311">
              <w:rPr>
                <w:spacing w:val="-4"/>
                <w:lang w:val="en-GB"/>
              </w:rPr>
              <w:t xml:space="preserve"> Planned temporary shutdowns in the power stations also played a role</w:t>
            </w:r>
            <w:r w:rsidR="00A02311" w:rsidRPr="00A02311">
              <w:rPr>
                <w:spacing w:val="-4"/>
                <w:lang w:val="en-GB"/>
              </w:rPr>
              <w:t>.</w:t>
            </w:r>
          </w:p>
        </w:tc>
      </w:tr>
      <w:tr w:rsidR="0042612F" w:rsidRPr="00742B86" w:rsidTr="00A52348">
        <w:trPr>
          <w:trHeight w:val="155"/>
        </w:trPr>
        <w:tc>
          <w:tcPr>
            <w:tcW w:w="1494" w:type="dxa"/>
            <w:shd w:val="clear" w:color="auto" w:fill="auto"/>
            <w:tcMar>
              <w:left w:w="0" w:type="dxa"/>
            </w:tcMar>
          </w:tcPr>
          <w:p w:rsidR="0042612F" w:rsidRPr="00742B86" w:rsidRDefault="00CA2D45" w:rsidP="00CA2D45">
            <w:pPr>
              <w:pStyle w:val="Marginlie"/>
              <w:rPr>
                <w:spacing w:val="-4"/>
                <w:lang w:val="en-GB"/>
              </w:rPr>
            </w:pPr>
            <w:r>
              <w:rPr>
                <w:spacing w:val="-4"/>
                <w:lang w:val="en-GB"/>
              </w:rPr>
              <w:lastRenderedPageBreak/>
              <w:t>R</w:t>
            </w:r>
            <w:r w:rsidR="0042612F" w:rsidRPr="00742B86">
              <w:rPr>
                <w:spacing w:val="-4"/>
                <w:lang w:val="en-GB"/>
              </w:rPr>
              <w:t xml:space="preserve">estrictions </w:t>
            </w:r>
            <w:r>
              <w:rPr>
                <w:spacing w:val="-4"/>
                <w:lang w:val="en-GB"/>
              </w:rPr>
              <w:t xml:space="preserve">against pandemic </w:t>
            </w:r>
            <w:r w:rsidR="0042612F" w:rsidRPr="00742B86">
              <w:rPr>
                <w:spacing w:val="-4"/>
                <w:lang w:val="en-GB"/>
              </w:rPr>
              <w:t xml:space="preserve">considerably impacted the output of beverages manufacturing. </w:t>
            </w:r>
          </w:p>
        </w:tc>
        <w:tc>
          <w:tcPr>
            <w:tcW w:w="185" w:type="dxa"/>
            <w:shd w:val="clear" w:color="auto" w:fill="auto"/>
            <w:tcMar>
              <w:left w:w="0" w:type="dxa"/>
            </w:tcMar>
          </w:tcPr>
          <w:p w:rsidR="0042612F" w:rsidRPr="00742B86" w:rsidRDefault="0042612F" w:rsidP="0042612F">
            <w:pPr>
              <w:pStyle w:val="Textpoznpodarou"/>
              <w:jc w:val="both"/>
              <w:rPr>
                <w:spacing w:val="-4"/>
                <w:lang w:val="en-GB"/>
              </w:rPr>
            </w:pPr>
          </w:p>
        </w:tc>
        <w:tc>
          <w:tcPr>
            <w:tcW w:w="7985" w:type="dxa"/>
            <w:shd w:val="clear" w:color="auto" w:fill="auto"/>
            <w:tcMar>
              <w:left w:w="0" w:type="dxa"/>
            </w:tcMar>
          </w:tcPr>
          <w:p w:rsidR="0042612F" w:rsidRPr="00742B86" w:rsidRDefault="0042612F" w:rsidP="0042612F">
            <w:pPr>
              <w:rPr>
                <w:spacing w:val="-4"/>
                <w:lang w:val="en-GB"/>
              </w:rPr>
            </w:pPr>
            <w:r w:rsidRPr="00742B86">
              <w:rPr>
                <w:spacing w:val="-4"/>
                <w:lang w:val="en-GB"/>
              </w:rPr>
              <w:t>In the smallest manufacturing field – leather manufacturing – output fell by one seventh last year, mainly due to the weaker foreign demand. Manufacturing of beverages, which fared relatively well in the previous years, decreased output by one tenth last year. Major limitations of operations of the hospitality facilities accompanied by the fallout of the arrival tourism were negatively reflected in the domestic sales here. Export of beverages however also featured a decline. On the contrary, the relatively mild decrease of output (between 3 and 4%) affected the chemical industry, manufacturing of building materials or considerably export oriented manufacturing of computers, electronic and optical products.</w:t>
            </w:r>
          </w:p>
        </w:tc>
      </w:tr>
      <w:tr w:rsidR="0042612F" w:rsidRPr="00742B86" w:rsidTr="00A52348">
        <w:trPr>
          <w:trHeight w:val="145"/>
        </w:trPr>
        <w:tc>
          <w:tcPr>
            <w:tcW w:w="1494" w:type="dxa"/>
            <w:shd w:val="clear" w:color="auto" w:fill="auto"/>
            <w:tcMar>
              <w:left w:w="0" w:type="dxa"/>
            </w:tcMar>
          </w:tcPr>
          <w:p w:rsidR="0042612F" w:rsidRPr="00742B86" w:rsidRDefault="0042612F" w:rsidP="0042612F">
            <w:pPr>
              <w:pStyle w:val="Marginlie"/>
              <w:rPr>
                <w:lang w:val="en-GB"/>
              </w:rPr>
            </w:pPr>
            <w:r w:rsidRPr="00742B86">
              <w:rPr>
                <w:lang w:val="en-GB"/>
              </w:rPr>
              <w:t xml:space="preserve">Food industry capitalised on both the higher domestic demand and good harvest. </w:t>
            </w:r>
          </w:p>
          <w:p w:rsidR="0042612F" w:rsidRPr="00742B86" w:rsidRDefault="0042612F" w:rsidP="0042612F">
            <w:pPr>
              <w:pStyle w:val="Marginlie"/>
              <w:rPr>
                <w:lang w:val="en-GB"/>
              </w:rPr>
            </w:pPr>
          </w:p>
          <w:p w:rsidR="0042612F" w:rsidRPr="00742B86" w:rsidRDefault="0042612F" w:rsidP="0042612F">
            <w:pPr>
              <w:pStyle w:val="Marginlie"/>
              <w:rPr>
                <w:spacing w:val="0"/>
                <w:lang w:val="en-GB"/>
              </w:rPr>
            </w:pPr>
            <w:r w:rsidRPr="00742B86">
              <w:rPr>
                <w:lang w:val="en-GB"/>
              </w:rPr>
              <w:t>The specific supply composition during the coronavirus crisis wa</w:t>
            </w:r>
            <w:r w:rsidR="00EA4F9E">
              <w:rPr>
                <w:lang w:val="en-GB"/>
              </w:rPr>
              <w:t>s helpful to some smaller branches</w:t>
            </w:r>
            <w:r w:rsidRPr="00742B86">
              <w:rPr>
                <w:lang w:val="en-GB"/>
              </w:rPr>
              <w:t xml:space="preserve">. </w:t>
            </w:r>
          </w:p>
        </w:tc>
        <w:tc>
          <w:tcPr>
            <w:tcW w:w="185" w:type="dxa"/>
            <w:shd w:val="clear" w:color="auto" w:fill="auto"/>
            <w:tcMar>
              <w:left w:w="0" w:type="dxa"/>
            </w:tcMar>
          </w:tcPr>
          <w:p w:rsidR="0042612F" w:rsidRPr="00742B86" w:rsidRDefault="0042612F" w:rsidP="0042612F">
            <w:pPr>
              <w:pStyle w:val="Textpoznpodarou"/>
              <w:jc w:val="both"/>
              <w:rPr>
                <w:spacing w:val="-4"/>
                <w:lang w:val="en-GB"/>
              </w:rPr>
            </w:pPr>
          </w:p>
        </w:tc>
        <w:tc>
          <w:tcPr>
            <w:tcW w:w="7985" w:type="dxa"/>
            <w:shd w:val="clear" w:color="auto" w:fill="auto"/>
            <w:tcMar>
              <w:left w:w="0" w:type="dxa"/>
            </w:tcMar>
          </w:tcPr>
          <w:p w:rsidR="0042612F" w:rsidRPr="00742B86" w:rsidRDefault="0042612F" w:rsidP="0042612F">
            <w:pPr>
              <w:rPr>
                <w:rFonts w:cs="Arial"/>
                <w:bCs/>
                <w:color w:val="000000"/>
                <w:spacing w:val="-4"/>
                <w:szCs w:val="20"/>
                <w:lang w:val="en-GB"/>
              </w:rPr>
            </w:pPr>
            <w:r w:rsidRPr="00742B86">
              <w:rPr>
                <w:rFonts w:cs="Arial"/>
                <w:bCs/>
                <w:color w:val="000000"/>
                <w:spacing w:val="-4"/>
                <w:szCs w:val="20"/>
                <w:lang w:val="en-GB"/>
              </w:rPr>
              <w:t xml:space="preserve">Even though the food industry recorded the weakest year-on-year rate of growth of production since the end of recession in year 2013 last year, it represented one of the few industrial activities, which recorded growth last year (+0.6%). Next to the relatively stable domestic demand, the good outcomes of this year´s agricultural primary production </w:t>
            </w:r>
            <w:r w:rsidRPr="00742B86">
              <w:rPr>
                <w:spacing w:val="-4"/>
                <w:lang w:val="en-GB"/>
              </w:rPr>
              <w:t xml:space="preserve">were also helpful in this result. Wood and paper industries are also characterised by a close connection to the primary sector. They </w:t>
            </w:r>
            <w:r w:rsidR="00EA4F9E">
              <w:rPr>
                <w:spacing w:val="-4"/>
                <w:lang w:val="en-GB"/>
              </w:rPr>
              <w:t>achieved a similar growth</w:t>
            </w:r>
            <w:r w:rsidRPr="00742B86">
              <w:rPr>
                <w:spacing w:val="-4"/>
                <w:lang w:val="en-GB"/>
              </w:rPr>
              <w:t xml:space="preserve"> of output of around 4%. </w:t>
            </w:r>
            <w:r w:rsidRPr="00742B86">
              <w:rPr>
                <w:color w:val="000000" w:themeColor="text1"/>
                <w:spacing w:val="-4"/>
                <w:lang w:val="en-GB"/>
              </w:rPr>
              <w:t xml:space="preserve">Specific composition of demand during the coronavirus crisis was reflected in the mild growth of output of the pharmaceutical industry (+3.7%) or other manufacturing industry (+2.4%), which also includes the manufacturing of medical supplies or manufacturing of games and toys. </w:t>
            </w:r>
          </w:p>
        </w:tc>
      </w:tr>
      <w:tr w:rsidR="0042612F" w:rsidRPr="00742B86" w:rsidTr="00A52348">
        <w:trPr>
          <w:trHeight w:val="155"/>
        </w:trPr>
        <w:tc>
          <w:tcPr>
            <w:tcW w:w="1494" w:type="dxa"/>
            <w:vMerge w:val="restart"/>
            <w:shd w:val="clear" w:color="auto" w:fill="auto"/>
            <w:tcMar>
              <w:left w:w="0" w:type="dxa"/>
            </w:tcMar>
          </w:tcPr>
          <w:p w:rsidR="0042612F" w:rsidRPr="00742B86" w:rsidRDefault="0042612F" w:rsidP="0042612F">
            <w:pPr>
              <w:pStyle w:val="Marginlie"/>
              <w:rPr>
                <w:spacing w:val="-4"/>
                <w:lang w:val="en-GB"/>
              </w:rPr>
            </w:pPr>
          </w:p>
        </w:tc>
        <w:tc>
          <w:tcPr>
            <w:tcW w:w="185" w:type="dxa"/>
            <w:vMerge w:val="restart"/>
            <w:shd w:val="clear" w:color="auto" w:fill="auto"/>
            <w:tcMar>
              <w:left w:w="0" w:type="dxa"/>
            </w:tcMar>
          </w:tcPr>
          <w:p w:rsidR="0042612F" w:rsidRPr="00742B86" w:rsidRDefault="0042612F" w:rsidP="0042612F">
            <w:pPr>
              <w:pStyle w:val="Textpoznpodarou"/>
              <w:jc w:val="both"/>
              <w:rPr>
                <w:spacing w:val="-4"/>
                <w:lang w:val="en-GB"/>
              </w:rPr>
            </w:pPr>
          </w:p>
        </w:tc>
        <w:tc>
          <w:tcPr>
            <w:tcW w:w="7985" w:type="dxa"/>
            <w:shd w:val="clear" w:color="auto" w:fill="auto"/>
            <w:tcMar>
              <w:left w:w="0" w:type="dxa"/>
            </w:tcMar>
          </w:tcPr>
          <w:p w:rsidR="0042612F" w:rsidRPr="00742B86" w:rsidRDefault="0042612F" w:rsidP="0042612F">
            <w:pPr>
              <w:pStyle w:val="Textpoznpodarou"/>
              <w:spacing w:line="276" w:lineRule="auto"/>
              <w:jc w:val="both"/>
              <w:rPr>
                <w:b/>
                <w:lang w:val="en-GB"/>
              </w:rPr>
            </w:pPr>
            <w:r w:rsidRPr="00742B86">
              <w:rPr>
                <w:b/>
                <w:spacing w:val="-2"/>
                <w:lang w:val="en-GB"/>
              </w:rPr>
              <w:t xml:space="preserve">Chart 5  </w:t>
            </w:r>
            <w:r w:rsidRPr="00742B86">
              <w:rPr>
                <w:b/>
                <w:lang w:val="en-GB"/>
              </w:rPr>
              <w:t>New orders in manufacture of motor vehicles and in</w:t>
            </w:r>
            <w:r w:rsidR="00510A79">
              <w:rPr>
                <w:b/>
                <w:lang w:val="en-GB"/>
              </w:rPr>
              <w:t xml:space="preserve"> the whole industry</w:t>
            </w:r>
            <w:r w:rsidRPr="00742B86">
              <w:rPr>
                <w:b/>
                <w:lang w:val="en-GB"/>
              </w:rPr>
              <w:t> </w:t>
            </w:r>
          </w:p>
          <w:p w:rsidR="0042612F" w:rsidRPr="00742B86" w:rsidRDefault="0042612F" w:rsidP="0042612F">
            <w:pPr>
              <w:pStyle w:val="Textpoznpodarou"/>
              <w:spacing w:line="276" w:lineRule="auto"/>
              <w:jc w:val="both"/>
              <w:rPr>
                <w:b/>
                <w:spacing w:val="-2"/>
                <w:lang w:val="en-GB"/>
              </w:rPr>
            </w:pPr>
            <w:r w:rsidRPr="00742B86">
              <w:rPr>
                <w:bCs/>
                <w:lang w:val="en-GB"/>
              </w:rPr>
              <w:t>(in current prices, year-on-year change in %)</w:t>
            </w:r>
            <w:r w:rsidRPr="00742B86">
              <w:rPr>
                <w:b/>
                <w:lang w:val="en-GB"/>
              </w:rPr>
              <w:t>, util</w:t>
            </w:r>
            <w:r w:rsidR="00510A79">
              <w:rPr>
                <w:b/>
                <w:lang w:val="en-GB"/>
              </w:rPr>
              <w:t>isation of production capacity</w:t>
            </w:r>
            <w:r w:rsidRPr="00742B86">
              <w:rPr>
                <w:b/>
                <w:lang w:val="en-GB"/>
              </w:rPr>
              <w:t>* and selected growth barriers</w:t>
            </w:r>
            <w:r w:rsidRPr="00742B86">
              <w:rPr>
                <w:lang w:val="en-GB"/>
              </w:rPr>
              <w:t xml:space="preserve"> </w:t>
            </w:r>
            <w:r w:rsidR="00510A79" w:rsidRPr="00510A79">
              <w:rPr>
                <w:b/>
                <w:lang w:val="en-GB"/>
              </w:rPr>
              <w:t>in the whole industry</w:t>
            </w:r>
            <w:r w:rsidR="00510A79">
              <w:rPr>
                <w:lang w:val="en-GB"/>
              </w:rPr>
              <w:t xml:space="preserve"> </w:t>
            </w:r>
            <w:r w:rsidRPr="00742B86">
              <w:rPr>
                <w:lang w:val="en-GB"/>
              </w:rPr>
              <w:t>(in %, right axis)</w:t>
            </w:r>
          </w:p>
        </w:tc>
      </w:tr>
      <w:tr w:rsidR="0042612F" w:rsidRPr="00742B86" w:rsidTr="003446C5">
        <w:tblPrEx>
          <w:tblCellMar>
            <w:left w:w="70" w:type="dxa"/>
            <w:right w:w="70" w:type="dxa"/>
          </w:tblCellMar>
        </w:tblPrEx>
        <w:trPr>
          <w:trHeight w:val="155"/>
        </w:trPr>
        <w:tc>
          <w:tcPr>
            <w:tcW w:w="1494" w:type="dxa"/>
            <w:vMerge/>
            <w:shd w:val="clear" w:color="auto" w:fill="auto"/>
          </w:tcPr>
          <w:p w:rsidR="0042612F" w:rsidRPr="00742B86" w:rsidRDefault="0042612F" w:rsidP="0042612F">
            <w:pPr>
              <w:pStyle w:val="Marginlie"/>
              <w:rPr>
                <w:spacing w:val="-4"/>
                <w:lang w:val="en-GB"/>
              </w:rPr>
            </w:pPr>
          </w:p>
        </w:tc>
        <w:tc>
          <w:tcPr>
            <w:tcW w:w="185" w:type="dxa"/>
            <w:vMerge/>
            <w:shd w:val="clear" w:color="auto" w:fill="auto"/>
          </w:tcPr>
          <w:p w:rsidR="0042612F" w:rsidRPr="00742B86" w:rsidRDefault="0042612F" w:rsidP="0042612F">
            <w:pPr>
              <w:pStyle w:val="Textpoznpodarou"/>
              <w:jc w:val="both"/>
              <w:rPr>
                <w:spacing w:val="-4"/>
                <w:lang w:val="en-GB"/>
              </w:rPr>
            </w:pPr>
          </w:p>
        </w:tc>
        <w:tc>
          <w:tcPr>
            <w:tcW w:w="7985" w:type="dxa"/>
            <w:shd w:val="clear" w:color="auto" w:fill="auto"/>
          </w:tcPr>
          <w:p w:rsidR="0042612F" w:rsidRPr="00742B86" w:rsidRDefault="003446C5" w:rsidP="0042612F">
            <w:pPr>
              <w:spacing w:after="0"/>
              <w:rPr>
                <w:spacing w:val="-4"/>
                <w:lang w:val="en-GB"/>
              </w:rPr>
            </w:pPr>
            <w:r>
              <w:rPr>
                <w:noProof/>
              </w:rPr>
              <w:drawing>
                <wp:inline distT="0" distB="0" distL="0" distR="0" wp14:anchorId="5E5604AF" wp14:editId="63B0B4FE">
                  <wp:extent cx="4881469" cy="3416040"/>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42612F" w:rsidRPr="00742B86" w:rsidTr="00A52348">
        <w:trPr>
          <w:trHeight w:val="152"/>
        </w:trPr>
        <w:tc>
          <w:tcPr>
            <w:tcW w:w="1494" w:type="dxa"/>
            <w:vMerge/>
            <w:shd w:val="clear" w:color="auto" w:fill="auto"/>
            <w:tcMar>
              <w:left w:w="0" w:type="dxa"/>
            </w:tcMar>
          </w:tcPr>
          <w:p w:rsidR="0042612F" w:rsidRPr="00742B86" w:rsidRDefault="0042612F" w:rsidP="0042612F">
            <w:pPr>
              <w:pStyle w:val="Marginlie"/>
              <w:rPr>
                <w:spacing w:val="-4"/>
                <w:lang w:val="en-GB"/>
              </w:rPr>
            </w:pPr>
          </w:p>
        </w:tc>
        <w:tc>
          <w:tcPr>
            <w:tcW w:w="185" w:type="dxa"/>
            <w:vMerge/>
            <w:shd w:val="clear" w:color="auto" w:fill="auto"/>
            <w:tcMar>
              <w:left w:w="0" w:type="dxa"/>
            </w:tcMar>
          </w:tcPr>
          <w:p w:rsidR="0042612F" w:rsidRPr="00742B86" w:rsidRDefault="0042612F" w:rsidP="0042612F">
            <w:pPr>
              <w:pStyle w:val="Textpoznpodarou"/>
              <w:jc w:val="both"/>
              <w:rPr>
                <w:spacing w:val="-4"/>
                <w:lang w:val="en-GB"/>
              </w:rPr>
            </w:pPr>
          </w:p>
        </w:tc>
        <w:tc>
          <w:tcPr>
            <w:tcW w:w="7985" w:type="dxa"/>
            <w:shd w:val="clear" w:color="auto" w:fill="auto"/>
            <w:tcMar>
              <w:left w:w="0" w:type="dxa"/>
            </w:tcMar>
          </w:tcPr>
          <w:p w:rsidR="0042612F" w:rsidRPr="00742B86" w:rsidRDefault="0042612F" w:rsidP="0042612F">
            <w:pPr>
              <w:spacing w:after="0"/>
              <w:rPr>
                <w:rFonts w:cs="Arial"/>
                <w:sz w:val="14"/>
                <w:szCs w:val="14"/>
                <w:lang w:val="en-GB"/>
              </w:rPr>
            </w:pPr>
            <w:r w:rsidRPr="00742B86">
              <w:rPr>
                <w:rFonts w:cs="Arial"/>
                <w:sz w:val="14"/>
                <w:szCs w:val="14"/>
                <w:lang w:val="en-GB"/>
              </w:rPr>
              <w:t xml:space="preserve">*Both utilisation of production capacities and growth barriers are seasonally adjusted and express the situation in the first (growth barriers), resp. second month of the given quarter (utilisation of capacities). Businesses could have stated more main barriers simultaneously. </w:t>
            </w:r>
          </w:p>
          <w:p w:rsidR="0042612F" w:rsidRPr="003446C5" w:rsidRDefault="0042612F" w:rsidP="003446C5">
            <w:pPr>
              <w:spacing w:after="0"/>
              <w:rPr>
                <w:rFonts w:cs="Arial"/>
                <w:sz w:val="14"/>
                <w:szCs w:val="14"/>
                <w:lang w:val="en-GB"/>
              </w:rPr>
            </w:pPr>
            <w:r w:rsidRPr="00742B86">
              <w:rPr>
                <w:rFonts w:cs="Arial"/>
                <w:sz w:val="14"/>
                <w:szCs w:val="14"/>
                <w:lang w:val="en-GB"/>
              </w:rPr>
              <w:t>Source: CZSO</w:t>
            </w:r>
          </w:p>
          <w:p w:rsidR="0042612F" w:rsidRPr="00742B86" w:rsidRDefault="0042612F" w:rsidP="007E0E89">
            <w:pPr>
              <w:spacing w:after="0" w:line="240" w:lineRule="auto"/>
              <w:rPr>
                <w:rFonts w:cs="Arial"/>
                <w:b/>
                <w:bCs/>
                <w:sz w:val="16"/>
                <w:szCs w:val="16"/>
                <w:lang w:val="en-GB"/>
              </w:rPr>
            </w:pPr>
          </w:p>
        </w:tc>
      </w:tr>
      <w:tr w:rsidR="00510A79" w:rsidRPr="00742B86" w:rsidTr="00A52348">
        <w:trPr>
          <w:trHeight w:val="145"/>
        </w:trPr>
        <w:tc>
          <w:tcPr>
            <w:tcW w:w="1494" w:type="dxa"/>
            <w:shd w:val="clear" w:color="auto" w:fill="auto"/>
            <w:tcMar>
              <w:left w:w="0" w:type="dxa"/>
            </w:tcMar>
          </w:tcPr>
          <w:p w:rsidR="00510A79" w:rsidRPr="00742B86" w:rsidRDefault="00510A79" w:rsidP="00510A79">
            <w:pPr>
              <w:pStyle w:val="Marginlie"/>
              <w:rPr>
                <w:spacing w:val="0"/>
                <w:lang w:val="en-GB"/>
              </w:rPr>
            </w:pPr>
            <w:r w:rsidRPr="00742B86">
              <w:rPr>
                <w:spacing w:val="0"/>
                <w:lang w:val="en-GB"/>
              </w:rPr>
              <w:t xml:space="preserve">The sales grew the most to the businesses in energetics, </w:t>
            </w:r>
            <w:r w:rsidRPr="00742B86">
              <w:rPr>
                <w:spacing w:val="0"/>
                <w:lang w:val="en-GB"/>
              </w:rPr>
              <w:lastRenderedPageBreak/>
              <w:t xml:space="preserve">exclusively due the effect of growing prices. </w:t>
            </w:r>
          </w:p>
        </w:tc>
        <w:tc>
          <w:tcPr>
            <w:tcW w:w="185" w:type="dxa"/>
            <w:shd w:val="clear" w:color="auto" w:fill="auto"/>
            <w:tcMar>
              <w:left w:w="0" w:type="dxa"/>
            </w:tcMar>
          </w:tcPr>
          <w:p w:rsidR="00510A79" w:rsidRPr="00742B86" w:rsidRDefault="00510A79" w:rsidP="00510A79">
            <w:pPr>
              <w:pStyle w:val="Textpoznpodarou"/>
              <w:jc w:val="both"/>
              <w:rPr>
                <w:spacing w:val="-4"/>
                <w:lang w:val="en-GB"/>
              </w:rPr>
            </w:pPr>
          </w:p>
        </w:tc>
        <w:tc>
          <w:tcPr>
            <w:tcW w:w="7985" w:type="dxa"/>
            <w:shd w:val="clear" w:color="auto" w:fill="auto"/>
            <w:tcMar>
              <w:left w:w="0" w:type="dxa"/>
            </w:tcMar>
          </w:tcPr>
          <w:p w:rsidR="00510A79" w:rsidRPr="00742B86" w:rsidRDefault="00510A79" w:rsidP="00510A79">
            <w:pPr>
              <w:rPr>
                <w:color w:val="000000" w:themeColor="text1"/>
                <w:spacing w:val="-6"/>
                <w:lang w:val="en-GB"/>
              </w:rPr>
            </w:pPr>
            <w:r w:rsidRPr="00742B86">
              <w:rPr>
                <w:rFonts w:cs="Arial"/>
                <w:bCs/>
                <w:color w:val="000000"/>
                <w:spacing w:val="-5"/>
                <w:szCs w:val="20"/>
                <w:lang w:val="en-GB"/>
              </w:rPr>
              <w:t>Nominal sales of industrial businesses decreased by 6.1%</w:t>
            </w:r>
            <w:r w:rsidRPr="00742B86">
              <w:rPr>
                <w:rStyle w:val="Znakapoznpodarou"/>
                <w:bCs/>
                <w:color w:val="000000"/>
                <w:spacing w:val="-5"/>
                <w:szCs w:val="20"/>
                <w:lang w:val="en-GB"/>
              </w:rPr>
              <w:footnoteReference w:id="14"/>
            </w:r>
            <w:r w:rsidRPr="00742B86">
              <w:rPr>
                <w:rFonts w:cs="Arial"/>
                <w:bCs/>
                <w:color w:val="000000"/>
                <w:spacing w:val="-5"/>
                <w:szCs w:val="20"/>
                <w:lang w:val="en-GB"/>
              </w:rPr>
              <w:t xml:space="preserve"> last year, for the first time since 2009. Drop of both local </w:t>
            </w:r>
            <w:r>
              <w:rPr>
                <w:rFonts w:cs="Arial"/>
                <w:bCs/>
                <w:color w:val="000000"/>
                <w:spacing w:val="-5"/>
                <w:szCs w:val="20"/>
                <w:lang w:val="en-GB"/>
              </w:rPr>
              <w:t xml:space="preserve">(domestic) </w:t>
            </w:r>
            <w:r w:rsidRPr="00742B86">
              <w:rPr>
                <w:rFonts w:cs="Arial"/>
                <w:bCs/>
                <w:color w:val="000000"/>
                <w:spacing w:val="-5"/>
                <w:szCs w:val="20"/>
                <w:lang w:val="en-GB"/>
              </w:rPr>
              <w:t xml:space="preserve">sales and sales from direct export was nearly similar. Sales expanded the most in energetics (+5%).  Manufacturers of wearing apparel earned more also </w:t>
            </w:r>
            <w:r w:rsidRPr="00742B86">
              <w:rPr>
                <w:rFonts w:cs="Arial"/>
                <w:bCs/>
                <w:color w:val="000000"/>
                <w:spacing w:val="-5"/>
                <w:szCs w:val="20"/>
                <w:lang w:val="en-GB"/>
              </w:rPr>
              <w:lastRenderedPageBreak/>
              <w:t>solely due the raised prices. On the contrary, despite higher output the sales did not grow in the paper industry. Price influence adversely also affected the sales in the chemical industry and metallurgy (the sales shrank by more than one tenth in both branches).</w:t>
            </w:r>
          </w:p>
        </w:tc>
      </w:tr>
      <w:tr w:rsidR="00510A79" w:rsidRPr="00742B86" w:rsidTr="00A52348">
        <w:trPr>
          <w:trHeight w:val="145"/>
        </w:trPr>
        <w:tc>
          <w:tcPr>
            <w:tcW w:w="1494" w:type="dxa"/>
            <w:shd w:val="clear" w:color="auto" w:fill="auto"/>
            <w:tcMar>
              <w:left w:w="0" w:type="dxa"/>
            </w:tcMar>
          </w:tcPr>
          <w:p w:rsidR="00510A79" w:rsidRPr="00742B86" w:rsidRDefault="00510A79" w:rsidP="00510A79">
            <w:pPr>
              <w:pStyle w:val="Marginlie"/>
              <w:rPr>
                <w:lang w:val="en-GB"/>
              </w:rPr>
            </w:pPr>
            <w:r w:rsidRPr="00742B86">
              <w:rPr>
                <w:spacing w:val="0"/>
                <w:lang w:val="en-GB"/>
              </w:rPr>
              <w:lastRenderedPageBreak/>
              <w:t xml:space="preserve">Value of new industrial orders increased at the end of the year. </w:t>
            </w:r>
          </w:p>
          <w:p w:rsidR="00510A79" w:rsidRDefault="00510A79" w:rsidP="00510A79">
            <w:pPr>
              <w:pStyle w:val="Marginlie"/>
              <w:rPr>
                <w:lang w:val="en-GB"/>
              </w:rPr>
            </w:pPr>
          </w:p>
          <w:p w:rsidR="00510A79" w:rsidRDefault="00510A79" w:rsidP="00510A79">
            <w:pPr>
              <w:pStyle w:val="Marginlie"/>
              <w:rPr>
                <w:lang w:val="en-GB"/>
              </w:rPr>
            </w:pPr>
          </w:p>
          <w:p w:rsidR="00510A79" w:rsidRPr="00742B86" w:rsidRDefault="00510A79" w:rsidP="00510A79">
            <w:pPr>
              <w:pStyle w:val="Marginlie"/>
              <w:rPr>
                <w:lang w:val="en-GB"/>
              </w:rPr>
            </w:pPr>
          </w:p>
          <w:p w:rsidR="00510A79" w:rsidRPr="00742B86" w:rsidRDefault="00510A79" w:rsidP="00510A79">
            <w:pPr>
              <w:pStyle w:val="Marginlie"/>
              <w:rPr>
                <w:lang w:val="en-GB"/>
              </w:rPr>
            </w:pPr>
            <w:r w:rsidRPr="00742B86">
              <w:rPr>
                <w:lang w:val="en-GB"/>
              </w:rPr>
              <w:t xml:space="preserve">Inadequate demand still notably dominates among the barriers to growth. </w:t>
            </w:r>
          </w:p>
        </w:tc>
        <w:tc>
          <w:tcPr>
            <w:tcW w:w="185" w:type="dxa"/>
            <w:shd w:val="clear" w:color="auto" w:fill="auto"/>
            <w:tcMar>
              <w:left w:w="0" w:type="dxa"/>
            </w:tcMar>
          </w:tcPr>
          <w:p w:rsidR="00510A79" w:rsidRPr="00742B86" w:rsidRDefault="00510A79" w:rsidP="00510A79">
            <w:pPr>
              <w:pStyle w:val="Textpoznpodarou"/>
              <w:jc w:val="both"/>
              <w:rPr>
                <w:spacing w:val="-4"/>
                <w:lang w:val="en-GB"/>
              </w:rPr>
            </w:pPr>
          </w:p>
        </w:tc>
        <w:tc>
          <w:tcPr>
            <w:tcW w:w="7985" w:type="dxa"/>
            <w:shd w:val="clear" w:color="auto" w:fill="auto"/>
            <w:tcMar>
              <w:left w:w="0" w:type="dxa"/>
            </w:tcMar>
          </w:tcPr>
          <w:p w:rsidR="00510A79" w:rsidRPr="00742B86" w:rsidRDefault="00607DEA" w:rsidP="00510A79">
            <w:pPr>
              <w:rPr>
                <w:spacing w:val="-4"/>
                <w:lang w:val="en-GB"/>
              </w:rPr>
            </w:pPr>
            <w:r>
              <w:rPr>
                <w:color w:val="000000" w:themeColor="text1"/>
                <w:spacing w:val="-6"/>
                <w:lang w:val="en-GB"/>
              </w:rPr>
              <w:t>Short term outlooks in</w:t>
            </w:r>
            <w:r w:rsidR="00510A79" w:rsidRPr="00742B86">
              <w:rPr>
                <w:color w:val="000000" w:themeColor="text1"/>
                <w:spacing w:val="-6"/>
                <w:lang w:val="en-GB"/>
              </w:rPr>
              <w:t xml:space="preserve"> industry improved towards the end of the year. Value of industrial orders</w:t>
            </w:r>
            <w:r w:rsidR="00510A79" w:rsidRPr="00742B86">
              <w:rPr>
                <w:rStyle w:val="Znakapoznpodarou"/>
                <w:spacing w:val="-4"/>
                <w:lang w:val="en-GB"/>
              </w:rPr>
              <w:footnoteReference w:id="15"/>
            </w:r>
            <w:r w:rsidR="00510A79" w:rsidRPr="00742B86">
              <w:rPr>
                <w:color w:val="0D0D0D" w:themeColor="text1" w:themeTint="F2"/>
                <w:spacing w:val="-4"/>
                <w:lang w:val="en-GB"/>
              </w:rPr>
              <w:t xml:space="preserve"> grew thanks to the both foreign and domestic demand by 6.9%</w:t>
            </w:r>
            <w:r w:rsidR="00510A79" w:rsidRPr="00742B86">
              <w:rPr>
                <w:rStyle w:val="Znakapoznpodarou"/>
                <w:color w:val="0D0D0D" w:themeColor="text1" w:themeTint="F2"/>
                <w:spacing w:val="-4"/>
                <w:lang w:val="en-GB"/>
              </w:rPr>
              <w:footnoteReference w:id="16"/>
            </w:r>
            <w:r w:rsidR="00510A79" w:rsidRPr="00742B86">
              <w:rPr>
                <w:color w:val="0D0D0D" w:themeColor="text1" w:themeTint="F2"/>
                <w:spacing w:val="-4"/>
                <w:lang w:val="en-GB"/>
              </w:rPr>
              <w:t xml:space="preserve"> year-on-year in Q4 2020. Higher demand pervaded the overwhelming majority of monitored activities, however it missed the important machinery industry. Utilisation of production capacities </w:t>
            </w:r>
            <w:r>
              <w:rPr>
                <w:color w:val="0D0D0D" w:themeColor="text1" w:themeTint="F2"/>
                <w:spacing w:val="-4"/>
                <w:lang w:val="en-GB"/>
              </w:rPr>
              <w:t xml:space="preserve">in the whole industry </w:t>
            </w:r>
            <w:r w:rsidR="00510A79" w:rsidRPr="00742B86">
              <w:rPr>
                <w:color w:val="0D0D0D" w:themeColor="text1" w:themeTint="F2"/>
                <w:spacing w:val="-4"/>
                <w:lang w:val="en-GB"/>
              </w:rPr>
              <w:t>already exceeded 83% at the beginning of year 2021, and closely thus approached the level from the last boom period</w:t>
            </w:r>
            <w:r w:rsidR="00510A79" w:rsidRPr="00742B86">
              <w:rPr>
                <w:rStyle w:val="Znakapoznpodarou"/>
                <w:color w:val="0D0D0D" w:themeColor="text1" w:themeTint="F2"/>
                <w:spacing w:val="-4"/>
                <w:lang w:val="en-GB"/>
              </w:rPr>
              <w:footnoteReference w:id="17"/>
            </w:r>
            <w:r>
              <w:rPr>
                <w:color w:val="0D0D0D" w:themeColor="text1" w:themeTint="F2"/>
                <w:spacing w:val="-4"/>
                <w:lang w:val="en-GB"/>
              </w:rPr>
              <w:t>. Insufficient</w:t>
            </w:r>
            <w:r w:rsidR="00510A79" w:rsidRPr="00742B86">
              <w:rPr>
                <w:color w:val="0D0D0D" w:themeColor="text1" w:themeTint="F2"/>
                <w:spacing w:val="-4"/>
                <w:lang w:val="en-GB"/>
              </w:rPr>
              <w:t xml:space="preserve"> demand remains the main growth barrier</w:t>
            </w:r>
            <w:r w:rsidR="00510A79" w:rsidRPr="00742B86">
              <w:rPr>
                <w:rStyle w:val="Znakapoznpodarou"/>
                <w:color w:val="0D0D0D" w:themeColor="text1" w:themeTint="F2"/>
                <w:spacing w:val="-4"/>
                <w:lang w:val="en-GB"/>
              </w:rPr>
              <w:footnoteReference w:id="18"/>
            </w:r>
            <w:r w:rsidR="00510A79" w:rsidRPr="00742B86">
              <w:rPr>
                <w:color w:val="0D0D0D" w:themeColor="text1" w:themeTint="F2"/>
                <w:spacing w:val="-4"/>
                <w:lang w:val="en-GB"/>
              </w:rPr>
              <w:t>. It was stated by nearly one half of industrial businesses at the beginning of year 2021, one f</w:t>
            </w:r>
            <w:r>
              <w:rPr>
                <w:color w:val="0D0D0D" w:themeColor="text1" w:themeTint="F2"/>
                <w:spacing w:val="-4"/>
                <w:lang w:val="en-GB"/>
              </w:rPr>
              <w:t>ifth of them struggled with shortage of labour</w:t>
            </w:r>
            <w:r w:rsidR="00510A79" w:rsidRPr="00742B86">
              <w:rPr>
                <w:color w:val="0D0D0D" w:themeColor="text1" w:themeTint="F2"/>
                <w:spacing w:val="-4"/>
                <w:lang w:val="en-GB"/>
              </w:rPr>
              <w:t>. Total balance of confidence indicator in industry at the turn of years 2020 and 2021 grew</w:t>
            </w:r>
            <w:r>
              <w:rPr>
                <w:color w:val="0D0D0D" w:themeColor="text1" w:themeTint="F2"/>
                <w:spacing w:val="-4"/>
                <w:lang w:val="en-GB"/>
              </w:rPr>
              <w:t>.</w:t>
            </w:r>
            <w:r w:rsidR="00510A79" w:rsidRPr="00742B86">
              <w:rPr>
                <w:color w:val="0D0D0D" w:themeColor="text1" w:themeTint="F2"/>
                <w:spacing w:val="-4"/>
                <w:lang w:val="en-GB"/>
              </w:rPr>
              <w:t xml:space="preserve"> </w:t>
            </w:r>
            <w:r>
              <w:rPr>
                <w:color w:val="0D0D0D" w:themeColor="text1" w:themeTint="F2"/>
                <w:spacing w:val="-4"/>
                <w:lang w:val="en-GB"/>
              </w:rPr>
              <w:t xml:space="preserve">In February 2021 it </w:t>
            </w:r>
            <w:r w:rsidR="00510A79" w:rsidRPr="00742B86">
              <w:rPr>
                <w:color w:val="0D0D0D" w:themeColor="text1" w:themeTint="F2"/>
                <w:spacing w:val="-4"/>
                <w:lang w:val="en-GB"/>
              </w:rPr>
              <w:t>was the</w:t>
            </w:r>
            <w:r>
              <w:rPr>
                <w:color w:val="0D0D0D" w:themeColor="text1" w:themeTint="F2"/>
                <w:spacing w:val="-4"/>
                <w:lang w:val="en-GB"/>
              </w:rPr>
              <w:t xml:space="preserve"> highest</w:t>
            </w:r>
            <w:r w:rsidR="00510A79" w:rsidRPr="00742B86">
              <w:rPr>
                <w:color w:val="0D0D0D" w:themeColor="text1" w:themeTint="F2"/>
                <w:spacing w:val="-4"/>
                <w:lang w:val="en-GB"/>
              </w:rPr>
              <w:t xml:space="preserve"> since April 2019. Anticipations of production activity in the subsequent three months were mildly positive and outlook in the area of employment changes neutral. </w:t>
            </w:r>
          </w:p>
        </w:tc>
      </w:tr>
      <w:tr w:rsidR="00510A79" w:rsidRPr="00742B86" w:rsidTr="00A52348">
        <w:trPr>
          <w:trHeight w:val="145"/>
        </w:trPr>
        <w:tc>
          <w:tcPr>
            <w:tcW w:w="1494" w:type="dxa"/>
            <w:shd w:val="clear" w:color="auto" w:fill="auto"/>
            <w:tcMar>
              <w:left w:w="0" w:type="dxa"/>
            </w:tcMar>
          </w:tcPr>
          <w:p w:rsidR="00510A79" w:rsidRPr="00742B86" w:rsidRDefault="00745C3B" w:rsidP="00510A79">
            <w:pPr>
              <w:pStyle w:val="Marginlie"/>
              <w:rPr>
                <w:lang w:val="en-GB"/>
              </w:rPr>
            </w:pPr>
            <w:r>
              <w:rPr>
                <w:lang w:val="en-GB"/>
              </w:rPr>
              <w:t>Impact of</w:t>
            </w:r>
            <w:r w:rsidR="00510A79" w:rsidRPr="00742B86">
              <w:rPr>
                <w:lang w:val="en-GB"/>
              </w:rPr>
              <w:t xml:space="preserve"> </w:t>
            </w:r>
            <w:r>
              <w:rPr>
                <w:lang w:val="en-GB"/>
              </w:rPr>
              <w:t>anti-</w:t>
            </w:r>
            <w:r w:rsidR="00510A79" w:rsidRPr="00742B86">
              <w:rPr>
                <w:lang w:val="en-GB"/>
              </w:rPr>
              <w:t>pandemic measure</w:t>
            </w:r>
            <w:r>
              <w:rPr>
                <w:lang w:val="en-GB"/>
              </w:rPr>
              <w:t xml:space="preserve">s on construction were initially mild, </w:t>
            </w:r>
            <w:r w:rsidR="00510A79" w:rsidRPr="00742B86">
              <w:rPr>
                <w:lang w:val="en-GB"/>
              </w:rPr>
              <w:t xml:space="preserve">however lasted longer. </w:t>
            </w:r>
          </w:p>
          <w:p w:rsidR="00510A79" w:rsidRPr="00742B86" w:rsidRDefault="00510A79" w:rsidP="00510A79">
            <w:pPr>
              <w:pStyle w:val="Marginlie"/>
              <w:rPr>
                <w:lang w:val="en-GB"/>
              </w:rPr>
            </w:pPr>
          </w:p>
          <w:p w:rsidR="00510A79" w:rsidRPr="00742B86" w:rsidRDefault="00510A79" w:rsidP="00510A79">
            <w:pPr>
              <w:pStyle w:val="Marginlie"/>
              <w:rPr>
                <w:lang w:val="en-GB"/>
              </w:rPr>
            </w:pPr>
          </w:p>
          <w:p w:rsidR="00510A79" w:rsidRPr="00742B86" w:rsidRDefault="00510A79" w:rsidP="00510A79">
            <w:pPr>
              <w:pStyle w:val="Marginlie"/>
              <w:rPr>
                <w:lang w:val="en-GB"/>
              </w:rPr>
            </w:pPr>
          </w:p>
          <w:p w:rsidR="00510A79" w:rsidRPr="00742B86" w:rsidRDefault="00510A79" w:rsidP="00510A79">
            <w:pPr>
              <w:pStyle w:val="Marginlie"/>
              <w:rPr>
                <w:lang w:val="en-GB"/>
              </w:rPr>
            </w:pPr>
            <w:r w:rsidRPr="00742B86">
              <w:rPr>
                <w:lang w:val="en-GB"/>
              </w:rPr>
              <w:t xml:space="preserve">Output of building construction plunged the most in the last two decades. Civil engineering construction maintained a mild growth. </w:t>
            </w:r>
          </w:p>
        </w:tc>
        <w:tc>
          <w:tcPr>
            <w:tcW w:w="185" w:type="dxa"/>
            <w:shd w:val="clear" w:color="auto" w:fill="auto"/>
            <w:tcMar>
              <w:left w:w="0" w:type="dxa"/>
            </w:tcMar>
          </w:tcPr>
          <w:p w:rsidR="00510A79" w:rsidRPr="00742B86" w:rsidRDefault="00510A79" w:rsidP="00510A79">
            <w:pPr>
              <w:pStyle w:val="Textpoznpodarou"/>
              <w:jc w:val="both"/>
              <w:rPr>
                <w:spacing w:val="-4"/>
                <w:lang w:val="en-GB"/>
              </w:rPr>
            </w:pPr>
          </w:p>
        </w:tc>
        <w:tc>
          <w:tcPr>
            <w:tcW w:w="7985" w:type="dxa"/>
            <w:shd w:val="clear" w:color="auto" w:fill="auto"/>
            <w:tcMar>
              <w:left w:w="0" w:type="dxa"/>
            </w:tcMar>
          </w:tcPr>
          <w:p w:rsidR="00510A79" w:rsidRPr="00742B86" w:rsidRDefault="00745C3B" w:rsidP="00510A79">
            <w:pPr>
              <w:rPr>
                <w:spacing w:val="-4"/>
                <w:lang w:val="en-GB"/>
              </w:rPr>
            </w:pPr>
            <w:r>
              <w:rPr>
                <w:spacing w:val="-4"/>
                <w:lang w:val="en-GB"/>
              </w:rPr>
              <w:t>Impacts of anti-</w:t>
            </w:r>
            <w:r w:rsidR="00510A79" w:rsidRPr="00742B86">
              <w:rPr>
                <w:spacing w:val="-4"/>
                <w:lang w:val="en-GB"/>
              </w:rPr>
              <w:t>pandemic meas</w:t>
            </w:r>
            <w:r>
              <w:rPr>
                <w:spacing w:val="-4"/>
                <w:lang w:val="en-GB"/>
              </w:rPr>
              <w:t>ures o</w:t>
            </w:r>
            <w:r w:rsidR="00510A79" w:rsidRPr="00742B86">
              <w:rPr>
                <w:spacing w:val="-4"/>
                <w:lang w:val="en-GB"/>
              </w:rPr>
              <w:t xml:space="preserve">n construction </w:t>
            </w:r>
            <w:r>
              <w:rPr>
                <w:spacing w:val="-4"/>
                <w:lang w:val="en-GB"/>
              </w:rPr>
              <w:t xml:space="preserve">were initially mild, nevertheless they </w:t>
            </w:r>
            <w:r w:rsidR="00510A79" w:rsidRPr="00742B86">
              <w:rPr>
                <w:spacing w:val="-4"/>
                <w:lang w:val="en-GB"/>
              </w:rPr>
              <w:t>endured longer</w:t>
            </w:r>
            <w:r w:rsidR="00510A79" w:rsidRPr="00742B86">
              <w:rPr>
                <w:spacing w:val="-2"/>
                <w:lang w:val="en-GB"/>
              </w:rPr>
              <w:t>. The deepest month-on-month fall of construction output</w:t>
            </w:r>
            <w:r w:rsidR="00510A79" w:rsidRPr="00742B86">
              <w:rPr>
                <w:rStyle w:val="Znakapoznpodarou"/>
                <w:spacing w:val="-2"/>
                <w:lang w:val="en-GB"/>
              </w:rPr>
              <w:footnoteReference w:id="19"/>
            </w:r>
            <w:r w:rsidR="00510A79" w:rsidRPr="00742B86">
              <w:rPr>
                <w:spacing w:val="-2"/>
                <w:lang w:val="en-GB"/>
              </w:rPr>
              <w:t xml:space="preserve"> occurred last year as late as May (–3.9%). The restrictive measu</w:t>
            </w:r>
            <w:r w:rsidR="00282755">
              <w:rPr>
                <w:spacing w:val="-2"/>
                <w:lang w:val="en-GB"/>
              </w:rPr>
              <w:t>res gradually limited the</w:t>
            </w:r>
            <w:r w:rsidR="00510A79" w:rsidRPr="00742B86">
              <w:rPr>
                <w:spacing w:val="-2"/>
                <w:lang w:val="en-GB"/>
              </w:rPr>
              <w:t xml:space="preserve"> collaboration of all participants of the </w:t>
            </w:r>
            <w:r w:rsidR="00282755">
              <w:rPr>
                <w:spacing w:val="-2"/>
                <w:lang w:val="en-GB"/>
              </w:rPr>
              <w:t>“</w:t>
            </w:r>
            <w:r w:rsidR="00510A79" w:rsidRPr="00742B86">
              <w:rPr>
                <w:spacing w:val="-2"/>
                <w:lang w:val="en-GB"/>
              </w:rPr>
              <w:t>construction procedure</w:t>
            </w:r>
            <w:r w:rsidR="00282755">
              <w:rPr>
                <w:spacing w:val="-2"/>
                <w:lang w:val="en-GB"/>
              </w:rPr>
              <w:t>”</w:t>
            </w:r>
            <w:r w:rsidR="00510A79" w:rsidRPr="00742B86">
              <w:rPr>
                <w:spacing w:val="-2"/>
                <w:lang w:val="en-GB"/>
              </w:rPr>
              <w:t xml:space="preserve"> and thus further made the already demanding administrative process of the constructions preparations h</w:t>
            </w:r>
            <w:r w:rsidR="00282755">
              <w:rPr>
                <w:spacing w:val="-2"/>
                <w:lang w:val="en-GB"/>
              </w:rPr>
              <w:t>arder. Some tenders</w:t>
            </w:r>
            <w:r w:rsidR="00510A79" w:rsidRPr="00742B86">
              <w:rPr>
                <w:spacing w:val="-2"/>
                <w:lang w:val="en-GB"/>
              </w:rPr>
              <w:t xml:space="preserve"> were suspended, w</w:t>
            </w:r>
            <w:r w:rsidR="00510A79" w:rsidRPr="00742B86">
              <w:rPr>
                <w:spacing w:val="-4"/>
                <w:lang w:val="en-GB"/>
              </w:rPr>
              <w:t>hich disrupted the continuity of construction</w:t>
            </w:r>
            <w:r w:rsidR="00282755">
              <w:rPr>
                <w:spacing w:val="-4"/>
                <w:lang w:val="en-GB"/>
              </w:rPr>
              <w:t xml:space="preserve"> output</w:t>
            </w:r>
            <w:r w:rsidR="00510A79" w:rsidRPr="00742B86">
              <w:rPr>
                <w:spacing w:val="-4"/>
                <w:lang w:val="en-GB"/>
              </w:rPr>
              <w:t>. As a consequence of</w:t>
            </w:r>
            <w:r w:rsidR="00282755">
              <w:rPr>
                <w:spacing w:val="-4"/>
                <w:lang w:val="en-GB"/>
              </w:rPr>
              <w:t xml:space="preserve"> restricted mobility, the problems</w:t>
            </w:r>
            <w:r w:rsidR="00510A79" w:rsidRPr="00742B86">
              <w:rPr>
                <w:spacing w:val="-4"/>
                <w:lang w:val="en-GB"/>
              </w:rPr>
              <w:t xml:space="preserve"> w</w:t>
            </w:r>
            <w:r w:rsidR="00282755">
              <w:rPr>
                <w:spacing w:val="-4"/>
                <w:lang w:val="en-GB"/>
              </w:rPr>
              <w:t>ith the availability of workers</w:t>
            </w:r>
            <w:r w:rsidR="00510A79" w:rsidRPr="00742B86">
              <w:rPr>
                <w:spacing w:val="-4"/>
                <w:lang w:val="en-GB"/>
              </w:rPr>
              <w:t xml:space="preserve"> </w:t>
            </w:r>
            <w:r w:rsidR="00282755">
              <w:rPr>
                <w:spacing w:val="-4"/>
                <w:lang w:val="en-GB"/>
              </w:rPr>
              <w:t>(especially those from abroad)</w:t>
            </w:r>
            <w:r w:rsidR="00510A79" w:rsidRPr="00742B86">
              <w:rPr>
                <w:spacing w:val="-4"/>
                <w:lang w:val="en-GB"/>
              </w:rPr>
              <w:t xml:space="preserve"> deepened. In contrast to the vast majority of other market activities, the </w:t>
            </w:r>
            <w:r w:rsidR="00510A79">
              <w:rPr>
                <w:spacing w:val="-4"/>
                <w:lang w:val="en-GB"/>
              </w:rPr>
              <w:t>spring</w:t>
            </w:r>
            <w:r w:rsidR="00510A79" w:rsidRPr="00742B86">
              <w:rPr>
                <w:spacing w:val="-4"/>
                <w:lang w:val="en-GB"/>
              </w:rPr>
              <w:t xml:space="preserve"> slump was weaker in construction, however it was not followed by subsequent recovery. The output thus decreased quarter on quarter in Q3, but also in Q4 (</w:t>
            </w:r>
            <w:r w:rsidR="00510A79" w:rsidRPr="00742B86">
              <w:rPr>
                <w:spacing w:val="-2"/>
                <w:lang w:val="en-GB"/>
              </w:rPr>
              <w:t>–2.9%, resp. –0.3%). For the whole last year, the output dropped by 6.2%</w:t>
            </w:r>
            <w:r w:rsidR="00510A79" w:rsidRPr="00742B86">
              <w:rPr>
                <w:rStyle w:val="Znakapoznpodarou"/>
                <w:spacing w:val="-2"/>
                <w:lang w:val="en-GB"/>
              </w:rPr>
              <w:footnoteReference w:id="20"/>
            </w:r>
            <w:r w:rsidR="00282755">
              <w:rPr>
                <w:spacing w:val="-2"/>
                <w:lang w:val="en-GB"/>
              </w:rPr>
              <w:t>,</w:t>
            </w:r>
            <w:r w:rsidR="00510A79" w:rsidRPr="00742B86">
              <w:rPr>
                <w:spacing w:val="-2"/>
                <w:lang w:val="en-GB"/>
              </w:rPr>
              <w:t xml:space="preserve"> exclusively due to the weak output of building construction (–9.0%, minimum in t</w:t>
            </w:r>
            <w:r w:rsidR="00282755">
              <w:rPr>
                <w:spacing w:val="-2"/>
                <w:lang w:val="en-GB"/>
              </w:rPr>
              <w:t>he comparative time series starting from</w:t>
            </w:r>
            <w:r w:rsidR="00510A79" w:rsidRPr="00742B86">
              <w:rPr>
                <w:spacing w:val="-2"/>
                <w:lang w:val="en-GB"/>
              </w:rPr>
              <w:t xml:space="preserve"> year 2000). Ongoing growth of public investments</w:t>
            </w:r>
            <w:r w:rsidR="00510A79" w:rsidRPr="00742B86">
              <w:rPr>
                <w:rStyle w:val="Znakapoznpodarou"/>
                <w:spacing w:val="-2"/>
                <w:lang w:val="en-GB"/>
              </w:rPr>
              <w:footnoteReference w:id="21"/>
            </w:r>
            <w:r w:rsidR="00EA624A">
              <w:rPr>
                <w:spacing w:val="-2"/>
                <w:lang w:val="en-GB"/>
              </w:rPr>
              <w:t>, had a positive effect on</w:t>
            </w:r>
            <w:r w:rsidR="00510A79" w:rsidRPr="00742B86">
              <w:rPr>
                <w:spacing w:val="-2"/>
                <w:lang w:val="en-GB"/>
              </w:rPr>
              <w:t xml:space="preserve"> the civil engineering construction and its output thus went slightly up compared to year 2019 (+1.4%).</w:t>
            </w:r>
          </w:p>
        </w:tc>
      </w:tr>
      <w:tr w:rsidR="00510A79" w:rsidRPr="00742B86" w:rsidTr="00A52348">
        <w:trPr>
          <w:trHeight w:val="145"/>
        </w:trPr>
        <w:tc>
          <w:tcPr>
            <w:tcW w:w="1494" w:type="dxa"/>
            <w:shd w:val="clear" w:color="auto" w:fill="auto"/>
            <w:tcMar>
              <w:left w:w="0" w:type="dxa"/>
            </w:tcMar>
          </w:tcPr>
          <w:p w:rsidR="00510A79" w:rsidRPr="00742B86" w:rsidRDefault="00510A79" w:rsidP="00510A79">
            <w:pPr>
              <w:pStyle w:val="Marginlie"/>
              <w:rPr>
                <w:lang w:val="en-GB"/>
              </w:rPr>
            </w:pPr>
            <w:r w:rsidRPr="00742B86">
              <w:rPr>
                <w:lang w:val="en-GB"/>
              </w:rPr>
              <w:t xml:space="preserve">Output of building construction hindered mainly by lower construction of non-residential buildings. </w:t>
            </w:r>
          </w:p>
          <w:p w:rsidR="00510A79" w:rsidRPr="00742B86" w:rsidRDefault="00510A79" w:rsidP="00510A79">
            <w:pPr>
              <w:pStyle w:val="Marginlie"/>
              <w:rPr>
                <w:lang w:val="en-GB"/>
              </w:rPr>
            </w:pPr>
          </w:p>
          <w:p w:rsidR="00510A79" w:rsidRPr="00742B86" w:rsidRDefault="00510A79" w:rsidP="00510A79">
            <w:pPr>
              <w:pStyle w:val="Marginlie"/>
              <w:rPr>
                <w:lang w:val="en-GB"/>
              </w:rPr>
            </w:pPr>
          </w:p>
          <w:p w:rsidR="00510A79" w:rsidRPr="00742B86" w:rsidRDefault="00510A79" w:rsidP="00510A79">
            <w:pPr>
              <w:pStyle w:val="Marginlie"/>
              <w:rPr>
                <w:lang w:val="en-GB"/>
              </w:rPr>
            </w:pPr>
            <w:r w:rsidRPr="00742B86">
              <w:rPr>
                <w:lang w:val="en-GB"/>
              </w:rPr>
              <w:t xml:space="preserve">Longer term growth of the residential construction halted last year. </w:t>
            </w:r>
          </w:p>
        </w:tc>
        <w:tc>
          <w:tcPr>
            <w:tcW w:w="185" w:type="dxa"/>
            <w:shd w:val="clear" w:color="auto" w:fill="auto"/>
            <w:tcMar>
              <w:left w:w="0" w:type="dxa"/>
            </w:tcMar>
          </w:tcPr>
          <w:p w:rsidR="00510A79" w:rsidRPr="00742B86" w:rsidRDefault="00510A79" w:rsidP="00510A79">
            <w:pPr>
              <w:pStyle w:val="Textpoznpodarou"/>
              <w:jc w:val="both"/>
              <w:rPr>
                <w:spacing w:val="-4"/>
                <w:lang w:val="en-GB"/>
              </w:rPr>
            </w:pPr>
          </w:p>
        </w:tc>
        <w:tc>
          <w:tcPr>
            <w:tcW w:w="7985" w:type="dxa"/>
            <w:shd w:val="clear" w:color="auto" w:fill="auto"/>
            <w:tcMar>
              <w:left w:w="0" w:type="dxa"/>
            </w:tcMar>
          </w:tcPr>
          <w:p w:rsidR="00510A79" w:rsidRPr="00742B86" w:rsidRDefault="00510A79" w:rsidP="00510A79">
            <w:pPr>
              <w:spacing w:after="0"/>
              <w:rPr>
                <w:spacing w:val="-5"/>
                <w:sz w:val="14"/>
                <w:szCs w:val="14"/>
                <w:lang w:val="en-GB"/>
              </w:rPr>
            </w:pPr>
            <w:r w:rsidRPr="00742B86">
              <w:rPr>
                <w:spacing w:val="-5"/>
                <w:lang w:val="en-GB"/>
              </w:rPr>
              <w:t xml:space="preserve">Repairs and upgrades thus helped the construction last year since the volume of building permits for </w:t>
            </w:r>
            <w:r w:rsidR="00F14055">
              <w:rPr>
                <w:spacing w:val="-5"/>
                <w:lang w:val="en-GB"/>
              </w:rPr>
              <w:t>“</w:t>
            </w:r>
            <w:r w:rsidRPr="00742B86">
              <w:rPr>
                <w:spacing w:val="-5"/>
                <w:lang w:val="en-GB"/>
              </w:rPr>
              <w:t>changes of completed structures</w:t>
            </w:r>
            <w:r w:rsidR="00F14055">
              <w:rPr>
                <w:spacing w:val="-5"/>
                <w:lang w:val="en-GB"/>
              </w:rPr>
              <w:t>”</w:t>
            </w:r>
            <w:r w:rsidRPr="00742B86">
              <w:rPr>
                <w:spacing w:val="-5"/>
                <w:lang w:val="en-GB"/>
              </w:rPr>
              <w:t xml:space="preserve"> further grew (+0.5%). The plunge of the new construction can be assumed from the same source, especially non-residential buildings (–11%). Number of commenced flats fell by nearly 9%</w:t>
            </w:r>
            <w:r w:rsidRPr="00742B86">
              <w:rPr>
                <w:rStyle w:val="Znakapoznpodarou"/>
                <w:spacing w:val="-5"/>
                <w:lang w:val="en-GB"/>
              </w:rPr>
              <w:footnoteReference w:id="22"/>
            </w:r>
            <w:r w:rsidRPr="00742B86">
              <w:rPr>
                <w:spacing w:val="-5"/>
                <w:lang w:val="en-GB"/>
              </w:rPr>
              <w:t xml:space="preserve"> in comparison to the high last year´s basis. Still, the last year´s frequency of</w:t>
            </w:r>
            <w:r w:rsidR="00F66638">
              <w:rPr>
                <w:spacing w:val="-5"/>
                <w:lang w:val="en-GB"/>
              </w:rPr>
              <w:t xml:space="preserve"> these</w:t>
            </w:r>
            <w:r w:rsidRPr="00742B86">
              <w:rPr>
                <w:spacing w:val="-5"/>
                <w:lang w:val="en-GB"/>
              </w:rPr>
              <w:t xml:space="preserve"> flats (35.3 thousand) was the second highest in the last decade. Following five years of growth, the number of completed flats also decreased last year (by 5.4%), mainly due to the lower number of flats in the residential buildings. But yet the most flats in the last ten years (19.3 thousand) were created in the family houses. </w:t>
            </w:r>
            <w:r w:rsidR="00F66638">
              <w:rPr>
                <w:spacing w:val="-5"/>
                <w:lang w:val="en-GB"/>
              </w:rPr>
              <w:t>Reduced construction hit the majority of regions</w:t>
            </w:r>
            <w:r w:rsidRPr="00742B86">
              <w:rPr>
                <w:spacing w:val="-5"/>
                <w:lang w:val="en-GB"/>
              </w:rPr>
              <w:t xml:space="preserve"> last year, number of completed flats rose in total year-on-year only in Olomouc region and Moravian-Silesian and Vysočina region. </w:t>
            </w:r>
          </w:p>
        </w:tc>
      </w:tr>
      <w:tr w:rsidR="00510A79" w:rsidRPr="00742B86" w:rsidTr="00CB3610">
        <w:trPr>
          <w:trHeight w:val="145"/>
        </w:trPr>
        <w:tc>
          <w:tcPr>
            <w:tcW w:w="1494" w:type="dxa"/>
            <w:shd w:val="clear" w:color="auto" w:fill="auto"/>
            <w:tcMar>
              <w:left w:w="0" w:type="dxa"/>
            </w:tcMar>
          </w:tcPr>
          <w:p w:rsidR="00510A79" w:rsidRPr="00742B86" w:rsidRDefault="00510A79" w:rsidP="00510A79">
            <w:pPr>
              <w:pStyle w:val="Marginlie"/>
              <w:rPr>
                <w:lang w:val="en-GB"/>
              </w:rPr>
            </w:pPr>
            <w:r w:rsidRPr="00742B86">
              <w:rPr>
                <w:lang w:val="en-GB"/>
              </w:rPr>
              <w:lastRenderedPageBreak/>
              <w:t xml:space="preserve">New orders grew in both the building and civil engineering construction. The stock of not yet realised orders expanded faster. </w:t>
            </w:r>
          </w:p>
          <w:p w:rsidR="00510A79" w:rsidRPr="00742B86" w:rsidRDefault="00510A79" w:rsidP="00510A79">
            <w:pPr>
              <w:pStyle w:val="Marginlie"/>
              <w:rPr>
                <w:lang w:val="en-GB"/>
              </w:rPr>
            </w:pPr>
          </w:p>
          <w:p w:rsidR="00510A79" w:rsidRPr="00742B86" w:rsidRDefault="00510A79" w:rsidP="00510A79">
            <w:pPr>
              <w:pStyle w:val="Marginlie"/>
              <w:rPr>
                <w:lang w:val="en-GB"/>
              </w:rPr>
            </w:pPr>
          </w:p>
          <w:p w:rsidR="00510A79" w:rsidRPr="00742B86" w:rsidRDefault="00510A79" w:rsidP="00510A79">
            <w:pPr>
              <w:pStyle w:val="Marginlie"/>
              <w:rPr>
                <w:lang w:val="en-GB"/>
              </w:rPr>
            </w:pPr>
            <w:r w:rsidRPr="00742B86">
              <w:rPr>
                <w:lang w:val="en-GB"/>
              </w:rPr>
              <w:t xml:space="preserve">Confidence in construction strengthened. Significant output growth barriers however prevailed. </w:t>
            </w:r>
          </w:p>
        </w:tc>
        <w:tc>
          <w:tcPr>
            <w:tcW w:w="185" w:type="dxa"/>
            <w:shd w:val="clear" w:color="auto" w:fill="auto"/>
            <w:tcMar>
              <w:left w:w="0" w:type="dxa"/>
            </w:tcMar>
          </w:tcPr>
          <w:p w:rsidR="00510A79" w:rsidRPr="00742B86" w:rsidRDefault="00510A79" w:rsidP="00510A79">
            <w:pPr>
              <w:pStyle w:val="Textpoznpodarou"/>
              <w:jc w:val="both"/>
              <w:rPr>
                <w:spacing w:val="-4"/>
                <w:lang w:val="en-GB"/>
              </w:rPr>
            </w:pPr>
          </w:p>
        </w:tc>
        <w:tc>
          <w:tcPr>
            <w:tcW w:w="7985" w:type="dxa"/>
            <w:shd w:val="clear" w:color="auto" w:fill="auto"/>
            <w:tcMar>
              <w:left w:w="0" w:type="dxa"/>
            </w:tcMar>
          </w:tcPr>
          <w:p w:rsidR="00510A79" w:rsidRPr="00742B86" w:rsidRDefault="00510A79" w:rsidP="00510A79">
            <w:pPr>
              <w:rPr>
                <w:spacing w:val="-4"/>
                <w:szCs w:val="20"/>
                <w:lang w:val="en-GB"/>
              </w:rPr>
            </w:pPr>
            <w:r w:rsidRPr="00742B86">
              <w:rPr>
                <w:spacing w:val="-4"/>
                <w:szCs w:val="20"/>
                <w:lang w:val="en-GB"/>
              </w:rPr>
              <w:t>Value of newly concluded construction orders (in businesses with more than 50 employees) grew year-on-year in both building (by 8.1%) and civil engineering construction (7.0%)</w:t>
            </w:r>
            <w:r w:rsidR="00861936">
              <w:rPr>
                <w:spacing w:val="-4"/>
                <w:szCs w:val="20"/>
                <w:lang w:val="en-GB"/>
              </w:rPr>
              <w:t xml:space="preserve"> in Q4 2020</w:t>
            </w:r>
            <w:r w:rsidRPr="00742B86">
              <w:rPr>
                <w:spacing w:val="-4"/>
                <w:szCs w:val="20"/>
                <w:lang w:val="en-GB"/>
              </w:rPr>
              <w:t>. With the view to the fact, that it was happening also for the major part of year 2020, in combination with the lower last year´s continuity of construction output it had a positive effect on the total stock of work (not yet realised orders).  It was higher by one sixths yea</w:t>
            </w:r>
            <w:r w:rsidR="00861936">
              <w:rPr>
                <w:spacing w:val="-4"/>
                <w:szCs w:val="20"/>
                <w:lang w:val="en-GB"/>
              </w:rPr>
              <w:t>r-on-year at the end of 2020</w:t>
            </w:r>
            <w:r w:rsidRPr="00742B86">
              <w:rPr>
                <w:spacing w:val="-4"/>
                <w:szCs w:val="20"/>
                <w:lang w:val="en-GB"/>
              </w:rPr>
              <w:t xml:space="preserve">, which was the merit of both public and private domestic orders by similar part. The volume of work contracted </w:t>
            </w:r>
            <w:r w:rsidR="00FC59FE">
              <w:rPr>
                <w:spacing w:val="-4"/>
                <w:szCs w:val="20"/>
                <w:lang w:val="en-GB"/>
              </w:rPr>
              <w:t xml:space="preserve">to realisation </w:t>
            </w:r>
            <w:r w:rsidRPr="00742B86">
              <w:rPr>
                <w:spacing w:val="-4"/>
                <w:szCs w:val="20"/>
                <w:lang w:val="en-GB"/>
              </w:rPr>
              <w:t>abroad, which domestic businesses often use to help out „in more difficult times“, enlarged for the first time since year 2014. Total entrepreneur confidence in construction improved since the half of the last year and it reached an 11</w:t>
            </w:r>
            <w:r w:rsidR="00FC59FE">
              <w:rPr>
                <w:spacing w:val="-4"/>
                <w:szCs w:val="20"/>
                <w:lang w:val="en-GB"/>
              </w:rPr>
              <w:t>th</w:t>
            </w:r>
            <w:r w:rsidRPr="00742B86">
              <w:rPr>
                <w:spacing w:val="-4"/>
                <w:szCs w:val="20"/>
                <w:lang w:val="en-GB"/>
              </w:rPr>
              <w:t xml:space="preserve"> month maximum in February 2021. It was linked to the favourable development of orders as well as the mi</w:t>
            </w:r>
            <w:r w:rsidR="00FC59FE">
              <w:rPr>
                <w:spacing w:val="-4"/>
                <w:szCs w:val="20"/>
                <w:lang w:val="en-GB"/>
              </w:rPr>
              <w:t>ldly positive employment anticipations</w:t>
            </w:r>
            <w:r w:rsidRPr="00742B86">
              <w:rPr>
                <w:spacing w:val="-4"/>
                <w:szCs w:val="20"/>
                <w:lang w:val="en-GB"/>
              </w:rPr>
              <w:t>. Still, the inadequate demand limited nearly one third of businesses and the shortage of workers around 40% of them.</w:t>
            </w:r>
          </w:p>
        </w:tc>
      </w:tr>
      <w:tr w:rsidR="00510A79" w:rsidRPr="00742B86" w:rsidTr="00B72287">
        <w:trPr>
          <w:trHeight w:val="145"/>
        </w:trPr>
        <w:tc>
          <w:tcPr>
            <w:tcW w:w="1494" w:type="dxa"/>
            <w:shd w:val="clear" w:color="auto" w:fill="auto"/>
            <w:tcMar>
              <w:left w:w="0" w:type="dxa"/>
            </w:tcMar>
          </w:tcPr>
          <w:p w:rsidR="00510A79" w:rsidRPr="00742B86" w:rsidRDefault="00510A79" w:rsidP="00510A79">
            <w:pPr>
              <w:pStyle w:val="Marginlie"/>
              <w:rPr>
                <w:lang w:val="en-GB"/>
              </w:rPr>
            </w:pPr>
          </w:p>
        </w:tc>
        <w:tc>
          <w:tcPr>
            <w:tcW w:w="185" w:type="dxa"/>
            <w:shd w:val="clear" w:color="auto" w:fill="auto"/>
            <w:tcMar>
              <w:left w:w="0" w:type="dxa"/>
            </w:tcMar>
          </w:tcPr>
          <w:p w:rsidR="00510A79" w:rsidRPr="00742B86" w:rsidRDefault="00510A79" w:rsidP="00510A79">
            <w:pPr>
              <w:pStyle w:val="Textpoznpodarou"/>
              <w:jc w:val="both"/>
              <w:rPr>
                <w:spacing w:val="-4"/>
                <w:lang w:val="en-GB"/>
              </w:rPr>
            </w:pPr>
          </w:p>
        </w:tc>
        <w:tc>
          <w:tcPr>
            <w:tcW w:w="7985" w:type="dxa"/>
            <w:shd w:val="clear" w:color="auto" w:fill="auto"/>
            <w:tcMar>
              <w:left w:w="0" w:type="dxa"/>
            </w:tcMar>
          </w:tcPr>
          <w:p w:rsidR="00510A79" w:rsidRPr="00EA65E8" w:rsidRDefault="00510A79" w:rsidP="00510A79">
            <w:pPr>
              <w:spacing w:after="0"/>
              <w:rPr>
                <w:spacing w:val="-4"/>
                <w:lang w:val="en-GB"/>
              </w:rPr>
            </w:pPr>
            <w:r w:rsidRPr="00EA65E8">
              <w:rPr>
                <w:b/>
                <w:spacing w:val="-4"/>
                <w:lang w:val="en-GB"/>
              </w:rPr>
              <w:t xml:space="preserve">Chart 6  Contributions of branches to year-on-year change of construction output </w:t>
            </w:r>
            <w:r w:rsidRPr="00EA65E8">
              <w:rPr>
                <w:spacing w:val="-4"/>
                <w:lang w:val="en-GB"/>
              </w:rPr>
              <w:t>(in p.p.)</w:t>
            </w:r>
            <w:r w:rsidRPr="00EA65E8">
              <w:rPr>
                <w:b/>
                <w:bCs/>
                <w:spacing w:val="-4"/>
                <w:lang w:val="en-GB"/>
              </w:rPr>
              <w:t>, new construction orders</w:t>
            </w:r>
            <w:r w:rsidRPr="00EA65E8">
              <w:rPr>
                <w:b/>
                <w:spacing w:val="-4"/>
                <w:lang w:val="en-GB"/>
              </w:rPr>
              <w:t xml:space="preserve"> </w:t>
            </w:r>
            <w:r w:rsidRPr="00EA65E8">
              <w:rPr>
                <w:bCs/>
                <w:spacing w:val="-4"/>
                <w:lang w:val="en-GB"/>
              </w:rPr>
              <w:t>(year-on-year in %</w:t>
            </w:r>
            <w:r w:rsidRPr="00EA65E8">
              <w:rPr>
                <w:spacing w:val="-4"/>
                <w:lang w:val="en-GB"/>
              </w:rPr>
              <w:t>, right axis</w:t>
            </w:r>
            <w:r w:rsidRPr="00EA65E8">
              <w:rPr>
                <w:bCs/>
                <w:spacing w:val="-4"/>
                <w:lang w:val="en-GB"/>
              </w:rPr>
              <w:t>)</w:t>
            </w:r>
            <w:r w:rsidRPr="00EA65E8">
              <w:rPr>
                <w:b/>
                <w:spacing w:val="-4"/>
                <w:lang w:val="en-GB"/>
              </w:rPr>
              <w:t xml:space="preserve">, balance of confidence </w:t>
            </w:r>
            <w:r w:rsidRPr="00EA65E8">
              <w:rPr>
                <w:b/>
                <w:spacing w:val="-6"/>
                <w:lang w:val="en-GB"/>
              </w:rPr>
              <w:t>indicator in construction*</w:t>
            </w:r>
            <w:r w:rsidRPr="00EA65E8">
              <w:rPr>
                <w:spacing w:val="-6"/>
                <w:lang w:val="en-GB"/>
              </w:rPr>
              <w:t xml:space="preserve"> (in p.p., right axis) </w:t>
            </w:r>
            <w:r w:rsidRPr="00EA65E8">
              <w:rPr>
                <w:b/>
                <w:spacing w:val="-6"/>
                <w:lang w:val="en-GB"/>
              </w:rPr>
              <w:t>and selected barriers to growth</w:t>
            </w:r>
            <w:r w:rsidRPr="00EA65E8">
              <w:rPr>
                <w:spacing w:val="-6"/>
                <w:lang w:val="en-GB"/>
              </w:rPr>
              <w:t>* (in %, right axis)</w:t>
            </w:r>
          </w:p>
        </w:tc>
      </w:tr>
      <w:tr w:rsidR="00510A79" w:rsidRPr="00742B86" w:rsidTr="00B72287">
        <w:tblPrEx>
          <w:tblCellMar>
            <w:left w:w="70" w:type="dxa"/>
            <w:right w:w="70" w:type="dxa"/>
          </w:tblCellMar>
        </w:tblPrEx>
        <w:trPr>
          <w:trHeight w:val="145"/>
        </w:trPr>
        <w:tc>
          <w:tcPr>
            <w:tcW w:w="1494" w:type="dxa"/>
            <w:shd w:val="clear" w:color="auto" w:fill="auto"/>
          </w:tcPr>
          <w:p w:rsidR="00510A79" w:rsidRPr="00742B86" w:rsidRDefault="00510A79" w:rsidP="00510A79">
            <w:pPr>
              <w:pStyle w:val="Marginlie"/>
              <w:rPr>
                <w:lang w:val="en-GB"/>
              </w:rPr>
            </w:pPr>
          </w:p>
        </w:tc>
        <w:tc>
          <w:tcPr>
            <w:tcW w:w="185" w:type="dxa"/>
            <w:shd w:val="clear" w:color="auto" w:fill="auto"/>
          </w:tcPr>
          <w:p w:rsidR="00510A79" w:rsidRPr="00742B86" w:rsidRDefault="00510A79" w:rsidP="00510A79">
            <w:pPr>
              <w:pStyle w:val="Textpoznpodarou"/>
              <w:jc w:val="both"/>
              <w:rPr>
                <w:spacing w:val="-4"/>
                <w:lang w:val="en-GB"/>
              </w:rPr>
            </w:pPr>
          </w:p>
        </w:tc>
        <w:tc>
          <w:tcPr>
            <w:tcW w:w="7985" w:type="dxa"/>
            <w:shd w:val="clear" w:color="auto" w:fill="auto"/>
          </w:tcPr>
          <w:p w:rsidR="00510A79" w:rsidRPr="00742B86" w:rsidRDefault="00510A79" w:rsidP="00510A79">
            <w:pPr>
              <w:spacing w:after="0"/>
              <w:rPr>
                <w:spacing w:val="-4"/>
                <w:lang w:val="en-GB"/>
              </w:rPr>
            </w:pPr>
            <w:r>
              <w:rPr>
                <w:noProof/>
              </w:rPr>
              <w:drawing>
                <wp:inline distT="0" distB="0" distL="0" distR="0" wp14:anchorId="4BBA175A" wp14:editId="26BEC991">
                  <wp:extent cx="4818185" cy="3478824"/>
                  <wp:effectExtent l="0" t="0" r="1905" b="762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510A79" w:rsidRPr="00742B86" w:rsidTr="00CB3610">
        <w:trPr>
          <w:trHeight w:val="145"/>
        </w:trPr>
        <w:tc>
          <w:tcPr>
            <w:tcW w:w="1494" w:type="dxa"/>
            <w:shd w:val="clear" w:color="auto" w:fill="auto"/>
            <w:tcMar>
              <w:left w:w="0" w:type="dxa"/>
            </w:tcMar>
          </w:tcPr>
          <w:p w:rsidR="00510A79" w:rsidRPr="00742B86" w:rsidRDefault="00510A79" w:rsidP="00510A79">
            <w:pPr>
              <w:pStyle w:val="Marginlie"/>
              <w:rPr>
                <w:lang w:val="en-GB"/>
              </w:rPr>
            </w:pPr>
          </w:p>
        </w:tc>
        <w:tc>
          <w:tcPr>
            <w:tcW w:w="185" w:type="dxa"/>
            <w:shd w:val="clear" w:color="auto" w:fill="auto"/>
            <w:tcMar>
              <w:left w:w="0" w:type="dxa"/>
            </w:tcMar>
          </w:tcPr>
          <w:p w:rsidR="00510A79" w:rsidRPr="00742B86" w:rsidRDefault="00510A79" w:rsidP="00510A79">
            <w:pPr>
              <w:pStyle w:val="Textpoznpodarou"/>
              <w:jc w:val="both"/>
              <w:rPr>
                <w:spacing w:val="-4"/>
                <w:lang w:val="en-GB"/>
              </w:rPr>
            </w:pPr>
          </w:p>
        </w:tc>
        <w:tc>
          <w:tcPr>
            <w:tcW w:w="7985" w:type="dxa"/>
            <w:shd w:val="clear" w:color="auto" w:fill="auto"/>
            <w:tcMar>
              <w:left w:w="0" w:type="dxa"/>
            </w:tcMar>
          </w:tcPr>
          <w:p w:rsidR="00510A79" w:rsidRPr="00B72287" w:rsidRDefault="00510A79" w:rsidP="00510A79">
            <w:pPr>
              <w:spacing w:after="0"/>
              <w:rPr>
                <w:rFonts w:cs="Arial"/>
                <w:sz w:val="14"/>
                <w:szCs w:val="14"/>
                <w:lang w:val="en-GB"/>
              </w:rPr>
            </w:pPr>
            <w:r w:rsidRPr="00B72287">
              <w:rPr>
                <w:rFonts w:cs="Arial"/>
                <w:sz w:val="14"/>
                <w:szCs w:val="14"/>
                <w:lang w:val="en-GB"/>
              </w:rPr>
              <w:t xml:space="preserve">Data related to construction output are adjusted for calendar effects. </w:t>
            </w:r>
          </w:p>
          <w:p w:rsidR="00510A79" w:rsidRPr="00B72287" w:rsidRDefault="00510A79" w:rsidP="00510A79">
            <w:pPr>
              <w:spacing w:after="0"/>
              <w:rPr>
                <w:rFonts w:cs="Arial"/>
                <w:sz w:val="14"/>
                <w:szCs w:val="14"/>
                <w:lang w:val="en-GB"/>
              </w:rPr>
            </w:pPr>
            <w:r w:rsidRPr="00B72287">
              <w:rPr>
                <w:rFonts w:cs="Arial"/>
                <w:sz w:val="14"/>
                <w:szCs w:val="14"/>
                <w:lang w:val="en-GB"/>
              </w:rPr>
              <w:t xml:space="preserve">*Balance of confidence indicator as well as barriers to growth are seasonally adjusted and express the state in the second month of the given quarter. Businesses could have state more main barriers simultaneously. </w:t>
            </w:r>
          </w:p>
          <w:p w:rsidR="00510A79" w:rsidRPr="00B72287" w:rsidRDefault="00510A79" w:rsidP="00510A79">
            <w:pPr>
              <w:spacing w:after="220"/>
              <w:rPr>
                <w:rFonts w:cs="Arial"/>
                <w:sz w:val="14"/>
                <w:szCs w:val="14"/>
                <w:lang w:val="en-GB"/>
              </w:rPr>
            </w:pPr>
            <w:r w:rsidRPr="00B72287">
              <w:rPr>
                <w:rFonts w:cs="Arial"/>
                <w:sz w:val="14"/>
                <w:szCs w:val="14"/>
                <w:lang w:val="en-GB"/>
              </w:rPr>
              <w:t>Source: CZSO</w:t>
            </w:r>
          </w:p>
        </w:tc>
      </w:tr>
      <w:tr w:rsidR="00510A79" w:rsidRPr="00742B86" w:rsidTr="00CB3610">
        <w:trPr>
          <w:trHeight w:val="145"/>
        </w:trPr>
        <w:tc>
          <w:tcPr>
            <w:tcW w:w="1494" w:type="dxa"/>
            <w:shd w:val="clear" w:color="auto" w:fill="auto"/>
            <w:tcMar>
              <w:left w:w="0" w:type="dxa"/>
            </w:tcMar>
          </w:tcPr>
          <w:p w:rsidR="00510A79" w:rsidRPr="00742B86" w:rsidRDefault="00510A79" w:rsidP="00510A79">
            <w:pPr>
              <w:pStyle w:val="Marginlie"/>
              <w:rPr>
                <w:lang w:val="en-GB"/>
              </w:rPr>
            </w:pPr>
            <w:r w:rsidRPr="00742B86">
              <w:rPr>
                <w:lang w:val="en-GB"/>
              </w:rPr>
              <w:t xml:space="preserve">Sales in services plunged by nearly one tenth month-on-month both in March and April. </w:t>
            </w:r>
          </w:p>
        </w:tc>
        <w:tc>
          <w:tcPr>
            <w:tcW w:w="185" w:type="dxa"/>
            <w:shd w:val="clear" w:color="auto" w:fill="auto"/>
            <w:tcMar>
              <w:left w:w="0" w:type="dxa"/>
            </w:tcMar>
          </w:tcPr>
          <w:p w:rsidR="00510A79" w:rsidRPr="00742B86" w:rsidRDefault="00510A79" w:rsidP="00510A79">
            <w:pPr>
              <w:pStyle w:val="Textpoznpodarou"/>
              <w:jc w:val="both"/>
              <w:rPr>
                <w:spacing w:val="-4"/>
                <w:lang w:val="en-GB"/>
              </w:rPr>
            </w:pPr>
          </w:p>
        </w:tc>
        <w:tc>
          <w:tcPr>
            <w:tcW w:w="7985" w:type="dxa"/>
            <w:shd w:val="clear" w:color="auto" w:fill="auto"/>
            <w:tcMar>
              <w:left w:w="0" w:type="dxa"/>
            </w:tcMar>
          </w:tcPr>
          <w:p w:rsidR="00510A79" w:rsidRPr="00114C8D" w:rsidRDefault="00510A79" w:rsidP="00114C8D">
            <w:pPr>
              <w:spacing w:after="0"/>
              <w:rPr>
                <w:szCs w:val="20"/>
                <w:lang w:val="en-GB"/>
              </w:rPr>
            </w:pPr>
            <w:r w:rsidRPr="00114C8D">
              <w:rPr>
                <w:lang w:val="en-GB"/>
              </w:rPr>
              <w:t>Sales in selected services</w:t>
            </w:r>
            <w:r w:rsidRPr="00114C8D">
              <w:rPr>
                <w:color w:val="0D0D0D" w:themeColor="text1" w:themeTint="F2"/>
                <w:vertAlign w:val="superscript"/>
                <w:lang w:val="en-GB"/>
              </w:rPr>
              <w:footnoteReference w:id="23"/>
            </w:r>
            <w:r w:rsidR="00114C8D" w:rsidRPr="00114C8D">
              <w:rPr>
                <w:lang w:val="en-GB"/>
              </w:rPr>
              <w:t xml:space="preserve"> were rather </w:t>
            </w:r>
            <w:r w:rsidRPr="00114C8D">
              <w:rPr>
                <w:lang w:val="en-GB"/>
              </w:rPr>
              <w:t xml:space="preserve">severely hit by the government restrictive measures last year. They plunged </w:t>
            </w:r>
            <w:r w:rsidR="00114C8D" w:rsidRPr="00114C8D">
              <w:rPr>
                <w:lang w:val="en-GB"/>
              </w:rPr>
              <w:t xml:space="preserve">month-on-month </w:t>
            </w:r>
            <w:r w:rsidRPr="00114C8D">
              <w:rPr>
                <w:lang w:val="en-GB"/>
              </w:rPr>
              <w:t xml:space="preserve">by record </w:t>
            </w:r>
            <w:r w:rsidR="00114C8D" w:rsidRPr="00114C8D">
              <w:rPr>
                <w:lang w:val="en-GB"/>
              </w:rPr>
              <w:t>pace during March as well as</w:t>
            </w:r>
            <w:r w:rsidRPr="00114C8D">
              <w:rPr>
                <w:lang w:val="en-GB"/>
              </w:rPr>
              <w:t xml:space="preserve"> April</w:t>
            </w:r>
            <w:r w:rsidR="00114C8D" w:rsidRPr="00114C8D">
              <w:rPr>
                <w:lang w:val="en-GB"/>
              </w:rPr>
              <w:t xml:space="preserve"> (by 10 %)</w:t>
            </w:r>
            <w:r w:rsidRPr="00114C8D">
              <w:rPr>
                <w:lang w:val="en-GB"/>
              </w:rPr>
              <w:t>. In the subsequent three months, a partial recovery eventuated (mainly in accommodation, food service and restaurants</w:t>
            </w:r>
            <w:r w:rsidRPr="00114C8D">
              <w:rPr>
                <w:color w:val="0D0D0D" w:themeColor="text1" w:themeTint="F2"/>
                <w:lang w:val="en-GB"/>
              </w:rPr>
              <w:t>), it was however far from compensating the previous deep slump. The second epidemic wave led to the shortening of the summer tourist season. From August until the end of the last year the sales were again falling month-on-month</w:t>
            </w:r>
            <w:r w:rsidRPr="00114C8D">
              <w:rPr>
                <w:rStyle w:val="Znakapoznpodarou"/>
                <w:color w:val="0D0D0D" w:themeColor="text1" w:themeTint="F2"/>
                <w:lang w:val="en-GB"/>
              </w:rPr>
              <w:footnoteReference w:id="24"/>
            </w:r>
            <w:r w:rsidRPr="00114C8D">
              <w:rPr>
                <w:color w:val="0D0D0D" w:themeColor="text1" w:themeTint="F2"/>
                <w:lang w:val="en-GB"/>
              </w:rPr>
              <w:t>, however by</w:t>
            </w:r>
            <w:r w:rsidR="003F04FF">
              <w:rPr>
                <w:color w:val="0D0D0D" w:themeColor="text1" w:themeTint="F2"/>
                <w:lang w:val="en-GB"/>
              </w:rPr>
              <w:t xml:space="preserve"> much lower paces</w:t>
            </w:r>
            <w:r w:rsidRPr="00114C8D">
              <w:rPr>
                <w:color w:val="0D0D0D" w:themeColor="text1" w:themeTint="F2"/>
                <w:lang w:val="en-GB"/>
              </w:rPr>
              <w:t xml:space="preserve"> than in the spring crisis. Som</w:t>
            </w:r>
            <w:r w:rsidR="003F04FF">
              <w:rPr>
                <w:color w:val="0D0D0D" w:themeColor="text1" w:themeTint="F2"/>
                <w:lang w:val="en-GB"/>
              </w:rPr>
              <w:t xml:space="preserve">e services managed to </w:t>
            </w:r>
            <w:r w:rsidRPr="00114C8D">
              <w:rPr>
                <w:color w:val="0D0D0D" w:themeColor="text1" w:themeTint="F2"/>
                <w:lang w:val="en-GB"/>
              </w:rPr>
              <w:t>adjust to the compulsory limitation of interpersonal contact</w:t>
            </w:r>
            <w:r w:rsidRPr="00114C8D">
              <w:rPr>
                <w:rFonts w:cs="Arial"/>
                <w:bCs/>
                <w:szCs w:val="20"/>
                <w:lang w:val="en-GB"/>
              </w:rPr>
              <w:t xml:space="preserve">, certain segment of services also profited from the favourable development of industry. </w:t>
            </w:r>
          </w:p>
        </w:tc>
      </w:tr>
      <w:tr w:rsidR="00510A79" w:rsidRPr="00742B86" w:rsidTr="00A52348">
        <w:trPr>
          <w:trHeight w:val="145"/>
        </w:trPr>
        <w:tc>
          <w:tcPr>
            <w:tcW w:w="1494" w:type="dxa"/>
            <w:shd w:val="clear" w:color="auto" w:fill="auto"/>
            <w:tcMar>
              <w:left w:w="0" w:type="dxa"/>
            </w:tcMar>
          </w:tcPr>
          <w:p w:rsidR="00510A79" w:rsidRPr="00742B86" w:rsidRDefault="00510A79" w:rsidP="00D04101">
            <w:pPr>
              <w:pStyle w:val="Marginlie"/>
              <w:rPr>
                <w:lang w:val="en-GB"/>
              </w:rPr>
            </w:pPr>
            <w:r w:rsidRPr="00742B86">
              <w:rPr>
                <w:lang w:val="en-GB"/>
              </w:rPr>
              <w:lastRenderedPageBreak/>
              <w:t xml:space="preserve">Sales in services plunged deeper last year than in year 2009. They were the most affected by transporting and storage. </w:t>
            </w:r>
          </w:p>
        </w:tc>
        <w:tc>
          <w:tcPr>
            <w:tcW w:w="185" w:type="dxa"/>
            <w:shd w:val="clear" w:color="auto" w:fill="auto"/>
            <w:tcMar>
              <w:left w:w="0" w:type="dxa"/>
            </w:tcMar>
          </w:tcPr>
          <w:p w:rsidR="00510A79" w:rsidRPr="00742B86" w:rsidRDefault="00510A79" w:rsidP="00510A79">
            <w:pPr>
              <w:pStyle w:val="Textpoznpodarou"/>
              <w:jc w:val="both"/>
              <w:rPr>
                <w:spacing w:val="-4"/>
                <w:lang w:val="en-GB"/>
              </w:rPr>
            </w:pPr>
          </w:p>
        </w:tc>
        <w:tc>
          <w:tcPr>
            <w:tcW w:w="7985" w:type="dxa"/>
            <w:shd w:val="clear" w:color="auto" w:fill="auto"/>
            <w:tcMar>
              <w:left w:w="0" w:type="dxa"/>
            </w:tcMar>
          </w:tcPr>
          <w:p w:rsidR="00510A79" w:rsidRPr="00742B86" w:rsidRDefault="00510A79" w:rsidP="00510A79">
            <w:pPr>
              <w:rPr>
                <w:spacing w:val="-4"/>
                <w:lang w:val="en-GB"/>
              </w:rPr>
            </w:pPr>
            <w:r w:rsidRPr="00742B86">
              <w:rPr>
                <w:spacing w:val="-4"/>
                <w:szCs w:val="20"/>
                <w:lang w:val="en-GB"/>
              </w:rPr>
              <w:t>The sales in services plunged by 11.8% for the whole last year and slightly thus overtook their so far deepest slump from year 2009. Weight dominant transporting and storage shared by nearly one third in the la</w:t>
            </w:r>
            <w:r w:rsidR="00D04101">
              <w:rPr>
                <w:spacing w:val="-4"/>
                <w:szCs w:val="20"/>
                <w:lang w:val="en-GB"/>
              </w:rPr>
              <w:t>st year´s fall. Further branch</w:t>
            </w:r>
            <w:r w:rsidRPr="00742B86">
              <w:rPr>
                <w:spacing w:val="-4"/>
                <w:szCs w:val="20"/>
                <w:lang w:val="en-GB"/>
              </w:rPr>
              <w:t>es exerted only weaker influence – administrative and su</w:t>
            </w:r>
            <w:r w:rsidR="00D04101">
              <w:rPr>
                <w:spacing w:val="-4"/>
                <w:szCs w:val="20"/>
                <w:lang w:val="en-GB"/>
              </w:rPr>
              <w:t xml:space="preserve">pport services activities, respectively </w:t>
            </w:r>
            <w:r w:rsidRPr="00742B86">
              <w:rPr>
                <w:spacing w:val="-4"/>
                <w:szCs w:val="20"/>
                <w:lang w:val="en-GB"/>
              </w:rPr>
              <w:t>accommodation, food ser</w:t>
            </w:r>
            <w:r w:rsidR="00D04101">
              <w:rPr>
                <w:spacing w:val="-4"/>
                <w:szCs w:val="20"/>
                <w:lang w:val="en-GB"/>
              </w:rPr>
              <w:t>vice and restaurants, which were</w:t>
            </w:r>
            <w:r w:rsidRPr="00742B86">
              <w:rPr>
                <w:spacing w:val="-4"/>
                <w:szCs w:val="20"/>
                <w:lang w:val="en-GB"/>
              </w:rPr>
              <w:t xml:space="preserve"> the decisive factor of adverse development of services in third, resp. fourth quarter 2020.</w:t>
            </w:r>
          </w:p>
        </w:tc>
      </w:tr>
      <w:tr w:rsidR="00510A79" w:rsidRPr="00742B86" w:rsidTr="00A52348">
        <w:trPr>
          <w:trHeight w:val="145"/>
        </w:trPr>
        <w:tc>
          <w:tcPr>
            <w:tcW w:w="1494" w:type="dxa"/>
            <w:shd w:val="clear" w:color="auto" w:fill="auto"/>
            <w:tcMar>
              <w:left w:w="0" w:type="dxa"/>
            </w:tcMar>
          </w:tcPr>
          <w:p w:rsidR="00510A79" w:rsidRPr="00742B86" w:rsidRDefault="00510A79" w:rsidP="00510A79">
            <w:pPr>
              <w:pStyle w:val="Marginlie"/>
              <w:rPr>
                <w:lang w:val="en-GB"/>
              </w:rPr>
            </w:pPr>
            <w:r w:rsidRPr="00742B86">
              <w:rPr>
                <w:lang w:val="en-GB"/>
              </w:rPr>
              <w:t>The areas of services tied to tourism or leisure activities were the most hit.</w:t>
            </w:r>
          </w:p>
          <w:p w:rsidR="00510A79" w:rsidRPr="00742B86" w:rsidRDefault="00510A79" w:rsidP="00510A79">
            <w:pPr>
              <w:pStyle w:val="Marginlie"/>
              <w:rPr>
                <w:lang w:val="en-GB"/>
              </w:rPr>
            </w:pPr>
          </w:p>
          <w:p w:rsidR="00510A79" w:rsidRPr="00742B86" w:rsidRDefault="00510A79" w:rsidP="00510A79">
            <w:pPr>
              <w:pStyle w:val="Marginlie"/>
              <w:rPr>
                <w:lang w:val="en-GB"/>
              </w:rPr>
            </w:pPr>
          </w:p>
          <w:p w:rsidR="00510A79" w:rsidRPr="00742B86" w:rsidRDefault="00510A79" w:rsidP="00510A79">
            <w:pPr>
              <w:pStyle w:val="Marginlie"/>
              <w:rPr>
                <w:lang w:val="en-GB"/>
              </w:rPr>
            </w:pPr>
          </w:p>
          <w:p w:rsidR="00510A79" w:rsidRPr="00742B86" w:rsidRDefault="00510A79" w:rsidP="00510A79">
            <w:pPr>
              <w:pStyle w:val="Marginlie"/>
              <w:rPr>
                <w:lang w:val="en-GB"/>
              </w:rPr>
            </w:pPr>
          </w:p>
          <w:p w:rsidR="00510A79" w:rsidRPr="00742B86" w:rsidRDefault="00510A79" w:rsidP="00510A79">
            <w:pPr>
              <w:pStyle w:val="Marginlie"/>
              <w:rPr>
                <w:lang w:val="en-GB"/>
              </w:rPr>
            </w:pPr>
          </w:p>
          <w:p w:rsidR="00510A79" w:rsidRPr="00742B86" w:rsidRDefault="00510A79" w:rsidP="00510A79">
            <w:pPr>
              <w:pStyle w:val="Marginlie"/>
              <w:rPr>
                <w:lang w:val="en-GB"/>
              </w:rPr>
            </w:pPr>
            <w:r w:rsidRPr="00742B86">
              <w:rPr>
                <w:lang w:val="en-GB"/>
              </w:rPr>
              <w:t>Services with ties to industry experienced a mild recovery in the second half of the year.</w:t>
            </w:r>
          </w:p>
        </w:tc>
        <w:tc>
          <w:tcPr>
            <w:tcW w:w="185" w:type="dxa"/>
            <w:shd w:val="clear" w:color="auto" w:fill="auto"/>
            <w:tcMar>
              <w:left w:w="0" w:type="dxa"/>
            </w:tcMar>
          </w:tcPr>
          <w:p w:rsidR="00510A79" w:rsidRPr="00742B86" w:rsidRDefault="00510A79" w:rsidP="00510A79">
            <w:pPr>
              <w:pStyle w:val="Textpoznpodarou"/>
              <w:jc w:val="both"/>
              <w:rPr>
                <w:spacing w:val="-4"/>
                <w:lang w:val="en-GB"/>
              </w:rPr>
            </w:pPr>
          </w:p>
        </w:tc>
        <w:tc>
          <w:tcPr>
            <w:tcW w:w="7985" w:type="dxa"/>
            <w:shd w:val="clear" w:color="auto" w:fill="auto"/>
            <w:tcMar>
              <w:left w:w="0" w:type="dxa"/>
            </w:tcMar>
          </w:tcPr>
          <w:p w:rsidR="00510A79" w:rsidRPr="00742B86" w:rsidRDefault="00510A79" w:rsidP="00510A79">
            <w:pPr>
              <w:rPr>
                <w:spacing w:val="-4"/>
                <w:lang w:val="en-GB"/>
              </w:rPr>
            </w:pPr>
            <w:r w:rsidRPr="00742B86">
              <w:rPr>
                <w:spacing w:val="-4"/>
                <w:szCs w:val="20"/>
                <w:lang w:val="en-GB"/>
              </w:rPr>
              <w:t>It is not surprising with the view to the nature of the restrictions, that the most severe slump in services affected areas closely tied to tourism and other leisure time activities. Sales of travel agencies dived compared to year 2019 by 75.0%, by 70.4% in the air transport, by 55.9% in accommodation and by 34.1%</w:t>
            </w:r>
            <w:r w:rsidRPr="00742B86">
              <w:rPr>
                <w:rStyle w:val="Znakapoznpodarou"/>
                <w:spacing w:val="-4"/>
                <w:szCs w:val="20"/>
                <w:lang w:val="en-GB"/>
              </w:rPr>
              <w:footnoteReference w:id="25"/>
            </w:r>
            <w:r w:rsidRPr="00742B86">
              <w:rPr>
                <w:spacing w:val="-4"/>
                <w:szCs w:val="20"/>
                <w:lang w:val="en-GB"/>
              </w:rPr>
              <w:t xml:space="preserve"> in food service and restaurants. The output of motion picture and musical industry also slumped by nearly two fifths</w:t>
            </w:r>
            <w:r w:rsidRPr="00742B86">
              <w:rPr>
                <w:rStyle w:val="Znakapoznpodarou"/>
                <w:spacing w:val="-4"/>
                <w:szCs w:val="20"/>
                <w:lang w:val="en-GB"/>
              </w:rPr>
              <w:footnoteReference w:id="26"/>
            </w:r>
            <w:r w:rsidR="0044506B">
              <w:rPr>
                <w:spacing w:val="-4"/>
                <w:szCs w:val="20"/>
                <w:lang w:val="en-GB"/>
              </w:rPr>
              <w:t>. Other branches</w:t>
            </w:r>
            <w:r w:rsidRPr="00742B86">
              <w:rPr>
                <w:spacing w:val="-4"/>
                <w:szCs w:val="20"/>
                <w:lang w:val="en-GB"/>
              </w:rPr>
              <w:t xml:space="preserve"> of services, where the demand correlates to the busine</w:t>
            </w:r>
            <w:r>
              <w:rPr>
                <w:spacing w:val="-4"/>
                <w:szCs w:val="20"/>
                <w:lang w:val="en-GB"/>
              </w:rPr>
              <w:t>s</w:t>
            </w:r>
            <w:r w:rsidRPr="00742B86">
              <w:rPr>
                <w:spacing w:val="-4"/>
                <w:szCs w:val="20"/>
                <w:lang w:val="en-GB"/>
              </w:rPr>
              <w:t>s cycle fluctuations, also faced difficulties last year. It was especially job agencies, where the sales fell by nearly one fifth. They decreased by more than one tenth in land transport, ware</w:t>
            </w:r>
            <w:r w:rsidR="0044506B">
              <w:rPr>
                <w:spacing w:val="-4"/>
                <w:szCs w:val="20"/>
                <w:lang w:val="en-GB"/>
              </w:rPr>
              <w:t>housing and also in advertising. R</w:t>
            </w:r>
            <w:r w:rsidRPr="00742B86">
              <w:rPr>
                <w:spacing w:val="-4"/>
                <w:szCs w:val="20"/>
                <w:lang w:val="en-GB"/>
              </w:rPr>
              <w:t>ental and operative leasing activities or architectural and engineering activities registered</w:t>
            </w:r>
            <w:r w:rsidRPr="00742B86">
              <w:rPr>
                <w:rFonts w:cs="Arial"/>
                <w:bCs/>
                <w:spacing w:val="-2"/>
                <w:szCs w:val="20"/>
                <w:lang w:val="en-GB"/>
              </w:rPr>
              <w:t xml:space="preserve"> 8% decline. Services areas tied to industry experienced revival in H2. In Q4 compared to the preceding quarter, sales thus rose in land transport (+1.9%), warehousing (+3.2%) as well as job agencies (+5.2%).</w:t>
            </w:r>
          </w:p>
        </w:tc>
      </w:tr>
      <w:tr w:rsidR="00510A79" w:rsidRPr="00742B86" w:rsidTr="00A52348">
        <w:trPr>
          <w:trHeight w:val="145"/>
        </w:trPr>
        <w:tc>
          <w:tcPr>
            <w:tcW w:w="1494" w:type="dxa"/>
            <w:shd w:val="clear" w:color="auto" w:fill="auto"/>
            <w:tcMar>
              <w:left w:w="0" w:type="dxa"/>
            </w:tcMar>
          </w:tcPr>
          <w:p w:rsidR="00510A79" w:rsidRPr="00742B86" w:rsidRDefault="00510A79" w:rsidP="00510A79">
            <w:pPr>
              <w:pStyle w:val="Marginlie"/>
              <w:rPr>
                <w:lang w:val="en-GB"/>
              </w:rPr>
            </w:pPr>
          </w:p>
        </w:tc>
        <w:tc>
          <w:tcPr>
            <w:tcW w:w="185" w:type="dxa"/>
            <w:shd w:val="clear" w:color="auto" w:fill="auto"/>
            <w:tcMar>
              <w:left w:w="0" w:type="dxa"/>
            </w:tcMar>
          </w:tcPr>
          <w:p w:rsidR="00510A79" w:rsidRPr="00742B86" w:rsidRDefault="00510A79" w:rsidP="00510A79">
            <w:pPr>
              <w:pStyle w:val="Textpoznpodarou"/>
              <w:jc w:val="both"/>
              <w:rPr>
                <w:spacing w:val="-4"/>
                <w:lang w:val="en-GB"/>
              </w:rPr>
            </w:pPr>
          </w:p>
        </w:tc>
        <w:tc>
          <w:tcPr>
            <w:tcW w:w="7985" w:type="dxa"/>
            <w:shd w:val="clear" w:color="auto" w:fill="auto"/>
            <w:tcMar>
              <w:left w:w="0" w:type="dxa"/>
            </w:tcMar>
          </w:tcPr>
          <w:p w:rsidR="00510A79" w:rsidRPr="00021DDB" w:rsidRDefault="00510A79" w:rsidP="00510A79">
            <w:pPr>
              <w:spacing w:after="0"/>
              <w:rPr>
                <w:szCs w:val="20"/>
                <w:lang w:val="en-GB"/>
              </w:rPr>
            </w:pPr>
            <w:r w:rsidRPr="00021DDB">
              <w:rPr>
                <w:b/>
                <w:lang w:val="en-GB"/>
              </w:rPr>
              <w:t xml:space="preserve">Chart 7  Contributions of branches to year-on-year change of sales in services* </w:t>
            </w:r>
            <w:r w:rsidRPr="00021DDB">
              <w:rPr>
                <w:lang w:val="en-GB"/>
              </w:rPr>
              <w:t xml:space="preserve">(in p.p., adjusted for calendar effects), </w:t>
            </w:r>
            <w:r w:rsidRPr="00021DDB">
              <w:rPr>
                <w:b/>
                <w:lang w:val="en-GB"/>
              </w:rPr>
              <w:t xml:space="preserve">balance of confidence indicator in services** </w:t>
            </w:r>
            <w:r w:rsidRPr="00021DDB">
              <w:rPr>
                <w:lang w:val="en-GB"/>
              </w:rPr>
              <w:t>(in p.p., right axis)</w:t>
            </w:r>
            <w:r w:rsidRPr="00021DDB">
              <w:rPr>
                <w:b/>
                <w:lang w:val="en-GB"/>
              </w:rPr>
              <w:t xml:space="preserve"> and selected growth barriers*</w:t>
            </w:r>
            <w:r w:rsidRPr="00021DDB">
              <w:rPr>
                <w:lang w:val="en-GB"/>
              </w:rPr>
              <w:t>* (in %, right axis)</w:t>
            </w:r>
          </w:p>
        </w:tc>
      </w:tr>
      <w:tr w:rsidR="00510A79" w:rsidRPr="00742B86" w:rsidTr="00345B78">
        <w:tblPrEx>
          <w:tblCellMar>
            <w:left w:w="70" w:type="dxa"/>
            <w:right w:w="70" w:type="dxa"/>
          </w:tblCellMar>
        </w:tblPrEx>
        <w:trPr>
          <w:trHeight w:val="145"/>
        </w:trPr>
        <w:tc>
          <w:tcPr>
            <w:tcW w:w="1494" w:type="dxa"/>
            <w:shd w:val="clear" w:color="auto" w:fill="auto"/>
          </w:tcPr>
          <w:p w:rsidR="00510A79" w:rsidRPr="00742B86" w:rsidRDefault="00510A79" w:rsidP="00510A79">
            <w:pPr>
              <w:pStyle w:val="Marginlie"/>
              <w:rPr>
                <w:lang w:val="en-GB"/>
              </w:rPr>
            </w:pPr>
          </w:p>
        </w:tc>
        <w:tc>
          <w:tcPr>
            <w:tcW w:w="185" w:type="dxa"/>
            <w:shd w:val="clear" w:color="auto" w:fill="auto"/>
          </w:tcPr>
          <w:p w:rsidR="00510A79" w:rsidRPr="00742B86" w:rsidRDefault="00510A79" w:rsidP="00510A79">
            <w:pPr>
              <w:pStyle w:val="Textpoznpodarou"/>
              <w:jc w:val="both"/>
              <w:rPr>
                <w:spacing w:val="-4"/>
                <w:lang w:val="en-GB"/>
              </w:rPr>
            </w:pPr>
          </w:p>
        </w:tc>
        <w:tc>
          <w:tcPr>
            <w:tcW w:w="7985" w:type="dxa"/>
            <w:shd w:val="clear" w:color="auto" w:fill="auto"/>
          </w:tcPr>
          <w:p w:rsidR="00510A79" w:rsidRPr="00742B86" w:rsidRDefault="00510A79" w:rsidP="00510A79">
            <w:pPr>
              <w:spacing w:after="0"/>
              <w:rPr>
                <w:spacing w:val="-4"/>
                <w:szCs w:val="20"/>
                <w:lang w:val="en-GB"/>
              </w:rPr>
            </w:pPr>
            <w:r>
              <w:rPr>
                <w:noProof/>
              </w:rPr>
              <w:drawing>
                <wp:inline distT="0" distB="0" distL="0" distR="0" wp14:anchorId="06730A0A" wp14:editId="172A6338">
                  <wp:extent cx="4903762" cy="3655274"/>
                  <wp:effectExtent l="0" t="0" r="0" b="254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510A79" w:rsidRPr="00742B86" w:rsidTr="00A52348">
        <w:trPr>
          <w:trHeight w:val="145"/>
        </w:trPr>
        <w:tc>
          <w:tcPr>
            <w:tcW w:w="1494" w:type="dxa"/>
            <w:shd w:val="clear" w:color="auto" w:fill="auto"/>
            <w:tcMar>
              <w:left w:w="0" w:type="dxa"/>
            </w:tcMar>
          </w:tcPr>
          <w:p w:rsidR="00510A79" w:rsidRPr="00742B86" w:rsidRDefault="00510A79" w:rsidP="00510A79">
            <w:pPr>
              <w:pStyle w:val="Marginlie"/>
              <w:rPr>
                <w:lang w:val="en-GB"/>
              </w:rPr>
            </w:pPr>
          </w:p>
        </w:tc>
        <w:tc>
          <w:tcPr>
            <w:tcW w:w="185" w:type="dxa"/>
            <w:shd w:val="clear" w:color="auto" w:fill="auto"/>
            <w:tcMar>
              <w:left w:w="0" w:type="dxa"/>
            </w:tcMar>
          </w:tcPr>
          <w:p w:rsidR="00510A79" w:rsidRPr="00742B86" w:rsidRDefault="00510A79" w:rsidP="00510A79">
            <w:pPr>
              <w:pStyle w:val="Textpoznpodarou"/>
              <w:jc w:val="both"/>
              <w:rPr>
                <w:spacing w:val="-4"/>
                <w:lang w:val="en-GB"/>
              </w:rPr>
            </w:pPr>
          </w:p>
        </w:tc>
        <w:tc>
          <w:tcPr>
            <w:tcW w:w="7985" w:type="dxa"/>
            <w:shd w:val="clear" w:color="auto" w:fill="auto"/>
            <w:tcMar>
              <w:left w:w="0" w:type="dxa"/>
            </w:tcMar>
          </w:tcPr>
          <w:p w:rsidR="00510A79" w:rsidRPr="0044506B" w:rsidRDefault="00510A79" w:rsidP="00510A79">
            <w:pPr>
              <w:spacing w:after="0"/>
              <w:rPr>
                <w:rFonts w:cs="Arial"/>
                <w:sz w:val="14"/>
                <w:szCs w:val="14"/>
                <w:lang w:val="en-GB"/>
              </w:rPr>
            </w:pPr>
            <w:r w:rsidRPr="0044506B">
              <w:rPr>
                <w:rFonts w:cs="Arial"/>
                <w:sz w:val="14"/>
                <w:szCs w:val="14"/>
                <w:lang w:val="en-GB"/>
              </w:rPr>
              <w:t>*</w:t>
            </w:r>
            <w:r w:rsidRPr="0044506B">
              <w:rPr>
                <w:color w:val="0D0D0D" w:themeColor="text1" w:themeTint="F2"/>
                <w:sz w:val="14"/>
                <w:szCs w:val="14"/>
                <w:lang w:val="en-GB"/>
              </w:rPr>
              <w:t xml:space="preserve"> Without branches trade, financial activities, insurance activities, science, research and public services. </w:t>
            </w:r>
          </w:p>
          <w:p w:rsidR="00510A79" w:rsidRPr="0044506B" w:rsidRDefault="00510A79" w:rsidP="00510A79">
            <w:pPr>
              <w:spacing w:after="0"/>
              <w:rPr>
                <w:rFonts w:cs="Arial"/>
                <w:sz w:val="14"/>
                <w:szCs w:val="14"/>
                <w:lang w:val="en-GB"/>
              </w:rPr>
            </w:pPr>
            <w:r w:rsidRPr="0044506B">
              <w:rPr>
                <w:rFonts w:cs="Arial"/>
                <w:sz w:val="14"/>
                <w:szCs w:val="14"/>
                <w:lang w:val="en-GB"/>
              </w:rPr>
              <w:t xml:space="preserve">**Also includes </w:t>
            </w:r>
            <w:r w:rsidR="00F11AD8">
              <w:rPr>
                <w:rFonts w:cs="Arial"/>
                <w:sz w:val="14"/>
                <w:szCs w:val="14"/>
                <w:lang w:val="en-GB"/>
              </w:rPr>
              <w:t xml:space="preserve">also </w:t>
            </w:r>
            <w:r w:rsidRPr="0044506B">
              <w:rPr>
                <w:rFonts w:cs="Arial"/>
                <w:sz w:val="14"/>
                <w:szCs w:val="14"/>
                <w:lang w:val="en-GB"/>
              </w:rPr>
              <w:t xml:space="preserve">the financial sector. Balance of confidence as well as the barriers to growth are seasonally adjusted and express the state in the first (growth barriers), resp. second month of the given quarter (balance of confidence). Businesses could have stated more main barriers simultaneously. </w:t>
            </w:r>
          </w:p>
          <w:p w:rsidR="00510A79" w:rsidRPr="00345B78" w:rsidRDefault="00510A79" w:rsidP="00F11AD8">
            <w:pPr>
              <w:spacing w:after="0"/>
              <w:rPr>
                <w:rFonts w:cs="Arial"/>
                <w:sz w:val="14"/>
                <w:szCs w:val="14"/>
                <w:lang w:val="en-GB"/>
              </w:rPr>
            </w:pPr>
            <w:r w:rsidRPr="00742B86">
              <w:rPr>
                <w:rFonts w:cs="Arial"/>
                <w:sz w:val="14"/>
                <w:szCs w:val="14"/>
                <w:lang w:val="en-GB"/>
              </w:rPr>
              <w:t>Source: CZSO</w:t>
            </w:r>
          </w:p>
        </w:tc>
      </w:tr>
      <w:tr w:rsidR="00510A79" w:rsidRPr="00742B86" w:rsidTr="00A52348">
        <w:trPr>
          <w:trHeight w:val="145"/>
        </w:trPr>
        <w:tc>
          <w:tcPr>
            <w:tcW w:w="1494" w:type="dxa"/>
            <w:shd w:val="clear" w:color="auto" w:fill="auto"/>
            <w:tcMar>
              <w:left w:w="0" w:type="dxa"/>
            </w:tcMar>
          </w:tcPr>
          <w:p w:rsidR="00510A79" w:rsidRPr="00742B86" w:rsidRDefault="00510A79" w:rsidP="00510A79">
            <w:pPr>
              <w:pStyle w:val="Marginlie"/>
              <w:rPr>
                <w:lang w:val="en-GB"/>
              </w:rPr>
            </w:pPr>
            <w:r w:rsidRPr="00742B86">
              <w:rPr>
                <w:lang w:val="en-GB"/>
              </w:rPr>
              <w:lastRenderedPageBreak/>
              <w:t xml:space="preserve">Demand for postal and courier activities, information activities or communication services substantially mounted up. </w:t>
            </w:r>
          </w:p>
        </w:tc>
        <w:tc>
          <w:tcPr>
            <w:tcW w:w="185" w:type="dxa"/>
            <w:shd w:val="clear" w:color="auto" w:fill="auto"/>
            <w:tcMar>
              <w:left w:w="0" w:type="dxa"/>
            </w:tcMar>
          </w:tcPr>
          <w:p w:rsidR="00510A79" w:rsidRPr="00742B86" w:rsidRDefault="00510A79" w:rsidP="00510A79">
            <w:pPr>
              <w:pStyle w:val="Textpoznpodarou"/>
              <w:jc w:val="both"/>
              <w:rPr>
                <w:spacing w:val="-4"/>
                <w:lang w:val="en-GB"/>
              </w:rPr>
            </w:pPr>
          </w:p>
        </w:tc>
        <w:tc>
          <w:tcPr>
            <w:tcW w:w="7985" w:type="dxa"/>
            <w:shd w:val="clear" w:color="auto" w:fill="auto"/>
            <w:tcMar>
              <w:left w:w="0" w:type="dxa"/>
            </w:tcMar>
          </w:tcPr>
          <w:p w:rsidR="00510A79" w:rsidRPr="00742B86" w:rsidRDefault="00510A79" w:rsidP="00510A79">
            <w:pPr>
              <w:rPr>
                <w:spacing w:val="-4"/>
                <w:szCs w:val="20"/>
                <w:lang w:val="en-GB"/>
              </w:rPr>
            </w:pPr>
            <w:r w:rsidRPr="00742B86">
              <w:rPr>
                <w:spacing w:val="-4"/>
                <w:szCs w:val="20"/>
                <w:lang w:val="en-GB"/>
              </w:rPr>
              <w:t>The role of some areas of services, which offered solution in the environment of limited social contact, on the contrary strengthened last year. Sales grew by 4.8% in telecommunication services (the most after year 2007). Information activities including e.g. data processing, web portals or hosting, also featured a swift pace (</w:t>
            </w:r>
            <w:r w:rsidR="00A17D34">
              <w:rPr>
                <w:spacing w:val="-4"/>
                <w:szCs w:val="20"/>
                <w:lang w:val="en-GB"/>
              </w:rPr>
              <w:t>+</w:t>
            </w:r>
            <w:r w:rsidRPr="00742B86">
              <w:rPr>
                <w:spacing w:val="-4"/>
                <w:szCs w:val="20"/>
                <w:lang w:val="en-GB"/>
              </w:rPr>
              <w:t>5.5%). The demand for television programming and broadcasting activities grew for the third year in a row. Postal and courier activities experienced boom; the sales hiked up by double digit rate of growth for the second year in a row</w:t>
            </w:r>
            <w:r w:rsidRPr="00742B86">
              <w:rPr>
                <w:rStyle w:val="Znakapoznpodarou"/>
                <w:spacing w:val="-4"/>
                <w:szCs w:val="20"/>
                <w:lang w:val="en-GB"/>
              </w:rPr>
              <w:footnoteReference w:id="27"/>
            </w:r>
            <w:r w:rsidRPr="00742B86">
              <w:rPr>
                <w:spacing w:val="-4"/>
                <w:szCs w:val="20"/>
                <w:lang w:val="en-GB"/>
              </w:rPr>
              <w:t xml:space="preserve">. Next to these, it is also possible to find some areas of services, which were not significantly impacted by the government restrictions and whose sales pace essentially did not change compared to year 2019 (real estate activities, legal and accounting activities or security and </w:t>
            </w:r>
            <w:r w:rsidRPr="003B2718">
              <w:rPr>
                <w:color w:val="0D0D0D" w:themeColor="text1" w:themeTint="F2"/>
                <w:spacing w:val="-4"/>
                <w:szCs w:val="20"/>
                <w:lang w:val="en-GB"/>
              </w:rPr>
              <w:t>investigation activities</w:t>
            </w:r>
            <w:r w:rsidRPr="003B2718">
              <w:rPr>
                <w:color w:val="0D0D0D" w:themeColor="text1" w:themeTint="F2"/>
                <w:spacing w:val="-5"/>
                <w:szCs w:val="20"/>
                <w:lang w:val="en-GB"/>
              </w:rPr>
              <w:t>).</w:t>
            </w:r>
          </w:p>
        </w:tc>
      </w:tr>
      <w:tr w:rsidR="00510A79" w:rsidRPr="00742B86" w:rsidTr="00A52348">
        <w:trPr>
          <w:trHeight w:val="145"/>
        </w:trPr>
        <w:tc>
          <w:tcPr>
            <w:tcW w:w="1494" w:type="dxa"/>
            <w:shd w:val="clear" w:color="auto" w:fill="auto"/>
            <w:tcMar>
              <w:left w:w="0" w:type="dxa"/>
            </w:tcMar>
          </w:tcPr>
          <w:p w:rsidR="00510A79" w:rsidRPr="00742B86" w:rsidRDefault="00510A79" w:rsidP="00510A79">
            <w:pPr>
              <w:pStyle w:val="Marginlie"/>
              <w:rPr>
                <w:spacing w:val="-4"/>
                <w:lang w:val="en-GB"/>
              </w:rPr>
            </w:pPr>
            <w:r w:rsidRPr="00742B86">
              <w:rPr>
                <w:spacing w:val="-4"/>
                <w:lang w:val="en-GB"/>
              </w:rPr>
              <w:t xml:space="preserve">Retail sales dropped </w:t>
            </w:r>
            <w:r w:rsidR="00A17D34">
              <w:rPr>
                <w:spacing w:val="-4"/>
                <w:lang w:val="en-GB"/>
              </w:rPr>
              <w:t xml:space="preserve">in 2020 </w:t>
            </w:r>
            <w:r w:rsidRPr="00742B86">
              <w:rPr>
                <w:spacing w:val="-4"/>
                <w:lang w:val="en-GB"/>
              </w:rPr>
              <w:t xml:space="preserve">year-on-year for the first time in the last seven years. </w:t>
            </w:r>
          </w:p>
        </w:tc>
        <w:tc>
          <w:tcPr>
            <w:tcW w:w="185" w:type="dxa"/>
            <w:shd w:val="clear" w:color="auto" w:fill="auto"/>
            <w:tcMar>
              <w:left w:w="0" w:type="dxa"/>
            </w:tcMar>
          </w:tcPr>
          <w:p w:rsidR="00510A79" w:rsidRPr="00742B86" w:rsidRDefault="00510A79" w:rsidP="00510A79">
            <w:pPr>
              <w:pStyle w:val="Textpoznpodarou"/>
              <w:jc w:val="both"/>
              <w:rPr>
                <w:spacing w:val="-4"/>
                <w:lang w:val="en-GB"/>
              </w:rPr>
            </w:pPr>
          </w:p>
        </w:tc>
        <w:tc>
          <w:tcPr>
            <w:tcW w:w="7985" w:type="dxa"/>
            <w:shd w:val="clear" w:color="auto" w:fill="auto"/>
            <w:tcMar>
              <w:left w:w="0" w:type="dxa"/>
            </w:tcMar>
          </w:tcPr>
          <w:p w:rsidR="00510A79" w:rsidRPr="00742B86" w:rsidRDefault="00510A79" w:rsidP="00510A79">
            <w:pPr>
              <w:rPr>
                <w:spacing w:val="-4"/>
                <w:szCs w:val="20"/>
                <w:lang w:val="en-GB"/>
              </w:rPr>
            </w:pPr>
            <w:r w:rsidRPr="00742B86">
              <w:rPr>
                <w:rFonts w:cs="Arial"/>
                <w:spacing w:val="-4"/>
                <w:szCs w:val="20"/>
                <w:lang w:val="en-GB"/>
              </w:rPr>
              <w:t>Retail sales</w:t>
            </w:r>
            <w:r w:rsidRPr="00742B86">
              <w:rPr>
                <w:rStyle w:val="Znakapoznpodarou"/>
                <w:spacing w:val="-4"/>
                <w:lang w:val="en-GB"/>
              </w:rPr>
              <w:footnoteReference w:id="28"/>
            </w:r>
            <w:r w:rsidRPr="00742B86">
              <w:rPr>
                <w:rFonts w:cs="Arial"/>
                <w:spacing w:val="-4"/>
                <w:szCs w:val="20"/>
                <w:lang w:val="en-GB"/>
              </w:rPr>
              <w:t xml:space="preserve"> were majorly affected by </w:t>
            </w:r>
            <w:r>
              <w:rPr>
                <w:rFonts w:cs="Arial"/>
                <w:spacing w:val="-4"/>
                <w:szCs w:val="20"/>
                <w:lang w:val="en-GB"/>
              </w:rPr>
              <w:t>spring</w:t>
            </w:r>
            <w:r w:rsidRPr="00742B86">
              <w:rPr>
                <w:rFonts w:cs="Arial"/>
                <w:spacing w:val="-4"/>
                <w:szCs w:val="20"/>
                <w:lang w:val="en-GB"/>
              </w:rPr>
              <w:t xml:space="preserve"> and </w:t>
            </w:r>
            <w:r>
              <w:rPr>
                <w:rFonts w:cs="Arial"/>
                <w:spacing w:val="-4"/>
                <w:szCs w:val="20"/>
                <w:lang w:val="en-GB"/>
              </w:rPr>
              <w:t>autumn</w:t>
            </w:r>
            <w:r w:rsidR="00336F32">
              <w:rPr>
                <w:rFonts w:cs="Arial"/>
                <w:spacing w:val="-4"/>
                <w:szCs w:val="20"/>
                <w:lang w:val="en-GB"/>
              </w:rPr>
              <w:t xml:space="preserve"> wave of the anti-</w:t>
            </w:r>
            <w:r w:rsidRPr="00742B86">
              <w:rPr>
                <w:rFonts w:cs="Arial"/>
                <w:spacing w:val="-4"/>
                <w:szCs w:val="20"/>
                <w:lang w:val="en-GB"/>
              </w:rPr>
              <w:t xml:space="preserve">pandemic measures last year. In March, they plunged by 11.8% month-on-month, in November by 5.6%. For the whole year 2020, they decreased by 0.9%, and thus ended with the weakest rate of growth after year 2012. Sound condition of the labour market, being so far characterised by subdued unemployment as well as ongoing growth of real average wages (which accelerated at the end of the year) worked against any deeper descend of sales. On the other hand, the consumer confidence balance, which was very responsive to the government restrictions, remained in the negative band. Concerns of households about the growth of both prices and unemployment stayed high. Retail was also hindered </w:t>
            </w:r>
            <w:r w:rsidR="00336F32">
              <w:rPr>
                <w:rFonts w:cs="Arial"/>
                <w:spacing w:val="-4"/>
                <w:szCs w:val="20"/>
                <w:lang w:val="en-GB"/>
              </w:rPr>
              <w:t>by lower consumption</w:t>
            </w:r>
            <w:r w:rsidRPr="00742B86">
              <w:rPr>
                <w:rFonts w:cs="Arial"/>
                <w:spacing w:val="-4"/>
                <w:szCs w:val="20"/>
                <w:lang w:val="en-GB"/>
              </w:rPr>
              <w:t xml:space="preserve"> </w:t>
            </w:r>
            <w:r w:rsidR="00336F32">
              <w:rPr>
                <w:rFonts w:cs="Arial"/>
                <w:spacing w:val="-4"/>
                <w:szCs w:val="20"/>
                <w:lang w:val="en-GB"/>
              </w:rPr>
              <w:t xml:space="preserve">expenditures </w:t>
            </w:r>
            <w:r w:rsidRPr="00742B86">
              <w:rPr>
                <w:rFonts w:cs="Arial"/>
                <w:spacing w:val="-4"/>
                <w:szCs w:val="20"/>
                <w:lang w:val="en-GB"/>
              </w:rPr>
              <w:t xml:space="preserve">of non-residents. </w:t>
            </w:r>
          </w:p>
        </w:tc>
      </w:tr>
      <w:tr w:rsidR="00510A79" w:rsidRPr="00742B86" w:rsidTr="00A52348">
        <w:trPr>
          <w:trHeight w:val="145"/>
        </w:trPr>
        <w:tc>
          <w:tcPr>
            <w:tcW w:w="1494" w:type="dxa"/>
            <w:shd w:val="clear" w:color="auto" w:fill="auto"/>
            <w:tcMar>
              <w:left w:w="0" w:type="dxa"/>
            </w:tcMar>
          </w:tcPr>
          <w:p w:rsidR="00510A79" w:rsidRPr="00742B86" w:rsidRDefault="00510A79" w:rsidP="00510A79">
            <w:pPr>
              <w:pStyle w:val="Marginlie"/>
              <w:rPr>
                <w:spacing w:val="-4"/>
                <w:lang w:val="en-GB"/>
              </w:rPr>
            </w:pPr>
            <w:r w:rsidRPr="00742B86">
              <w:rPr>
                <w:spacing w:val="-4"/>
                <w:lang w:val="en-GB"/>
              </w:rPr>
              <w:t xml:space="preserve">Mainly the slump of demand for fuels was pivotal to the decrease in retail. </w:t>
            </w:r>
          </w:p>
          <w:p w:rsidR="00510A79" w:rsidRPr="00742B86" w:rsidRDefault="00510A79" w:rsidP="00510A79">
            <w:pPr>
              <w:pStyle w:val="Marginlie"/>
              <w:rPr>
                <w:spacing w:val="-4"/>
                <w:lang w:val="en-GB"/>
              </w:rPr>
            </w:pPr>
          </w:p>
          <w:p w:rsidR="00510A79" w:rsidRPr="00742B86" w:rsidRDefault="00510A79" w:rsidP="00510A79">
            <w:pPr>
              <w:pStyle w:val="Marginlie"/>
              <w:rPr>
                <w:spacing w:val="-4"/>
                <w:lang w:val="en-GB"/>
              </w:rPr>
            </w:pPr>
            <w:r w:rsidRPr="00742B86">
              <w:rPr>
                <w:spacing w:val="-4"/>
                <w:lang w:val="en-GB"/>
              </w:rPr>
              <w:t xml:space="preserve">Segment of non-food goods grew only thanks to the sales via internet or mail order. </w:t>
            </w:r>
          </w:p>
        </w:tc>
        <w:tc>
          <w:tcPr>
            <w:tcW w:w="185" w:type="dxa"/>
            <w:shd w:val="clear" w:color="auto" w:fill="auto"/>
            <w:tcMar>
              <w:left w:w="0" w:type="dxa"/>
            </w:tcMar>
          </w:tcPr>
          <w:p w:rsidR="00510A79" w:rsidRPr="00742B86" w:rsidRDefault="00510A79" w:rsidP="00510A79">
            <w:pPr>
              <w:pStyle w:val="Textpoznpodarou"/>
              <w:jc w:val="both"/>
              <w:rPr>
                <w:spacing w:val="-4"/>
                <w:lang w:val="en-GB"/>
              </w:rPr>
            </w:pPr>
          </w:p>
        </w:tc>
        <w:tc>
          <w:tcPr>
            <w:tcW w:w="7985" w:type="dxa"/>
            <w:shd w:val="clear" w:color="auto" w:fill="auto"/>
            <w:tcMar>
              <w:left w:w="0" w:type="dxa"/>
            </w:tcMar>
          </w:tcPr>
          <w:p w:rsidR="00510A79" w:rsidRPr="00742B86" w:rsidRDefault="00510A79" w:rsidP="00510A79">
            <w:pPr>
              <w:rPr>
                <w:rFonts w:cs="Arial"/>
                <w:spacing w:val="-4"/>
                <w:szCs w:val="20"/>
                <w:lang w:val="en-GB"/>
              </w:rPr>
            </w:pPr>
            <w:r w:rsidRPr="00742B86">
              <w:rPr>
                <w:rFonts w:cs="Arial"/>
                <w:spacing w:val="-4"/>
                <w:szCs w:val="20"/>
                <w:lang w:val="en-GB"/>
              </w:rPr>
              <w:t xml:space="preserve">Mainly the slump of sales for fuels (by 9.0%) stood behind the decrease of </w:t>
            </w:r>
            <w:r w:rsidR="00F86A3B">
              <w:rPr>
                <w:rFonts w:cs="Arial"/>
                <w:spacing w:val="-4"/>
                <w:szCs w:val="20"/>
                <w:lang w:val="en-GB"/>
              </w:rPr>
              <w:t xml:space="preserve">whole </w:t>
            </w:r>
            <w:r w:rsidRPr="00742B86">
              <w:rPr>
                <w:rFonts w:cs="Arial"/>
                <w:spacing w:val="-4"/>
                <w:szCs w:val="20"/>
                <w:lang w:val="en-GB"/>
              </w:rPr>
              <w:t>retail last year. Sales for food also slightly decreased (</w:t>
            </w:r>
            <w:r w:rsidRPr="00742B86">
              <w:rPr>
                <w:spacing w:val="-5"/>
                <w:lang w:val="en-GB"/>
              </w:rPr>
              <w:t>–</w:t>
            </w:r>
            <w:r w:rsidRPr="00742B86">
              <w:rPr>
                <w:rFonts w:cs="Arial"/>
                <w:spacing w:val="-4"/>
                <w:szCs w:val="20"/>
                <w:lang w:val="en-GB"/>
              </w:rPr>
              <w:t>0.3%), which was caused exclusively by specialised (usually small) shops. Growth of sales of non-food goods continued last year only thanks to the dynamic development of sales via internet and mail order (+27.3%), even though it represented the weakest growth in the last decade (+0.5%). Part of specialised shops was however struck by a double digit plunge of sales (wearing apparel, footwear and leather goods or cultural and recreation products).  Shops with pharmaceutical and medical products (+3.5%</w:t>
            </w:r>
            <w:r w:rsidRPr="00742B86">
              <w:rPr>
                <w:rFonts w:cs="Arial"/>
                <w:spacing w:val="-6"/>
                <w:szCs w:val="20"/>
                <w:lang w:val="en-GB"/>
              </w:rPr>
              <w:t>), computer and communication equipment (+2.7%) or household goods (+1.2%) maintained a mild growth.</w:t>
            </w:r>
          </w:p>
        </w:tc>
      </w:tr>
      <w:tr w:rsidR="00510A79" w:rsidRPr="00742B86" w:rsidTr="00A52348">
        <w:trPr>
          <w:trHeight w:val="145"/>
        </w:trPr>
        <w:tc>
          <w:tcPr>
            <w:tcW w:w="1494" w:type="dxa"/>
            <w:shd w:val="clear" w:color="auto" w:fill="auto"/>
            <w:tcMar>
              <w:left w:w="0" w:type="dxa"/>
            </w:tcMar>
          </w:tcPr>
          <w:p w:rsidR="00510A79" w:rsidRPr="00742B86" w:rsidRDefault="00510A79" w:rsidP="00510A79">
            <w:pPr>
              <w:pStyle w:val="Marginlie"/>
              <w:rPr>
                <w:spacing w:val="-4"/>
                <w:lang w:val="en-GB"/>
              </w:rPr>
            </w:pPr>
            <w:r w:rsidRPr="00742B86">
              <w:rPr>
                <w:spacing w:val="-4"/>
                <w:lang w:val="en-GB"/>
              </w:rPr>
              <w:t xml:space="preserve">Record slump of sale and repair of motor vehicles. </w:t>
            </w:r>
          </w:p>
        </w:tc>
        <w:tc>
          <w:tcPr>
            <w:tcW w:w="185" w:type="dxa"/>
            <w:shd w:val="clear" w:color="auto" w:fill="auto"/>
            <w:tcMar>
              <w:left w:w="0" w:type="dxa"/>
            </w:tcMar>
          </w:tcPr>
          <w:p w:rsidR="00510A79" w:rsidRPr="00742B86" w:rsidRDefault="00510A79" w:rsidP="00510A79">
            <w:pPr>
              <w:pStyle w:val="Textpoznpodarou"/>
              <w:jc w:val="both"/>
              <w:rPr>
                <w:spacing w:val="-4"/>
                <w:lang w:val="en-GB"/>
              </w:rPr>
            </w:pPr>
          </w:p>
        </w:tc>
        <w:tc>
          <w:tcPr>
            <w:tcW w:w="7985" w:type="dxa"/>
            <w:shd w:val="clear" w:color="auto" w:fill="auto"/>
            <w:tcMar>
              <w:left w:w="0" w:type="dxa"/>
            </w:tcMar>
          </w:tcPr>
          <w:p w:rsidR="00510A79" w:rsidRPr="00742B86" w:rsidRDefault="00510A79" w:rsidP="00510A79">
            <w:pPr>
              <w:rPr>
                <w:rFonts w:cs="Arial"/>
                <w:spacing w:val="-4"/>
                <w:szCs w:val="20"/>
                <w:lang w:val="en-GB"/>
              </w:rPr>
            </w:pPr>
            <w:r w:rsidRPr="00742B86">
              <w:rPr>
                <w:rFonts w:cs="Arial"/>
                <w:spacing w:val="-4"/>
                <w:szCs w:val="20"/>
                <w:lang w:val="en-GB"/>
              </w:rPr>
              <w:t xml:space="preserve">Sales slumped by 15.2% in the motorist segment of trade last year </w:t>
            </w:r>
            <w:r w:rsidRPr="00742B86">
              <w:rPr>
                <w:spacing w:val="-5"/>
                <w:lang w:val="en-GB"/>
              </w:rPr>
              <w:t>–</w:t>
            </w:r>
            <w:r w:rsidRPr="00742B86">
              <w:rPr>
                <w:rFonts w:cs="Arial"/>
                <w:spacing w:val="-4"/>
                <w:szCs w:val="20"/>
                <w:lang w:val="en-GB"/>
              </w:rPr>
              <w:t xml:space="preserve"> nearly by one half more than in year 2009. It was associated with the persisting downturn of private investment </w:t>
            </w:r>
            <w:r w:rsidR="00F86A3B">
              <w:rPr>
                <w:rFonts w:cs="Arial"/>
                <w:spacing w:val="-4"/>
                <w:szCs w:val="20"/>
                <w:lang w:val="en-GB"/>
              </w:rPr>
              <w:t xml:space="preserve">activity </w:t>
            </w:r>
            <w:r w:rsidRPr="00742B86">
              <w:rPr>
                <w:rFonts w:cs="Arial"/>
                <w:spacing w:val="-4"/>
                <w:szCs w:val="20"/>
                <w:lang w:val="en-GB"/>
              </w:rPr>
              <w:t xml:space="preserve">in the economy. </w:t>
            </w:r>
          </w:p>
        </w:tc>
      </w:tr>
    </w:tbl>
    <w:p w:rsidR="000663F0" w:rsidRPr="00742B86" w:rsidRDefault="000663F0" w:rsidP="00E97F14">
      <w:pPr>
        <w:pStyle w:val="Nadpis11"/>
        <w:spacing w:after="0"/>
        <w:rPr>
          <w:b w:val="0"/>
          <w:sz w:val="2"/>
          <w:szCs w:val="2"/>
          <w:lang w:val="en-GB"/>
        </w:rPr>
      </w:pPr>
      <w:bookmarkStart w:id="4" w:name="_GoBack"/>
      <w:bookmarkEnd w:id="0"/>
      <w:bookmarkEnd w:id="1"/>
      <w:bookmarkEnd w:id="2"/>
      <w:bookmarkEnd w:id="4"/>
    </w:p>
    <w:sectPr w:rsidR="000663F0" w:rsidRPr="00742B86" w:rsidSect="00960281">
      <w:headerReference w:type="even" r:id="rId13"/>
      <w:headerReference w:type="default" r:id="rId14"/>
      <w:footerReference w:type="even" r:id="rId15"/>
      <w:footerReference w:type="default" r:id="rId16"/>
      <w:pgSz w:w="11906" w:h="16838" w:code="9"/>
      <w:pgMar w:top="1134" w:right="1134" w:bottom="1418" w:left="1134" w:header="680" w:footer="737"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C8" w:rsidRDefault="003F15C8" w:rsidP="00E71A58">
      <w:r>
        <w:separator/>
      </w:r>
    </w:p>
  </w:endnote>
  <w:endnote w:type="continuationSeparator" w:id="0">
    <w:p w:rsidR="003F15C8" w:rsidRDefault="003F15C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932443" w:rsidRDefault="003F15C8"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960281">
      <w:rPr>
        <w:szCs w:val="16"/>
      </w:rPr>
      <w:t>16</w:t>
    </w:r>
    <w:r w:rsidRPr="00932443">
      <w:rPr>
        <w:szCs w:val="16"/>
      </w:rPr>
      <w:fldChar w:fldCharType="end"/>
    </w:r>
    <w:r w:rsidRPr="00932443">
      <w:rPr>
        <w:szCs w:val="16"/>
      </w:rPr>
      <w:tab/>
    </w:r>
    <w:r w:rsidRPr="006B1E91">
      <w:rPr>
        <w:szCs w:val="16"/>
        <w:lang w:val="en-GB"/>
      </w:rPr>
      <w:t xml:space="preserve">year </w:t>
    </w:r>
    <w:r>
      <w:rP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932443" w:rsidRDefault="003F15C8" w:rsidP="00FA6CB6">
    <w:pPr>
      <w:pStyle w:val="Zpat"/>
      <w:rPr>
        <w:szCs w:val="16"/>
      </w:rPr>
    </w:pPr>
    <w:r w:rsidRPr="009743B9">
      <w:rPr>
        <w:lang w:eastAsia="cs-CZ"/>
      </w:rPr>
      <w:drawing>
        <wp:anchor distT="0" distB="0" distL="114300" distR="114300" simplePos="0" relativeHeight="251670016" behindDoc="0" locked="0" layoutInCell="1" allowOverlap="1" wp14:anchorId="191D17F9" wp14:editId="22DEAB6E">
          <wp:simplePos x="0" y="0"/>
          <wp:positionH relativeFrom="margin">
            <wp:align>left</wp:align>
          </wp:positionH>
          <wp:positionV relativeFrom="paragraph">
            <wp:posOffset>-47625</wp:posOffset>
          </wp:positionV>
          <wp:extent cx="690633" cy="204716"/>
          <wp:effectExtent l="0" t="0" r="0" b="5080"/>
          <wp:wrapNone/>
          <wp:docPr id="5"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0633" cy="204716"/>
                  </a:xfrm>
                  <a:prstGeom prst="rect">
                    <a:avLst/>
                  </a:prstGeom>
                  <a:noFill/>
                  <a:ln w="9525">
                    <a:noFill/>
                    <a:miter lim="800000"/>
                    <a:headEnd/>
                    <a:tailEnd/>
                  </a:ln>
                </pic:spPr>
              </pic:pic>
            </a:graphicData>
          </a:graphic>
        </wp:anchor>
      </w:drawing>
    </w:r>
    <w:r w:rsidRPr="00FA6CB6">
      <w:rPr>
        <w:szCs w:val="16"/>
      </w:rPr>
      <w:tab/>
    </w:r>
    <w:r w:rsidRPr="00443A47">
      <w:rPr>
        <w:szCs w:val="16"/>
        <w:lang w:val="en-GB"/>
      </w:rPr>
      <w:t>year</w:t>
    </w:r>
    <w:r>
      <w:rPr>
        <w:szCs w:val="16"/>
      </w:rPr>
      <w:t xml:space="preserve"> 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960281">
      <w:rPr>
        <w:rStyle w:val="ZpatChar"/>
        <w:szCs w:val="16"/>
      </w:rPr>
      <w:t>17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C8" w:rsidRDefault="003F15C8" w:rsidP="00A21B4D">
      <w:pPr>
        <w:spacing w:after="0"/>
      </w:pPr>
      <w:r>
        <w:separator/>
      </w:r>
    </w:p>
  </w:footnote>
  <w:footnote w:type="continuationSeparator" w:id="0">
    <w:p w:rsidR="003F15C8" w:rsidRDefault="003F15C8" w:rsidP="00E71A58">
      <w:r>
        <w:continuationSeparator/>
      </w:r>
    </w:p>
  </w:footnote>
  <w:footnote w:id="1">
    <w:p w:rsidR="003F15C8" w:rsidRPr="00EB7243" w:rsidRDefault="003F15C8" w:rsidP="00EB7243">
      <w:pPr>
        <w:pStyle w:val="Textpoznpodarou"/>
        <w:jc w:val="both"/>
        <w:rPr>
          <w:rFonts w:cs="Arial"/>
          <w:color w:val="0D0D0D" w:themeColor="text1" w:themeTint="F2"/>
          <w:spacing w:val="-2"/>
          <w:sz w:val="16"/>
          <w:szCs w:val="16"/>
          <w:lang w:val="en-GB"/>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w:t>
      </w:r>
      <w:r w:rsidRPr="00EB7243">
        <w:rPr>
          <w:rFonts w:cs="Arial"/>
          <w:color w:val="0D0D0D" w:themeColor="text1" w:themeTint="F2"/>
          <w:spacing w:val="-2"/>
          <w:sz w:val="16"/>
          <w:szCs w:val="16"/>
          <w:lang w:val="en-GB"/>
        </w:rPr>
        <w:t>Data regarding the GVA are expressed in constant prices and adjusted for seasonal and calendar effects.</w:t>
      </w:r>
    </w:p>
  </w:footnote>
  <w:footnote w:id="2">
    <w:p w:rsidR="003F15C8" w:rsidRPr="00C32073" w:rsidRDefault="003F15C8" w:rsidP="00EB7243">
      <w:pPr>
        <w:pStyle w:val="Textpoznpodarou"/>
        <w:jc w:val="both"/>
        <w:rPr>
          <w:spacing w:val="-4"/>
          <w:sz w:val="16"/>
          <w:szCs w:val="16"/>
          <w:lang w:val="en-GB"/>
        </w:rPr>
      </w:pPr>
      <w:r w:rsidRPr="00C32073">
        <w:rPr>
          <w:rStyle w:val="Znakapoznpodarou"/>
          <w:spacing w:val="-4"/>
          <w:sz w:val="16"/>
          <w:szCs w:val="16"/>
          <w:lang w:val="en-GB"/>
        </w:rPr>
        <w:footnoteRef/>
      </w:r>
      <w:r w:rsidRPr="00C32073">
        <w:rPr>
          <w:spacing w:val="-4"/>
          <w:sz w:val="16"/>
          <w:szCs w:val="16"/>
          <w:lang w:val="en-GB"/>
        </w:rPr>
        <w:t xml:space="preserve"> Not only the both spring and autumn closure of the significant part of retail shops had a negative effect here, but also the persisting deep plunge of arrival tourism. Final consumption expenditures of non-residents in the CR slumped by </w:t>
      </w:r>
      <w:r w:rsidRPr="00C32073">
        <w:rPr>
          <w:rFonts w:cs="Arial"/>
          <w:color w:val="0D0D0D" w:themeColor="text1" w:themeTint="F2"/>
          <w:spacing w:val="-4"/>
          <w:sz w:val="16"/>
          <w:szCs w:val="16"/>
          <w:lang w:val="en-GB"/>
        </w:rPr>
        <w:t>51% year-on-year last year, in that even by unprecedented 64% in Q2 till Q4. Non-residents participated on the total household final consumption expenditures in the CR approximately 6%.</w:t>
      </w:r>
    </w:p>
  </w:footnote>
  <w:footnote w:id="3">
    <w:p w:rsidR="003F15C8" w:rsidRPr="00EB7243" w:rsidRDefault="003F15C8" w:rsidP="00CE2383">
      <w:pPr>
        <w:pStyle w:val="Textpoznpodarou"/>
        <w:jc w:val="both"/>
        <w:rPr>
          <w:sz w:val="16"/>
          <w:szCs w:val="16"/>
          <w:lang w:val="en-GB"/>
        </w:rPr>
      </w:pPr>
      <w:r w:rsidRPr="00EB7243">
        <w:rPr>
          <w:rStyle w:val="Znakapoznpodarou"/>
          <w:sz w:val="16"/>
          <w:szCs w:val="16"/>
          <w:lang w:val="en-GB"/>
        </w:rPr>
        <w:footnoteRef/>
      </w:r>
      <w:r w:rsidRPr="00EB7243">
        <w:rPr>
          <w:sz w:val="16"/>
          <w:szCs w:val="16"/>
          <w:lang w:val="en-GB"/>
        </w:rPr>
        <w:t xml:space="preserve"> </w:t>
      </w:r>
      <w:r>
        <w:rPr>
          <w:rFonts w:cs="Arial"/>
          <w:color w:val="0D0D0D" w:themeColor="text1" w:themeTint="F2"/>
          <w:spacing w:val="-2"/>
          <w:sz w:val="16"/>
          <w:szCs w:val="16"/>
          <w:lang w:val="en-GB"/>
        </w:rPr>
        <w:t xml:space="preserve">Includes cultural, entertainment and recreation activities and further especially provision of personal services </w:t>
      </w:r>
      <w:r w:rsidRPr="00851B1C">
        <w:rPr>
          <w:rFonts w:cs="Arial"/>
          <w:color w:val="0D0D0D" w:themeColor="text1" w:themeTint="F2"/>
          <w:spacing w:val="-2"/>
          <w:sz w:val="16"/>
          <w:szCs w:val="16"/>
          <w:lang w:val="en-GB"/>
        </w:rPr>
        <w:t>(</w:t>
      </w:r>
      <w:r>
        <w:rPr>
          <w:rFonts w:cs="Arial"/>
          <w:color w:val="0D0D0D" w:themeColor="text1" w:themeTint="F2"/>
          <w:spacing w:val="-2"/>
          <w:sz w:val="16"/>
          <w:szCs w:val="16"/>
          <w:lang w:val="en-GB"/>
        </w:rPr>
        <w:t>e.g. hairdressing, beauty treatment services, cleaning services or repairs of products for personal need – predominantly for households</w:t>
      </w:r>
      <w:r w:rsidRPr="00851B1C">
        <w:rPr>
          <w:rFonts w:cs="Arial"/>
          <w:color w:val="0D0D0D" w:themeColor="text1" w:themeTint="F2"/>
          <w:spacing w:val="-2"/>
          <w:sz w:val="16"/>
          <w:szCs w:val="16"/>
          <w:lang w:val="en-GB"/>
        </w:rPr>
        <w:t>).</w:t>
      </w:r>
    </w:p>
  </w:footnote>
  <w:footnote w:id="4">
    <w:p w:rsidR="003F15C8" w:rsidRPr="00EB7243" w:rsidRDefault="003F15C8" w:rsidP="00EB7243">
      <w:pPr>
        <w:pStyle w:val="Textpoznpodarou"/>
        <w:jc w:val="both"/>
        <w:rPr>
          <w:sz w:val="16"/>
          <w:szCs w:val="16"/>
          <w:lang w:val="en-GB"/>
        </w:rPr>
      </w:pPr>
      <w:r w:rsidRPr="00EB7243">
        <w:rPr>
          <w:rStyle w:val="Znakapoznpodarou"/>
          <w:sz w:val="16"/>
          <w:szCs w:val="16"/>
          <w:lang w:val="en-GB"/>
        </w:rPr>
        <w:footnoteRef/>
      </w:r>
      <w:r w:rsidRPr="00EB7243">
        <w:rPr>
          <w:sz w:val="16"/>
          <w:szCs w:val="16"/>
          <w:lang w:val="en-GB"/>
        </w:rPr>
        <w:t xml:space="preserve"> </w:t>
      </w:r>
      <w:r>
        <w:rPr>
          <w:sz w:val="16"/>
          <w:szCs w:val="16"/>
          <w:lang w:val="en-GB"/>
        </w:rPr>
        <w:t xml:space="preserve">Hours worked increased by 0.9% year-on-year in the whole grouping </w:t>
      </w:r>
      <w:r w:rsidRPr="00CE2383">
        <w:rPr>
          <w:sz w:val="16"/>
          <w:szCs w:val="16"/>
          <w:lang w:val="en-GB"/>
        </w:rPr>
        <w:t>Public administration, education, health, and social work</w:t>
      </w:r>
      <w:r>
        <w:rPr>
          <w:sz w:val="16"/>
          <w:szCs w:val="16"/>
          <w:lang w:val="en-GB"/>
        </w:rPr>
        <w:t xml:space="preserve"> in H2 last year. Among the main branches, information and communication recorded the highest growth </w:t>
      </w:r>
      <w:r w:rsidRPr="00EB7243">
        <w:rPr>
          <w:sz w:val="16"/>
          <w:szCs w:val="16"/>
          <w:lang w:val="en-GB"/>
        </w:rPr>
        <w:t>(+3</w:t>
      </w:r>
      <w:r>
        <w:rPr>
          <w:sz w:val="16"/>
          <w:szCs w:val="16"/>
          <w:lang w:val="en-GB"/>
        </w:rPr>
        <w:t>.</w:t>
      </w:r>
      <w:r w:rsidRPr="00EB7243">
        <w:rPr>
          <w:sz w:val="16"/>
          <w:szCs w:val="16"/>
          <w:lang w:val="en-GB"/>
        </w:rPr>
        <w:t>6%).</w:t>
      </w:r>
    </w:p>
  </w:footnote>
  <w:footnote w:id="5">
    <w:p w:rsidR="003F15C8" w:rsidRPr="00614245" w:rsidRDefault="003F15C8" w:rsidP="00B301DB">
      <w:pPr>
        <w:pStyle w:val="Textpoznpodarou"/>
        <w:jc w:val="both"/>
        <w:rPr>
          <w:sz w:val="16"/>
          <w:szCs w:val="16"/>
          <w:lang w:val="en-GB"/>
        </w:rPr>
      </w:pPr>
      <w:r w:rsidRPr="00614245">
        <w:rPr>
          <w:rStyle w:val="Znakapoznpodarou"/>
          <w:sz w:val="16"/>
          <w:szCs w:val="16"/>
        </w:rPr>
        <w:footnoteRef/>
      </w:r>
      <w:r w:rsidRPr="00614245">
        <w:rPr>
          <w:sz w:val="16"/>
          <w:szCs w:val="16"/>
        </w:rPr>
        <w:t xml:space="preserve"> </w:t>
      </w:r>
      <w:r w:rsidRPr="00614245">
        <w:rPr>
          <w:sz w:val="16"/>
          <w:szCs w:val="16"/>
          <w:lang w:val="en-GB"/>
        </w:rPr>
        <w:t xml:space="preserve">Relatively weaker growth could have been related to the deep last year´s downturn of the motion picture and music industry, to a lesser extent also to the development in the subbranch of publishing activities. </w:t>
      </w:r>
    </w:p>
  </w:footnote>
  <w:footnote w:id="6">
    <w:p w:rsidR="003F15C8" w:rsidRPr="00614245" w:rsidRDefault="003F15C8" w:rsidP="00B301DB">
      <w:pPr>
        <w:pStyle w:val="Textpoznpodarou"/>
        <w:jc w:val="both"/>
        <w:rPr>
          <w:spacing w:val="-2"/>
          <w:sz w:val="16"/>
          <w:szCs w:val="16"/>
          <w:lang w:val="en-GB"/>
        </w:rPr>
      </w:pPr>
      <w:r w:rsidRPr="00614245">
        <w:rPr>
          <w:rStyle w:val="Znakapoznpodarou"/>
          <w:spacing w:val="-2"/>
          <w:sz w:val="16"/>
          <w:szCs w:val="16"/>
          <w:lang w:val="en-GB"/>
        </w:rPr>
        <w:footnoteRef/>
      </w:r>
      <w:r w:rsidRPr="00614245">
        <w:rPr>
          <w:spacing w:val="-2"/>
          <w:sz w:val="16"/>
          <w:szCs w:val="16"/>
          <w:lang w:val="en-GB"/>
        </w:rPr>
        <w:t xml:space="preserve"> According to the preliminary data </w:t>
      </w:r>
      <w:r>
        <w:rPr>
          <w:spacing w:val="-2"/>
          <w:sz w:val="16"/>
          <w:szCs w:val="16"/>
          <w:lang w:val="en-GB"/>
        </w:rPr>
        <w:t xml:space="preserve">as </w:t>
      </w:r>
      <w:r w:rsidRPr="00614245">
        <w:rPr>
          <w:spacing w:val="-2"/>
          <w:sz w:val="16"/>
          <w:szCs w:val="16"/>
          <w:lang w:val="en-GB"/>
        </w:rPr>
        <w:t>of 15</w:t>
      </w:r>
      <w:r w:rsidRPr="00614245">
        <w:rPr>
          <w:spacing w:val="-2"/>
          <w:sz w:val="16"/>
          <w:szCs w:val="16"/>
          <w:vertAlign w:val="superscript"/>
          <w:lang w:val="en-GB"/>
        </w:rPr>
        <w:t>th</w:t>
      </w:r>
      <w:r w:rsidRPr="00614245">
        <w:rPr>
          <w:spacing w:val="-2"/>
          <w:sz w:val="16"/>
          <w:szCs w:val="16"/>
          <w:lang w:val="en-GB"/>
        </w:rPr>
        <w:t xml:space="preserve"> September 2020, total last year´s harvest is estimated in the size of 7.98 mil tons. It is the strongest in the last four years </w:t>
      </w:r>
      <w:r>
        <w:rPr>
          <w:spacing w:val="-2"/>
          <w:sz w:val="16"/>
          <w:szCs w:val="16"/>
          <w:lang w:val="en-GB"/>
        </w:rPr>
        <w:t>and by 4.0% higher than the ten-</w:t>
      </w:r>
      <w:r w:rsidRPr="00614245">
        <w:rPr>
          <w:spacing w:val="-2"/>
          <w:sz w:val="16"/>
          <w:szCs w:val="16"/>
          <w:lang w:val="en-GB"/>
        </w:rPr>
        <w:t>year average.</w:t>
      </w:r>
      <w:r>
        <w:rPr>
          <w:spacing w:val="-2"/>
          <w:sz w:val="16"/>
          <w:szCs w:val="16"/>
          <w:lang w:val="en-GB"/>
        </w:rPr>
        <w:t xml:space="preserve"> Harvest was also higher for wine, legumes, potatoes, vegetables, rape and green maize and silage year-on-year</w:t>
      </w:r>
      <w:r w:rsidRPr="00614245">
        <w:rPr>
          <w:spacing w:val="-2"/>
          <w:sz w:val="16"/>
          <w:szCs w:val="16"/>
          <w:lang w:val="en-GB"/>
        </w:rPr>
        <w:t xml:space="preserve">. </w:t>
      </w:r>
      <w:r>
        <w:rPr>
          <w:spacing w:val="-2"/>
          <w:sz w:val="16"/>
          <w:szCs w:val="16"/>
          <w:lang w:val="en-GB"/>
        </w:rPr>
        <w:t>Contrary, the harvest of hops and sugar beet was lower</w:t>
      </w:r>
      <w:r w:rsidRPr="00614245">
        <w:rPr>
          <w:spacing w:val="-2"/>
          <w:sz w:val="16"/>
          <w:szCs w:val="16"/>
          <w:lang w:val="en-GB"/>
        </w:rPr>
        <w:t>.</w:t>
      </w:r>
      <w:r>
        <w:rPr>
          <w:spacing w:val="-2"/>
          <w:sz w:val="16"/>
          <w:szCs w:val="16"/>
          <w:lang w:val="en-GB"/>
        </w:rPr>
        <w:t xml:space="preserve"> Preliminary results of the total agricultural account imply</w:t>
      </w:r>
      <w:r w:rsidRPr="00614245">
        <w:rPr>
          <w:spacing w:val="-2"/>
          <w:sz w:val="16"/>
          <w:szCs w:val="16"/>
          <w:lang w:val="en-GB"/>
        </w:rPr>
        <w:t xml:space="preserve">, </w:t>
      </w:r>
      <w:r>
        <w:rPr>
          <w:spacing w:val="-2"/>
          <w:sz w:val="16"/>
          <w:szCs w:val="16"/>
          <w:lang w:val="en-GB"/>
        </w:rPr>
        <w:t xml:space="preserve">that the output of the agricultural branch increased in real terms by even </w:t>
      </w:r>
      <w:r w:rsidRPr="00614245">
        <w:rPr>
          <w:spacing w:val="-2"/>
          <w:sz w:val="16"/>
          <w:szCs w:val="16"/>
          <w:lang w:val="en-GB"/>
        </w:rPr>
        <w:t>4%</w:t>
      </w:r>
      <w:r>
        <w:rPr>
          <w:spacing w:val="-2"/>
          <w:sz w:val="16"/>
          <w:szCs w:val="16"/>
          <w:lang w:val="en-GB"/>
        </w:rPr>
        <w:t xml:space="preserve"> during year 2020</w:t>
      </w:r>
      <w:r w:rsidRPr="00614245">
        <w:rPr>
          <w:spacing w:val="-2"/>
          <w:sz w:val="16"/>
          <w:szCs w:val="16"/>
          <w:lang w:val="en-GB"/>
        </w:rPr>
        <w:t xml:space="preserve">. </w:t>
      </w:r>
      <w:r>
        <w:rPr>
          <w:spacing w:val="-2"/>
          <w:sz w:val="16"/>
          <w:szCs w:val="16"/>
          <w:lang w:val="en-GB"/>
        </w:rPr>
        <w:t xml:space="preserve">Higher plant production contributed the most </w:t>
      </w:r>
      <w:r w:rsidRPr="00614245">
        <w:rPr>
          <w:spacing w:val="-2"/>
          <w:sz w:val="16"/>
          <w:szCs w:val="16"/>
          <w:lang w:val="en-GB"/>
        </w:rPr>
        <w:t>(+6</w:t>
      </w:r>
      <w:r>
        <w:rPr>
          <w:spacing w:val="-2"/>
          <w:sz w:val="16"/>
          <w:szCs w:val="16"/>
          <w:lang w:val="en-GB"/>
        </w:rPr>
        <w:t>.</w:t>
      </w:r>
      <w:r w:rsidRPr="00614245">
        <w:rPr>
          <w:spacing w:val="-2"/>
          <w:sz w:val="16"/>
          <w:szCs w:val="16"/>
          <w:lang w:val="en-GB"/>
        </w:rPr>
        <w:t xml:space="preserve">0%), </w:t>
      </w:r>
      <w:r>
        <w:rPr>
          <w:spacing w:val="-2"/>
          <w:sz w:val="16"/>
          <w:szCs w:val="16"/>
          <w:lang w:val="en-GB"/>
        </w:rPr>
        <w:t>supported mainly by the favourable development for forage, rape and graine maize</w:t>
      </w:r>
      <w:r w:rsidRPr="00614245">
        <w:rPr>
          <w:spacing w:val="-2"/>
          <w:sz w:val="16"/>
          <w:szCs w:val="16"/>
          <w:lang w:val="en-GB"/>
        </w:rPr>
        <w:t>.</w:t>
      </w:r>
      <w:r>
        <w:rPr>
          <w:spacing w:val="-2"/>
          <w:sz w:val="16"/>
          <w:szCs w:val="16"/>
          <w:lang w:val="en-GB"/>
        </w:rPr>
        <w:t xml:space="preserve"> Higher animal output also had a favourable effect </w:t>
      </w:r>
      <w:r w:rsidRPr="00614245">
        <w:rPr>
          <w:spacing w:val="-2"/>
          <w:sz w:val="16"/>
          <w:szCs w:val="16"/>
          <w:lang w:val="en-GB"/>
        </w:rPr>
        <w:t>(+1</w:t>
      </w:r>
      <w:r>
        <w:rPr>
          <w:spacing w:val="-2"/>
          <w:sz w:val="16"/>
          <w:szCs w:val="16"/>
          <w:lang w:val="en-GB"/>
        </w:rPr>
        <w:t>.</w:t>
      </w:r>
      <w:r w:rsidRPr="00614245">
        <w:rPr>
          <w:spacing w:val="-2"/>
          <w:sz w:val="16"/>
          <w:szCs w:val="16"/>
          <w:lang w:val="en-GB"/>
        </w:rPr>
        <w:t>7%),</w:t>
      </w:r>
      <w:r>
        <w:rPr>
          <w:spacing w:val="-2"/>
          <w:sz w:val="16"/>
          <w:szCs w:val="16"/>
          <w:lang w:val="en-GB"/>
        </w:rPr>
        <w:t xml:space="preserve"> </w:t>
      </w:r>
      <w:r w:rsidRPr="00614245">
        <w:rPr>
          <w:spacing w:val="-2"/>
          <w:sz w:val="16"/>
          <w:szCs w:val="16"/>
          <w:lang w:val="en-GB"/>
        </w:rPr>
        <w:t>fed</w:t>
      </w:r>
      <w:r>
        <w:rPr>
          <w:spacing w:val="-2"/>
          <w:sz w:val="16"/>
          <w:szCs w:val="16"/>
          <w:lang w:val="en-GB"/>
        </w:rPr>
        <w:t xml:space="preserve"> for the major part by higher value of the output of milk, with a distance then also pigs. </w:t>
      </w:r>
    </w:p>
  </w:footnote>
  <w:footnote w:id="7">
    <w:p w:rsidR="003F15C8" w:rsidRPr="00614245" w:rsidRDefault="003F15C8" w:rsidP="00B301DB">
      <w:pPr>
        <w:pStyle w:val="Textpoznpodarou"/>
        <w:jc w:val="both"/>
        <w:rPr>
          <w:sz w:val="16"/>
          <w:szCs w:val="16"/>
          <w:lang w:val="en-GB"/>
        </w:rPr>
      </w:pPr>
      <w:r w:rsidRPr="00614245">
        <w:rPr>
          <w:rStyle w:val="Znakapoznpodarou"/>
          <w:sz w:val="16"/>
          <w:szCs w:val="16"/>
          <w:lang w:val="en-GB"/>
        </w:rPr>
        <w:footnoteRef/>
      </w:r>
      <w:r w:rsidRPr="00614245">
        <w:rPr>
          <w:sz w:val="16"/>
          <w:szCs w:val="16"/>
          <w:lang w:val="en-GB"/>
        </w:rPr>
        <w:t xml:space="preserve"> </w:t>
      </w:r>
      <w:r>
        <w:rPr>
          <w:sz w:val="16"/>
          <w:szCs w:val="16"/>
          <w:lang w:val="en-GB"/>
        </w:rPr>
        <w:t xml:space="preserve">More favourable development in the public services and in the branch agriculture, forestry and fishing stood behind the milder decrease of GVA in the CR. Also the downswing of performance in the branch other services </w:t>
      </w:r>
      <w:r w:rsidRPr="00614245">
        <w:rPr>
          <w:sz w:val="16"/>
          <w:szCs w:val="16"/>
          <w:lang w:val="en-GB"/>
        </w:rPr>
        <w:t>(</w:t>
      </w:r>
      <w:r>
        <w:rPr>
          <w:sz w:val="16"/>
          <w:szCs w:val="16"/>
          <w:lang w:val="en-GB"/>
        </w:rPr>
        <w:t xml:space="preserve">NACE </w:t>
      </w:r>
      <w:r w:rsidRPr="00614245">
        <w:rPr>
          <w:sz w:val="16"/>
          <w:szCs w:val="16"/>
          <w:lang w:val="en-GB"/>
        </w:rPr>
        <w:t>se</w:t>
      </w:r>
      <w:r>
        <w:rPr>
          <w:sz w:val="16"/>
          <w:szCs w:val="16"/>
          <w:lang w:val="en-GB"/>
        </w:rPr>
        <w:t xml:space="preserve">ctions </w:t>
      </w:r>
      <w:r w:rsidRPr="00614245">
        <w:rPr>
          <w:sz w:val="16"/>
          <w:szCs w:val="16"/>
          <w:lang w:val="en-GB"/>
        </w:rPr>
        <w:t>R</w:t>
      </w:r>
      <w:r>
        <w:rPr>
          <w:sz w:val="16"/>
          <w:szCs w:val="16"/>
          <w:lang w:val="en-GB"/>
        </w:rPr>
        <w:t xml:space="preserve"> to </w:t>
      </w:r>
      <w:r w:rsidRPr="00614245">
        <w:rPr>
          <w:sz w:val="16"/>
          <w:szCs w:val="16"/>
          <w:lang w:val="en-GB"/>
        </w:rPr>
        <w:t>T)</w:t>
      </w:r>
      <w:r>
        <w:rPr>
          <w:sz w:val="16"/>
          <w:szCs w:val="16"/>
          <w:lang w:val="en-GB"/>
        </w:rPr>
        <w:t xml:space="preserve"> was weaker locally </w:t>
      </w:r>
      <w:r w:rsidRPr="00614245">
        <w:rPr>
          <w:sz w:val="16"/>
          <w:szCs w:val="16"/>
          <w:lang w:val="en-GB"/>
        </w:rPr>
        <w:t>(</w:t>
      </w:r>
      <w:r w:rsidRPr="00614245">
        <w:rPr>
          <w:spacing w:val="-4"/>
          <w:sz w:val="16"/>
          <w:szCs w:val="16"/>
          <w:lang w:val="en-GB"/>
        </w:rPr>
        <w:t>–12%)</w:t>
      </w:r>
      <w:r>
        <w:rPr>
          <w:spacing w:val="-4"/>
          <w:sz w:val="16"/>
          <w:szCs w:val="16"/>
          <w:lang w:val="en-GB"/>
        </w:rPr>
        <w:t xml:space="preserve"> compared to the EU </w:t>
      </w:r>
      <w:r w:rsidRPr="00614245">
        <w:rPr>
          <w:sz w:val="16"/>
          <w:szCs w:val="16"/>
          <w:lang w:val="en-GB"/>
        </w:rPr>
        <w:t>(</w:t>
      </w:r>
      <w:r w:rsidRPr="00614245">
        <w:rPr>
          <w:spacing w:val="-4"/>
          <w:sz w:val="16"/>
          <w:szCs w:val="16"/>
          <w:lang w:val="en-GB"/>
        </w:rPr>
        <w:t>–18%).</w:t>
      </w:r>
    </w:p>
  </w:footnote>
  <w:footnote w:id="8">
    <w:p w:rsidR="003F15C8" w:rsidRPr="00614245" w:rsidRDefault="003F15C8" w:rsidP="00B301DB">
      <w:pPr>
        <w:pStyle w:val="Textpoznpodarou"/>
        <w:jc w:val="both"/>
        <w:rPr>
          <w:rFonts w:cs="Arial"/>
          <w:color w:val="0D0D0D" w:themeColor="text1" w:themeTint="F2"/>
          <w:spacing w:val="-2"/>
          <w:sz w:val="16"/>
          <w:szCs w:val="16"/>
          <w:lang w:val="en-GB"/>
        </w:rPr>
      </w:pPr>
      <w:r w:rsidRPr="00614245">
        <w:rPr>
          <w:rStyle w:val="Znakapoznpodarou"/>
          <w:rFonts w:cs="Arial"/>
          <w:color w:val="0D0D0D" w:themeColor="text1" w:themeTint="F2"/>
          <w:spacing w:val="-2"/>
          <w:sz w:val="16"/>
          <w:szCs w:val="16"/>
          <w:lang w:val="en-GB"/>
        </w:rPr>
        <w:footnoteRef/>
      </w:r>
      <w:r w:rsidRPr="00614245">
        <w:rPr>
          <w:rFonts w:cs="Arial"/>
          <w:color w:val="0D0D0D" w:themeColor="text1" w:themeTint="F2"/>
          <w:spacing w:val="-2"/>
          <w:sz w:val="16"/>
          <w:szCs w:val="16"/>
          <w:lang w:val="en-GB"/>
        </w:rPr>
        <w:t xml:space="preserve"> Includes branches of mining and quarrying, manufacturing and also energetics (here as activities of production and distribution of electricity, gas, heat and air conditioning supply). All year-on-year rates of growth of output (at the level of branch sections as well as divisions) are adjusted for calendar effects, both quarter-on-quarter and month-on-month rates then also for seasonal effects.</w:t>
      </w:r>
    </w:p>
  </w:footnote>
  <w:footnote w:id="9">
    <w:p w:rsidR="003F15C8" w:rsidRPr="00614245" w:rsidRDefault="003F15C8" w:rsidP="00B301DB">
      <w:pPr>
        <w:pStyle w:val="Textpoznpodarou"/>
        <w:jc w:val="both"/>
        <w:rPr>
          <w:spacing w:val="-2"/>
          <w:sz w:val="16"/>
          <w:szCs w:val="16"/>
          <w:lang w:val="en-GB"/>
        </w:rPr>
      </w:pPr>
      <w:r w:rsidRPr="00614245">
        <w:rPr>
          <w:rStyle w:val="Znakapoznpodarou"/>
          <w:spacing w:val="-2"/>
          <w:sz w:val="16"/>
          <w:szCs w:val="16"/>
          <w:lang w:val="en-GB"/>
        </w:rPr>
        <w:footnoteRef/>
      </w:r>
      <w:r w:rsidRPr="00614245">
        <w:rPr>
          <w:spacing w:val="-2"/>
          <w:sz w:val="16"/>
          <w:szCs w:val="16"/>
          <w:lang w:val="en-GB"/>
        </w:rPr>
        <w:t xml:space="preserve"> Industrial output fell by 11.3% month-on-month in March 2020, in April the plunge deepened to record 24.1%.</w:t>
      </w:r>
    </w:p>
  </w:footnote>
  <w:footnote w:id="10">
    <w:p w:rsidR="003F15C8" w:rsidRPr="00614245" w:rsidRDefault="003F15C8" w:rsidP="00B301DB">
      <w:pPr>
        <w:pStyle w:val="Textpoznpodarou"/>
        <w:jc w:val="both"/>
        <w:rPr>
          <w:sz w:val="16"/>
          <w:szCs w:val="16"/>
          <w:lang w:val="en-GB"/>
        </w:rPr>
      </w:pPr>
      <w:r w:rsidRPr="00614245">
        <w:rPr>
          <w:rStyle w:val="Znakapoznpodarou"/>
          <w:spacing w:val="-2"/>
          <w:sz w:val="16"/>
          <w:szCs w:val="16"/>
          <w:lang w:val="en-GB"/>
        </w:rPr>
        <w:footnoteRef/>
      </w:r>
      <w:r w:rsidRPr="00614245">
        <w:rPr>
          <w:spacing w:val="-2"/>
          <w:sz w:val="16"/>
          <w:szCs w:val="16"/>
          <w:lang w:val="en-GB"/>
        </w:rPr>
        <w:t xml:space="preserve"> This maximum was placed in May 2019 due to the cyclical downturn, which the domestic industry went through a</w:t>
      </w:r>
      <w:r>
        <w:rPr>
          <w:spacing w:val="-2"/>
          <w:sz w:val="16"/>
          <w:szCs w:val="16"/>
          <w:lang w:val="en-GB"/>
        </w:rPr>
        <w:t>lready during H2 2019</w:t>
      </w:r>
      <w:r w:rsidRPr="00614245">
        <w:rPr>
          <w:spacing w:val="-2"/>
          <w:sz w:val="16"/>
          <w:szCs w:val="16"/>
          <w:lang w:val="en-GB"/>
        </w:rPr>
        <w:t xml:space="preserve">. Production in December 2020 was by 3.2% lower compared to this level. </w:t>
      </w:r>
    </w:p>
  </w:footnote>
  <w:footnote w:id="11">
    <w:p w:rsidR="003F15C8" w:rsidRPr="00614245" w:rsidRDefault="003F15C8" w:rsidP="00B301DB">
      <w:pPr>
        <w:pStyle w:val="Textpoznpodarou"/>
        <w:jc w:val="both"/>
        <w:rPr>
          <w:spacing w:val="-4"/>
          <w:sz w:val="16"/>
          <w:szCs w:val="16"/>
          <w:lang w:val="en-GB"/>
        </w:rPr>
      </w:pPr>
      <w:r w:rsidRPr="00614245">
        <w:rPr>
          <w:rStyle w:val="Znakapoznpodarou"/>
          <w:spacing w:val="-4"/>
          <w:sz w:val="16"/>
          <w:szCs w:val="16"/>
          <w:lang w:val="en-GB"/>
        </w:rPr>
        <w:footnoteRef/>
      </w:r>
      <w:r w:rsidRPr="00614245">
        <w:rPr>
          <w:spacing w:val="-4"/>
          <w:sz w:val="16"/>
          <w:szCs w:val="16"/>
          <w:lang w:val="en-GB"/>
        </w:rPr>
        <w:t xml:space="preserve"> During the global financial as well as economic crisis in year 2009, the output of the domestic industry fell however by nearly doubled rate of growth (by 13.0%).</w:t>
      </w:r>
    </w:p>
  </w:footnote>
  <w:footnote w:id="12">
    <w:p w:rsidR="003F15C8" w:rsidRPr="007E2CDD" w:rsidRDefault="003F15C8" w:rsidP="007E2CDD">
      <w:pPr>
        <w:pStyle w:val="Textpoznpodarou"/>
        <w:jc w:val="both"/>
        <w:rPr>
          <w:spacing w:val="-2"/>
          <w:sz w:val="16"/>
          <w:szCs w:val="16"/>
          <w:lang w:val="en-GB"/>
        </w:rPr>
      </w:pPr>
      <w:r w:rsidRPr="00CE71E4">
        <w:rPr>
          <w:rStyle w:val="Znakapoznpodarou"/>
          <w:spacing w:val="-2"/>
          <w:sz w:val="16"/>
          <w:szCs w:val="16"/>
        </w:rPr>
        <w:footnoteRef/>
      </w:r>
      <w:r w:rsidRPr="00CE71E4">
        <w:rPr>
          <w:spacing w:val="-2"/>
          <w:sz w:val="16"/>
          <w:szCs w:val="16"/>
        </w:rPr>
        <w:t xml:space="preserve"> </w:t>
      </w:r>
      <w:r w:rsidRPr="007E2CDD">
        <w:rPr>
          <w:spacing w:val="-2"/>
          <w:sz w:val="16"/>
          <w:szCs w:val="16"/>
          <w:lang w:val="en-GB"/>
        </w:rPr>
        <w:t xml:space="preserve">Data regarding the physical production also prove it. </w:t>
      </w:r>
      <w:r w:rsidRPr="007E2CDD">
        <w:rPr>
          <w:rFonts w:cs="Arial"/>
          <w:color w:val="0D0D0D" w:themeColor="text1" w:themeTint="F2"/>
          <w:sz w:val="16"/>
          <w:szCs w:val="16"/>
          <w:lang w:val="en-GB"/>
        </w:rPr>
        <w:t xml:space="preserve">Based on the Automotive Industry Association, there was manufactured only less than 15 thousand motor vehicles during the last year´s April in the CR </w:t>
      </w:r>
      <w:r w:rsidRPr="007E2CDD">
        <w:rPr>
          <w:spacing w:val="-2"/>
          <w:sz w:val="16"/>
          <w:szCs w:val="16"/>
          <w:lang w:val="en-GB"/>
        </w:rPr>
        <w:t>(</w:t>
      </w:r>
      <w:r>
        <w:rPr>
          <w:spacing w:val="-2"/>
          <w:sz w:val="16"/>
          <w:szCs w:val="16"/>
          <w:lang w:val="en-GB"/>
        </w:rPr>
        <w:t>by 113 thousand less compared to April 20</w:t>
      </w:r>
      <w:r w:rsidRPr="007E2CDD">
        <w:rPr>
          <w:spacing w:val="-2"/>
          <w:sz w:val="16"/>
          <w:szCs w:val="16"/>
          <w:lang w:val="en-GB"/>
        </w:rPr>
        <w:t>19</w:t>
      </w:r>
      <w:r>
        <w:rPr>
          <w:spacing w:val="-2"/>
          <w:sz w:val="16"/>
          <w:szCs w:val="16"/>
          <w:lang w:val="en-GB"/>
        </w:rPr>
        <w:t>)</w:t>
      </w:r>
      <w:r w:rsidRPr="007E2CDD">
        <w:rPr>
          <w:spacing w:val="-2"/>
          <w:sz w:val="16"/>
          <w:szCs w:val="16"/>
          <w:lang w:val="en-GB"/>
        </w:rPr>
        <w:t>.</w:t>
      </w:r>
      <w:r>
        <w:rPr>
          <w:spacing w:val="-2"/>
          <w:sz w:val="16"/>
          <w:szCs w:val="16"/>
          <w:lang w:val="en-GB"/>
        </w:rPr>
        <w:t xml:space="preserve"> Year-on-year, the production of motor vehicles grew only the first two months of the year 2020 and also in October and December. Output of motor vehicle manufacturing was </w:t>
      </w:r>
      <w:r w:rsidRPr="007E2CDD">
        <w:rPr>
          <w:spacing w:val="-2"/>
          <w:sz w:val="16"/>
          <w:szCs w:val="16"/>
          <w:lang w:val="en-GB"/>
        </w:rPr>
        <w:t>1 160 t</w:t>
      </w:r>
      <w:r>
        <w:rPr>
          <w:spacing w:val="-2"/>
          <w:sz w:val="16"/>
          <w:szCs w:val="16"/>
          <w:lang w:val="en-GB"/>
        </w:rPr>
        <w:t>housand vehicles for the whole year</w:t>
      </w:r>
      <w:r w:rsidRPr="007E2CDD">
        <w:rPr>
          <w:spacing w:val="-2"/>
          <w:sz w:val="16"/>
          <w:szCs w:val="16"/>
          <w:lang w:val="en-GB"/>
        </w:rPr>
        <w:t xml:space="preserve">, </w:t>
      </w:r>
      <w:r>
        <w:rPr>
          <w:spacing w:val="-2"/>
          <w:sz w:val="16"/>
          <w:szCs w:val="16"/>
          <w:lang w:val="en-GB"/>
        </w:rPr>
        <w:t xml:space="preserve">which was by </w:t>
      </w:r>
      <w:r w:rsidRPr="007E2CDD">
        <w:rPr>
          <w:spacing w:val="-2"/>
          <w:sz w:val="16"/>
          <w:szCs w:val="16"/>
          <w:lang w:val="en-GB"/>
        </w:rPr>
        <w:t>19%</w:t>
      </w:r>
      <w:r>
        <w:rPr>
          <w:spacing w:val="-2"/>
          <w:sz w:val="16"/>
          <w:szCs w:val="16"/>
          <w:lang w:val="en-GB"/>
        </w:rPr>
        <w:t xml:space="preserve"> less year-on-year </w:t>
      </w:r>
      <w:r w:rsidRPr="007E2CDD">
        <w:rPr>
          <w:spacing w:val="-2"/>
          <w:sz w:val="16"/>
          <w:szCs w:val="16"/>
          <w:lang w:val="en-GB"/>
        </w:rPr>
        <w:t xml:space="preserve">(resp. </w:t>
      </w:r>
      <w:r>
        <w:rPr>
          <w:spacing w:val="-2"/>
          <w:sz w:val="16"/>
          <w:szCs w:val="16"/>
          <w:lang w:val="en-GB"/>
        </w:rPr>
        <w:t xml:space="preserve">by </w:t>
      </w:r>
      <w:r w:rsidRPr="007E2CDD">
        <w:rPr>
          <w:spacing w:val="-2"/>
          <w:sz w:val="16"/>
          <w:szCs w:val="16"/>
          <w:lang w:val="en-GB"/>
        </w:rPr>
        <w:t>275 t</w:t>
      </w:r>
      <w:r>
        <w:rPr>
          <w:spacing w:val="-2"/>
          <w:sz w:val="16"/>
          <w:szCs w:val="16"/>
          <w:lang w:val="en-GB"/>
        </w:rPr>
        <w:t>housand</w:t>
      </w:r>
      <w:r w:rsidRPr="007E2CDD">
        <w:rPr>
          <w:spacing w:val="-2"/>
          <w:sz w:val="16"/>
          <w:szCs w:val="16"/>
          <w:lang w:val="en-GB"/>
        </w:rPr>
        <w:t xml:space="preserve">). </w:t>
      </w:r>
      <w:r>
        <w:rPr>
          <w:spacing w:val="-2"/>
          <w:sz w:val="16"/>
          <w:szCs w:val="16"/>
          <w:lang w:val="en-GB"/>
        </w:rPr>
        <w:t xml:space="preserve"> Annual decrease affected both the manufacturing of passenger cars and also other categories of motor vehicles. </w:t>
      </w:r>
    </w:p>
  </w:footnote>
  <w:footnote w:id="13">
    <w:p w:rsidR="003F15C8" w:rsidRPr="007E2CDD" w:rsidRDefault="003F15C8" w:rsidP="00EA156C">
      <w:pPr>
        <w:pStyle w:val="Textpoznpodarou"/>
        <w:jc w:val="both"/>
        <w:rPr>
          <w:spacing w:val="-4"/>
          <w:sz w:val="16"/>
          <w:szCs w:val="16"/>
          <w:lang w:val="en-GB"/>
        </w:rPr>
      </w:pPr>
      <w:r w:rsidRPr="007E2CDD">
        <w:rPr>
          <w:rStyle w:val="Znakapoznpodarou"/>
          <w:spacing w:val="-4"/>
          <w:sz w:val="16"/>
          <w:szCs w:val="16"/>
          <w:lang w:val="en-GB"/>
        </w:rPr>
        <w:footnoteRef/>
      </w:r>
      <w:r w:rsidRPr="007E2CDD">
        <w:rPr>
          <w:spacing w:val="-4"/>
          <w:sz w:val="16"/>
          <w:szCs w:val="16"/>
          <w:lang w:val="en-GB"/>
        </w:rPr>
        <w:t xml:space="preserve"> </w:t>
      </w:r>
      <w:r>
        <w:rPr>
          <w:rFonts w:cs="Arial"/>
          <w:color w:val="0D0D0D" w:themeColor="text1" w:themeTint="F2"/>
          <w:spacing w:val="-2"/>
          <w:sz w:val="16"/>
          <w:szCs w:val="16"/>
          <w:lang w:val="en-GB"/>
        </w:rPr>
        <w:t>According to the data of the Energy Regulatory Office, the total gross electricity production reached 81.4 TWh in the CR last year (the least since year 2002). It reduced by 6.4% year-on-year. G</w:t>
      </w:r>
      <w:r w:rsidRPr="007E2CDD">
        <w:rPr>
          <w:spacing w:val="-4"/>
          <w:sz w:val="16"/>
          <w:szCs w:val="16"/>
          <w:lang w:val="en-GB"/>
        </w:rPr>
        <w:t>r</w:t>
      </w:r>
      <w:r>
        <w:rPr>
          <w:spacing w:val="-4"/>
          <w:sz w:val="16"/>
          <w:szCs w:val="16"/>
          <w:lang w:val="en-GB"/>
        </w:rPr>
        <w:t xml:space="preserve">oss electricity consumption dropped by </w:t>
      </w:r>
      <w:r w:rsidRPr="007E2CDD">
        <w:rPr>
          <w:spacing w:val="-4"/>
          <w:sz w:val="16"/>
          <w:szCs w:val="16"/>
          <w:lang w:val="en-GB"/>
        </w:rPr>
        <w:t>3</w:t>
      </w:r>
      <w:r>
        <w:rPr>
          <w:spacing w:val="-4"/>
          <w:sz w:val="16"/>
          <w:szCs w:val="16"/>
          <w:lang w:val="en-GB"/>
        </w:rPr>
        <w:t>.</w:t>
      </w:r>
      <w:r w:rsidRPr="007E2CDD">
        <w:rPr>
          <w:spacing w:val="-4"/>
          <w:sz w:val="16"/>
          <w:szCs w:val="16"/>
          <w:lang w:val="en-GB"/>
        </w:rPr>
        <w:t>5%</w:t>
      </w:r>
      <w:r>
        <w:rPr>
          <w:spacing w:val="-4"/>
          <w:sz w:val="16"/>
          <w:szCs w:val="16"/>
          <w:lang w:val="en-GB"/>
        </w:rPr>
        <w:t xml:space="preserve"> to </w:t>
      </w:r>
      <w:r w:rsidRPr="007E2CDD">
        <w:rPr>
          <w:spacing w:val="-4"/>
          <w:sz w:val="16"/>
          <w:szCs w:val="16"/>
          <w:lang w:val="en-GB"/>
        </w:rPr>
        <w:t>71</w:t>
      </w:r>
      <w:r>
        <w:rPr>
          <w:spacing w:val="-4"/>
          <w:sz w:val="16"/>
          <w:szCs w:val="16"/>
          <w:lang w:val="en-GB"/>
        </w:rPr>
        <w:t>.</w:t>
      </w:r>
      <w:r w:rsidRPr="007E2CDD">
        <w:rPr>
          <w:spacing w:val="-4"/>
          <w:sz w:val="16"/>
          <w:szCs w:val="16"/>
          <w:lang w:val="en-GB"/>
        </w:rPr>
        <w:t>4 TWh (</w:t>
      </w:r>
      <w:r>
        <w:rPr>
          <w:spacing w:val="-4"/>
          <w:sz w:val="16"/>
          <w:szCs w:val="16"/>
          <w:lang w:val="en-GB"/>
        </w:rPr>
        <w:t>five year minimum</w:t>
      </w:r>
      <w:r w:rsidRPr="007E2CDD">
        <w:rPr>
          <w:spacing w:val="-4"/>
          <w:sz w:val="16"/>
          <w:szCs w:val="16"/>
          <w:lang w:val="en-GB"/>
        </w:rPr>
        <w:t xml:space="preserve">). </w:t>
      </w:r>
      <w:r>
        <w:rPr>
          <w:spacing w:val="-4"/>
          <w:sz w:val="16"/>
          <w:szCs w:val="16"/>
          <w:lang w:val="en-GB"/>
        </w:rPr>
        <w:t xml:space="preserve">Entrepreneurs consumed at low voltage levels by </w:t>
      </w:r>
      <w:r w:rsidRPr="007E2CDD">
        <w:rPr>
          <w:rFonts w:eastAsia="Times New Roman" w:cs="Arial"/>
          <w:color w:val="1F1F1F"/>
          <w:spacing w:val="-4"/>
          <w:sz w:val="16"/>
          <w:szCs w:val="16"/>
          <w:lang w:val="en-GB"/>
        </w:rPr>
        <w:t>2</w:t>
      </w:r>
      <w:r>
        <w:rPr>
          <w:rFonts w:eastAsia="Times New Roman" w:cs="Arial"/>
          <w:color w:val="1F1F1F"/>
          <w:spacing w:val="-4"/>
          <w:sz w:val="16"/>
          <w:szCs w:val="16"/>
          <w:lang w:val="en-GB"/>
        </w:rPr>
        <w:t>.</w:t>
      </w:r>
      <w:r w:rsidRPr="007E2CDD">
        <w:rPr>
          <w:rFonts w:eastAsia="Times New Roman" w:cs="Arial"/>
          <w:color w:val="1F1F1F"/>
          <w:spacing w:val="-4"/>
          <w:sz w:val="16"/>
          <w:szCs w:val="16"/>
          <w:lang w:val="en-GB"/>
        </w:rPr>
        <w:t>9%</w:t>
      </w:r>
      <w:r>
        <w:rPr>
          <w:rFonts w:eastAsia="Times New Roman" w:cs="Arial"/>
          <w:color w:val="1F1F1F"/>
          <w:spacing w:val="-4"/>
          <w:sz w:val="16"/>
          <w:szCs w:val="16"/>
          <w:lang w:val="en-GB"/>
        </w:rPr>
        <w:t xml:space="preserve"> less year-on-year</w:t>
      </w:r>
      <w:r w:rsidRPr="007E2CDD">
        <w:rPr>
          <w:rFonts w:eastAsia="Times New Roman" w:cs="Arial"/>
          <w:color w:val="1F1F1F"/>
          <w:spacing w:val="-4"/>
          <w:sz w:val="16"/>
          <w:szCs w:val="16"/>
          <w:lang w:val="en-GB"/>
        </w:rPr>
        <w:t xml:space="preserve">, </w:t>
      </w:r>
      <w:r>
        <w:rPr>
          <w:rFonts w:eastAsia="Times New Roman" w:cs="Arial"/>
          <w:color w:val="1F1F1F"/>
          <w:spacing w:val="-4"/>
          <w:sz w:val="16"/>
          <w:szCs w:val="16"/>
          <w:lang w:val="en-GB"/>
        </w:rPr>
        <w:t xml:space="preserve">the largest businesses then by </w:t>
      </w:r>
      <w:r w:rsidRPr="007E2CDD">
        <w:rPr>
          <w:rFonts w:eastAsia="Times New Roman" w:cs="Arial"/>
          <w:color w:val="1F1F1F"/>
          <w:spacing w:val="-4"/>
          <w:sz w:val="16"/>
          <w:szCs w:val="16"/>
          <w:lang w:val="en-GB"/>
        </w:rPr>
        <w:t>6</w:t>
      </w:r>
      <w:r>
        <w:rPr>
          <w:rFonts w:eastAsia="Times New Roman" w:cs="Arial"/>
          <w:color w:val="1F1F1F"/>
          <w:spacing w:val="-4"/>
          <w:sz w:val="16"/>
          <w:szCs w:val="16"/>
          <w:lang w:val="en-GB"/>
        </w:rPr>
        <w:t>.</w:t>
      </w:r>
      <w:r w:rsidRPr="007E2CDD">
        <w:rPr>
          <w:rFonts w:eastAsia="Times New Roman" w:cs="Arial"/>
          <w:color w:val="1F1F1F"/>
          <w:spacing w:val="-4"/>
          <w:sz w:val="16"/>
          <w:szCs w:val="16"/>
          <w:lang w:val="en-GB"/>
        </w:rPr>
        <w:t>6%</w:t>
      </w:r>
      <w:r>
        <w:rPr>
          <w:rFonts w:eastAsia="Times New Roman" w:cs="Arial"/>
          <w:color w:val="1F1F1F"/>
          <w:spacing w:val="-4"/>
          <w:sz w:val="16"/>
          <w:szCs w:val="16"/>
          <w:lang w:val="en-GB"/>
        </w:rPr>
        <w:t xml:space="preserve"> less. Mobility restrictions of the population, extended home office work as well as distance learning led to the accelerated growth pace of the electricity consumption in households </w:t>
      </w:r>
      <w:r w:rsidRPr="007E2CDD">
        <w:rPr>
          <w:rFonts w:eastAsia="Times New Roman" w:cs="Arial"/>
          <w:color w:val="1F1F1F"/>
          <w:spacing w:val="-6"/>
          <w:sz w:val="16"/>
          <w:szCs w:val="16"/>
          <w:lang w:val="en-GB"/>
        </w:rPr>
        <w:t>(</w:t>
      </w:r>
      <w:r>
        <w:rPr>
          <w:rFonts w:eastAsia="Times New Roman" w:cs="Arial"/>
          <w:color w:val="1F1F1F"/>
          <w:spacing w:val="-6"/>
          <w:sz w:val="16"/>
          <w:szCs w:val="16"/>
          <w:lang w:val="en-GB"/>
        </w:rPr>
        <w:t xml:space="preserve">to </w:t>
      </w:r>
      <w:r w:rsidRPr="007E2CDD">
        <w:rPr>
          <w:rFonts w:eastAsia="Times New Roman" w:cs="Arial"/>
          <w:color w:val="1F1F1F"/>
          <w:spacing w:val="-6"/>
          <w:sz w:val="16"/>
          <w:szCs w:val="16"/>
          <w:lang w:val="en-GB"/>
        </w:rPr>
        <w:t>+4</w:t>
      </w:r>
      <w:r>
        <w:rPr>
          <w:rFonts w:eastAsia="Times New Roman" w:cs="Arial"/>
          <w:color w:val="1F1F1F"/>
          <w:spacing w:val="-6"/>
          <w:sz w:val="16"/>
          <w:szCs w:val="16"/>
          <w:lang w:val="en-GB"/>
        </w:rPr>
        <w:t>.</w:t>
      </w:r>
      <w:r w:rsidRPr="007E2CDD">
        <w:rPr>
          <w:rFonts w:eastAsia="Times New Roman" w:cs="Arial"/>
          <w:color w:val="1F1F1F"/>
          <w:spacing w:val="-6"/>
          <w:sz w:val="16"/>
          <w:szCs w:val="16"/>
          <w:lang w:val="en-GB"/>
        </w:rPr>
        <w:t>7%)</w:t>
      </w:r>
      <w:r>
        <w:rPr>
          <w:rFonts w:eastAsia="Times New Roman" w:cs="Arial"/>
          <w:color w:val="1F1F1F"/>
          <w:spacing w:val="-6"/>
          <w:sz w:val="16"/>
          <w:szCs w:val="16"/>
          <w:lang w:val="en-GB"/>
        </w:rPr>
        <w:t xml:space="preserve"> last year</w:t>
      </w:r>
      <w:r w:rsidRPr="007E2CDD">
        <w:rPr>
          <w:rFonts w:eastAsia="Times New Roman" w:cs="Arial"/>
          <w:color w:val="1F1F1F"/>
          <w:spacing w:val="-6"/>
          <w:sz w:val="16"/>
          <w:szCs w:val="16"/>
          <w:lang w:val="en-GB"/>
        </w:rPr>
        <w:t>. T</w:t>
      </w:r>
      <w:r>
        <w:rPr>
          <w:rFonts w:eastAsia="Times New Roman" w:cs="Arial"/>
          <w:color w:val="1F1F1F"/>
          <w:spacing w:val="-6"/>
          <w:sz w:val="16"/>
          <w:szCs w:val="16"/>
          <w:lang w:val="en-GB"/>
        </w:rPr>
        <w:t xml:space="preserve">heir electricity consumption was the highest since the year </w:t>
      </w:r>
      <w:r w:rsidRPr="007E2CDD">
        <w:rPr>
          <w:rFonts w:eastAsia="Times New Roman" w:cs="Arial"/>
          <w:color w:val="1F1F1F"/>
          <w:spacing w:val="-6"/>
          <w:sz w:val="16"/>
          <w:szCs w:val="16"/>
          <w:lang w:val="en-GB"/>
        </w:rPr>
        <w:t>1996.</w:t>
      </w:r>
    </w:p>
  </w:footnote>
  <w:footnote w:id="14">
    <w:p w:rsidR="003F15C8" w:rsidRPr="00B31693" w:rsidRDefault="003F15C8" w:rsidP="00B31693">
      <w:pPr>
        <w:pStyle w:val="Textpoznpodarou"/>
        <w:jc w:val="both"/>
        <w:rPr>
          <w:sz w:val="16"/>
          <w:szCs w:val="16"/>
          <w:lang w:val="en-GB"/>
        </w:rPr>
      </w:pPr>
      <w:r w:rsidRPr="004670E0">
        <w:rPr>
          <w:rStyle w:val="Znakapoznpodarou"/>
          <w:sz w:val="16"/>
          <w:szCs w:val="16"/>
        </w:rPr>
        <w:footnoteRef/>
      </w:r>
      <w:r w:rsidRPr="004670E0">
        <w:rPr>
          <w:sz w:val="16"/>
          <w:szCs w:val="16"/>
        </w:rPr>
        <w:t xml:space="preserve"> </w:t>
      </w:r>
      <w:r w:rsidRPr="00B31693">
        <w:rPr>
          <w:sz w:val="16"/>
          <w:szCs w:val="16"/>
          <w:lang w:val="en-GB"/>
        </w:rPr>
        <w:t xml:space="preserve">In Q4 2020 however the sales of businesses from </w:t>
      </w:r>
      <w:r>
        <w:rPr>
          <w:sz w:val="16"/>
          <w:szCs w:val="16"/>
          <w:lang w:val="en-GB"/>
        </w:rPr>
        <w:t>industrial activity recorded a growth (+</w:t>
      </w:r>
      <w:r w:rsidRPr="00B31693">
        <w:rPr>
          <w:sz w:val="16"/>
          <w:szCs w:val="16"/>
          <w:lang w:val="en-GB"/>
        </w:rPr>
        <w:t>4.2%</w:t>
      </w:r>
      <w:r>
        <w:rPr>
          <w:sz w:val="16"/>
          <w:szCs w:val="16"/>
          <w:lang w:val="en-GB"/>
        </w:rPr>
        <w:t>)</w:t>
      </w:r>
      <w:r w:rsidRPr="00B31693">
        <w:rPr>
          <w:sz w:val="16"/>
          <w:szCs w:val="16"/>
          <w:lang w:val="en-GB"/>
        </w:rPr>
        <w:t xml:space="preserve"> year-on-year, exclusively thanks to higher foreign demand. </w:t>
      </w:r>
    </w:p>
  </w:footnote>
  <w:footnote w:id="15">
    <w:p w:rsidR="003F15C8" w:rsidRPr="00BA7AF6" w:rsidRDefault="003F15C8" w:rsidP="00D91620">
      <w:pPr>
        <w:pStyle w:val="Textpoznpodarou"/>
        <w:jc w:val="both"/>
        <w:rPr>
          <w:rFonts w:cs="Arial"/>
          <w:color w:val="0D0D0D" w:themeColor="text1" w:themeTint="F2"/>
          <w:spacing w:val="-2"/>
          <w:sz w:val="16"/>
          <w:szCs w:val="16"/>
          <w:lang w:val="en-GB"/>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AE4E7F">
        <w:rPr>
          <w:rFonts w:cs="Arial"/>
          <w:color w:val="0D0D0D" w:themeColor="text1" w:themeTint="F2"/>
          <w:spacing w:val="-2"/>
          <w:sz w:val="16"/>
          <w:szCs w:val="16"/>
          <w:lang w:val="en-GB"/>
        </w:rPr>
        <w:t xml:space="preserve">Surveying of orders is ongoing only in </w:t>
      </w:r>
      <w:r>
        <w:rPr>
          <w:rFonts w:cs="Arial"/>
          <w:color w:val="0D0D0D" w:themeColor="text1" w:themeTint="F2"/>
          <w:spacing w:val="-2"/>
          <w:sz w:val="16"/>
          <w:szCs w:val="16"/>
          <w:lang w:val="en-GB"/>
        </w:rPr>
        <w:t>twelve manufacturing branches, w</w:t>
      </w:r>
      <w:r w:rsidRPr="00AE4E7F">
        <w:rPr>
          <w:rFonts w:cs="Arial"/>
          <w:color w:val="0D0D0D" w:themeColor="text1" w:themeTint="F2"/>
          <w:sz w:val="16"/>
          <w:szCs w:val="16"/>
          <w:lang w:val="en-GB"/>
        </w:rPr>
        <w:t>hich manufacture</w:t>
      </w:r>
      <w:r>
        <w:rPr>
          <w:rFonts w:cs="Arial"/>
          <w:color w:val="0D0D0D" w:themeColor="text1" w:themeTint="F2"/>
          <w:sz w:val="16"/>
          <w:szCs w:val="16"/>
          <w:lang w:val="en-GB"/>
        </w:rPr>
        <w:t xml:space="preserve"> mostly custom-made products, with longer production cycle and larger stocks of orders. </w:t>
      </w:r>
    </w:p>
  </w:footnote>
  <w:footnote w:id="16">
    <w:p w:rsidR="003F15C8" w:rsidRPr="00BA7AF6" w:rsidRDefault="003F15C8" w:rsidP="00D91620">
      <w:pPr>
        <w:pStyle w:val="Textpoznpodarou"/>
        <w:jc w:val="both"/>
        <w:rPr>
          <w:sz w:val="16"/>
          <w:szCs w:val="16"/>
          <w:lang w:val="en-GB"/>
        </w:rPr>
      </w:pPr>
      <w:r w:rsidRPr="00BA7AF6">
        <w:rPr>
          <w:rStyle w:val="Znakapoznpodarou"/>
          <w:sz w:val="16"/>
          <w:szCs w:val="16"/>
          <w:lang w:val="en-GB"/>
        </w:rPr>
        <w:footnoteRef/>
      </w:r>
      <w:r w:rsidRPr="00BA7AF6">
        <w:rPr>
          <w:sz w:val="16"/>
          <w:szCs w:val="16"/>
          <w:lang w:val="en-GB"/>
        </w:rPr>
        <w:t xml:space="preserve"> </w:t>
      </w:r>
      <w:r>
        <w:rPr>
          <w:sz w:val="16"/>
          <w:szCs w:val="16"/>
          <w:lang w:val="en-GB"/>
        </w:rPr>
        <w:t xml:space="preserve">Growth is partially affected by lower comparative basis since the industry was in the phase of mild cyclical downturn at the end of year </w:t>
      </w:r>
      <w:r w:rsidRPr="00BA7AF6">
        <w:rPr>
          <w:sz w:val="16"/>
          <w:szCs w:val="16"/>
          <w:lang w:val="en-GB"/>
        </w:rPr>
        <w:t>2019</w:t>
      </w:r>
      <w:r>
        <w:rPr>
          <w:sz w:val="16"/>
          <w:szCs w:val="16"/>
          <w:lang w:val="en-GB"/>
        </w:rPr>
        <w:t xml:space="preserve">. </w:t>
      </w:r>
    </w:p>
  </w:footnote>
  <w:footnote w:id="17">
    <w:p w:rsidR="003F15C8" w:rsidRPr="00BA7AF6" w:rsidRDefault="003F15C8" w:rsidP="00D91620">
      <w:pPr>
        <w:pStyle w:val="Textpoznpodarou"/>
        <w:jc w:val="both"/>
        <w:rPr>
          <w:sz w:val="16"/>
          <w:szCs w:val="16"/>
          <w:lang w:val="en-GB"/>
        </w:rPr>
      </w:pPr>
      <w:r w:rsidRPr="00BA7AF6">
        <w:rPr>
          <w:rStyle w:val="Znakapoznpodarou"/>
          <w:sz w:val="16"/>
          <w:szCs w:val="16"/>
          <w:lang w:val="en-GB"/>
        </w:rPr>
        <w:footnoteRef/>
      </w:r>
      <w:r w:rsidRPr="00BA7AF6">
        <w:rPr>
          <w:sz w:val="16"/>
          <w:szCs w:val="16"/>
          <w:lang w:val="en-GB"/>
        </w:rPr>
        <w:t xml:space="preserve"> </w:t>
      </w:r>
      <w:r>
        <w:rPr>
          <w:sz w:val="16"/>
          <w:szCs w:val="16"/>
          <w:lang w:val="en-GB"/>
        </w:rPr>
        <w:t xml:space="preserve">Capacities were most utilised in the wood industry </w:t>
      </w:r>
      <w:r w:rsidRPr="00BA7AF6">
        <w:rPr>
          <w:sz w:val="16"/>
          <w:szCs w:val="16"/>
          <w:lang w:val="en-GB"/>
        </w:rPr>
        <w:t>(93%).</w:t>
      </w:r>
      <w:r>
        <w:rPr>
          <w:sz w:val="16"/>
          <w:szCs w:val="16"/>
          <w:lang w:val="en-GB"/>
        </w:rPr>
        <w:t xml:space="preserve"> Motor vehicle, rubber, plastics, chemical and paper industry and also repairs of machinery and equipment moved close to the 90% level</w:t>
      </w:r>
      <w:r w:rsidRPr="00BA7AF6">
        <w:rPr>
          <w:sz w:val="16"/>
          <w:szCs w:val="16"/>
          <w:lang w:val="en-GB"/>
        </w:rPr>
        <w:t xml:space="preserve">. </w:t>
      </w:r>
      <w:r>
        <w:rPr>
          <w:sz w:val="16"/>
          <w:szCs w:val="16"/>
          <w:lang w:val="en-GB"/>
        </w:rPr>
        <w:t xml:space="preserve">On the contrary, level deep below their long term average and utilisation only around </w:t>
      </w:r>
      <w:r w:rsidRPr="00BA7AF6">
        <w:rPr>
          <w:sz w:val="16"/>
          <w:szCs w:val="16"/>
          <w:lang w:val="en-GB"/>
        </w:rPr>
        <w:t>70%</w:t>
      </w:r>
      <w:r>
        <w:rPr>
          <w:sz w:val="16"/>
          <w:szCs w:val="16"/>
          <w:lang w:val="en-GB"/>
        </w:rPr>
        <w:t xml:space="preserve"> registered some smaller branches </w:t>
      </w:r>
      <w:r w:rsidRPr="00BA7AF6">
        <w:rPr>
          <w:sz w:val="16"/>
          <w:szCs w:val="16"/>
          <w:lang w:val="en-GB"/>
        </w:rPr>
        <w:t>(</w:t>
      </w:r>
      <w:r>
        <w:rPr>
          <w:sz w:val="16"/>
          <w:szCs w:val="16"/>
          <w:lang w:val="en-GB"/>
        </w:rPr>
        <w:t>beverage, footwear, leather, printing as well as petrochemical industry</w:t>
      </w:r>
      <w:r w:rsidRPr="00BA7AF6">
        <w:rPr>
          <w:sz w:val="16"/>
          <w:szCs w:val="16"/>
          <w:lang w:val="en-GB"/>
        </w:rPr>
        <w:t>).</w:t>
      </w:r>
    </w:p>
  </w:footnote>
  <w:footnote w:id="18">
    <w:p w:rsidR="003F15C8" w:rsidRPr="00BA7AF6" w:rsidRDefault="003F15C8" w:rsidP="00D91620">
      <w:pPr>
        <w:pStyle w:val="Textpoznpodarou"/>
        <w:jc w:val="both"/>
        <w:rPr>
          <w:sz w:val="16"/>
          <w:szCs w:val="16"/>
          <w:lang w:val="en-GB"/>
        </w:rPr>
      </w:pPr>
      <w:r w:rsidRPr="00BA7AF6">
        <w:rPr>
          <w:rStyle w:val="Znakapoznpodarou"/>
          <w:sz w:val="16"/>
          <w:szCs w:val="16"/>
          <w:lang w:val="en-GB"/>
        </w:rPr>
        <w:footnoteRef/>
      </w:r>
      <w:r w:rsidRPr="00BA7AF6">
        <w:rPr>
          <w:sz w:val="16"/>
          <w:szCs w:val="16"/>
          <w:lang w:val="en-GB"/>
        </w:rPr>
        <w:t xml:space="preserve"> Businesses could have stated more barriers simultaneously. </w:t>
      </w:r>
    </w:p>
  </w:footnote>
  <w:footnote w:id="19">
    <w:p w:rsidR="003F15C8" w:rsidRPr="00C20376" w:rsidRDefault="003F15C8" w:rsidP="00FD5F69">
      <w:pPr>
        <w:pStyle w:val="Textpoznpodarou"/>
        <w:jc w:val="both"/>
        <w:rPr>
          <w:spacing w:val="-2"/>
          <w:sz w:val="16"/>
          <w:szCs w:val="16"/>
          <w:lang w:val="en-GB"/>
        </w:rPr>
      </w:pPr>
      <w:r w:rsidRPr="00C94BE8">
        <w:rPr>
          <w:rStyle w:val="Znakapoznpodarou"/>
          <w:rFonts w:cs="Arial"/>
          <w:color w:val="0D0D0D" w:themeColor="text1" w:themeTint="F2"/>
          <w:spacing w:val="-2"/>
          <w:sz w:val="16"/>
          <w:szCs w:val="16"/>
        </w:rPr>
        <w:footnoteRef/>
      </w:r>
      <w:r w:rsidRPr="00C94BE8">
        <w:rPr>
          <w:rFonts w:cs="Arial"/>
          <w:color w:val="0D0D0D" w:themeColor="text1" w:themeTint="F2"/>
          <w:spacing w:val="-2"/>
          <w:sz w:val="16"/>
          <w:szCs w:val="16"/>
        </w:rPr>
        <w:t xml:space="preserve"> </w:t>
      </w:r>
      <w:r w:rsidRPr="00CB5F3F">
        <w:rPr>
          <w:rFonts w:cs="Arial"/>
          <w:color w:val="0D0D0D" w:themeColor="text1" w:themeTint="F2"/>
          <w:spacing w:val="-2"/>
          <w:sz w:val="16"/>
          <w:szCs w:val="16"/>
          <w:lang w:val="en-GB"/>
        </w:rPr>
        <w:t xml:space="preserve">All year-on-year data regarding the construction output are adjusted for calendar effects, </w:t>
      </w:r>
      <w:r>
        <w:rPr>
          <w:rFonts w:cs="Arial"/>
          <w:color w:val="0D0D0D" w:themeColor="text1" w:themeTint="F2"/>
          <w:spacing w:val="-2"/>
          <w:sz w:val="16"/>
          <w:szCs w:val="16"/>
          <w:lang w:val="en-GB"/>
        </w:rPr>
        <w:t xml:space="preserve">both </w:t>
      </w:r>
      <w:r w:rsidRPr="00CB5F3F">
        <w:rPr>
          <w:rFonts w:cs="Arial"/>
          <w:color w:val="0D0D0D" w:themeColor="text1" w:themeTint="F2"/>
          <w:spacing w:val="-2"/>
          <w:sz w:val="16"/>
          <w:szCs w:val="16"/>
          <w:lang w:val="en-GB"/>
        </w:rPr>
        <w:t>quarter-on-quarter</w:t>
      </w:r>
      <w:r>
        <w:rPr>
          <w:rFonts w:cs="Arial"/>
          <w:color w:val="0D0D0D" w:themeColor="text1" w:themeTint="F2"/>
          <w:spacing w:val="-2"/>
          <w:sz w:val="16"/>
          <w:szCs w:val="16"/>
          <w:lang w:val="en-GB"/>
        </w:rPr>
        <w:t xml:space="preserve"> and month-on-month</w:t>
      </w:r>
      <w:r w:rsidRPr="00CB5F3F">
        <w:rPr>
          <w:rFonts w:cs="Arial"/>
          <w:color w:val="0D0D0D" w:themeColor="text1" w:themeTint="F2"/>
          <w:spacing w:val="-2"/>
          <w:sz w:val="16"/>
          <w:szCs w:val="16"/>
          <w:lang w:val="en-GB"/>
        </w:rPr>
        <w:t xml:space="preserve"> rates of growth also for the seasonality effect.</w:t>
      </w:r>
    </w:p>
  </w:footnote>
  <w:footnote w:id="20">
    <w:p w:rsidR="003F15C8" w:rsidRPr="00C20376" w:rsidRDefault="003F15C8" w:rsidP="00FD5F69">
      <w:pPr>
        <w:pStyle w:val="Textpoznpodarou"/>
        <w:jc w:val="both"/>
        <w:rPr>
          <w:spacing w:val="-2"/>
          <w:sz w:val="16"/>
          <w:szCs w:val="16"/>
          <w:lang w:val="en-GB"/>
        </w:rPr>
      </w:pPr>
      <w:r w:rsidRPr="00C20376">
        <w:rPr>
          <w:rStyle w:val="Znakapoznpodarou"/>
          <w:spacing w:val="-2"/>
          <w:sz w:val="16"/>
          <w:szCs w:val="16"/>
          <w:lang w:val="en-GB"/>
        </w:rPr>
        <w:footnoteRef/>
      </w:r>
      <w:r w:rsidRPr="00C20376">
        <w:rPr>
          <w:spacing w:val="-2"/>
          <w:sz w:val="16"/>
          <w:szCs w:val="16"/>
          <w:lang w:val="en-GB"/>
        </w:rPr>
        <w:t xml:space="preserve"> </w:t>
      </w:r>
      <w:r>
        <w:rPr>
          <w:spacing w:val="-2"/>
          <w:sz w:val="16"/>
          <w:szCs w:val="16"/>
          <w:lang w:val="en-GB"/>
        </w:rPr>
        <w:t xml:space="preserve">Comparable downturn was also recorded in year </w:t>
      </w:r>
      <w:r w:rsidRPr="00C20376">
        <w:rPr>
          <w:spacing w:val="-2"/>
          <w:sz w:val="16"/>
          <w:szCs w:val="16"/>
          <w:lang w:val="en-GB"/>
        </w:rPr>
        <w:t>2016.</w:t>
      </w:r>
      <w:r>
        <w:rPr>
          <w:spacing w:val="-2"/>
          <w:sz w:val="16"/>
          <w:szCs w:val="16"/>
          <w:lang w:val="en-GB"/>
        </w:rPr>
        <w:t xml:space="preserve"> However, short term fallout of public infrastructure investments associated with the transfer to new EU programme period, stood in its background at that time.</w:t>
      </w:r>
    </w:p>
  </w:footnote>
  <w:footnote w:id="21">
    <w:p w:rsidR="003F15C8" w:rsidRPr="00C20376" w:rsidRDefault="003F15C8" w:rsidP="00FD5F69">
      <w:pPr>
        <w:pStyle w:val="Textpoznpodarou"/>
        <w:jc w:val="both"/>
        <w:rPr>
          <w:spacing w:val="-2"/>
          <w:sz w:val="16"/>
          <w:szCs w:val="16"/>
          <w:lang w:val="en-GB"/>
        </w:rPr>
      </w:pPr>
      <w:r w:rsidRPr="00C20376">
        <w:rPr>
          <w:rStyle w:val="Znakapoznpodarou"/>
          <w:spacing w:val="-2"/>
          <w:sz w:val="16"/>
          <w:szCs w:val="16"/>
          <w:lang w:val="en-GB"/>
        </w:rPr>
        <w:footnoteRef/>
      </w:r>
      <w:r w:rsidRPr="00C20376">
        <w:rPr>
          <w:spacing w:val="-2"/>
          <w:sz w:val="16"/>
          <w:szCs w:val="16"/>
          <w:lang w:val="en-GB"/>
        </w:rPr>
        <w:t xml:space="preserve"> Invest</w:t>
      </w:r>
      <w:r>
        <w:rPr>
          <w:spacing w:val="-2"/>
          <w:sz w:val="16"/>
          <w:szCs w:val="16"/>
          <w:lang w:val="en-GB"/>
        </w:rPr>
        <w:t xml:space="preserve">ment transfers to the </w:t>
      </w:r>
      <w:r w:rsidRPr="00635D28">
        <w:rPr>
          <w:spacing w:val="-2"/>
          <w:sz w:val="16"/>
          <w:szCs w:val="16"/>
          <w:lang w:val="en-GB"/>
        </w:rPr>
        <w:t xml:space="preserve">State </w:t>
      </w:r>
      <w:r>
        <w:rPr>
          <w:spacing w:val="-2"/>
          <w:sz w:val="16"/>
          <w:szCs w:val="16"/>
          <w:lang w:val="en-GB"/>
        </w:rPr>
        <w:t>F</w:t>
      </w:r>
      <w:r w:rsidRPr="00635D28">
        <w:rPr>
          <w:spacing w:val="-2"/>
          <w:sz w:val="16"/>
          <w:szCs w:val="16"/>
          <w:lang w:val="en-GB"/>
        </w:rPr>
        <w:t xml:space="preserve">und </w:t>
      </w:r>
      <w:r>
        <w:rPr>
          <w:spacing w:val="-2"/>
          <w:sz w:val="16"/>
          <w:szCs w:val="16"/>
          <w:lang w:val="en-GB"/>
        </w:rPr>
        <w:t>f</w:t>
      </w:r>
      <w:r w:rsidRPr="00635D28">
        <w:rPr>
          <w:spacing w:val="-2"/>
          <w:sz w:val="16"/>
          <w:szCs w:val="16"/>
          <w:lang w:val="en-GB"/>
        </w:rPr>
        <w:t xml:space="preserve">or </w:t>
      </w:r>
      <w:r>
        <w:rPr>
          <w:spacing w:val="-2"/>
          <w:sz w:val="16"/>
          <w:szCs w:val="16"/>
          <w:lang w:val="en-GB"/>
        </w:rPr>
        <w:t>T</w:t>
      </w:r>
      <w:r w:rsidRPr="00635D28">
        <w:rPr>
          <w:spacing w:val="-2"/>
          <w:sz w:val="16"/>
          <w:szCs w:val="16"/>
          <w:lang w:val="en-GB"/>
        </w:rPr>
        <w:t xml:space="preserve">ransport </w:t>
      </w:r>
      <w:r>
        <w:rPr>
          <w:spacing w:val="-2"/>
          <w:sz w:val="16"/>
          <w:szCs w:val="16"/>
          <w:lang w:val="en-GB"/>
        </w:rPr>
        <w:t>I</w:t>
      </w:r>
      <w:r w:rsidRPr="00635D28">
        <w:rPr>
          <w:spacing w:val="-2"/>
          <w:sz w:val="16"/>
          <w:szCs w:val="16"/>
          <w:lang w:val="en-GB"/>
        </w:rPr>
        <w:t>nfrastructure</w:t>
      </w:r>
      <w:r>
        <w:rPr>
          <w:spacing w:val="-2"/>
          <w:sz w:val="16"/>
          <w:szCs w:val="16"/>
          <w:lang w:val="en-GB"/>
        </w:rPr>
        <w:t xml:space="preserve"> from the state budget were by </w:t>
      </w:r>
      <w:r w:rsidRPr="00C20376">
        <w:rPr>
          <w:spacing w:val="-2"/>
          <w:sz w:val="16"/>
          <w:szCs w:val="16"/>
          <w:lang w:val="en-GB"/>
        </w:rPr>
        <w:t>41%</w:t>
      </w:r>
      <w:r>
        <w:rPr>
          <w:spacing w:val="-2"/>
          <w:sz w:val="16"/>
          <w:szCs w:val="16"/>
          <w:lang w:val="en-GB"/>
        </w:rPr>
        <w:t xml:space="preserve"> higher year-on-year last year</w:t>
      </w:r>
      <w:r w:rsidRPr="00C20376">
        <w:rPr>
          <w:spacing w:val="-2"/>
          <w:sz w:val="16"/>
          <w:szCs w:val="16"/>
          <w:lang w:val="en-GB"/>
        </w:rPr>
        <w:t xml:space="preserve">. </w:t>
      </w:r>
      <w:r>
        <w:rPr>
          <w:spacing w:val="-2"/>
          <w:sz w:val="16"/>
          <w:szCs w:val="16"/>
          <w:lang w:val="en-GB"/>
        </w:rPr>
        <w:t xml:space="preserve">The inflow of funds from the EU structural funds was also gaining pace </w:t>
      </w:r>
      <w:r w:rsidRPr="00C20376">
        <w:rPr>
          <w:spacing w:val="-2"/>
          <w:sz w:val="16"/>
          <w:szCs w:val="16"/>
          <w:lang w:val="en-GB"/>
        </w:rPr>
        <w:t xml:space="preserve">(+21%, </w:t>
      </w:r>
      <w:r>
        <w:rPr>
          <w:spacing w:val="-2"/>
          <w:sz w:val="16"/>
          <w:szCs w:val="16"/>
          <w:lang w:val="en-GB"/>
        </w:rPr>
        <w:t xml:space="preserve">to </w:t>
      </w:r>
      <w:r w:rsidRPr="00C20376">
        <w:rPr>
          <w:spacing w:val="-2"/>
          <w:sz w:val="16"/>
          <w:szCs w:val="16"/>
          <w:lang w:val="en-GB"/>
        </w:rPr>
        <w:t>75</w:t>
      </w:r>
      <w:r>
        <w:rPr>
          <w:spacing w:val="-2"/>
          <w:sz w:val="16"/>
          <w:szCs w:val="16"/>
          <w:lang w:val="en-GB"/>
        </w:rPr>
        <w:t>.</w:t>
      </w:r>
      <w:r w:rsidRPr="00C20376">
        <w:rPr>
          <w:spacing w:val="-2"/>
          <w:sz w:val="16"/>
          <w:szCs w:val="16"/>
          <w:lang w:val="en-GB"/>
        </w:rPr>
        <w:t>8</w:t>
      </w:r>
      <w:r>
        <w:rPr>
          <w:spacing w:val="-2"/>
          <w:sz w:val="16"/>
          <w:szCs w:val="16"/>
          <w:lang w:val="en-GB"/>
        </w:rPr>
        <w:t xml:space="preserve"> CZK bn</w:t>
      </w:r>
      <w:r w:rsidRPr="00C20376">
        <w:rPr>
          <w:spacing w:val="-2"/>
          <w:sz w:val="16"/>
          <w:szCs w:val="16"/>
          <w:lang w:val="en-GB"/>
        </w:rPr>
        <w:t>).</w:t>
      </w:r>
    </w:p>
  </w:footnote>
  <w:footnote w:id="22">
    <w:p w:rsidR="003F15C8" w:rsidRPr="00D33FC5" w:rsidRDefault="003F15C8" w:rsidP="00D33FC5">
      <w:pPr>
        <w:pStyle w:val="Textpoznpodarou"/>
        <w:jc w:val="both"/>
        <w:rPr>
          <w:spacing w:val="-4"/>
          <w:sz w:val="16"/>
          <w:szCs w:val="16"/>
          <w:lang w:val="en-GB"/>
        </w:rPr>
      </w:pPr>
      <w:r w:rsidRPr="00C94BE8">
        <w:rPr>
          <w:rStyle w:val="Znakapoznpodarou"/>
          <w:spacing w:val="-4"/>
          <w:sz w:val="16"/>
          <w:szCs w:val="16"/>
        </w:rPr>
        <w:footnoteRef/>
      </w:r>
      <w:r w:rsidRPr="00C94BE8">
        <w:rPr>
          <w:spacing w:val="-4"/>
          <w:sz w:val="16"/>
          <w:szCs w:val="16"/>
        </w:rPr>
        <w:t xml:space="preserve"> </w:t>
      </w:r>
      <w:r w:rsidRPr="00D33FC5">
        <w:rPr>
          <w:spacing w:val="-4"/>
          <w:sz w:val="16"/>
          <w:szCs w:val="16"/>
          <w:lang w:val="en-GB"/>
        </w:rPr>
        <w:t>L</w:t>
      </w:r>
      <w:r>
        <w:rPr>
          <w:spacing w:val="-4"/>
          <w:sz w:val="16"/>
          <w:szCs w:val="16"/>
          <w:lang w:val="en-GB"/>
        </w:rPr>
        <w:t xml:space="preserve">ast year´s decrease did not concern categories of flats created by the modification of existing residential buildings. There were commenced 3 244 flat in this category last year – the most after year 2004. It could have been connected to the in total lower administrative demands on the preparation of these </w:t>
      </w:r>
      <w:r w:rsidRPr="003B2718">
        <w:rPr>
          <w:color w:val="0D0D0D" w:themeColor="text1" w:themeTint="F2"/>
          <w:spacing w:val="-4"/>
          <w:sz w:val="16"/>
          <w:szCs w:val="16"/>
          <w:lang w:val="en-GB"/>
        </w:rPr>
        <w:t>constructions (</w:t>
      </w:r>
      <w:r w:rsidR="003B2718" w:rsidRPr="003B2718">
        <w:rPr>
          <w:color w:val="0D0D0D" w:themeColor="text1" w:themeTint="F2"/>
          <w:spacing w:val="-4"/>
          <w:sz w:val="16"/>
          <w:szCs w:val="16"/>
          <w:lang w:val="en-GB"/>
        </w:rPr>
        <w:t>building project design</w:t>
      </w:r>
      <w:r w:rsidRPr="003B2718">
        <w:rPr>
          <w:color w:val="0D0D0D" w:themeColor="text1" w:themeTint="F2"/>
          <w:spacing w:val="-4"/>
          <w:sz w:val="16"/>
          <w:szCs w:val="16"/>
          <w:lang w:val="en-GB"/>
        </w:rPr>
        <w:t xml:space="preserve">, </w:t>
      </w:r>
      <w:r>
        <w:rPr>
          <w:spacing w:val="-4"/>
          <w:sz w:val="16"/>
          <w:szCs w:val="16"/>
          <w:lang w:val="en-GB"/>
        </w:rPr>
        <w:t>cooperation with the building authorities</w:t>
      </w:r>
      <w:r w:rsidRPr="00D33FC5">
        <w:rPr>
          <w:spacing w:val="-4"/>
          <w:sz w:val="16"/>
          <w:szCs w:val="16"/>
          <w:lang w:val="en-GB"/>
        </w:rPr>
        <w:t>).</w:t>
      </w:r>
    </w:p>
  </w:footnote>
  <w:footnote w:id="23">
    <w:p w:rsidR="003F15C8" w:rsidRPr="00D33FC5" w:rsidRDefault="003F15C8" w:rsidP="00D33FC5">
      <w:pPr>
        <w:spacing w:after="0" w:line="240" w:lineRule="auto"/>
        <w:rPr>
          <w:lang w:val="en-GB"/>
        </w:rPr>
      </w:pPr>
      <w:r w:rsidRPr="00D33FC5">
        <w:rPr>
          <w:rStyle w:val="Znakapoznpodarou"/>
          <w:color w:val="0D0D0D" w:themeColor="text1" w:themeTint="F2"/>
          <w:sz w:val="16"/>
          <w:szCs w:val="16"/>
          <w:lang w:val="en-GB"/>
        </w:rPr>
        <w:footnoteRef/>
      </w:r>
      <w:r w:rsidRPr="00D33FC5">
        <w:rPr>
          <w:color w:val="0D0D0D" w:themeColor="text1" w:themeTint="F2"/>
          <w:sz w:val="16"/>
          <w:szCs w:val="16"/>
          <w:lang w:val="en-GB"/>
        </w:rPr>
        <w:t xml:space="preserve"> </w:t>
      </w:r>
      <w:r w:rsidRPr="00F11AD8">
        <w:rPr>
          <w:color w:val="0D0D0D" w:themeColor="text1" w:themeTint="F2"/>
          <w:sz w:val="16"/>
          <w:szCs w:val="16"/>
          <w:lang w:val="en-GB"/>
        </w:rPr>
        <w:t>Without trade, financial and insurance activities, science</w:t>
      </w:r>
      <w:r>
        <w:rPr>
          <w:color w:val="0D0D0D" w:themeColor="text1" w:themeTint="F2"/>
          <w:sz w:val="16"/>
          <w:szCs w:val="16"/>
          <w:lang w:val="en-GB"/>
        </w:rPr>
        <w:t>, research and public services. All figures for services are in constant prices, year-on-year data are adjusted for calendar effects, quarter-on-quarter as well as month-on-month data are seasonally adjusted (including the effect of number of working days)</w:t>
      </w:r>
      <w:r w:rsidRPr="00D33FC5">
        <w:rPr>
          <w:color w:val="0D0D0D" w:themeColor="text1" w:themeTint="F2"/>
          <w:sz w:val="16"/>
          <w:szCs w:val="16"/>
          <w:lang w:val="en-GB"/>
        </w:rPr>
        <w:t>.</w:t>
      </w:r>
    </w:p>
  </w:footnote>
  <w:footnote w:id="24">
    <w:p w:rsidR="003F15C8" w:rsidRPr="00D33FC5" w:rsidRDefault="003F15C8" w:rsidP="00D33FC5">
      <w:pPr>
        <w:pStyle w:val="Textpoznpodarou"/>
        <w:jc w:val="both"/>
        <w:rPr>
          <w:sz w:val="16"/>
          <w:szCs w:val="16"/>
          <w:lang w:val="en-GB"/>
        </w:rPr>
      </w:pPr>
      <w:r w:rsidRPr="00D33FC5">
        <w:rPr>
          <w:rStyle w:val="Znakapoznpodarou"/>
          <w:sz w:val="16"/>
          <w:szCs w:val="16"/>
          <w:lang w:val="en-GB"/>
        </w:rPr>
        <w:footnoteRef/>
      </w:r>
      <w:r w:rsidRPr="00D33FC5">
        <w:rPr>
          <w:sz w:val="16"/>
          <w:szCs w:val="16"/>
          <w:lang w:val="en-GB"/>
        </w:rPr>
        <w:t xml:space="preserve"> </w:t>
      </w:r>
      <w:r>
        <w:rPr>
          <w:sz w:val="16"/>
          <w:szCs w:val="16"/>
          <w:lang w:val="en-GB"/>
        </w:rPr>
        <w:t>Mild decrease thus occurred also in December, when the part of restrictions was temporarily loosened. It however only benefited branch accommodation, food service and restaurants</w:t>
      </w:r>
      <w:r w:rsidRPr="00D33FC5">
        <w:rPr>
          <w:sz w:val="16"/>
          <w:szCs w:val="16"/>
          <w:lang w:val="en-GB"/>
        </w:rPr>
        <w:t xml:space="preserve">. </w:t>
      </w:r>
      <w:r>
        <w:rPr>
          <w:sz w:val="16"/>
          <w:szCs w:val="16"/>
          <w:lang w:val="en-GB"/>
        </w:rPr>
        <w:t xml:space="preserve">Sales were falling month-on-month in other branch divisions. </w:t>
      </w:r>
    </w:p>
  </w:footnote>
  <w:footnote w:id="25">
    <w:p w:rsidR="003F15C8" w:rsidRPr="00FD30AD" w:rsidRDefault="003F15C8" w:rsidP="006804E2">
      <w:pPr>
        <w:pStyle w:val="Textpoznpodarou"/>
        <w:jc w:val="both"/>
        <w:rPr>
          <w:sz w:val="16"/>
          <w:szCs w:val="16"/>
          <w:lang w:val="en-GB"/>
        </w:rPr>
      </w:pPr>
      <w:r w:rsidRPr="00ED3E51">
        <w:rPr>
          <w:rStyle w:val="Znakapoznpodarou"/>
          <w:sz w:val="16"/>
          <w:szCs w:val="16"/>
        </w:rPr>
        <w:footnoteRef/>
      </w:r>
      <w:r w:rsidRPr="00ED3E51">
        <w:rPr>
          <w:sz w:val="16"/>
          <w:szCs w:val="16"/>
        </w:rPr>
        <w:t xml:space="preserve"> </w:t>
      </w:r>
      <w:r w:rsidRPr="00FD30AD">
        <w:rPr>
          <w:sz w:val="16"/>
          <w:szCs w:val="16"/>
          <w:lang w:val="en-GB"/>
        </w:rPr>
        <w:t>Last year´s downturn of these branches, which was unprecedented in the history of independent CR, also depicts the comparison in current prices. While sales in food service and resta</w:t>
      </w:r>
      <w:r>
        <w:rPr>
          <w:sz w:val="16"/>
          <w:szCs w:val="16"/>
          <w:lang w:val="en-GB"/>
        </w:rPr>
        <w:t>u</w:t>
      </w:r>
      <w:r w:rsidRPr="00FD30AD">
        <w:rPr>
          <w:sz w:val="16"/>
          <w:szCs w:val="16"/>
          <w:lang w:val="en-GB"/>
        </w:rPr>
        <w:t>ran</w:t>
      </w:r>
      <w:r>
        <w:rPr>
          <w:sz w:val="16"/>
          <w:szCs w:val="16"/>
          <w:lang w:val="en-GB"/>
        </w:rPr>
        <w:t xml:space="preserve">ts </w:t>
      </w:r>
      <w:r w:rsidRPr="00FD30AD">
        <w:rPr>
          <w:sz w:val="16"/>
          <w:szCs w:val="16"/>
          <w:lang w:val="en-GB"/>
        </w:rPr>
        <w:t>were placed at t</w:t>
      </w:r>
      <w:r>
        <w:rPr>
          <w:sz w:val="16"/>
          <w:szCs w:val="16"/>
          <w:lang w:val="en-GB"/>
        </w:rPr>
        <w:t>he</w:t>
      </w:r>
      <w:r w:rsidRPr="00FD30AD">
        <w:rPr>
          <w:sz w:val="16"/>
          <w:szCs w:val="16"/>
          <w:lang w:val="en-GB"/>
        </w:rPr>
        <w:t xml:space="preserve"> lev</w:t>
      </w:r>
      <w:r>
        <w:rPr>
          <w:sz w:val="16"/>
          <w:szCs w:val="16"/>
          <w:lang w:val="en-GB"/>
        </w:rPr>
        <w:t>e</w:t>
      </w:r>
      <w:r w:rsidRPr="00FD30AD">
        <w:rPr>
          <w:sz w:val="16"/>
          <w:szCs w:val="16"/>
          <w:lang w:val="en-GB"/>
        </w:rPr>
        <w:t>l of year 2015</w:t>
      </w:r>
      <w:r>
        <w:rPr>
          <w:sz w:val="16"/>
          <w:szCs w:val="16"/>
          <w:lang w:val="en-GB"/>
        </w:rPr>
        <w:t xml:space="preserve"> last year</w:t>
      </w:r>
      <w:r w:rsidRPr="00FD30AD">
        <w:rPr>
          <w:sz w:val="16"/>
          <w:szCs w:val="16"/>
          <w:lang w:val="en-GB"/>
        </w:rPr>
        <w:t>, sales in the air transport did not attain even three fifths of the level from year 2000 (they were even at only 39% level from the beginning of millennium for the travel agencies).</w:t>
      </w:r>
    </w:p>
  </w:footnote>
  <w:footnote w:id="26">
    <w:p w:rsidR="003F15C8" w:rsidRPr="00FD30AD" w:rsidRDefault="003F15C8" w:rsidP="006804E2">
      <w:pPr>
        <w:pStyle w:val="Textpoznpodarou"/>
        <w:jc w:val="both"/>
        <w:rPr>
          <w:sz w:val="16"/>
          <w:szCs w:val="16"/>
          <w:lang w:val="en-GB"/>
        </w:rPr>
      </w:pPr>
      <w:r w:rsidRPr="00FD30AD">
        <w:rPr>
          <w:rStyle w:val="Znakapoznpodarou"/>
          <w:sz w:val="16"/>
          <w:szCs w:val="16"/>
          <w:lang w:val="en-GB"/>
        </w:rPr>
        <w:footnoteRef/>
      </w:r>
      <w:r w:rsidRPr="00FD30AD">
        <w:rPr>
          <w:sz w:val="16"/>
          <w:szCs w:val="16"/>
          <w:lang w:val="en-GB"/>
        </w:rPr>
        <w:t xml:space="preserve"> According</w:t>
      </w:r>
      <w:r>
        <w:rPr>
          <w:sz w:val="16"/>
          <w:szCs w:val="16"/>
          <w:lang w:val="en-GB"/>
        </w:rPr>
        <w:t xml:space="preserve"> to the Union of Motion Picture D</w:t>
      </w:r>
      <w:r w:rsidRPr="00FD30AD">
        <w:rPr>
          <w:sz w:val="16"/>
          <w:szCs w:val="16"/>
          <w:lang w:val="en-GB"/>
        </w:rPr>
        <w:t xml:space="preserve">istributors, the number of </w:t>
      </w:r>
      <w:r>
        <w:rPr>
          <w:sz w:val="16"/>
          <w:szCs w:val="16"/>
          <w:lang w:val="en-GB"/>
        </w:rPr>
        <w:t xml:space="preserve">cinema </w:t>
      </w:r>
      <w:r w:rsidRPr="00FD30AD">
        <w:rPr>
          <w:sz w:val="16"/>
          <w:szCs w:val="16"/>
          <w:lang w:val="en-GB"/>
        </w:rPr>
        <w:t>visitors fell by 65% year-on-year, to 6.4 mil (the lowest number in th</w:t>
      </w:r>
      <w:r>
        <w:rPr>
          <w:sz w:val="16"/>
          <w:szCs w:val="16"/>
          <w:lang w:val="en-GB"/>
        </w:rPr>
        <w:t>e</w:t>
      </w:r>
      <w:r w:rsidRPr="00FD30AD">
        <w:rPr>
          <w:sz w:val="16"/>
          <w:szCs w:val="16"/>
          <w:lang w:val="en-GB"/>
        </w:rPr>
        <w:t xml:space="preserve"> history of the CR). Cinemas were in fact closed </w:t>
      </w:r>
      <w:r>
        <w:rPr>
          <w:sz w:val="16"/>
          <w:szCs w:val="16"/>
          <w:lang w:val="en-GB"/>
        </w:rPr>
        <w:t xml:space="preserve">for </w:t>
      </w:r>
      <w:r w:rsidRPr="00FD30AD">
        <w:rPr>
          <w:sz w:val="16"/>
          <w:szCs w:val="16"/>
          <w:lang w:val="en-GB"/>
        </w:rPr>
        <w:t xml:space="preserve">nearly five months in the </w:t>
      </w:r>
      <w:r>
        <w:rPr>
          <w:sz w:val="16"/>
          <w:szCs w:val="16"/>
          <w:lang w:val="en-GB"/>
        </w:rPr>
        <w:t xml:space="preserve">last </w:t>
      </w:r>
      <w:r w:rsidRPr="00FD30AD">
        <w:rPr>
          <w:sz w:val="16"/>
          <w:szCs w:val="16"/>
          <w:lang w:val="en-GB"/>
        </w:rPr>
        <w:t xml:space="preserve">year (only the operations of drive-in cinemas </w:t>
      </w:r>
      <w:r>
        <w:rPr>
          <w:sz w:val="16"/>
          <w:szCs w:val="16"/>
          <w:lang w:val="en-GB"/>
        </w:rPr>
        <w:t>were permitted), they operated</w:t>
      </w:r>
      <w:r w:rsidRPr="00FD30AD">
        <w:rPr>
          <w:sz w:val="16"/>
          <w:szCs w:val="16"/>
          <w:lang w:val="en-GB"/>
        </w:rPr>
        <w:t xml:space="preserve"> without any restrictions o</w:t>
      </w:r>
      <w:r>
        <w:rPr>
          <w:sz w:val="16"/>
          <w:szCs w:val="16"/>
          <w:lang w:val="en-GB"/>
        </w:rPr>
        <w:t>nly 2.5 months in the year. The segment</w:t>
      </w:r>
      <w:r w:rsidRPr="00FD30AD">
        <w:rPr>
          <w:sz w:val="16"/>
          <w:szCs w:val="16"/>
          <w:lang w:val="en-GB"/>
        </w:rPr>
        <w:t xml:space="preserve"> of the motion picture production, where the restrictions applied only during the spring pandemic wave, was</w:t>
      </w:r>
      <w:r>
        <w:rPr>
          <w:sz w:val="16"/>
          <w:szCs w:val="16"/>
          <w:lang w:val="en-GB"/>
        </w:rPr>
        <w:t xml:space="preserve"> hit less</w:t>
      </w:r>
      <w:r w:rsidRPr="00FD30AD">
        <w:rPr>
          <w:sz w:val="16"/>
          <w:szCs w:val="16"/>
          <w:lang w:val="en-GB"/>
        </w:rPr>
        <w:t xml:space="preserve">. </w:t>
      </w:r>
    </w:p>
  </w:footnote>
  <w:footnote w:id="27">
    <w:p w:rsidR="003F15C8" w:rsidRPr="009E6D57" w:rsidRDefault="003F15C8" w:rsidP="009E6D57">
      <w:pPr>
        <w:pStyle w:val="Textpoznpodarou"/>
        <w:jc w:val="both"/>
        <w:rPr>
          <w:spacing w:val="-4"/>
          <w:sz w:val="16"/>
          <w:szCs w:val="16"/>
          <w:lang w:val="en-GB"/>
        </w:rPr>
      </w:pPr>
      <w:r w:rsidRPr="00ED3E51">
        <w:rPr>
          <w:rStyle w:val="Znakapoznpodarou"/>
          <w:spacing w:val="-4"/>
          <w:sz w:val="16"/>
          <w:szCs w:val="16"/>
        </w:rPr>
        <w:footnoteRef/>
      </w:r>
      <w:r>
        <w:rPr>
          <w:spacing w:val="-4"/>
          <w:sz w:val="16"/>
          <w:szCs w:val="16"/>
        </w:rPr>
        <w:t xml:space="preserve"> </w:t>
      </w:r>
      <w:r w:rsidRPr="009E6D57">
        <w:rPr>
          <w:spacing w:val="-4"/>
          <w:sz w:val="16"/>
          <w:szCs w:val="16"/>
          <w:lang w:val="en-GB"/>
        </w:rPr>
        <w:t>Their role w</w:t>
      </w:r>
      <w:r>
        <w:rPr>
          <w:spacing w:val="-4"/>
          <w:sz w:val="16"/>
          <w:szCs w:val="16"/>
          <w:lang w:val="en-GB"/>
        </w:rPr>
        <w:t xml:space="preserve">as enhanced last year also due to the </w:t>
      </w:r>
      <w:r w:rsidRPr="009E6D57">
        <w:rPr>
          <w:spacing w:val="-4"/>
          <w:sz w:val="16"/>
          <w:szCs w:val="16"/>
          <w:lang w:val="en-GB"/>
        </w:rPr>
        <w:t>suspension o</w:t>
      </w:r>
      <w:r>
        <w:rPr>
          <w:spacing w:val="-4"/>
          <w:sz w:val="16"/>
          <w:szCs w:val="16"/>
          <w:lang w:val="en-GB"/>
        </w:rPr>
        <w:t>f part of retail trade, as well as the</w:t>
      </w:r>
      <w:r w:rsidRPr="009E6D57">
        <w:rPr>
          <w:spacing w:val="-4"/>
          <w:sz w:val="16"/>
          <w:szCs w:val="16"/>
          <w:lang w:val="en-GB"/>
        </w:rPr>
        <w:t xml:space="preserve"> restrictions of food service and restaurants (partially offset by the food delivery</w:t>
      </w:r>
      <w:r w:rsidRPr="009E6D57">
        <w:rPr>
          <w:rFonts w:cs="Arial"/>
          <w:bCs/>
          <w:spacing w:val="-4"/>
          <w:sz w:val="16"/>
          <w:szCs w:val="16"/>
          <w:lang w:val="en-GB"/>
        </w:rPr>
        <w:t>).</w:t>
      </w:r>
    </w:p>
  </w:footnote>
  <w:footnote w:id="28">
    <w:p w:rsidR="003F15C8" w:rsidRPr="009E6D57" w:rsidRDefault="003F15C8" w:rsidP="009E6D57">
      <w:pPr>
        <w:spacing w:after="0" w:line="240" w:lineRule="auto"/>
        <w:rPr>
          <w:lang w:val="en-GB"/>
        </w:rPr>
      </w:pPr>
      <w:r w:rsidRPr="009E6D57">
        <w:rPr>
          <w:rStyle w:val="Znakapoznpodarou"/>
          <w:color w:val="0D0D0D" w:themeColor="text1" w:themeTint="F2"/>
          <w:sz w:val="16"/>
          <w:szCs w:val="16"/>
          <w:lang w:val="en-GB"/>
        </w:rPr>
        <w:footnoteRef/>
      </w:r>
      <w:r>
        <w:rPr>
          <w:color w:val="0D0D0D" w:themeColor="text1" w:themeTint="F2"/>
          <w:sz w:val="16"/>
          <w:szCs w:val="16"/>
          <w:lang w:val="en-GB"/>
        </w:rPr>
        <w:t xml:space="preserve"> All year-on-year rates of growth of retail sales are stated in the constant prices and adjusted for calendar effects, quarter-on-quarter as well as month-on-month paces are adjusted for seasonal effects (including the effect of the number of working days). Retail includes branches </w:t>
      </w:r>
      <w:r w:rsidRPr="009E6D57">
        <w:rPr>
          <w:color w:val="0D0D0D" w:themeColor="text1" w:themeTint="F2"/>
          <w:sz w:val="16"/>
          <w:szCs w:val="16"/>
          <w:lang w:val="en-GB"/>
        </w:rPr>
        <w:t>CZ-NACE 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6B1E91" w:rsidRDefault="003F15C8" w:rsidP="00937AE2">
    <w:pPr>
      <w:pStyle w:val="Zhlav"/>
      <w:rPr>
        <w:lang w:val="en-GB"/>
      </w:rPr>
    </w:pPr>
    <w:r w:rsidRPr="006B1E91">
      <w:rPr>
        <w:lang w:val="en-GB"/>
      </w:rPr>
      <w:t>The Czech Economy Development</w:t>
    </w:r>
  </w:p>
  <w:p w:rsidR="003F15C8" w:rsidRPr="006F5416" w:rsidRDefault="003F15C8"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443A47" w:rsidRDefault="003F15C8" w:rsidP="00937AE2">
    <w:pPr>
      <w:pStyle w:val="Zhlav"/>
      <w:rPr>
        <w:lang w:val="en-GB"/>
      </w:rPr>
    </w:pPr>
    <w:r w:rsidRPr="00443A47">
      <w:rPr>
        <w:lang w:val="en-GB"/>
      </w:rPr>
      <w:t>The Czech Economy Development</w:t>
    </w:r>
  </w:p>
  <w:p w:rsidR="003F15C8" w:rsidRPr="006F5416" w:rsidRDefault="003F15C8"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5"/>
  </w:num>
  <w:num w:numId="14">
    <w:abstractNumId w:val="12"/>
  </w:num>
  <w:num w:numId="15">
    <w:abstractNumId w:val="18"/>
  </w:num>
  <w:num w:numId="16">
    <w:abstractNumId w:val="14"/>
  </w:num>
  <w:num w:numId="17">
    <w:abstractNumId w:val="26"/>
  </w:num>
  <w:num w:numId="18">
    <w:abstractNumId w:val="19"/>
  </w:num>
  <w:num w:numId="19">
    <w:abstractNumId w:val="27"/>
  </w:num>
  <w:num w:numId="20">
    <w:abstractNumId w:val="28"/>
  </w:num>
  <w:num w:numId="21">
    <w:abstractNumId w:val="24"/>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849"/>
    <w:rsid w:val="00003E04"/>
    <w:rsid w:val="00003F5C"/>
    <w:rsid w:val="00004D5A"/>
    <w:rsid w:val="000056D5"/>
    <w:rsid w:val="00005D9E"/>
    <w:rsid w:val="000063D5"/>
    <w:rsid w:val="00006625"/>
    <w:rsid w:val="00006ABD"/>
    <w:rsid w:val="00006B67"/>
    <w:rsid w:val="00006C0B"/>
    <w:rsid w:val="000073A0"/>
    <w:rsid w:val="0000767A"/>
    <w:rsid w:val="00007ABE"/>
    <w:rsid w:val="00010256"/>
    <w:rsid w:val="00010359"/>
    <w:rsid w:val="00010702"/>
    <w:rsid w:val="00010B4A"/>
    <w:rsid w:val="0001128E"/>
    <w:rsid w:val="00011912"/>
    <w:rsid w:val="00011FFF"/>
    <w:rsid w:val="0001248D"/>
    <w:rsid w:val="000129B7"/>
    <w:rsid w:val="0001387D"/>
    <w:rsid w:val="00014ED0"/>
    <w:rsid w:val="00015CDD"/>
    <w:rsid w:val="00016420"/>
    <w:rsid w:val="0001711F"/>
    <w:rsid w:val="000173F0"/>
    <w:rsid w:val="00017B01"/>
    <w:rsid w:val="000205D1"/>
    <w:rsid w:val="00020F22"/>
    <w:rsid w:val="0002195D"/>
    <w:rsid w:val="00021DDB"/>
    <w:rsid w:val="000228AE"/>
    <w:rsid w:val="000233D1"/>
    <w:rsid w:val="000234D6"/>
    <w:rsid w:val="00023D29"/>
    <w:rsid w:val="00024348"/>
    <w:rsid w:val="00026389"/>
    <w:rsid w:val="0002669F"/>
    <w:rsid w:val="000279E5"/>
    <w:rsid w:val="00027C1F"/>
    <w:rsid w:val="000308B6"/>
    <w:rsid w:val="0003090A"/>
    <w:rsid w:val="00031AE0"/>
    <w:rsid w:val="00031BB2"/>
    <w:rsid w:val="00031C4B"/>
    <w:rsid w:val="000322EF"/>
    <w:rsid w:val="00033FCD"/>
    <w:rsid w:val="00034015"/>
    <w:rsid w:val="000348AF"/>
    <w:rsid w:val="00034DF7"/>
    <w:rsid w:val="00034E68"/>
    <w:rsid w:val="000350C8"/>
    <w:rsid w:val="00036195"/>
    <w:rsid w:val="000374B2"/>
    <w:rsid w:val="000376C0"/>
    <w:rsid w:val="000376E9"/>
    <w:rsid w:val="000403A7"/>
    <w:rsid w:val="00040632"/>
    <w:rsid w:val="0004094F"/>
    <w:rsid w:val="000419EF"/>
    <w:rsid w:val="00041AFC"/>
    <w:rsid w:val="00041CEC"/>
    <w:rsid w:val="00041E9E"/>
    <w:rsid w:val="00042596"/>
    <w:rsid w:val="000436C5"/>
    <w:rsid w:val="000438BC"/>
    <w:rsid w:val="00044183"/>
    <w:rsid w:val="0004431D"/>
    <w:rsid w:val="00046559"/>
    <w:rsid w:val="0004694F"/>
    <w:rsid w:val="00046F2F"/>
    <w:rsid w:val="00047AD4"/>
    <w:rsid w:val="00047D54"/>
    <w:rsid w:val="0005054A"/>
    <w:rsid w:val="00050EEC"/>
    <w:rsid w:val="00051506"/>
    <w:rsid w:val="00051AF0"/>
    <w:rsid w:val="000522E4"/>
    <w:rsid w:val="00053625"/>
    <w:rsid w:val="00053713"/>
    <w:rsid w:val="00053F7F"/>
    <w:rsid w:val="0005434E"/>
    <w:rsid w:val="00055CB6"/>
    <w:rsid w:val="00057001"/>
    <w:rsid w:val="000572DD"/>
    <w:rsid w:val="0005746E"/>
    <w:rsid w:val="00057B1E"/>
    <w:rsid w:val="00060022"/>
    <w:rsid w:val="000610E1"/>
    <w:rsid w:val="000611F7"/>
    <w:rsid w:val="000616AD"/>
    <w:rsid w:val="00061C7A"/>
    <w:rsid w:val="000622A6"/>
    <w:rsid w:val="00062EC5"/>
    <w:rsid w:val="00062F22"/>
    <w:rsid w:val="00063975"/>
    <w:rsid w:val="00063CEA"/>
    <w:rsid w:val="0006444D"/>
    <w:rsid w:val="000645FC"/>
    <w:rsid w:val="0006533F"/>
    <w:rsid w:val="00065348"/>
    <w:rsid w:val="0006551C"/>
    <w:rsid w:val="00065A75"/>
    <w:rsid w:val="000663F0"/>
    <w:rsid w:val="00066558"/>
    <w:rsid w:val="00070A87"/>
    <w:rsid w:val="000712B3"/>
    <w:rsid w:val="00071A7C"/>
    <w:rsid w:val="00072FF5"/>
    <w:rsid w:val="00073082"/>
    <w:rsid w:val="00073A5A"/>
    <w:rsid w:val="0007474E"/>
    <w:rsid w:val="00074988"/>
    <w:rsid w:val="00074A70"/>
    <w:rsid w:val="0007512B"/>
    <w:rsid w:val="00075551"/>
    <w:rsid w:val="000767F5"/>
    <w:rsid w:val="00076D90"/>
    <w:rsid w:val="000773DB"/>
    <w:rsid w:val="00077FF0"/>
    <w:rsid w:val="00081427"/>
    <w:rsid w:val="00081A55"/>
    <w:rsid w:val="0008263E"/>
    <w:rsid w:val="00082C19"/>
    <w:rsid w:val="00082F89"/>
    <w:rsid w:val="0008318E"/>
    <w:rsid w:val="000837CD"/>
    <w:rsid w:val="00084BFF"/>
    <w:rsid w:val="00085395"/>
    <w:rsid w:val="000866A5"/>
    <w:rsid w:val="00086896"/>
    <w:rsid w:val="00086AC1"/>
    <w:rsid w:val="00086D19"/>
    <w:rsid w:val="00087634"/>
    <w:rsid w:val="00087F2B"/>
    <w:rsid w:val="00090188"/>
    <w:rsid w:val="000903D2"/>
    <w:rsid w:val="00090694"/>
    <w:rsid w:val="00090EE2"/>
    <w:rsid w:val="00090FC6"/>
    <w:rsid w:val="000913B1"/>
    <w:rsid w:val="0009290F"/>
    <w:rsid w:val="00093241"/>
    <w:rsid w:val="00093868"/>
    <w:rsid w:val="00094A84"/>
    <w:rsid w:val="00095025"/>
    <w:rsid w:val="00095135"/>
    <w:rsid w:val="00095273"/>
    <w:rsid w:val="0009626E"/>
    <w:rsid w:val="00097191"/>
    <w:rsid w:val="000974D1"/>
    <w:rsid w:val="00097784"/>
    <w:rsid w:val="0009799E"/>
    <w:rsid w:val="000A07CB"/>
    <w:rsid w:val="000A0AA7"/>
    <w:rsid w:val="000A0BC0"/>
    <w:rsid w:val="000A1183"/>
    <w:rsid w:val="000A12ED"/>
    <w:rsid w:val="000A1D49"/>
    <w:rsid w:val="000A212B"/>
    <w:rsid w:val="000A242D"/>
    <w:rsid w:val="000A256D"/>
    <w:rsid w:val="000A2E5F"/>
    <w:rsid w:val="000A3A2C"/>
    <w:rsid w:val="000A3D9E"/>
    <w:rsid w:val="000A4A54"/>
    <w:rsid w:val="000A4ED9"/>
    <w:rsid w:val="000A5DB7"/>
    <w:rsid w:val="000A6D94"/>
    <w:rsid w:val="000A7377"/>
    <w:rsid w:val="000A7FF4"/>
    <w:rsid w:val="000B03CC"/>
    <w:rsid w:val="000B0B1D"/>
    <w:rsid w:val="000B1AA3"/>
    <w:rsid w:val="000B2172"/>
    <w:rsid w:val="000B3D33"/>
    <w:rsid w:val="000B4212"/>
    <w:rsid w:val="000B5825"/>
    <w:rsid w:val="000B67B7"/>
    <w:rsid w:val="000B7328"/>
    <w:rsid w:val="000B7BE8"/>
    <w:rsid w:val="000C062B"/>
    <w:rsid w:val="000C0768"/>
    <w:rsid w:val="000C0E35"/>
    <w:rsid w:val="000C0EA8"/>
    <w:rsid w:val="000C13A2"/>
    <w:rsid w:val="000C2144"/>
    <w:rsid w:val="000C21A0"/>
    <w:rsid w:val="000C21E7"/>
    <w:rsid w:val="000C23EC"/>
    <w:rsid w:val="000C242B"/>
    <w:rsid w:val="000C30C3"/>
    <w:rsid w:val="000C3408"/>
    <w:rsid w:val="000C35AB"/>
    <w:rsid w:val="000C3F7B"/>
    <w:rsid w:val="000C4769"/>
    <w:rsid w:val="000C4D56"/>
    <w:rsid w:val="000C5DFA"/>
    <w:rsid w:val="000C6AFD"/>
    <w:rsid w:val="000C6C90"/>
    <w:rsid w:val="000C72B7"/>
    <w:rsid w:val="000D0A26"/>
    <w:rsid w:val="000D151D"/>
    <w:rsid w:val="000D1DDC"/>
    <w:rsid w:val="000D287F"/>
    <w:rsid w:val="000D3058"/>
    <w:rsid w:val="000D310A"/>
    <w:rsid w:val="000D3A1F"/>
    <w:rsid w:val="000D3EF4"/>
    <w:rsid w:val="000D493D"/>
    <w:rsid w:val="000D4DC0"/>
    <w:rsid w:val="000D5637"/>
    <w:rsid w:val="000D6894"/>
    <w:rsid w:val="000D6F4E"/>
    <w:rsid w:val="000D73BB"/>
    <w:rsid w:val="000E0E96"/>
    <w:rsid w:val="000E27AC"/>
    <w:rsid w:val="000E298B"/>
    <w:rsid w:val="000E2C7D"/>
    <w:rsid w:val="000E2DA8"/>
    <w:rsid w:val="000E3450"/>
    <w:rsid w:val="000E3A07"/>
    <w:rsid w:val="000E3E56"/>
    <w:rsid w:val="000E440D"/>
    <w:rsid w:val="000E4AC5"/>
    <w:rsid w:val="000E4E51"/>
    <w:rsid w:val="000E6253"/>
    <w:rsid w:val="000E6E4D"/>
    <w:rsid w:val="000E6FBD"/>
    <w:rsid w:val="000E6FCB"/>
    <w:rsid w:val="000F090B"/>
    <w:rsid w:val="000F0CCB"/>
    <w:rsid w:val="000F110B"/>
    <w:rsid w:val="000F2F24"/>
    <w:rsid w:val="000F3F3B"/>
    <w:rsid w:val="000F47E8"/>
    <w:rsid w:val="000F70E4"/>
    <w:rsid w:val="000F76EA"/>
    <w:rsid w:val="00100A8B"/>
    <w:rsid w:val="00100BC7"/>
    <w:rsid w:val="00100F5C"/>
    <w:rsid w:val="0010197E"/>
    <w:rsid w:val="00101CDA"/>
    <w:rsid w:val="00102037"/>
    <w:rsid w:val="00103DCB"/>
    <w:rsid w:val="00104C4C"/>
    <w:rsid w:val="00105015"/>
    <w:rsid w:val="001055D2"/>
    <w:rsid w:val="001057C2"/>
    <w:rsid w:val="00106EF4"/>
    <w:rsid w:val="0010769A"/>
    <w:rsid w:val="00107E91"/>
    <w:rsid w:val="0011038E"/>
    <w:rsid w:val="001125EF"/>
    <w:rsid w:val="00112CAB"/>
    <w:rsid w:val="00114C33"/>
    <w:rsid w:val="00114C8D"/>
    <w:rsid w:val="00116D3F"/>
    <w:rsid w:val="00117474"/>
    <w:rsid w:val="00117623"/>
    <w:rsid w:val="00117FEA"/>
    <w:rsid w:val="001200CF"/>
    <w:rsid w:val="001208E3"/>
    <w:rsid w:val="00121609"/>
    <w:rsid w:val="0012192F"/>
    <w:rsid w:val="001221BA"/>
    <w:rsid w:val="00122994"/>
    <w:rsid w:val="00123C09"/>
    <w:rsid w:val="00123FFA"/>
    <w:rsid w:val="001245AF"/>
    <w:rsid w:val="00124B46"/>
    <w:rsid w:val="00124F5A"/>
    <w:rsid w:val="001257E0"/>
    <w:rsid w:val="00125D69"/>
    <w:rsid w:val="0012799C"/>
    <w:rsid w:val="00127BC2"/>
    <w:rsid w:val="00127E15"/>
    <w:rsid w:val="00130ADC"/>
    <w:rsid w:val="00130C52"/>
    <w:rsid w:val="00130D9F"/>
    <w:rsid w:val="001326A3"/>
    <w:rsid w:val="00132C4D"/>
    <w:rsid w:val="00133846"/>
    <w:rsid w:val="00133FC1"/>
    <w:rsid w:val="00134659"/>
    <w:rsid w:val="00135015"/>
    <w:rsid w:val="00135698"/>
    <w:rsid w:val="001363D2"/>
    <w:rsid w:val="00136AB9"/>
    <w:rsid w:val="00137167"/>
    <w:rsid w:val="001405FA"/>
    <w:rsid w:val="001409AB"/>
    <w:rsid w:val="00140D1A"/>
    <w:rsid w:val="00141184"/>
    <w:rsid w:val="00141315"/>
    <w:rsid w:val="00141AA0"/>
    <w:rsid w:val="00141DCF"/>
    <w:rsid w:val="001425C3"/>
    <w:rsid w:val="0014262D"/>
    <w:rsid w:val="00142B29"/>
    <w:rsid w:val="001438C8"/>
    <w:rsid w:val="001441A1"/>
    <w:rsid w:val="00144588"/>
    <w:rsid w:val="001447DD"/>
    <w:rsid w:val="00144D63"/>
    <w:rsid w:val="001459BC"/>
    <w:rsid w:val="00147D97"/>
    <w:rsid w:val="001518E5"/>
    <w:rsid w:val="00152954"/>
    <w:rsid w:val="00152F4F"/>
    <w:rsid w:val="0015417D"/>
    <w:rsid w:val="0015435A"/>
    <w:rsid w:val="001544A1"/>
    <w:rsid w:val="001553B8"/>
    <w:rsid w:val="001554C2"/>
    <w:rsid w:val="00155D96"/>
    <w:rsid w:val="0015620F"/>
    <w:rsid w:val="001571C0"/>
    <w:rsid w:val="0015753D"/>
    <w:rsid w:val="00157CC9"/>
    <w:rsid w:val="00157F48"/>
    <w:rsid w:val="0016093A"/>
    <w:rsid w:val="00160C21"/>
    <w:rsid w:val="00160E90"/>
    <w:rsid w:val="001612F4"/>
    <w:rsid w:val="00161553"/>
    <w:rsid w:val="0016256B"/>
    <w:rsid w:val="00162F81"/>
    <w:rsid w:val="00163793"/>
    <w:rsid w:val="00164D4C"/>
    <w:rsid w:val="00165313"/>
    <w:rsid w:val="00167240"/>
    <w:rsid w:val="00167485"/>
    <w:rsid w:val="001679F5"/>
    <w:rsid w:val="00167B92"/>
    <w:rsid w:val="00167CB9"/>
    <w:rsid w:val="00167DD8"/>
    <w:rsid w:val="001700BC"/>
    <w:rsid w:val="001705AD"/>
    <w:rsid w:val="001706D6"/>
    <w:rsid w:val="001714F2"/>
    <w:rsid w:val="00171FEA"/>
    <w:rsid w:val="00173622"/>
    <w:rsid w:val="00175B9F"/>
    <w:rsid w:val="001762F4"/>
    <w:rsid w:val="00177478"/>
    <w:rsid w:val="001808B7"/>
    <w:rsid w:val="00181BBC"/>
    <w:rsid w:val="0018385F"/>
    <w:rsid w:val="00184017"/>
    <w:rsid w:val="001847BB"/>
    <w:rsid w:val="00184B08"/>
    <w:rsid w:val="00185010"/>
    <w:rsid w:val="00185153"/>
    <w:rsid w:val="00185AA7"/>
    <w:rsid w:val="00185C22"/>
    <w:rsid w:val="00186562"/>
    <w:rsid w:val="0018656D"/>
    <w:rsid w:val="00186BA9"/>
    <w:rsid w:val="001870D3"/>
    <w:rsid w:val="001874AB"/>
    <w:rsid w:val="00187D50"/>
    <w:rsid w:val="001917AA"/>
    <w:rsid w:val="0019196C"/>
    <w:rsid w:val="001926A9"/>
    <w:rsid w:val="00192F05"/>
    <w:rsid w:val="001935E7"/>
    <w:rsid w:val="00193A1D"/>
    <w:rsid w:val="00194729"/>
    <w:rsid w:val="0019480C"/>
    <w:rsid w:val="00194850"/>
    <w:rsid w:val="00195234"/>
    <w:rsid w:val="00196016"/>
    <w:rsid w:val="00196117"/>
    <w:rsid w:val="0019691A"/>
    <w:rsid w:val="001971BA"/>
    <w:rsid w:val="001978BE"/>
    <w:rsid w:val="00197A70"/>
    <w:rsid w:val="00197C0F"/>
    <w:rsid w:val="001A0487"/>
    <w:rsid w:val="001A0675"/>
    <w:rsid w:val="001A1F68"/>
    <w:rsid w:val="001A21FA"/>
    <w:rsid w:val="001A4341"/>
    <w:rsid w:val="001A4D52"/>
    <w:rsid w:val="001A4EF0"/>
    <w:rsid w:val="001A50C7"/>
    <w:rsid w:val="001A552F"/>
    <w:rsid w:val="001A70B1"/>
    <w:rsid w:val="001B0738"/>
    <w:rsid w:val="001B2CA9"/>
    <w:rsid w:val="001B3110"/>
    <w:rsid w:val="001B3E38"/>
    <w:rsid w:val="001B40F5"/>
    <w:rsid w:val="001B4729"/>
    <w:rsid w:val="001B4F0E"/>
    <w:rsid w:val="001B5F40"/>
    <w:rsid w:val="001B6310"/>
    <w:rsid w:val="001B6C09"/>
    <w:rsid w:val="001B6E12"/>
    <w:rsid w:val="001B707F"/>
    <w:rsid w:val="001C05CD"/>
    <w:rsid w:val="001C0F17"/>
    <w:rsid w:val="001C1B24"/>
    <w:rsid w:val="001C1B66"/>
    <w:rsid w:val="001C21CA"/>
    <w:rsid w:val="001C31A2"/>
    <w:rsid w:val="001C351D"/>
    <w:rsid w:val="001C4094"/>
    <w:rsid w:val="001C4B8F"/>
    <w:rsid w:val="001C4BB8"/>
    <w:rsid w:val="001C4FD0"/>
    <w:rsid w:val="001C5E46"/>
    <w:rsid w:val="001C6B3B"/>
    <w:rsid w:val="001C7A26"/>
    <w:rsid w:val="001C7E3F"/>
    <w:rsid w:val="001D0EF1"/>
    <w:rsid w:val="001D0F1C"/>
    <w:rsid w:val="001D22C2"/>
    <w:rsid w:val="001D2C99"/>
    <w:rsid w:val="001D3B6C"/>
    <w:rsid w:val="001D452E"/>
    <w:rsid w:val="001D54C1"/>
    <w:rsid w:val="001D556E"/>
    <w:rsid w:val="001D5DF2"/>
    <w:rsid w:val="001D62E0"/>
    <w:rsid w:val="001D68B2"/>
    <w:rsid w:val="001D7EFD"/>
    <w:rsid w:val="001D7F60"/>
    <w:rsid w:val="001E3306"/>
    <w:rsid w:val="001E3E5B"/>
    <w:rsid w:val="001E486E"/>
    <w:rsid w:val="001E504C"/>
    <w:rsid w:val="001E5A17"/>
    <w:rsid w:val="001E7030"/>
    <w:rsid w:val="001E74C5"/>
    <w:rsid w:val="001F05C2"/>
    <w:rsid w:val="001F0928"/>
    <w:rsid w:val="001F101A"/>
    <w:rsid w:val="001F1236"/>
    <w:rsid w:val="001F2F90"/>
    <w:rsid w:val="001F38A3"/>
    <w:rsid w:val="001F4597"/>
    <w:rsid w:val="001F4826"/>
    <w:rsid w:val="001F6ABC"/>
    <w:rsid w:val="001F6CD3"/>
    <w:rsid w:val="001F75DA"/>
    <w:rsid w:val="001F7CE0"/>
    <w:rsid w:val="00200085"/>
    <w:rsid w:val="002002F3"/>
    <w:rsid w:val="00202575"/>
    <w:rsid w:val="00202A83"/>
    <w:rsid w:val="00203332"/>
    <w:rsid w:val="00203CD5"/>
    <w:rsid w:val="00203D8F"/>
    <w:rsid w:val="00203DA4"/>
    <w:rsid w:val="0020491E"/>
    <w:rsid w:val="00204EA6"/>
    <w:rsid w:val="00205186"/>
    <w:rsid w:val="00206390"/>
    <w:rsid w:val="00206516"/>
    <w:rsid w:val="00206B92"/>
    <w:rsid w:val="002071D5"/>
    <w:rsid w:val="002111E5"/>
    <w:rsid w:val="002118B9"/>
    <w:rsid w:val="00213691"/>
    <w:rsid w:val="00213FAF"/>
    <w:rsid w:val="002142C0"/>
    <w:rsid w:val="00215601"/>
    <w:rsid w:val="002171C1"/>
    <w:rsid w:val="00217C5B"/>
    <w:rsid w:val="0022020D"/>
    <w:rsid w:val="00220A43"/>
    <w:rsid w:val="0022139E"/>
    <w:rsid w:val="00221CB5"/>
    <w:rsid w:val="00221ED9"/>
    <w:rsid w:val="00222729"/>
    <w:rsid w:val="00223185"/>
    <w:rsid w:val="002233D6"/>
    <w:rsid w:val="002243CC"/>
    <w:rsid w:val="0022441D"/>
    <w:rsid w:val="0022449A"/>
    <w:rsid w:val="00224574"/>
    <w:rsid w:val="00224A20"/>
    <w:rsid w:val="00224E3F"/>
    <w:rsid w:val="002252E0"/>
    <w:rsid w:val="002255F6"/>
    <w:rsid w:val="00225986"/>
    <w:rsid w:val="00226032"/>
    <w:rsid w:val="002264F7"/>
    <w:rsid w:val="0022738D"/>
    <w:rsid w:val="002275FA"/>
    <w:rsid w:val="00227605"/>
    <w:rsid w:val="00227850"/>
    <w:rsid w:val="00227A53"/>
    <w:rsid w:val="00227BD0"/>
    <w:rsid w:val="00227E2E"/>
    <w:rsid w:val="00227F53"/>
    <w:rsid w:val="00230C6E"/>
    <w:rsid w:val="00230DB5"/>
    <w:rsid w:val="00230E21"/>
    <w:rsid w:val="00231066"/>
    <w:rsid w:val="002316A8"/>
    <w:rsid w:val="00231859"/>
    <w:rsid w:val="002320C9"/>
    <w:rsid w:val="0023288F"/>
    <w:rsid w:val="00233364"/>
    <w:rsid w:val="0023359B"/>
    <w:rsid w:val="00233603"/>
    <w:rsid w:val="00233E81"/>
    <w:rsid w:val="002340EF"/>
    <w:rsid w:val="00234B82"/>
    <w:rsid w:val="00235818"/>
    <w:rsid w:val="00236443"/>
    <w:rsid w:val="0023668D"/>
    <w:rsid w:val="00236700"/>
    <w:rsid w:val="00237C8B"/>
    <w:rsid w:val="00240391"/>
    <w:rsid w:val="00240AF3"/>
    <w:rsid w:val="002418D5"/>
    <w:rsid w:val="00241B06"/>
    <w:rsid w:val="002424DB"/>
    <w:rsid w:val="0024343A"/>
    <w:rsid w:val="002436BA"/>
    <w:rsid w:val="00244276"/>
    <w:rsid w:val="00244652"/>
    <w:rsid w:val="00244A15"/>
    <w:rsid w:val="002452D9"/>
    <w:rsid w:val="00247319"/>
    <w:rsid w:val="00247447"/>
    <w:rsid w:val="0024799E"/>
    <w:rsid w:val="00247E60"/>
    <w:rsid w:val="00251496"/>
    <w:rsid w:val="00251B08"/>
    <w:rsid w:val="00251B0E"/>
    <w:rsid w:val="00251C53"/>
    <w:rsid w:val="00252AB9"/>
    <w:rsid w:val="002532B1"/>
    <w:rsid w:val="00253C0F"/>
    <w:rsid w:val="002558C1"/>
    <w:rsid w:val="00255F4B"/>
    <w:rsid w:val="00256207"/>
    <w:rsid w:val="002575F3"/>
    <w:rsid w:val="00257B79"/>
    <w:rsid w:val="002603E1"/>
    <w:rsid w:val="0026120E"/>
    <w:rsid w:val="00261402"/>
    <w:rsid w:val="00262489"/>
    <w:rsid w:val="00262582"/>
    <w:rsid w:val="0026291D"/>
    <w:rsid w:val="00262CF3"/>
    <w:rsid w:val="002635A1"/>
    <w:rsid w:val="00263A67"/>
    <w:rsid w:val="00264309"/>
    <w:rsid w:val="00264992"/>
    <w:rsid w:val="0026564B"/>
    <w:rsid w:val="00265C83"/>
    <w:rsid w:val="00265E85"/>
    <w:rsid w:val="00267B49"/>
    <w:rsid w:val="00267C51"/>
    <w:rsid w:val="002700D9"/>
    <w:rsid w:val="0027025F"/>
    <w:rsid w:val="002709CC"/>
    <w:rsid w:val="00270D25"/>
    <w:rsid w:val="00271022"/>
    <w:rsid w:val="00271465"/>
    <w:rsid w:val="00271E47"/>
    <w:rsid w:val="002721F5"/>
    <w:rsid w:val="00272DF4"/>
    <w:rsid w:val="00275062"/>
    <w:rsid w:val="00275758"/>
    <w:rsid w:val="0027583D"/>
    <w:rsid w:val="00275DEF"/>
    <w:rsid w:val="002763A2"/>
    <w:rsid w:val="002764E4"/>
    <w:rsid w:val="00276B33"/>
    <w:rsid w:val="00280D36"/>
    <w:rsid w:val="002812E3"/>
    <w:rsid w:val="00282755"/>
    <w:rsid w:val="00282A27"/>
    <w:rsid w:val="00282AAE"/>
    <w:rsid w:val="00282AD4"/>
    <w:rsid w:val="00283276"/>
    <w:rsid w:val="0028341F"/>
    <w:rsid w:val="002837AE"/>
    <w:rsid w:val="00283C13"/>
    <w:rsid w:val="00283F7B"/>
    <w:rsid w:val="0028431A"/>
    <w:rsid w:val="002853FA"/>
    <w:rsid w:val="00285412"/>
    <w:rsid w:val="00285604"/>
    <w:rsid w:val="00286220"/>
    <w:rsid w:val="00291640"/>
    <w:rsid w:val="002916BD"/>
    <w:rsid w:val="0029237E"/>
    <w:rsid w:val="00292997"/>
    <w:rsid w:val="00293D24"/>
    <w:rsid w:val="0029509B"/>
    <w:rsid w:val="0029588F"/>
    <w:rsid w:val="00295BAE"/>
    <w:rsid w:val="00295E96"/>
    <w:rsid w:val="002967F9"/>
    <w:rsid w:val="00297256"/>
    <w:rsid w:val="00297A5C"/>
    <w:rsid w:val="00297D51"/>
    <w:rsid w:val="002A0122"/>
    <w:rsid w:val="002A016B"/>
    <w:rsid w:val="002A0C95"/>
    <w:rsid w:val="002A16D4"/>
    <w:rsid w:val="002A17E2"/>
    <w:rsid w:val="002A1C17"/>
    <w:rsid w:val="002A1E4F"/>
    <w:rsid w:val="002A230C"/>
    <w:rsid w:val="002A24F6"/>
    <w:rsid w:val="002A2AF7"/>
    <w:rsid w:val="002A3209"/>
    <w:rsid w:val="002A3EA2"/>
    <w:rsid w:val="002A51AC"/>
    <w:rsid w:val="002A532A"/>
    <w:rsid w:val="002A5846"/>
    <w:rsid w:val="002A5D97"/>
    <w:rsid w:val="002A603E"/>
    <w:rsid w:val="002A63B9"/>
    <w:rsid w:val="002A7089"/>
    <w:rsid w:val="002B0C9F"/>
    <w:rsid w:val="002B1619"/>
    <w:rsid w:val="002B2CDE"/>
    <w:rsid w:val="002B3A7F"/>
    <w:rsid w:val="002B3EF4"/>
    <w:rsid w:val="002B4194"/>
    <w:rsid w:val="002B4845"/>
    <w:rsid w:val="002B5567"/>
    <w:rsid w:val="002B5812"/>
    <w:rsid w:val="002B72AA"/>
    <w:rsid w:val="002C1110"/>
    <w:rsid w:val="002C1BC2"/>
    <w:rsid w:val="002C1F09"/>
    <w:rsid w:val="002C22A4"/>
    <w:rsid w:val="002C260B"/>
    <w:rsid w:val="002C27A6"/>
    <w:rsid w:val="002C2832"/>
    <w:rsid w:val="002C31E4"/>
    <w:rsid w:val="002C398D"/>
    <w:rsid w:val="002C40D2"/>
    <w:rsid w:val="002C43BD"/>
    <w:rsid w:val="002C5245"/>
    <w:rsid w:val="002C564A"/>
    <w:rsid w:val="002C59D8"/>
    <w:rsid w:val="002C5FEB"/>
    <w:rsid w:val="002C6494"/>
    <w:rsid w:val="002D033B"/>
    <w:rsid w:val="002D05CB"/>
    <w:rsid w:val="002D0E59"/>
    <w:rsid w:val="002D2292"/>
    <w:rsid w:val="002D2C4F"/>
    <w:rsid w:val="002D3EBB"/>
    <w:rsid w:val="002D428D"/>
    <w:rsid w:val="002D455C"/>
    <w:rsid w:val="002D6066"/>
    <w:rsid w:val="002E02A1"/>
    <w:rsid w:val="002E0A27"/>
    <w:rsid w:val="002E192A"/>
    <w:rsid w:val="002E196A"/>
    <w:rsid w:val="002E20C7"/>
    <w:rsid w:val="002E20CD"/>
    <w:rsid w:val="002E222E"/>
    <w:rsid w:val="002E28D8"/>
    <w:rsid w:val="002E37D1"/>
    <w:rsid w:val="002E3817"/>
    <w:rsid w:val="002E3BEE"/>
    <w:rsid w:val="002E4E4C"/>
    <w:rsid w:val="002E4EA7"/>
    <w:rsid w:val="002E5846"/>
    <w:rsid w:val="002E6CE9"/>
    <w:rsid w:val="002E6E1C"/>
    <w:rsid w:val="002E792B"/>
    <w:rsid w:val="002E7AEB"/>
    <w:rsid w:val="002F1B09"/>
    <w:rsid w:val="002F1D56"/>
    <w:rsid w:val="002F1DCB"/>
    <w:rsid w:val="002F1DE4"/>
    <w:rsid w:val="002F333D"/>
    <w:rsid w:val="002F351A"/>
    <w:rsid w:val="002F46D6"/>
    <w:rsid w:val="002F498A"/>
    <w:rsid w:val="002F4AD8"/>
    <w:rsid w:val="002F5146"/>
    <w:rsid w:val="002F5285"/>
    <w:rsid w:val="002F5820"/>
    <w:rsid w:val="002F64BB"/>
    <w:rsid w:val="00300C31"/>
    <w:rsid w:val="003017EC"/>
    <w:rsid w:val="00302165"/>
    <w:rsid w:val="00303B89"/>
    <w:rsid w:val="00304771"/>
    <w:rsid w:val="003052D4"/>
    <w:rsid w:val="003060E9"/>
    <w:rsid w:val="00306C5B"/>
    <w:rsid w:val="00307529"/>
    <w:rsid w:val="00307DB3"/>
    <w:rsid w:val="00307ED2"/>
    <w:rsid w:val="0031076D"/>
    <w:rsid w:val="0031169A"/>
    <w:rsid w:val="00311AA6"/>
    <w:rsid w:val="00311C4D"/>
    <w:rsid w:val="003121AB"/>
    <w:rsid w:val="003129C5"/>
    <w:rsid w:val="00312EF6"/>
    <w:rsid w:val="00314068"/>
    <w:rsid w:val="00315169"/>
    <w:rsid w:val="003153C8"/>
    <w:rsid w:val="00315524"/>
    <w:rsid w:val="00315561"/>
    <w:rsid w:val="00317263"/>
    <w:rsid w:val="0031738D"/>
    <w:rsid w:val="0032058C"/>
    <w:rsid w:val="003208D0"/>
    <w:rsid w:val="003209D6"/>
    <w:rsid w:val="003217B9"/>
    <w:rsid w:val="003217C7"/>
    <w:rsid w:val="00321924"/>
    <w:rsid w:val="00321EB6"/>
    <w:rsid w:val="003220A5"/>
    <w:rsid w:val="003238E0"/>
    <w:rsid w:val="00323A1C"/>
    <w:rsid w:val="00324B59"/>
    <w:rsid w:val="00324C52"/>
    <w:rsid w:val="0032656E"/>
    <w:rsid w:val="0032788F"/>
    <w:rsid w:val="003302F3"/>
    <w:rsid w:val="00332190"/>
    <w:rsid w:val="00332485"/>
    <w:rsid w:val="00332A98"/>
    <w:rsid w:val="003334BD"/>
    <w:rsid w:val="00333973"/>
    <w:rsid w:val="00333CD0"/>
    <w:rsid w:val="0033448D"/>
    <w:rsid w:val="00334AD2"/>
    <w:rsid w:val="00334CB6"/>
    <w:rsid w:val="00336F32"/>
    <w:rsid w:val="0033709C"/>
    <w:rsid w:val="003370C5"/>
    <w:rsid w:val="003373C6"/>
    <w:rsid w:val="00337649"/>
    <w:rsid w:val="00340619"/>
    <w:rsid w:val="00340BF3"/>
    <w:rsid w:val="00341D26"/>
    <w:rsid w:val="00341F05"/>
    <w:rsid w:val="0034335E"/>
    <w:rsid w:val="00343BB6"/>
    <w:rsid w:val="00344668"/>
    <w:rsid w:val="003446C5"/>
    <w:rsid w:val="00344940"/>
    <w:rsid w:val="00345B78"/>
    <w:rsid w:val="00346234"/>
    <w:rsid w:val="003462D9"/>
    <w:rsid w:val="00346E45"/>
    <w:rsid w:val="0034723F"/>
    <w:rsid w:val="00347247"/>
    <w:rsid w:val="003474B6"/>
    <w:rsid w:val="00347DD4"/>
    <w:rsid w:val="00347F6F"/>
    <w:rsid w:val="00351AFA"/>
    <w:rsid w:val="00352356"/>
    <w:rsid w:val="00352B43"/>
    <w:rsid w:val="00352C28"/>
    <w:rsid w:val="00356BD9"/>
    <w:rsid w:val="00356DB3"/>
    <w:rsid w:val="00360645"/>
    <w:rsid w:val="0036077F"/>
    <w:rsid w:val="00360C86"/>
    <w:rsid w:val="00360F7A"/>
    <w:rsid w:val="00360FBC"/>
    <w:rsid w:val="00361537"/>
    <w:rsid w:val="00361FB7"/>
    <w:rsid w:val="0036242A"/>
    <w:rsid w:val="00362C23"/>
    <w:rsid w:val="00362DCA"/>
    <w:rsid w:val="00362E90"/>
    <w:rsid w:val="00364FA0"/>
    <w:rsid w:val="003657F3"/>
    <w:rsid w:val="00365844"/>
    <w:rsid w:val="00367F84"/>
    <w:rsid w:val="00370CFF"/>
    <w:rsid w:val="003712BC"/>
    <w:rsid w:val="00372164"/>
    <w:rsid w:val="003738BD"/>
    <w:rsid w:val="00374263"/>
    <w:rsid w:val="003746F0"/>
    <w:rsid w:val="0037473E"/>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25"/>
    <w:rsid w:val="00385086"/>
    <w:rsid w:val="00385D98"/>
    <w:rsid w:val="00387963"/>
    <w:rsid w:val="00390306"/>
    <w:rsid w:val="003908A6"/>
    <w:rsid w:val="0039109D"/>
    <w:rsid w:val="00391989"/>
    <w:rsid w:val="00391A6C"/>
    <w:rsid w:val="003927F6"/>
    <w:rsid w:val="00394139"/>
    <w:rsid w:val="00396128"/>
    <w:rsid w:val="00396739"/>
    <w:rsid w:val="00396F82"/>
    <w:rsid w:val="003978B1"/>
    <w:rsid w:val="003A00E3"/>
    <w:rsid w:val="003A04F6"/>
    <w:rsid w:val="003A0837"/>
    <w:rsid w:val="003A2B4D"/>
    <w:rsid w:val="003A2D12"/>
    <w:rsid w:val="003A2EBA"/>
    <w:rsid w:val="003A3741"/>
    <w:rsid w:val="003A390C"/>
    <w:rsid w:val="003A4098"/>
    <w:rsid w:val="003A45E3"/>
    <w:rsid w:val="003A478C"/>
    <w:rsid w:val="003A4A38"/>
    <w:rsid w:val="003A4B03"/>
    <w:rsid w:val="003A5525"/>
    <w:rsid w:val="003A5889"/>
    <w:rsid w:val="003A6B38"/>
    <w:rsid w:val="003A6B83"/>
    <w:rsid w:val="003A6C97"/>
    <w:rsid w:val="003A722F"/>
    <w:rsid w:val="003A7373"/>
    <w:rsid w:val="003A7D09"/>
    <w:rsid w:val="003B0231"/>
    <w:rsid w:val="003B039F"/>
    <w:rsid w:val="003B04DB"/>
    <w:rsid w:val="003B0DF4"/>
    <w:rsid w:val="003B0ECE"/>
    <w:rsid w:val="003B1F9D"/>
    <w:rsid w:val="003B2718"/>
    <w:rsid w:val="003B2A8D"/>
    <w:rsid w:val="003B2AD1"/>
    <w:rsid w:val="003B2C12"/>
    <w:rsid w:val="003B2D2E"/>
    <w:rsid w:val="003B461F"/>
    <w:rsid w:val="003B483F"/>
    <w:rsid w:val="003B4998"/>
    <w:rsid w:val="003B5A32"/>
    <w:rsid w:val="003B5B59"/>
    <w:rsid w:val="003B7B50"/>
    <w:rsid w:val="003C0B07"/>
    <w:rsid w:val="003C0F1A"/>
    <w:rsid w:val="003C1263"/>
    <w:rsid w:val="003C2B05"/>
    <w:rsid w:val="003C2CE7"/>
    <w:rsid w:val="003C3490"/>
    <w:rsid w:val="003C3608"/>
    <w:rsid w:val="003C3A1D"/>
    <w:rsid w:val="003C3AE8"/>
    <w:rsid w:val="003C3D2C"/>
    <w:rsid w:val="003C4E13"/>
    <w:rsid w:val="003C6221"/>
    <w:rsid w:val="003C63D7"/>
    <w:rsid w:val="003C68CC"/>
    <w:rsid w:val="003C7E62"/>
    <w:rsid w:val="003D12B9"/>
    <w:rsid w:val="003D1E7A"/>
    <w:rsid w:val="003D242B"/>
    <w:rsid w:val="003D2492"/>
    <w:rsid w:val="003D29AA"/>
    <w:rsid w:val="003D2A99"/>
    <w:rsid w:val="003D3245"/>
    <w:rsid w:val="003D5A90"/>
    <w:rsid w:val="003D6920"/>
    <w:rsid w:val="003E0249"/>
    <w:rsid w:val="003E08A4"/>
    <w:rsid w:val="003E1AA3"/>
    <w:rsid w:val="003E1EF8"/>
    <w:rsid w:val="003E2DFB"/>
    <w:rsid w:val="003E4466"/>
    <w:rsid w:val="003E4C91"/>
    <w:rsid w:val="003E52D8"/>
    <w:rsid w:val="003E62F1"/>
    <w:rsid w:val="003E7971"/>
    <w:rsid w:val="003F04FF"/>
    <w:rsid w:val="003F08E2"/>
    <w:rsid w:val="003F15C8"/>
    <w:rsid w:val="003F313C"/>
    <w:rsid w:val="003F33B9"/>
    <w:rsid w:val="003F37FC"/>
    <w:rsid w:val="003F4318"/>
    <w:rsid w:val="003F4B2C"/>
    <w:rsid w:val="003F551C"/>
    <w:rsid w:val="003F55CF"/>
    <w:rsid w:val="003F5A24"/>
    <w:rsid w:val="003F626D"/>
    <w:rsid w:val="003F72ED"/>
    <w:rsid w:val="003F7D23"/>
    <w:rsid w:val="00400050"/>
    <w:rsid w:val="004002C8"/>
    <w:rsid w:val="00400468"/>
    <w:rsid w:val="0040099D"/>
    <w:rsid w:val="004016CB"/>
    <w:rsid w:val="00401B23"/>
    <w:rsid w:val="00402ADB"/>
    <w:rsid w:val="00403171"/>
    <w:rsid w:val="0040368D"/>
    <w:rsid w:val="00403A86"/>
    <w:rsid w:val="00403D1D"/>
    <w:rsid w:val="00403F57"/>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3ECB"/>
    <w:rsid w:val="004149AC"/>
    <w:rsid w:val="0041501E"/>
    <w:rsid w:val="00415072"/>
    <w:rsid w:val="00415452"/>
    <w:rsid w:val="004159C3"/>
    <w:rsid w:val="00415A57"/>
    <w:rsid w:val="00416968"/>
    <w:rsid w:val="00416DAC"/>
    <w:rsid w:val="00420880"/>
    <w:rsid w:val="00421179"/>
    <w:rsid w:val="00423623"/>
    <w:rsid w:val="0042612F"/>
    <w:rsid w:val="00430C96"/>
    <w:rsid w:val="0043174F"/>
    <w:rsid w:val="00431BFF"/>
    <w:rsid w:val="00432199"/>
    <w:rsid w:val="00432A58"/>
    <w:rsid w:val="004331C3"/>
    <w:rsid w:val="00433C17"/>
    <w:rsid w:val="00434617"/>
    <w:rsid w:val="00435051"/>
    <w:rsid w:val="00435C69"/>
    <w:rsid w:val="004360FB"/>
    <w:rsid w:val="00436EC4"/>
    <w:rsid w:val="00437AC6"/>
    <w:rsid w:val="00437CED"/>
    <w:rsid w:val="004407BF"/>
    <w:rsid w:val="00440900"/>
    <w:rsid w:val="00440ECB"/>
    <w:rsid w:val="0044121D"/>
    <w:rsid w:val="00441BF6"/>
    <w:rsid w:val="00441D2B"/>
    <w:rsid w:val="00441F8B"/>
    <w:rsid w:val="00442085"/>
    <w:rsid w:val="0044279E"/>
    <w:rsid w:val="00442D8F"/>
    <w:rsid w:val="004439AF"/>
    <w:rsid w:val="00443A47"/>
    <w:rsid w:val="004441A0"/>
    <w:rsid w:val="0044506B"/>
    <w:rsid w:val="00445861"/>
    <w:rsid w:val="00445A8E"/>
    <w:rsid w:val="00446D44"/>
    <w:rsid w:val="0045078A"/>
    <w:rsid w:val="0045086D"/>
    <w:rsid w:val="00450DAB"/>
    <w:rsid w:val="0045125B"/>
    <w:rsid w:val="00451EF1"/>
    <w:rsid w:val="00452E60"/>
    <w:rsid w:val="0045321B"/>
    <w:rsid w:val="00456FE5"/>
    <w:rsid w:val="00457490"/>
    <w:rsid w:val="00457953"/>
    <w:rsid w:val="004601CB"/>
    <w:rsid w:val="004604D8"/>
    <w:rsid w:val="00460656"/>
    <w:rsid w:val="00460C42"/>
    <w:rsid w:val="00460FB3"/>
    <w:rsid w:val="00463D3C"/>
    <w:rsid w:val="00464851"/>
    <w:rsid w:val="00464ADA"/>
    <w:rsid w:val="00465B69"/>
    <w:rsid w:val="00466595"/>
    <w:rsid w:val="0046746A"/>
    <w:rsid w:val="00467B14"/>
    <w:rsid w:val="004707FE"/>
    <w:rsid w:val="00470EDC"/>
    <w:rsid w:val="004712D8"/>
    <w:rsid w:val="0047276D"/>
    <w:rsid w:val="00472AF6"/>
    <w:rsid w:val="0047312E"/>
    <w:rsid w:val="00473482"/>
    <w:rsid w:val="00474A04"/>
    <w:rsid w:val="00476240"/>
    <w:rsid w:val="00476439"/>
    <w:rsid w:val="00476450"/>
    <w:rsid w:val="00476990"/>
    <w:rsid w:val="004769E1"/>
    <w:rsid w:val="0047735C"/>
    <w:rsid w:val="004776BC"/>
    <w:rsid w:val="00477820"/>
    <w:rsid w:val="00477B96"/>
    <w:rsid w:val="00480906"/>
    <w:rsid w:val="00480BAE"/>
    <w:rsid w:val="0048139F"/>
    <w:rsid w:val="00481E40"/>
    <w:rsid w:val="00482405"/>
    <w:rsid w:val="004826A7"/>
    <w:rsid w:val="0048368C"/>
    <w:rsid w:val="0048372F"/>
    <w:rsid w:val="00484ECE"/>
    <w:rsid w:val="00485E82"/>
    <w:rsid w:val="00486132"/>
    <w:rsid w:val="00486604"/>
    <w:rsid w:val="0048686D"/>
    <w:rsid w:val="00486A4D"/>
    <w:rsid w:val="0049026F"/>
    <w:rsid w:val="0049030E"/>
    <w:rsid w:val="004915CB"/>
    <w:rsid w:val="004924DC"/>
    <w:rsid w:val="00492879"/>
    <w:rsid w:val="00493E85"/>
    <w:rsid w:val="00495145"/>
    <w:rsid w:val="00495273"/>
    <w:rsid w:val="00495B0D"/>
    <w:rsid w:val="004979A5"/>
    <w:rsid w:val="004A0144"/>
    <w:rsid w:val="004A036E"/>
    <w:rsid w:val="004A0498"/>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0B43"/>
    <w:rsid w:val="004B1417"/>
    <w:rsid w:val="004B305C"/>
    <w:rsid w:val="004B31B8"/>
    <w:rsid w:val="004B339A"/>
    <w:rsid w:val="004B4C83"/>
    <w:rsid w:val="004B55B7"/>
    <w:rsid w:val="004B5BFA"/>
    <w:rsid w:val="004B6468"/>
    <w:rsid w:val="004B6926"/>
    <w:rsid w:val="004B6EF8"/>
    <w:rsid w:val="004B7125"/>
    <w:rsid w:val="004B756A"/>
    <w:rsid w:val="004B7FB1"/>
    <w:rsid w:val="004C0B3F"/>
    <w:rsid w:val="004C0BC9"/>
    <w:rsid w:val="004C2794"/>
    <w:rsid w:val="004C2BB6"/>
    <w:rsid w:val="004C2C2D"/>
    <w:rsid w:val="004C3027"/>
    <w:rsid w:val="004C384C"/>
    <w:rsid w:val="004C3867"/>
    <w:rsid w:val="004C3B1F"/>
    <w:rsid w:val="004C3DB0"/>
    <w:rsid w:val="004C439A"/>
    <w:rsid w:val="004C4720"/>
    <w:rsid w:val="004C4CD0"/>
    <w:rsid w:val="004C5060"/>
    <w:rsid w:val="004C5165"/>
    <w:rsid w:val="004C589C"/>
    <w:rsid w:val="004C5AE8"/>
    <w:rsid w:val="004C6E0E"/>
    <w:rsid w:val="004C70DC"/>
    <w:rsid w:val="004C7ED1"/>
    <w:rsid w:val="004D0211"/>
    <w:rsid w:val="004D0794"/>
    <w:rsid w:val="004D0EDF"/>
    <w:rsid w:val="004D2E03"/>
    <w:rsid w:val="004D3296"/>
    <w:rsid w:val="004D3D9D"/>
    <w:rsid w:val="004D4056"/>
    <w:rsid w:val="004D4CB0"/>
    <w:rsid w:val="004D5B0F"/>
    <w:rsid w:val="004D6FBA"/>
    <w:rsid w:val="004D7626"/>
    <w:rsid w:val="004D762D"/>
    <w:rsid w:val="004E0318"/>
    <w:rsid w:val="004E186A"/>
    <w:rsid w:val="004E1A40"/>
    <w:rsid w:val="004E200A"/>
    <w:rsid w:val="004E23FC"/>
    <w:rsid w:val="004E2409"/>
    <w:rsid w:val="004E261D"/>
    <w:rsid w:val="004E4CBB"/>
    <w:rsid w:val="004E57BF"/>
    <w:rsid w:val="004E5F41"/>
    <w:rsid w:val="004E6011"/>
    <w:rsid w:val="004E6DE6"/>
    <w:rsid w:val="004E765E"/>
    <w:rsid w:val="004E7815"/>
    <w:rsid w:val="004F0180"/>
    <w:rsid w:val="004F06F5"/>
    <w:rsid w:val="004F12A4"/>
    <w:rsid w:val="004F253F"/>
    <w:rsid w:val="004F33A0"/>
    <w:rsid w:val="004F3698"/>
    <w:rsid w:val="004F3873"/>
    <w:rsid w:val="004F3BD2"/>
    <w:rsid w:val="004F4616"/>
    <w:rsid w:val="004F46ED"/>
    <w:rsid w:val="004F4C99"/>
    <w:rsid w:val="004F5358"/>
    <w:rsid w:val="004F5D02"/>
    <w:rsid w:val="004F63BE"/>
    <w:rsid w:val="004F6484"/>
    <w:rsid w:val="004F6539"/>
    <w:rsid w:val="005001BE"/>
    <w:rsid w:val="005025EE"/>
    <w:rsid w:val="00503D54"/>
    <w:rsid w:val="005048E2"/>
    <w:rsid w:val="00505E88"/>
    <w:rsid w:val="00505FC8"/>
    <w:rsid w:val="00506603"/>
    <w:rsid w:val="0050689D"/>
    <w:rsid w:val="005077F5"/>
    <w:rsid w:val="00507D08"/>
    <w:rsid w:val="005108C0"/>
    <w:rsid w:val="0051094F"/>
    <w:rsid w:val="00510A79"/>
    <w:rsid w:val="00511217"/>
    <w:rsid w:val="00511525"/>
    <w:rsid w:val="00511873"/>
    <w:rsid w:val="00511BF3"/>
    <w:rsid w:val="00512461"/>
    <w:rsid w:val="00512585"/>
    <w:rsid w:val="00512A2F"/>
    <w:rsid w:val="00513B7E"/>
    <w:rsid w:val="00513E9D"/>
    <w:rsid w:val="0051475D"/>
    <w:rsid w:val="00514B11"/>
    <w:rsid w:val="00515485"/>
    <w:rsid w:val="00515BE9"/>
    <w:rsid w:val="00515C74"/>
    <w:rsid w:val="0051630F"/>
    <w:rsid w:val="00517113"/>
    <w:rsid w:val="005175C2"/>
    <w:rsid w:val="00517E70"/>
    <w:rsid w:val="0052007E"/>
    <w:rsid w:val="005216A4"/>
    <w:rsid w:val="00521CAD"/>
    <w:rsid w:val="0052200D"/>
    <w:rsid w:val="00522425"/>
    <w:rsid w:val="00522E01"/>
    <w:rsid w:val="0052337A"/>
    <w:rsid w:val="00524385"/>
    <w:rsid w:val="005246BE"/>
    <w:rsid w:val="00525137"/>
    <w:rsid w:val="005251DD"/>
    <w:rsid w:val="00526AB0"/>
    <w:rsid w:val="00526F65"/>
    <w:rsid w:val="005278E5"/>
    <w:rsid w:val="0053012B"/>
    <w:rsid w:val="005301A6"/>
    <w:rsid w:val="00530A68"/>
    <w:rsid w:val="00530AD4"/>
    <w:rsid w:val="0053187B"/>
    <w:rsid w:val="00531C5A"/>
    <w:rsid w:val="00532CE7"/>
    <w:rsid w:val="00532D8B"/>
    <w:rsid w:val="0053324C"/>
    <w:rsid w:val="00533A8D"/>
    <w:rsid w:val="005344E4"/>
    <w:rsid w:val="00534A28"/>
    <w:rsid w:val="00535018"/>
    <w:rsid w:val="0053595E"/>
    <w:rsid w:val="00537571"/>
    <w:rsid w:val="00537AC2"/>
    <w:rsid w:val="00540056"/>
    <w:rsid w:val="005410E2"/>
    <w:rsid w:val="00541508"/>
    <w:rsid w:val="00541AE3"/>
    <w:rsid w:val="00543498"/>
    <w:rsid w:val="00543FDE"/>
    <w:rsid w:val="00544011"/>
    <w:rsid w:val="00544BE5"/>
    <w:rsid w:val="00544E94"/>
    <w:rsid w:val="00545073"/>
    <w:rsid w:val="005455F6"/>
    <w:rsid w:val="0054582F"/>
    <w:rsid w:val="00546FC7"/>
    <w:rsid w:val="005500F9"/>
    <w:rsid w:val="00550160"/>
    <w:rsid w:val="005523A8"/>
    <w:rsid w:val="00552860"/>
    <w:rsid w:val="00552F2C"/>
    <w:rsid w:val="00553A25"/>
    <w:rsid w:val="005547EB"/>
    <w:rsid w:val="005555E0"/>
    <w:rsid w:val="0055599F"/>
    <w:rsid w:val="00555C49"/>
    <w:rsid w:val="00556D68"/>
    <w:rsid w:val="005570D6"/>
    <w:rsid w:val="00557E0E"/>
    <w:rsid w:val="00557E45"/>
    <w:rsid w:val="00560C41"/>
    <w:rsid w:val="00561F44"/>
    <w:rsid w:val="00562B4D"/>
    <w:rsid w:val="00563EB8"/>
    <w:rsid w:val="005647BF"/>
    <w:rsid w:val="00564AF1"/>
    <w:rsid w:val="005655DB"/>
    <w:rsid w:val="00565E88"/>
    <w:rsid w:val="00567339"/>
    <w:rsid w:val="005678EE"/>
    <w:rsid w:val="00567910"/>
    <w:rsid w:val="00567D92"/>
    <w:rsid w:val="00570270"/>
    <w:rsid w:val="0057034E"/>
    <w:rsid w:val="00570464"/>
    <w:rsid w:val="00570BC3"/>
    <w:rsid w:val="00571651"/>
    <w:rsid w:val="0057182A"/>
    <w:rsid w:val="00571E59"/>
    <w:rsid w:val="00572079"/>
    <w:rsid w:val="00572900"/>
    <w:rsid w:val="00573602"/>
    <w:rsid w:val="0057364B"/>
    <w:rsid w:val="00574773"/>
    <w:rsid w:val="00575807"/>
    <w:rsid w:val="005761EC"/>
    <w:rsid w:val="005766CA"/>
    <w:rsid w:val="005770F9"/>
    <w:rsid w:val="00577C07"/>
    <w:rsid w:val="00577DB1"/>
    <w:rsid w:val="00580AD3"/>
    <w:rsid w:val="00580DE7"/>
    <w:rsid w:val="005810E1"/>
    <w:rsid w:val="005811BF"/>
    <w:rsid w:val="00581D66"/>
    <w:rsid w:val="005820CD"/>
    <w:rsid w:val="00583BDD"/>
    <w:rsid w:val="00583E52"/>
    <w:rsid w:val="00583FFD"/>
    <w:rsid w:val="00584252"/>
    <w:rsid w:val="0058519A"/>
    <w:rsid w:val="005856BD"/>
    <w:rsid w:val="00586BCA"/>
    <w:rsid w:val="00587038"/>
    <w:rsid w:val="00590B28"/>
    <w:rsid w:val="005911BE"/>
    <w:rsid w:val="00591273"/>
    <w:rsid w:val="00591E9E"/>
    <w:rsid w:val="005927A4"/>
    <w:rsid w:val="00593152"/>
    <w:rsid w:val="005931D8"/>
    <w:rsid w:val="00593EEA"/>
    <w:rsid w:val="00593FE6"/>
    <w:rsid w:val="005956A3"/>
    <w:rsid w:val="00595958"/>
    <w:rsid w:val="00595CAB"/>
    <w:rsid w:val="00595FDE"/>
    <w:rsid w:val="0059622E"/>
    <w:rsid w:val="00597671"/>
    <w:rsid w:val="00597BBF"/>
    <w:rsid w:val="005A0463"/>
    <w:rsid w:val="005A0948"/>
    <w:rsid w:val="005A0A03"/>
    <w:rsid w:val="005A10F2"/>
    <w:rsid w:val="005A21E0"/>
    <w:rsid w:val="005A28FF"/>
    <w:rsid w:val="005A2C09"/>
    <w:rsid w:val="005A32D0"/>
    <w:rsid w:val="005A3778"/>
    <w:rsid w:val="005A3DF8"/>
    <w:rsid w:val="005A5549"/>
    <w:rsid w:val="005A566A"/>
    <w:rsid w:val="005A7CF8"/>
    <w:rsid w:val="005B0EDA"/>
    <w:rsid w:val="005B121D"/>
    <w:rsid w:val="005B1688"/>
    <w:rsid w:val="005B26B0"/>
    <w:rsid w:val="005B41C9"/>
    <w:rsid w:val="005B44E6"/>
    <w:rsid w:val="005B4853"/>
    <w:rsid w:val="005B506A"/>
    <w:rsid w:val="005B5CD5"/>
    <w:rsid w:val="005B6CA1"/>
    <w:rsid w:val="005B770C"/>
    <w:rsid w:val="005C06ED"/>
    <w:rsid w:val="005C11B8"/>
    <w:rsid w:val="005C216C"/>
    <w:rsid w:val="005C2609"/>
    <w:rsid w:val="005C2B30"/>
    <w:rsid w:val="005C412B"/>
    <w:rsid w:val="005C43EC"/>
    <w:rsid w:val="005C45DD"/>
    <w:rsid w:val="005C4CB1"/>
    <w:rsid w:val="005C5991"/>
    <w:rsid w:val="005D0A73"/>
    <w:rsid w:val="005D254D"/>
    <w:rsid w:val="005D34F8"/>
    <w:rsid w:val="005D3F06"/>
    <w:rsid w:val="005D4B73"/>
    <w:rsid w:val="005D5645"/>
    <w:rsid w:val="005D5802"/>
    <w:rsid w:val="005D5AA9"/>
    <w:rsid w:val="005D66E6"/>
    <w:rsid w:val="005D7119"/>
    <w:rsid w:val="005D76C8"/>
    <w:rsid w:val="005D7890"/>
    <w:rsid w:val="005E003B"/>
    <w:rsid w:val="005E19C1"/>
    <w:rsid w:val="005E2194"/>
    <w:rsid w:val="005E24F0"/>
    <w:rsid w:val="005E36FE"/>
    <w:rsid w:val="005E38A9"/>
    <w:rsid w:val="005E3E65"/>
    <w:rsid w:val="005E3F66"/>
    <w:rsid w:val="005E490F"/>
    <w:rsid w:val="005E4BC9"/>
    <w:rsid w:val="005E5314"/>
    <w:rsid w:val="005E6ABB"/>
    <w:rsid w:val="005E7C78"/>
    <w:rsid w:val="005F04A7"/>
    <w:rsid w:val="005F114F"/>
    <w:rsid w:val="005F18C5"/>
    <w:rsid w:val="005F2A08"/>
    <w:rsid w:val="005F36CC"/>
    <w:rsid w:val="005F3EB1"/>
    <w:rsid w:val="005F413E"/>
    <w:rsid w:val="005F466B"/>
    <w:rsid w:val="005F46D8"/>
    <w:rsid w:val="005F480F"/>
    <w:rsid w:val="005F509C"/>
    <w:rsid w:val="005F5469"/>
    <w:rsid w:val="005F63F3"/>
    <w:rsid w:val="005F66F0"/>
    <w:rsid w:val="005F6D7F"/>
    <w:rsid w:val="005F7174"/>
    <w:rsid w:val="005F7678"/>
    <w:rsid w:val="0060120D"/>
    <w:rsid w:val="00601ADE"/>
    <w:rsid w:val="00601EEF"/>
    <w:rsid w:val="0060255A"/>
    <w:rsid w:val="00602EB3"/>
    <w:rsid w:val="006040C6"/>
    <w:rsid w:val="00604307"/>
    <w:rsid w:val="0060487F"/>
    <w:rsid w:val="00604EAD"/>
    <w:rsid w:val="0060513F"/>
    <w:rsid w:val="0060694B"/>
    <w:rsid w:val="00607DEA"/>
    <w:rsid w:val="006104FB"/>
    <w:rsid w:val="0061176D"/>
    <w:rsid w:val="0061200F"/>
    <w:rsid w:val="00612756"/>
    <w:rsid w:val="00612A2F"/>
    <w:rsid w:val="00612AAE"/>
    <w:rsid w:val="00612FD9"/>
    <w:rsid w:val="006139E0"/>
    <w:rsid w:val="00614245"/>
    <w:rsid w:val="00614D35"/>
    <w:rsid w:val="00614F97"/>
    <w:rsid w:val="006156B4"/>
    <w:rsid w:val="00615DAF"/>
    <w:rsid w:val="0061672A"/>
    <w:rsid w:val="00616E05"/>
    <w:rsid w:val="00617985"/>
    <w:rsid w:val="00617C01"/>
    <w:rsid w:val="00620B77"/>
    <w:rsid w:val="006212FC"/>
    <w:rsid w:val="0062131B"/>
    <w:rsid w:val="00621E26"/>
    <w:rsid w:val="006224EA"/>
    <w:rsid w:val="0062263A"/>
    <w:rsid w:val="006227DF"/>
    <w:rsid w:val="006236C8"/>
    <w:rsid w:val="00624093"/>
    <w:rsid w:val="006243E3"/>
    <w:rsid w:val="006256B8"/>
    <w:rsid w:val="00625A84"/>
    <w:rsid w:val="00626079"/>
    <w:rsid w:val="0062641C"/>
    <w:rsid w:val="006272EF"/>
    <w:rsid w:val="0062751D"/>
    <w:rsid w:val="00627F17"/>
    <w:rsid w:val="00631698"/>
    <w:rsid w:val="00631E44"/>
    <w:rsid w:val="00632579"/>
    <w:rsid w:val="00632714"/>
    <w:rsid w:val="00633923"/>
    <w:rsid w:val="00633AB2"/>
    <w:rsid w:val="00634C57"/>
    <w:rsid w:val="00634CE7"/>
    <w:rsid w:val="006350D5"/>
    <w:rsid w:val="00635CF8"/>
    <w:rsid w:val="00635D28"/>
    <w:rsid w:val="0063642C"/>
    <w:rsid w:val="006372CF"/>
    <w:rsid w:val="00637858"/>
    <w:rsid w:val="006404A7"/>
    <w:rsid w:val="00640A38"/>
    <w:rsid w:val="00640DC3"/>
    <w:rsid w:val="00640E6B"/>
    <w:rsid w:val="00641787"/>
    <w:rsid w:val="0064179B"/>
    <w:rsid w:val="00642489"/>
    <w:rsid w:val="00642F22"/>
    <w:rsid w:val="0064392C"/>
    <w:rsid w:val="00643B58"/>
    <w:rsid w:val="00644055"/>
    <w:rsid w:val="00644137"/>
    <w:rsid w:val="0064478C"/>
    <w:rsid w:val="00645160"/>
    <w:rsid w:val="006451E4"/>
    <w:rsid w:val="0064574B"/>
    <w:rsid w:val="00645B33"/>
    <w:rsid w:val="00650251"/>
    <w:rsid w:val="006516CB"/>
    <w:rsid w:val="00652E30"/>
    <w:rsid w:val="0065392C"/>
    <w:rsid w:val="00653BD0"/>
    <w:rsid w:val="00654110"/>
    <w:rsid w:val="00656C5D"/>
    <w:rsid w:val="00656CFB"/>
    <w:rsid w:val="00657E87"/>
    <w:rsid w:val="00657FD1"/>
    <w:rsid w:val="00660228"/>
    <w:rsid w:val="00660D2D"/>
    <w:rsid w:val="00661C41"/>
    <w:rsid w:val="00661EC9"/>
    <w:rsid w:val="00662469"/>
    <w:rsid w:val="00663C68"/>
    <w:rsid w:val="0066411C"/>
    <w:rsid w:val="00664205"/>
    <w:rsid w:val="00664647"/>
    <w:rsid w:val="00664803"/>
    <w:rsid w:val="006653CC"/>
    <w:rsid w:val="006654CB"/>
    <w:rsid w:val="00665982"/>
    <w:rsid w:val="00665BA4"/>
    <w:rsid w:val="00666BF3"/>
    <w:rsid w:val="006677C1"/>
    <w:rsid w:val="00667856"/>
    <w:rsid w:val="00667AF2"/>
    <w:rsid w:val="00670489"/>
    <w:rsid w:val="006710C9"/>
    <w:rsid w:val="00672586"/>
    <w:rsid w:val="006741CD"/>
    <w:rsid w:val="00674D89"/>
    <w:rsid w:val="0067514E"/>
    <w:rsid w:val="00675E37"/>
    <w:rsid w:val="00676736"/>
    <w:rsid w:val="006769A4"/>
    <w:rsid w:val="006769C6"/>
    <w:rsid w:val="00676D76"/>
    <w:rsid w:val="00676F9F"/>
    <w:rsid w:val="00677519"/>
    <w:rsid w:val="00677591"/>
    <w:rsid w:val="00677594"/>
    <w:rsid w:val="0068032F"/>
    <w:rsid w:val="006804E2"/>
    <w:rsid w:val="00680D37"/>
    <w:rsid w:val="0068174E"/>
    <w:rsid w:val="00681DCE"/>
    <w:rsid w:val="00682110"/>
    <w:rsid w:val="0068260E"/>
    <w:rsid w:val="006846B3"/>
    <w:rsid w:val="00684D59"/>
    <w:rsid w:val="00684E25"/>
    <w:rsid w:val="006853B9"/>
    <w:rsid w:val="006858A4"/>
    <w:rsid w:val="00686718"/>
    <w:rsid w:val="00686BFA"/>
    <w:rsid w:val="00686DED"/>
    <w:rsid w:val="006875A0"/>
    <w:rsid w:val="006878C6"/>
    <w:rsid w:val="00687D27"/>
    <w:rsid w:val="00691943"/>
    <w:rsid w:val="00693550"/>
    <w:rsid w:val="00694D84"/>
    <w:rsid w:val="00695065"/>
    <w:rsid w:val="00695BEF"/>
    <w:rsid w:val="00696251"/>
    <w:rsid w:val="006966C7"/>
    <w:rsid w:val="006968C1"/>
    <w:rsid w:val="00696B76"/>
    <w:rsid w:val="006977F6"/>
    <w:rsid w:val="00697A13"/>
    <w:rsid w:val="006A088C"/>
    <w:rsid w:val="006A0ADD"/>
    <w:rsid w:val="006A0DD4"/>
    <w:rsid w:val="006A109C"/>
    <w:rsid w:val="006A1A58"/>
    <w:rsid w:val="006A3F21"/>
    <w:rsid w:val="006A5F4B"/>
    <w:rsid w:val="006A6565"/>
    <w:rsid w:val="006A7691"/>
    <w:rsid w:val="006A7EE2"/>
    <w:rsid w:val="006B0514"/>
    <w:rsid w:val="006B0F92"/>
    <w:rsid w:val="006B1E91"/>
    <w:rsid w:val="006B2785"/>
    <w:rsid w:val="006B27C7"/>
    <w:rsid w:val="006B344A"/>
    <w:rsid w:val="006B47C8"/>
    <w:rsid w:val="006B4A4F"/>
    <w:rsid w:val="006B519F"/>
    <w:rsid w:val="006B58C9"/>
    <w:rsid w:val="006B60ED"/>
    <w:rsid w:val="006B6CC5"/>
    <w:rsid w:val="006B7153"/>
    <w:rsid w:val="006B74AC"/>
    <w:rsid w:val="006B78D8"/>
    <w:rsid w:val="006B79EA"/>
    <w:rsid w:val="006C030A"/>
    <w:rsid w:val="006C0C5D"/>
    <w:rsid w:val="006C113F"/>
    <w:rsid w:val="006C123E"/>
    <w:rsid w:val="006C15A1"/>
    <w:rsid w:val="006C1752"/>
    <w:rsid w:val="006C1DDC"/>
    <w:rsid w:val="006C28CA"/>
    <w:rsid w:val="006C2BBF"/>
    <w:rsid w:val="006C2FBD"/>
    <w:rsid w:val="006C3116"/>
    <w:rsid w:val="006C3321"/>
    <w:rsid w:val="006C406F"/>
    <w:rsid w:val="006C4355"/>
    <w:rsid w:val="006C469D"/>
    <w:rsid w:val="006C46B5"/>
    <w:rsid w:val="006C484F"/>
    <w:rsid w:val="006C52EC"/>
    <w:rsid w:val="006C5506"/>
    <w:rsid w:val="006C56D4"/>
    <w:rsid w:val="006C6681"/>
    <w:rsid w:val="006C683C"/>
    <w:rsid w:val="006C6924"/>
    <w:rsid w:val="006C6B11"/>
    <w:rsid w:val="006C6C1E"/>
    <w:rsid w:val="006C7076"/>
    <w:rsid w:val="006C7AEC"/>
    <w:rsid w:val="006C7CA6"/>
    <w:rsid w:val="006D18B3"/>
    <w:rsid w:val="006D1E89"/>
    <w:rsid w:val="006D317E"/>
    <w:rsid w:val="006D3D63"/>
    <w:rsid w:val="006D3E8A"/>
    <w:rsid w:val="006D4150"/>
    <w:rsid w:val="006D61F6"/>
    <w:rsid w:val="006D6442"/>
    <w:rsid w:val="006D79F2"/>
    <w:rsid w:val="006E0376"/>
    <w:rsid w:val="006E0C7B"/>
    <w:rsid w:val="006E1332"/>
    <w:rsid w:val="006E19CB"/>
    <w:rsid w:val="006E279A"/>
    <w:rsid w:val="006E313B"/>
    <w:rsid w:val="006E34B2"/>
    <w:rsid w:val="006E3A45"/>
    <w:rsid w:val="006E4078"/>
    <w:rsid w:val="006E53AD"/>
    <w:rsid w:val="006E58CB"/>
    <w:rsid w:val="006E7227"/>
    <w:rsid w:val="006E761A"/>
    <w:rsid w:val="006F0741"/>
    <w:rsid w:val="006F1400"/>
    <w:rsid w:val="006F1C27"/>
    <w:rsid w:val="006F282F"/>
    <w:rsid w:val="006F2A65"/>
    <w:rsid w:val="006F3DD6"/>
    <w:rsid w:val="006F40DF"/>
    <w:rsid w:val="006F42BB"/>
    <w:rsid w:val="006F438E"/>
    <w:rsid w:val="006F440B"/>
    <w:rsid w:val="006F48A3"/>
    <w:rsid w:val="006F4DA4"/>
    <w:rsid w:val="006F5416"/>
    <w:rsid w:val="006F624B"/>
    <w:rsid w:val="006F6D87"/>
    <w:rsid w:val="007017D3"/>
    <w:rsid w:val="0070398A"/>
    <w:rsid w:val="0070412F"/>
    <w:rsid w:val="00705242"/>
    <w:rsid w:val="007055B3"/>
    <w:rsid w:val="007055E0"/>
    <w:rsid w:val="007056ED"/>
    <w:rsid w:val="00705F4E"/>
    <w:rsid w:val="0070612C"/>
    <w:rsid w:val="007065C5"/>
    <w:rsid w:val="007068E1"/>
    <w:rsid w:val="00706AA0"/>
    <w:rsid w:val="00706AD4"/>
    <w:rsid w:val="00707150"/>
    <w:rsid w:val="00711959"/>
    <w:rsid w:val="007124D7"/>
    <w:rsid w:val="00712B87"/>
    <w:rsid w:val="00712C20"/>
    <w:rsid w:val="00713549"/>
    <w:rsid w:val="00713591"/>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6F49"/>
    <w:rsid w:val="00727C02"/>
    <w:rsid w:val="0073008E"/>
    <w:rsid w:val="00730AE8"/>
    <w:rsid w:val="00730D0A"/>
    <w:rsid w:val="00730F1B"/>
    <w:rsid w:val="007313AE"/>
    <w:rsid w:val="0073186D"/>
    <w:rsid w:val="0073333D"/>
    <w:rsid w:val="00733F35"/>
    <w:rsid w:val="007343D9"/>
    <w:rsid w:val="00734E1D"/>
    <w:rsid w:val="00734F71"/>
    <w:rsid w:val="00734FAF"/>
    <w:rsid w:val="00735448"/>
    <w:rsid w:val="00735648"/>
    <w:rsid w:val="0073590A"/>
    <w:rsid w:val="0073677E"/>
    <w:rsid w:val="007369E1"/>
    <w:rsid w:val="00736F07"/>
    <w:rsid w:val="007377BD"/>
    <w:rsid w:val="00737DEC"/>
    <w:rsid w:val="0074004D"/>
    <w:rsid w:val="00741493"/>
    <w:rsid w:val="007420B3"/>
    <w:rsid w:val="00742B86"/>
    <w:rsid w:val="007434E5"/>
    <w:rsid w:val="0074499B"/>
    <w:rsid w:val="007450BF"/>
    <w:rsid w:val="00745C3B"/>
    <w:rsid w:val="007471A1"/>
    <w:rsid w:val="007477BD"/>
    <w:rsid w:val="00747EE9"/>
    <w:rsid w:val="007520B6"/>
    <w:rsid w:val="00752180"/>
    <w:rsid w:val="00752323"/>
    <w:rsid w:val="0075309F"/>
    <w:rsid w:val="007532B7"/>
    <w:rsid w:val="00753CAB"/>
    <w:rsid w:val="00754A70"/>
    <w:rsid w:val="00754BC8"/>
    <w:rsid w:val="00754BC9"/>
    <w:rsid w:val="00755202"/>
    <w:rsid w:val="00755D3A"/>
    <w:rsid w:val="00757241"/>
    <w:rsid w:val="0075751D"/>
    <w:rsid w:val="0075763E"/>
    <w:rsid w:val="007578D3"/>
    <w:rsid w:val="007602CF"/>
    <w:rsid w:val="00760391"/>
    <w:rsid w:val="007609C6"/>
    <w:rsid w:val="007615F3"/>
    <w:rsid w:val="0076175D"/>
    <w:rsid w:val="00761CB5"/>
    <w:rsid w:val="007629B9"/>
    <w:rsid w:val="007629D5"/>
    <w:rsid w:val="007635F8"/>
    <w:rsid w:val="00763874"/>
    <w:rsid w:val="00763B85"/>
    <w:rsid w:val="00764974"/>
    <w:rsid w:val="00764C4D"/>
    <w:rsid w:val="00764D18"/>
    <w:rsid w:val="0076521E"/>
    <w:rsid w:val="0076550E"/>
    <w:rsid w:val="00765BCC"/>
    <w:rsid w:val="0076600D"/>
    <w:rsid w:val="007661C0"/>
    <w:rsid w:val="007661E9"/>
    <w:rsid w:val="00766460"/>
    <w:rsid w:val="00767062"/>
    <w:rsid w:val="00767601"/>
    <w:rsid w:val="00767777"/>
    <w:rsid w:val="00767FEF"/>
    <w:rsid w:val="007705B1"/>
    <w:rsid w:val="00770CFC"/>
    <w:rsid w:val="0077130E"/>
    <w:rsid w:val="007715EE"/>
    <w:rsid w:val="00771972"/>
    <w:rsid w:val="00772279"/>
    <w:rsid w:val="007726EC"/>
    <w:rsid w:val="00772DAB"/>
    <w:rsid w:val="00772FF9"/>
    <w:rsid w:val="007743DB"/>
    <w:rsid w:val="00774D2C"/>
    <w:rsid w:val="00774FEE"/>
    <w:rsid w:val="0077605B"/>
    <w:rsid w:val="00776169"/>
    <w:rsid w:val="00776527"/>
    <w:rsid w:val="0077691D"/>
    <w:rsid w:val="00777040"/>
    <w:rsid w:val="00777CE6"/>
    <w:rsid w:val="00777D57"/>
    <w:rsid w:val="00780EF1"/>
    <w:rsid w:val="00781A91"/>
    <w:rsid w:val="00781F36"/>
    <w:rsid w:val="00781FC6"/>
    <w:rsid w:val="00782263"/>
    <w:rsid w:val="00782F1C"/>
    <w:rsid w:val="00785778"/>
    <w:rsid w:val="007859D5"/>
    <w:rsid w:val="00786C87"/>
    <w:rsid w:val="0078755E"/>
    <w:rsid w:val="007877C9"/>
    <w:rsid w:val="00790764"/>
    <w:rsid w:val="0079085F"/>
    <w:rsid w:val="00790E96"/>
    <w:rsid w:val="00791005"/>
    <w:rsid w:val="00791BF4"/>
    <w:rsid w:val="00791E9D"/>
    <w:rsid w:val="00793D78"/>
    <w:rsid w:val="0079420B"/>
    <w:rsid w:val="0079453C"/>
    <w:rsid w:val="00794677"/>
    <w:rsid w:val="00795759"/>
    <w:rsid w:val="007A170B"/>
    <w:rsid w:val="007A20EB"/>
    <w:rsid w:val="007A282C"/>
    <w:rsid w:val="007A293C"/>
    <w:rsid w:val="007A2A3A"/>
    <w:rsid w:val="007A33E2"/>
    <w:rsid w:val="007A3CAF"/>
    <w:rsid w:val="007A3CF9"/>
    <w:rsid w:val="007A4664"/>
    <w:rsid w:val="007A4782"/>
    <w:rsid w:val="007A516D"/>
    <w:rsid w:val="007A51D9"/>
    <w:rsid w:val="007A5E65"/>
    <w:rsid w:val="007A65E1"/>
    <w:rsid w:val="007A6AAA"/>
    <w:rsid w:val="007A7033"/>
    <w:rsid w:val="007A775D"/>
    <w:rsid w:val="007B00A4"/>
    <w:rsid w:val="007B0834"/>
    <w:rsid w:val="007B0E83"/>
    <w:rsid w:val="007B11FA"/>
    <w:rsid w:val="007B1396"/>
    <w:rsid w:val="007B16D6"/>
    <w:rsid w:val="007B2011"/>
    <w:rsid w:val="007B21C9"/>
    <w:rsid w:val="007B2CFE"/>
    <w:rsid w:val="007B309B"/>
    <w:rsid w:val="007B37BE"/>
    <w:rsid w:val="007B3D5E"/>
    <w:rsid w:val="007B3DCB"/>
    <w:rsid w:val="007B5725"/>
    <w:rsid w:val="007B5C1F"/>
    <w:rsid w:val="007B6689"/>
    <w:rsid w:val="007B6747"/>
    <w:rsid w:val="007B6F72"/>
    <w:rsid w:val="007C10BD"/>
    <w:rsid w:val="007C1D66"/>
    <w:rsid w:val="007C1F0C"/>
    <w:rsid w:val="007C1FFB"/>
    <w:rsid w:val="007C2D94"/>
    <w:rsid w:val="007C3CF4"/>
    <w:rsid w:val="007C461A"/>
    <w:rsid w:val="007C4A6B"/>
    <w:rsid w:val="007C5F92"/>
    <w:rsid w:val="007C6227"/>
    <w:rsid w:val="007C6BBD"/>
    <w:rsid w:val="007C6D89"/>
    <w:rsid w:val="007C6F5E"/>
    <w:rsid w:val="007D0382"/>
    <w:rsid w:val="007D0B27"/>
    <w:rsid w:val="007D14FE"/>
    <w:rsid w:val="007D18DA"/>
    <w:rsid w:val="007D1A1F"/>
    <w:rsid w:val="007D213B"/>
    <w:rsid w:val="007D2E18"/>
    <w:rsid w:val="007D40DF"/>
    <w:rsid w:val="007D42E5"/>
    <w:rsid w:val="007D4458"/>
    <w:rsid w:val="007D46AD"/>
    <w:rsid w:val="007D6AF9"/>
    <w:rsid w:val="007E0535"/>
    <w:rsid w:val="007E0D4A"/>
    <w:rsid w:val="007E0E89"/>
    <w:rsid w:val="007E1788"/>
    <w:rsid w:val="007E1C07"/>
    <w:rsid w:val="007E1EE3"/>
    <w:rsid w:val="007E29B4"/>
    <w:rsid w:val="007E2CDD"/>
    <w:rsid w:val="007E2F12"/>
    <w:rsid w:val="007E3513"/>
    <w:rsid w:val="007E435A"/>
    <w:rsid w:val="007E445C"/>
    <w:rsid w:val="007E49F7"/>
    <w:rsid w:val="007E4C70"/>
    <w:rsid w:val="007E591C"/>
    <w:rsid w:val="007E5B5F"/>
    <w:rsid w:val="007E6360"/>
    <w:rsid w:val="007E7704"/>
    <w:rsid w:val="007E78B6"/>
    <w:rsid w:val="007E7E61"/>
    <w:rsid w:val="007F0845"/>
    <w:rsid w:val="007F0873"/>
    <w:rsid w:val="007F20F3"/>
    <w:rsid w:val="007F2353"/>
    <w:rsid w:val="007F2390"/>
    <w:rsid w:val="007F2CAC"/>
    <w:rsid w:val="007F41AD"/>
    <w:rsid w:val="007F4740"/>
    <w:rsid w:val="007F595A"/>
    <w:rsid w:val="007F5C38"/>
    <w:rsid w:val="007F708D"/>
    <w:rsid w:val="007F7E3F"/>
    <w:rsid w:val="0080003D"/>
    <w:rsid w:val="008006B3"/>
    <w:rsid w:val="00800B63"/>
    <w:rsid w:val="0080158A"/>
    <w:rsid w:val="00801E13"/>
    <w:rsid w:val="00803008"/>
    <w:rsid w:val="00803069"/>
    <w:rsid w:val="0080346B"/>
    <w:rsid w:val="00804155"/>
    <w:rsid w:val="00804C9F"/>
    <w:rsid w:val="00804D77"/>
    <w:rsid w:val="0080559E"/>
    <w:rsid w:val="00805AF3"/>
    <w:rsid w:val="00806C9C"/>
    <w:rsid w:val="0080734C"/>
    <w:rsid w:val="00807C82"/>
    <w:rsid w:val="008117CC"/>
    <w:rsid w:val="00811875"/>
    <w:rsid w:val="00813D58"/>
    <w:rsid w:val="00813DCA"/>
    <w:rsid w:val="00814858"/>
    <w:rsid w:val="008161A6"/>
    <w:rsid w:val="008165B8"/>
    <w:rsid w:val="00816905"/>
    <w:rsid w:val="00816D98"/>
    <w:rsid w:val="00816E42"/>
    <w:rsid w:val="00817040"/>
    <w:rsid w:val="00817A17"/>
    <w:rsid w:val="00817EC1"/>
    <w:rsid w:val="00820C40"/>
    <w:rsid w:val="00820DBC"/>
    <w:rsid w:val="0082112D"/>
    <w:rsid w:val="00821FF6"/>
    <w:rsid w:val="00822574"/>
    <w:rsid w:val="00822980"/>
    <w:rsid w:val="00822F08"/>
    <w:rsid w:val="00822F67"/>
    <w:rsid w:val="00824CB8"/>
    <w:rsid w:val="00825C4D"/>
    <w:rsid w:val="00826A08"/>
    <w:rsid w:val="00826AC0"/>
    <w:rsid w:val="00827186"/>
    <w:rsid w:val="008275B7"/>
    <w:rsid w:val="00827C8E"/>
    <w:rsid w:val="00830569"/>
    <w:rsid w:val="00830AEA"/>
    <w:rsid w:val="00830E86"/>
    <w:rsid w:val="0083143E"/>
    <w:rsid w:val="008315B8"/>
    <w:rsid w:val="008315D5"/>
    <w:rsid w:val="00831CDE"/>
    <w:rsid w:val="00831E98"/>
    <w:rsid w:val="00831F2B"/>
    <w:rsid w:val="008320CF"/>
    <w:rsid w:val="0083233B"/>
    <w:rsid w:val="00832F77"/>
    <w:rsid w:val="00834304"/>
    <w:rsid w:val="00834FAA"/>
    <w:rsid w:val="008354FB"/>
    <w:rsid w:val="00835E9A"/>
    <w:rsid w:val="00835FF1"/>
    <w:rsid w:val="00836086"/>
    <w:rsid w:val="0083630F"/>
    <w:rsid w:val="00836A06"/>
    <w:rsid w:val="008374BC"/>
    <w:rsid w:val="008379D6"/>
    <w:rsid w:val="00837E48"/>
    <w:rsid w:val="00840293"/>
    <w:rsid w:val="008402AD"/>
    <w:rsid w:val="00840457"/>
    <w:rsid w:val="008408D4"/>
    <w:rsid w:val="008417B5"/>
    <w:rsid w:val="00841901"/>
    <w:rsid w:val="008429B1"/>
    <w:rsid w:val="00842C2C"/>
    <w:rsid w:val="008458BD"/>
    <w:rsid w:val="00846121"/>
    <w:rsid w:val="008461C2"/>
    <w:rsid w:val="008462F1"/>
    <w:rsid w:val="008466C6"/>
    <w:rsid w:val="00846C92"/>
    <w:rsid w:val="0084708F"/>
    <w:rsid w:val="008477C8"/>
    <w:rsid w:val="008478A6"/>
    <w:rsid w:val="008502F6"/>
    <w:rsid w:val="0085114D"/>
    <w:rsid w:val="008520A8"/>
    <w:rsid w:val="00852217"/>
    <w:rsid w:val="00853282"/>
    <w:rsid w:val="0085334C"/>
    <w:rsid w:val="00855408"/>
    <w:rsid w:val="00855D03"/>
    <w:rsid w:val="00856D65"/>
    <w:rsid w:val="00861936"/>
    <w:rsid w:val="00861B41"/>
    <w:rsid w:val="00861B9F"/>
    <w:rsid w:val="00861BE3"/>
    <w:rsid w:val="008625D3"/>
    <w:rsid w:val="00862865"/>
    <w:rsid w:val="00862C0A"/>
    <w:rsid w:val="00863434"/>
    <w:rsid w:val="0086344F"/>
    <w:rsid w:val="00863B2F"/>
    <w:rsid w:val="008641AC"/>
    <w:rsid w:val="008647D9"/>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5C6B"/>
    <w:rsid w:val="00876086"/>
    <w:rsid w:val="00876651"/>
    <w:rsid w:val="00876E83"/>
    <w:rsid w:val="008772BC"/>
    <w:rsid w:val="00880A0E"/>
    <w:rsid w:val="008817FE"/>
    <w:rsid w:val="00881CD7"/>
    <w:rsid w:val="00882911"/>
    <w:rsid w:val="00882ACE"/>
    <w:rsid w:val="00882F6E"/>
    <w:rsid w:val="00883202"/>
    <w:rsid w:val="0088433C"/>
    <w:rsid w:val="00884E02"/>
    <w:rsid w:val="00885CDC"/>
    <w:rsid w:val="00885D40"/>
    <w:rsid w:val="008873D4"/>
    <w:rsid w:val="00887CEF"/>
    <w:rsid w:val="00890CB1"/>
    <w:rsid w:val="0089167B"/>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2EB6"/>
    <w:rsid w:val="008A32D9"/>
    <w:rsid w:val="008A3529"/>
    <w:rsid w:val="008A37E2"/>
    <w:rsid w:val="008A388E"/>
    <w:rsid w:val="008A394E"/>
    <w:rsid w:val="008A3CBA"/>
    <w:rsid w:val="008A4B59"/>
    <w:rsid w:val="008A63E1"/>
    <w:rsid w:val="008A66B7"/>
    <w:rsid w:val="008A68BB"/>
    <w:rsid w:val="008A6AA5"/>
    <w:rsid w:val="008A7127"/>
    <w:rsid w:val="008B0CBA"/>
    <w:rsid w:val="008B2639"/>
    <w:rsid w:val="008B2E65"/>
    <w:rsid w:val="008B3226"/>
    <w:rsid w:val="008B3537"/>
    <w:rsid w:val="008B3690"/>
    <w:rsid w:val="008B3A80"/>
    <w:rsid w:val="008B3AEC"/>
    <w:rsid w:val="008B3C07"/>
    <w:rsid w:val="008B3F7B"/>
    <w:rsid w:val="008B42D3"/>
    <w:rsid w:val="008B5324"/>
    <w:rsid w:val="008B5C99"/>
    <w:rsid w:val="008B6106"/>
    <w:rsid w:val="008B6E6A"/>
    <w:rsid w:val="008B7C02"/>
    <w:rsid w:val="008B7D2B"/>
    <w:rsid w:val="008B7EF9"/>
    <w:rsid w:val="008C0049"/>
    <w:rsid w:val="008C0314"/>
    <w:rsid w:val="008C0E88"/>
    <w:rsid w:val="008C1717"/>
    <w:rsid w:val="008C3B05"/>
    <w:rsid w:val="008C4AE8"/>
    <w:rsid w:val="008C4B50"/>
    <w:rsid w:val="008C4C9D"/>
    <w:rsid w:val="008C5A37"/>
    <w:rsid w:val="008C7065"/>
    <w:rsid w:val="008C7569"/>
    <w:rsid w:val="008C79C3"/>
    <w:rsid w:val="008D006F"/>
    <w:rsid w:val="008D033D"/>
    <w:rsid w:val="008D0DBD"/>
    <w:rsid w:val="008D117E"/>
    <w:rsid w:val="008D127E"/>
    <w:rsid w:val="008D1CA8"/>
    <w:rsid w:val="008D1E0A"/>
    <w:rsid w:val="008D1E6A"/>
    <w:rsid w:val="008D2A16"/>
    <w:rsid w:val="008D33F5"/>
    <w:rsid w:val="008D35E4"/>
    <w:rsid w:val="008D3ACD"/>
    <w:rsid w:val="008D6C3A"/>
    <w:rsid w:val="008D6E5C"/>
    <w:rsid w:val="008D70E2"/>
    <w:rsid w:val="008D70EB"/>
    <w:rsid w:val="008D7CA7"/>
    <w:rsid w:val="008E0001"/>
    <w:rsid w:val="008E292B"/>
    <w:rsid w:val="008E2B34"/>
    <w:rsid w:val="008E2C57"/>
    <w:rsid w:val="008E31FF"/>
    <w:rsid w:val="008E3287"/>
    <w:rsid w:val="008E45EF"/>
    <w:rsid w:val="008E50FB"/>
    <w:rsid w:val="008E54EB"/>
    <w:rsid w:val="008E6614"/>
    <w:rsid w:val="008E6DCB"/>
    <w:rsid w:val="008E6F06"/>
    <w:rsid w:val="008E7B8E"/>
    <w:rsid w:val="008E7FC9"/>
    <w:rsid w:val="008F0107"/>
    <w:rsid w:val="008F029B"/>
    <w:rsid w:val="008F0589"/>
    <w:rsid w:val="008F0E27"/>
    <w:rsid w:val="008F2A5D"/>
    <w:rsid w:val="008F3636"/>
    <w:rsid w:val="008F3FC9"/>
    <w:rsid w:val="008F4B05"/>
    <w:rsid w:val="008F509F"/>
    <w:rsid w:val="008F5383"/>
    <w:rsid w:val="008F585B"/>
    <w:rsid w:val="008F6639"/>
    <w:rsid w:val="008F7FB0"/>
    <w:rsid w:val="009003A8"/>
    <w:rsid w:val="009005E4"/>
    <w:rsid w:val="00900977"/>
    <w:rsid w:val="009021DA"/>
    <w:rsid w:val="00902500"/>
    <w:rsid w:val="00902EEB"/>
    <w:rsid w:val="00902EFF"/>
    <w:rsid w:val="00903A8E"/>
    <w:rsid w:val="0090432C"/>
    <w:rsid w:val="00904D4A"/>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1EC0"/>
    <w:rsid w:val="00912437"/>
    <w:rsid w:val="0091268B"/>
    <w:rsid w:val="00912A92"/>
    <w:rsid w:val="00913FEA"/>
    <w:rsid w:val="0091476D"/>
    <w:rsid w:val="00915D07"/>
    <w:rsid w:val="009162AE"/>
    <w:rsid w:val="00916E70"/>
    <w:rsid w:val="00917251"/>
    <w:rsid w:val="0091728D"/>
    <w:rsid w:val="00917290"/>
    <w:rsid w:val="00917292"/>
    <w:rsid w:val="0092036B"/>
    <w:rsid w:val="009203CC"/>
    <w:rsid w:val="00920EC4"/>
    <w:rsid w:val="0092180B"/>
    <w:rsid w:val="00921F14"/>
    <w:rsid w:val="009224C3"/>
    <w:rsid w:val="009225B8"/>
    <w:rsid w:val="0092292F"/>
    <w:rsid w:val="00922D28"/>
    <w:rsid w:val="00923332"/>
    <w:rsid w:val="00923CB0"/>
    <w:rsid w:val="00923D8C"/>
    <w:rsid w:val="00924871"/>
    <w:rsid w:val="00924AC8"/>
    <w:rsid w:val="00925429"/>
    <w:rsid w:val="00925615"/>
    <w:rsid w:val="0092597A"/>
    <w:rsid w:val="009261AA"/>
    <w:rsid w:val="00926520"/>
    <w:rsid w:val="00926CF0"/>
    <w:rsid w:val="009271EF"/>
    <w:rsid w:val="009273A9"/>
    <w:rsid w:val="00930251"/>
    <w:rsid w:val="0093033E"/>
    <w:rsid w:val="009305FC"/>
    <w:rsid w:val="00930FB1"/>
    <w:rsid w:val="0093139F"/>
    <w:rsid w:val="00932443"/>
    <w:rsid w:val="00932B32"/>
    <w:rsid w:val="00933F4A"/>
    <w:rsid w:val="00933F9B"/>
    <w:rsid w:val="009341F1"/>
    <w:rsid w:val="00934FF1"/>
    <w:rsid w:val="00934FF2"/>
    <w:rsid w:val="009358D7"/>
    <w:rsid w:val="00935BD4"/>
    <w:rsid w:val="00935DFE"/>
    <w:rsid w:val="00935F70"/>
    <w:rsid w:val="0093648B"/>
    <w:rsid w:val="009373B2"/>
    <w:rsid w:val="009375A6"/>
    <w:rsid w:val="0093799F"/>
    <w:rsid w:val="00937AE2"/>
    <w:rsid w:val="0094061F"/>
    <w:rsid w:val="00940F0F"/>
    <w:rsid w:val="00941C4A"/>
    <w:rsid w:val="00942263"/>
    <w:rsid w:val="0094257D"/>
    <w:rsid w:val="0094416B"/>
    <w:rsid w:val="0094427A"/>
    <w:rsid w:val="00944C7C"/>
    <w:rsid w:val="00945245"/>
    <w:rsid w:val="00945523"/>
    <w:rsid w:val="00950921"/>
    <w:rsid w:val="00951D68"/>
    <w:rsid w:val="00951E5B"/>
    <w:rsid w:val="00952B7B"/>
    <w:rsid w:val="00954D15"/>
    <w:rsid w:val="00954F39"/>
    <w:rsid w:val="0095517D"/>
    <w:rsid w:val="009555FD"/>
    <w:rsid w:val="0095664B"/>
    <w:rsid w:val="009568DC"/>
    <w:rsid w:val="00957140"/>
    <w:rsid w:val="00957445"/>
    <w:rsid w:val="0095759C"/>
    <w:rsid w:val="00960281"/>
    <w:rsid w:val="00961014"/>
    <w:rsid w:val="009618EE"/>
    <w:rsid w:val="00961DDD"/>
    <w:rsid w:val="009624D2"/>
    <w:rsid w:val="009628D9"/>
    <w:rsid w:val="009637AE"/>
    <w:rsid w:val="00963A06"/>
    <w:rsid w:val="00964068"/>
    <w:rsid w:val="009640F6"/>
    <w:rsid w:val="009645B8"/>
    <w:rsid w:val="0096469D"/>
    <w:rsid w:val="00964776"/>
    <w:rsid w:val="00964A4E"/>
    <w:rsid w:val="00964B35"/>
    <w:rsid w:val="009651C7"/>
    <w:rsid w:val="00965424"/>
    <w:rsid w:val="00965797"/>
    <w:rsid w:val="00965A10"/>
    <w:rsid w:val="00965AD0"/>
    <w:rsid w:val="009670A3"/>
    <w:rsid w:val="009674BE"/>
    <w:rsid w:val="00967E1E"/>
    <w:rsid w:val="0097058F"/>
    <w:rsid w:val="00970FB5"/>
    <w:rsid w:val="00971710"/>
    <w:rsid w:val="00971B87"/>
    <w:rsid w:val="00971C77"/>
    <w:rsid w:val="0097203A"/>
    <w:rsid w:val="0097219D"/>
    <w:rsid w:val="00972FCD"/>
    <w:rsid w:val="00973324"/>
    <w:rsid w:val="009736DF"/>
    <w:rsid w:val="009741AE"/>
    <w:rsid w:val="009741FC"/>
    <w:rsid w:val="00974782"/>
    <w:rsid w:val="00974923"/>
    <w:rsid w:val="009755D6"/>
    <w:rsid w:val="00975909"/>
    <w:rsid w:val="00977C3D"/>
    <w:rsid w:val="00980D3D"/>
    <w:rsid w:val="0098103E"/>
    <w:rsid w:val="0098157D"/>
    <w:rsid w:val="00983101"/>
    <w:rsid w:val="00983E41"/>
    <w:rsid w:val="009845E1"/>
    <w:rsid w:val="00984D1B"/>
    <w:rsid w:val="00986246"/>
    <w:rsid w:val="00987A30"/>
    <w:rsid w:val="00987C7A"/>
    <w:rsid w:val="00990312"/>
    <w:rsid w:val="0099182E"/>
    <w:rsid w:val="00992BB3"/>
    <w:rsid w:val="00992CF3"/>
    <w:rsid w:val="00993194"/>
    <w:rsid w:val="0099321E"/>
    <w:rsid w:val="00993879"/>
    <w:rsid w:val="00993D41"/>
    <w:rsid w:val="00994171"/>
    <w:rsid w:val="00994868"/>
    <w:rsid w:val="00994D28"/>
    <w:rsid w:val="00994E5B"/>
    <w:rsid w:val="00994F2C"/>
    <w:rsid w:val="009957CC"/>
    <w:rsid w:val="009968D6"/>
    <w:rsid w:val="00997953"/>
    <w:rsid w:val="009A03A5"/>
    <w:rsid w:val="009A0BFF"/>
    <w:rsid w:val="009A10A0"/>
    <w:rsid w:val="009A1CAB"/>
    <w:rsid w:val="009A20E7"/>
    <w:rsid w:val="009A2359"/>
    <w:rsid w:val="009A24F1"/>
    <w:rsid w:val="009A27E0"/>
    <w:rsid w:val="009A37D1"/>
    <w:rsid w:val="009A4D57"/>
    <w:rsid w:val="009A51A5"/>
    <w:rsid w:val="009A598B"/>
    <w:rsid w:val="009A5F39"/>
    <w:rsid w:val="009A60D1"/>
    <w:rsid w:val="009A6225"/>
    <w:rsid w:val="009A64F5"/>
    <w:rsid w:val="009A7F9B"/>
    <w:rsid w:val="009B00D2"/>
    <w:rsid w:val="009B05B3"/>
    <w:rsid w:val="009B1324"/>
    <w:rsid w:val="009B142D"/>
    <w:rsid w:val="009B284F"/>
    <w:rsid w:val="009B3764"/>
    <w:rsid w:val="009B52AC"/>
    <w:rsid w:val="009B59EA"/>
    <w:rsid w:val="009B66CE"/>
    <w:rsid w:val="009B6FD3"/>
    <w:rsid w:val="009B72BE"/>
    <w:rsid w:val="009B78A4"/>
    <w:rsid w:val="009B7DB2"/>
    <w:rsid w:val="009C03DB"/>
    <w:rsid w:val="009C0B29"/>
    <w:rsid w:val="009C15AF"/>
    <w:rsid w:val="009C1750"/>
    <w:rsid w:val="009C2E29"/>
    <w:rsid w:val="009C3E8F"/>
    <w:rsid w:val="009C4227"/>
    <w:rsid w:val="009C554B"/>
    <w:rsid w:val="009C55E4"/>
    <w:rsid w:val="009C5E83"/>
    <w:rsid w:val="009C7126"/>
    <w:rsid w:val="009C719E"/>
    <w:rsid w:val="009C7799"/>
    <w:rsid w:val="009C7CF4"/>
    <w:rsid w:val="009D07A9"/>
    <w:rsid w:val="009D0AE2"/>
    <w:rsid w:val="009D0D61"/>
    <w:rsid w:val="009D0D9F"/>
    <w:rsid w:val="009D0EBB"/>
    <w:rsid w:val="009D0F41"/>
    <w:rsid w:val="009D1A43"/>
    <w:rsid w:val="009D2746"/>
    <w:rsid w:val="009D2C46"/>
    <w:rsid w:val="009D3ACD"/>
    <w:rsid w:val="009D4254"/>
    <w:rsid w:val="009D4F21"/>
    <w:rsid w:val="009D587D"/>
    <w:rsid w:val="009D7731"/>
    <w:rsid w:val="009E1120"/>
    <w:rsid w:val="009E1393"/>
    <w:rsid w:val="009E1922"/>
    <w:rsid w:val="009E1A3D"/>
    <w:rsid w:val="009E3381"/>
    <w:rsid w:val="009E407B"/>
    <w:rsid w:val="009E4715"/>
    <w:rsid w:val="009E4A58"/>
    <w:rsid w:val="009E4E41"/>
    <w:rsid w:val="009E5273"/>
    <w:rsid w:val="009E57A8"/>
    <w:rsid w:val="009E5B85"/>
    <w:rsid w:val="009E5BFE"/>
    <w:rsid w:val="009E5DDB"/>
    <w:rsid w:val="009E6D57"/>
    <w:rsid w:val="009F2518"/>
    <w:rsid w:val="009F2921"/>
    <w:rsid w:val="009F42CF"/>
    <w:rsid w:val="009F4982"/>
    <w:rsid w:val="009F4CA7"/>
    <w:rsid w:val="009F4F6A"/>
    <w:rsid w:val="009F55BA"/>
    <w:rsid w:val="009F7D36"/>
    <w:rsid w:val="009F7D61"/>
    <w:rsid w:val="00A00E37"/>
    <w:rsid w:val="00A00E71"/>
    <w:rsid w:val="00A01B8A"/>
    <w:rsid w:val="00A02311"/>
    <w:rsid w:val="00A0306F"/>
    <w:rsid w:val="00A03B10"/>
    <w:rsid w:val="00A03E2E"/>
    <w:rsid w:val="00A04616"/>
    <w:rsid w:val="00A04717"/>
    <w:rsid w:val="00A056C0"/>
    <w:rsid w:val="00A05D8F"/>
    <w:rsid w:val="00A05EE4"/>
    <w:rsid w:val="00A06F99"/>
    <w:rsid w:val="00A1053B"/>
    <w:rsid w:val="00A10D66"/>
    <w:rsid w:val="00A113A4"/>
    <w:rsid w:val="00A13B40"/>
    <w:rsid w:val="00A14114"/>
    <w:rsid w:val="00A16413"/>
    <w:rsid w:val="00A16545"/>
    <w:rsid w:val="00A16AED"/>
    <w:rsid w:val="00A16C37"/>
    <w:rsid w:val="00A16E1D"/>
    <w:rsid w:val="00A171D5"/>
    <w:rsid w:val="00A17A15"/>
    <w:rsid w:val="00A17D34"/>
    <w:rsid w:val="00A17D5B"/>
    <w:rsid w:val="00A2016A"/>
    <w:rsid w:val="00A201E1"/>
    <w:rsid w:val="00A20FE1"/>
    <w:rsid w:val="00A21B4D"/>
    <w:rsid w:val="00A21F33"/>
    <w:rsid w:val="00A22073"/>
    <w:rsid w:val="00A223E0"/>
    <w:rsid w:val="00A22959"/>
    <w:rsid w:val="00A23158"/>
    <w:rsid w:val="00A2341B"/>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3DB1"/>
    <w:rsid w:val="00A34400"/>
    <w:rsid w:val="00A35900"/>
    <w:rsid w:val="00A36CC1"/>
    <w:rsid w:val="00A40075"/>
    <w:rsid w:val="00A40EAC"/>
    <w:rsid w:val="00A418BC"/>
    <w:rsid w:val="00A41946"/>
    <w:rsid w:val="00A419FF"/>
    <w:rsid w:val="00A41FCF"/>
    <w:rsid w:val="00A428B2"/>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348"/>
    <w:rsid w:val="00A52A88"/>
    <w:rsid w:val="00A52CAD"/>
    <w:rsid w:val="00A53FC7"/>
    <w:rsid w:val="00A546EA"/>
    <w:rsid w:val="00A55569"/>
    <w:rsid w:val="00A566A0"/>
    <w:rsid w:val="00A601E7"/>
    <w:rsid w:val="00A60A11"/>
    <w:rsid w:val="00A60AC1"/>
    <w:rsid w:val="00A6236A"/>
    <w:rsid w:val="00A626FF"/>
    <w:rsid w:val="00A62CE1"/>
    <w:rsid w:val="00A65469"/>
    <w:rsid w:val="00A65528"/>
    <w:rsid w:val="00A655D3"/>
    <w:rsid w:val="00A662D9"/>
    <w:rsid w:val="00A66EDD"/>
    <w:rsid w:val="00A66F79"/>
    <w:rsid w:val="00A6741E"/>
    <w:rsid w:val="00A67A99"/>
    <w:rsid w:val="00A67E29"/>
    <w:rsid w:val="00A7016A"/>
    <w:rsid w:val="00A7018D"/>
    <w:rsid w:val="00A7191D"/>
    <w:rsid w:val="00A722F9"/>
    <w:rsid w:val="00A72D42"/>
    <w:rsid w:val="00A72F8E"/>
    <w:rsid w:val="00A746C9"/>
    <w:rsid w:val="00A74C2A"/>
    <w:rsid w:val="00A75E40"/>
    <w:rsid w:val="00A76818"/>
    <w:rsid w:val="00A77D1D"/>
    <w:rsid w:val="00A8119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3D5"/>
    <w:rsid w:val="00A925B1"/>
    <w:rsid w:val="00A92A3E"/>
    <w:rsid w:val="00A934F9"/>
    <w:rsid w:val="00A940E3"/>
    <w:rsid w:val="00A94983"/>
    <w:rsid w:val="00A95DA3"/>
    <w:rsid w:val="00A95F1A"/>
    <w:rsid w:val="00A96116"/>
    <w:rsid w:val="00A9614E"/>
    <w:rsid w:val="00A96422"/>
    <w:rsid w:val="00A96C0F"/>
    <w:rsid w:val="00A97075"/>
    <w:rsid w:val="00A97E05"/>
    <w:rsid w:val="00AA0E80"/>
    <w:rsid w:val="00AA17CD"/>
    <w:rsid w:val="00AA1D85"/>
    <w:rsid w:val="00AA212F"/>
    <w:rsid w:val="00AA26A9"/>
    <w:rsid w:val="00AA2996"/>
    <w:rsid w:val="00AA2AF4"/>
    <w:rsid w:val="00AA33FB"/>
    <w:rsid w:val="00AA41B7"/>
    <w:rsid w:val="00AA4282"/>
    <w:rsid w:val="00AA43F2"/>
    <w:rsid w:val="00AA4790"/>
    <w:rsid w:val="00AA52BF"/>
    <w:rsid w:val="00AA559A"/>
    <w:rsid w:val="00AA6C31"/>
    <w:rsid w:val="00AA6CDA"/>
    <w:rsid w:val="00AA7752"/>
    <w:rsid w:val="00AA7CE8"/>
    <w:rsid w:val="00AB0E44"/>
    <w:rsid w:val="00AB0F19"/>
    <w:rsid w:val="00AB1457"/>
    <w:rsid w:val="00AB2AF1"/>
    <w:rsid w:val="00AB345C"/>
    <w:rsid w:val="00AB3EC7"/>
    <w:rsid w:val="00AB5898"/>
    <w:rsid w:val="00AB5A64"/>
    <w:rsid w:val="00AB5CA1"/>
    <w:rsid w:val="00AB61AA"/>
    <w:rsid w:val="00AB6456"/>
    <w:rsid w:val="00AB75C5"/>
    <w:rsid w:val="00AC044E"/>
    <w:rsid w:val="00AC089C"/>
    <w:rsid w:val="00AC2118"/>
    <w:rsid w:val="00AC2395"/>
    <w:rsid w:val="00AC2960"/>
    <w:rsid w:val="00AC2AC4"/>
    <w:rsid w:val="00AC4284"/>
    <w:rsid w:val="00AC45BD"/>
    <w:rsid w:val="00AC4B69"/>
    <w:rsid w:val="00AC50BB"/>
    <w:rsid w:val="00AC597D"/>
    <w:rsid w:val="00AC6A7B"/>
    <w:rsid w:val="00AD066C"/>
    <w:rsid w:val="00AD0B22"/>
    <w:rsid w:val="00AD0EE7"/>
    <w:rsid w:val="00AD168E"/>
    <w:rsid w:val="00AD306C"/>
    <w:rsid w:val="00AD44CD"/>
    <w:rsid w:val="00AD583C"/>
    <w:rsid w:val="00AD5AD2"/>
    <w:rsid w:val="00AD6462"/>
    <w:rsid w:val="00AD6656"/>
    <w:rsid w:val="00AD66C5"/>
    <w:rsid w:val="00AD68C4"/>
    <w:rsid w:val="00AD71F9"/>
    <w:rsid w:val="00AD7D55"/>
    <w:rsid w:val="00AE09B3"/>
    <w:rsid w:val="00AE0C9E"/>
    <w:rsid w:val="00AE0DD4"/>
    <w:rsid w:val="00AE1A83"/>
    <w:rsid w:val="00AE2AE9"/>
    <w:rsid w:val="00AE2AFA"/>
    <w:rsid w:val="00AE30BE"/>
    <w:rsid w:val="00AE3E6A"/>
    <w:rsid w:val="00AE4A4F"/>
    <w:rsid w:val="00AE6414"/>
    <w:rsid w:val="00AE7269"/>
    <w:rsid w:val="00AE797C"/>
    <w:rsid w:val="00AE7CE7"/>
    <w:rsid w:val="00AE7FAB"/>
    <w:rsid w:val="00AE7FB6"/>
    <w:rsid w:val="00AF0DE4"/>
    <w:rsid w:val="00AF1E87"/>
    <w:rsid w:val="00AF22CD"/>
    <w:rsid w:val="00AF436B"/>
    <w:rsid w:val="00AF5179"/>
    <w:rsid w:val="00AF5CC2"/>
    <w:rsid w:val="00AF6776"/>
    <w:rsid w:val="00AF6883"/>
    <w:rsid w:val="00AF6F98"/>
    <w:rsid w:val="00AF75F2"/>
    <w:rsid w:val="00B00550"/>
    <w:rsid w:val="00B00913"/>
    <w:rsid w:val="00B01593"/>
    <w:rsid w:val="00B01FF9"/>
    <w:rsid w:val="00B023F2"/>
    <w:rsid w:val="00B026FE"/>
    <w:rsid w:val="00B038CA"/>
    <w:rsid w:val="00B05F00"/>
    <w:rsid w:val="00B06DB4"/>
    <w:rsid w:val="00B06EFE"/>
    <w:rsid w:val="00B0750D"/>
    <w:rsid w:val="00B0799C"/>
    <w:rsid w:val="00B102CE"/>
    <w:rsid w:val="00B10594"/>
    <w:rsid w:val="00B10A4D"/>
    <w:rsid w:val="00B10C90"/>
    <w:rsid w:val="00B11002"/>
    <w:rsid w:val="00B1114F"/>
    <w:rsid w:val="00B121B2"/>
    <w:rsid w:val="00B131B1"/>
    <w:rsid w:val="00B141B6"/>
    <w:rsid w:val="00B14BC1"/>
    <w:rsid w:val="00B14E32"/>
    <w:rsid w:val="00B162C3"/>
    <w:rsid w:val="00B16DD1"/>
    <w:rsid w:val="00B16EB8"/>
    <w:rsid w:val="00B17E71"/>
    <w:rsid w:val="00B17FDE"/>
    <w:rsid w:val="00B20632"/>
    <w:rsid w:val="00B22499"/>
    <w:rsid w:val="00B236B6"/>
    <w:rsid w:val="00B2379C"/>
    <w:rsid w:val="00B23D5D"/>
    <w:rsid w:val="00B23E6E"/>
    <w:rsid w:val="00B2450C"/>
    <w:rsid w:val="00B2687D"/>
    <w:rsid w:val="00B27948"/>
    <w:rsid w:val="00B27F6C"/>
    <w:rsid w:val="00B301DB"/>
    <w:rsid w:val="00B3108D"/>
    <w:rsid w:val="00B31693"/>
    <w:rsid w:val="00B32DDB"/>
    <w:rsid w:val="00B32F57"/>
    <w:rsid w:val="00B3345C"/>
    <w:rsid w:val="00B34528"/>
    <w:rsid w:val="00B34CC9"/>
    <w:rsid w:val="00B34CDA"/>
    <w:rsid w:val="00B3563B"/>
    <w:rsid w:val="00B36BDC"/>
    <w:rsid w:val="00B37499"/>
    <w:rsid w:val="00B37D3A"/>
    <w:rsid w:val="00B37D96"/>
    <w:rsid w:val="00B402FC"/>
    <w:rsid w:val="00B422E2"/>
    <w:rsid w:val="00B4236C"/>
    <w:rsid w:val="00B42D5F"/>
    <w:rsid w:val="00B43216"/>
    <w:rsid w:val="00B439DA"/>
    <w:rsid w:val="00B4411A"/>
    <w:rsid w:val="00B45FE8"/>
    <w:rsid w:val="00B46604"/>
    <w:rsid w:val="00B47089"/>
    <w:rsid w:val="00B47587"/>
    <w:rsid w:val="00B52151"/>
    <w:rsid w:val="00B530CD"/>
    <w:rsid w:val="00B53639"/>
    <w:rsid w:val="00B53C7D"/>
    <w:rsid w:val="00B53E56"/>
    <w:rsid w:val="00B5407D"/>
    <w:rsid w:val="00B54FC0"/>
    <w:rsid w:val="00B55A97"/>
    <w:rsid w:val="00B55F5E"/>
    <w:rsid w:val="00B5642C"/>
    <w:rsid w:val="00B5658D"/>
    <w:rsid w:val="00B56B6F"/>
    <w:rsid w:val="00B5752E"/>
    <w:rsid w:val="00B6074F"/>
    <w:rsid w:val="00B60AC1"/>
    <w:rsid w:val="00B61FF6"/>
    <w:rsid w:val="00B62316"/>
    <w:rsid w:val="00B623D7"/>
    <w:rsid w:val="00B63A11"/>
    <w:rsid w:val="00B64425"/>
    <w:rsid w:val="00B64C24"/>
    <w:rsid w:val="00B65CEF"/>
    <w:rsid w:val="00B65E90"/>
    <w:rsid w:val="00B6608F"/>
    <w:rsid w:val="00B67749"/>
    <w:rsid w:val="00B679FB"/>
    <w:rsid w:val="00B717C4"/>
    <w:rsid w:val="00B71FBF"/>
    <w:rsid w:val="00B72287"/>
    <w:rsid w:val="00B734A0"/>
    <w:rsid w:val="00B73A14"/>
    <w:rsid w:val="00B74433"/>
    <w:rsid w:val="00B748BD"/>
    <w:rsid w:val="00B74EA8"/>
    <w:rsid w:val="00B7680F"/>
    <w:rsid w:val="00B76B48"/>
    <w:rsid w:val="00B76D1E"/>
    <w:rsid w:val="00B77543"/>
    <w:rsid w:val="00B77584"/>
    <w:rsid w:val="00B80544"/>
    <w:rsid w:val="00B80D89"/>
    <w:rsid w:val="00B80EC6"/>
    <w:rsid w:val="00B81288"/>
    <w:rsid w:val="00B81D70"/>
    <w:rsid w:val="00B833B9"/>
    <w:rsid w:val="00B83AAF"/>
    <w:rsid w:val="00B83E07"/>
    <w:rsid w:val="00B84CF6"/>
    <w:rsid w:val="00B85016"/>
    <w:rsid w:val="00B8561A"/>
    <w:rsid w:val="00B86643"/>
    <w:rsid w:val="00B868F7"/>
    <w:rsid w:val="00B90131"/>
    <w:rsid w:val="00B9123C"/>
    <w:rsid w:val="00B92951"/>
    <w:rsid w:val="00B92C05"/>
    <w:rsid w:val="00B92D1D"/>
    <w:rsid w:val="00B92D7E"/>
    <w:rsid w:val="00B930CE"/>
    <w:rsid w:val="00B938C5"/>
    <w:rsid w:val="00B940A8"/>
    <w:rsid w:val="00B94ADB"/>
    <w:rsid w:val="00B9554A"/>
    <w:rsid w:val="00B95940"/>
    <w:rsid w:val="00B95ACA"/>
    <w:rsid w:val="00B96D74"/>
    <w:rsid w:val="00B9720E"/>
    <w:rsid w:val="00B97ACC"/>
    <w:rsid w:val="00B97FE2"/>
    <w:rsid w:val="00BA08E1"/>
    <w:rsid w:val="00BA0E0B"/>
    <w:rsid w:val="00BA201A"/>
    <w:rsid w:val="00BA361D"/>
    <w:rsid w:val="00BA3787"/>
    <w:rsid w:val="00BA403A"/>
    <w:rsid w:val="00BA46E8"/>
    <w:rsid w:val="00BA4AE9"/>
    <w:rsid w:val="00BA4E19"/>
    <w:rsid w:val="00BA6436"/>
    <w:rsid w:val="00BA64F2"/>
    <w:rsid w:val="00BA684E"/>
    <w:rsid w:val="00BA6C2B"/>
    <w:rsid w:val="00BA7AF6"/>
    <w:rsid w:val="00BA7B64"/>
    <w:rsid w:val="00BB02A3"/>
    <w:rsid w:val="00BB0351"/>
    <w:rsid w:val="00BB03DB"/>
    <w:rsid w:val="00BB069B"/>
    <w:rsid w:val="00BB15C3"/>
    <w:rsid w:val="00BB1948"/>
    <w:rsid w:val="00BB1AF4"/>
    <w:rsid w:val="00BB2202"/>
    <w:rsid w:val="00BB39E7"/>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1048"/>
    <w:rsid w:val="00BC17C7"/>
    <w:rsid w:val="00BC327F"/>
    <w:rsid w:val="00BC3512"/>
    <w:rsid w:val="00BC4B35"/>
    <w:rsid w:val="00BC50BE"/>
    <w:rsid w:val="00BC5332"/>
    <w:rsid w:val="00BC5715"/>
    <w:rsid w:val="00BC5C12"/>
    <w:rsid w:val="00BC641B"/>
    <w:rsid w:val="00BC65A2"/>
    <w:rsid w:val="00BC7154"/>
    <w:rsid w:val="00BC731E"/>
    <w:rsid w:val="00BC7614"/>
    <w:rsid w:val="00BC7AC9"/>
    <w:rsid w:val="00BC7E2C"/>
    <w:rsid w:val="00BD041B"/>
    <w:rsid w:val="00BD054B"/>
    <w:rsid w:val="00BD05DF"/>
    <w:rsid w:val="00BD177E"/>
    <w:rsid w:val="00BD1839"/>
    <w:rsid w:val="00BD25BB"/>
    <w:rsid w:val="00BD2AF8"/>
    <w:rsid w:val="00BD366B"/>
    <w:rsid w:val="00BD3C09"/>
    <w:rsid w:val="00BD410B"/>
    <w:rsid w:val="00BD4A73"/>
    <w:rsid w:val="00BD6C75"/>
    <w:rsid w:val="00BD6D50"/>
    <w:rsid w:val="00BD73D2"/>
    <w:rsid w:val="00BD7958"/>
    <w:rsid w:val="00BE04B0"/>
    <w:rsid w:val="00BE0AD1"/>
    <w:rsid w:val="00BE0EF9"/>
    <w:rsid w:val="00BE10A1"/>
    <w:rsid w:val="00BE12CC"/>
    <w:rsid w:val="00BE18B9"/>
    <w:rsid w:val="00BE190A"/>
    <w:rsid w:val="00BE2495"/>
    <w:rsid w:val="00BE24DD"/>
    <w:rsid w:val="00BE2A8A"/>
    <w:rsid w:val="00BE386D"/>
    <w:rsid w:val="00BE54BF"/>
    <w:rsid w:val="00BE557B"/>
    <w:rsid w:val="00BE6AB5"/>
    <w:rsid w:val="00BE7F5F"/>
    <w:rsid w:val="00BF02C8"/>
    <w:rsid w:val="00BF0996"/>
    <w:rsid w:val="00BF1578"/>
    <w:rsid w:val="00BF15CA"/>
    <w:rsid w:val="00BF1D12"/>
    <w:rsid w:val="00BF1D3A"/>
    <w:rsid w:val="00BF2B5B"/>
    <w:rsid w:val="00BF2D41"/>
    <w:rsid w:val="00BF3274"/>
    <w:rsid w:val="00BF32DC"/>
    <w:rsid w:val="00BF4329"/>
    <w:rsid w:val="00BF4E43"/>
    <w:rsid w:val="00BF5C4C"/>
    <w:rsid w:val="00BF77FC"/>
    <w:rsid w:val="00C0062B"/>
    <w:rsid w:val="00C006D6"/>
    <w:rsid w:val="00C00BD7"/>
    <w:rsid w:val="00C012F4"/>
    <w:rsid w:val="00C01410"/>
    <w:rsid w:val="00C04B78"/>
    <w:rsid w:val="00C052AA"/>
    <w:rsid w:val="00C06EE3"/>
    <w:rsid w:val="00C070A5"/>
    <w:rsid w:val="00C075AB"/>
    <w:rsid w:val="00C07749"/>
    <w:rsid w:val="00C11244"/>
    <w:rsid w:val="00C11D48"/>
    <w:rsid w:val="00C1246C"/>
    <w:rsid w:val="00C12617"/>
    <w:rsid w:val="00C12FBA"/>
    <w:rsid w:val="00C1493E"/>
    <w:rsid w:val="00C15DBD"/>
    <w:rsid w:val="00C2010D"/>
    <w:rsid w:val="00C20376"/>
    <w:rsid w:val="00C20CB5"/>
    <w:rsid w:val="00C21430"/>
    <w:rsid w:val="00C21606"/>
    <w:rsid w:val="00C216DF"/>
    <w:rsid w:val="00C21775"/>
    <w:rsid w:val="00C21E61"/>
    <w:rsid w:val="00C21F94"/>
    <w:rsid w:val="00C234DB"/>
    <w:rsid w:val="00C2479A"/>
    <w:rsid w:val="00C24903"/>
    <w:rsid w:val="00C2590D"/>
    <w:rsid w:val="00C25D9C"/>
    <w:rsid w:val="00C27913"/>
    <w:rsid w:val="00C300E2"/>
    <w:rsid w:val="00C31F21"/>
    <w:rsid w:val="00C32073"/>
    <w:rsid w:val="00C32631"/>
    <w:rsid w:val="00C32C4E"/>
    <w:rsid w:val="00C33301"/>
    <w:rsid w:val="00C33311"/>
    <w:rsid w:val="00C33B68"/>
    <w:rsid w:val="00C347AE"/>
    <w:rsid w:val="00C35570"/>
    <w:rsid w:val="00C35A2A"/>
    <w:rsid w:val="00C36A79"/>
    <w:rsid w:val="00C401A9"/>
    <w:rsid w:val="00C401D2"/>
    <w:rsid w:val="00C4031A"/>
    <w:rsid w:val="00C405D4"/>
    <w:rsid w:val="00C419D5"/>
    <w:rsid w:val="00C41D54"/>
    <w:rsid w:val="00C42EBB"/>
    <w:rsid w:val="00C4513B"/>
    <w:rsid w:val="00C475E8"/>
    <w:rsid w:val="00C5051D"/>
    <w:rsid w:val="00C50E79"/>
    <w:rsid w:val="00C5197D"/>
    <w:rsid w:val="00C52484"/>
    <w:rsid w:val="00C525FB"/>
    <w:rsid w:val="00C5390B"/>
    <w:rsid w:val="00C54257"/>
    <w:rsid w:val="00C54697"/>
    <w:rsid w:val="00C54710"/>
    <w:rsid w:val="00C550CE"/>
    <w:rsid w:val="00C553A5"/>
    <w:rsid w:val="00C55402"/>
    <w:rsid w:val="00C55EFB"/>
    <w:rsid w:val="00C5603B"/>
    <w:rsid w:val="00C61F47"/>
    <w:rsid w:val="00C62828"/>
    <w:rsid w:val="00C63419"/>
    <w:rsid w:val="00C715CC"/>
    <w:rsid w:val="00C719A3"/>
    <w:rsid w:val="00C71D2F"/>
    <w:rsid w:val="00C72984"/>
    <w:rsid w:val="00C73885"/>
    <w:rsid w:val="00C73C93"/>
    <w:rsid w:val="00C7435A"/>
    <w:rsid w:val="00C747B1"/>
    <w:rsid w:val="00C74874"/>
    <w:rsid w:val="00C75510"/>
    <w:rsid w:val="00C755F9"/>
    <w:rsid w:val="00C756D8"/>
    <w:rsid w:val="00C75752"/>
    <w:rsid w:val="00C770C9"/>
    <w:rsid w:val="00C80E75"/>
    <w:rsid w:val="00C81070"/>
    <w:rsid w:val="00C8174E"/>
    <w:rsid w:val="00C81AC8"/>
    <w:rsid w:val="00C82191"/>
    <w:rsid w:val="00C83134"/>
    <w:rsid w:val="00C831E7"/>
    <w:rsid w:val="00C832F3"/>
    <w:rsid w:val="00C84307"/>
    <w:rsid w:val="00C844D4"/>
    <w:rsid w:val="00C845A4"/>
    <w:rsid w:val="00C85047"/>
    <w:rsid w:val="00C85545"/>
    <w:rsid w:val="00C855B5"/>
    <w:rsid w:val="00C85F0E"/>
    <w:rsid w:val="00C87F4F"/>
    <w:rsid w:val="00C90CF4"/>
    <w:rsid w:val="00C91C20"/>
    <w:rsid w:val="00C922DE"/>
    <w:rsid w:val="00C92843"/>
    <w:rsid w:val="00C92EB6"/>
    <w:rsid w:val="00C93389"/>
    <w:rsid w:val="00C948E6"/>
    <w:rsid w:val="00C94B0E"/>
    <w:rsid w:val="00C94CDD"/>
    <w:rsid w:val="00C9507E"/>
    <w:rsid w:val="00C95F09"/>
    <w:rsid w:val="00C96C69"/>
    <w:rsid w:val="00C972CB"/>
    <w:rsid w:val="00C97588"/>
    <w:rsid w:val="00CA0346"/>
    <w:rsid w:val="00CA0DA1"/>
    <w:rsid w:val="00CA14C2"/>
    <w:rsid w:val="00CA1BD6"/>
    <w:rsid w:val="00CA2D45"/>
    <w:rsid w:val="00CA37FF"/>
    <w:rsid w:val="00CA423A"/>
    <w:rsid w:val="00CA47BC"/>
    <w:rsid w:val="00CA5EAD"/>
    <w:rsid w:val="00CA6AB4"/>
    <w:rsid w:val="00CA7255"/>
    <w:rsid w:val="00CB1BEE"/>
    <w:rsid w:val="00CB2351"/>
    <w:rsid w:val="00CB3610"/>
    <w:rsid w:val="00CB3818"/>
    <w:rsid w:val="00CB39E6"/>
    <w:rsid w:val="00CB3BE4"/>
    <w:rsid w:val="00CB481D"/>
    <w:rsid w:val="00CB4930"/>
    <w:rsid w:val="00CB4BA9"/>
    <w:rsid w:val="00CB4C63"/>
    <w:rsid w:val="00CB5A48"/>
    <w:rsid w:val="00CB5E10"/>
    <w:rsid w:val="00CB5EAD"/>
    <w:rsid w:val="00CB613B"/>
    <w:rsid w:val="00CB6152"/>
    <w:rsid w:val="00CB632B"/>
    <w:rsid w:val="00CB64E1"/>
    <w:rsid w:val="00CB6E4D"/>
    <w:rsid w:val="00CB7BCB"/>
    <w:rsid w:val="00CC042C"/>
    <w:rsid w:val="00CC0834"/>
    <w:rsid w:val="00CC0AEA"/>
    <w:rsid w:val="00CC20FE"/>
    <w:rsid w:val="00CC2E7D"/>
    <w:rsid w:val="00CC3C55"/>
    <w:rsid w:val="00CC5BE8"/>
    <w:rsid w:val="00CC612B"/>
    <w:rsid w:val="00CC655F"/>
    <w:rsid w:val="00CC66F9"/>
    <w:rsid w:val="00CC6C2A"/>
    <w:rsid w:val="00CC6FE5"/>
    <w:rsid w:val="00CC7458"/>
    <w:rsid w:val="00CC76BD"/>
    <w:rsid w:val="00CC77E8"/>
    <w:rsid w:val="00CC7A87"/>
    <w:rsid w:val="00CD0D6B"/>
    <w:rsid w:val="00CD0EA7"/>
    <w:rsid w:val="00CD10A5"/>
    <w:rsid w:val="00CD1129"/>
    <w:rsid w:val="00CD128E"/>
    <w:rsid w:val="00CD1A80"/>
    <w:rsid w:val="00CD1CB5"/>
    <w:rsid w:val="00CD2076"/>
    <w:rsid w:val="00CD24CE"/>
    <w:rsid w:val="00CD29B5"/>
    <w:rsid w:val="00CD2B78"/>
    <w:rsid w:val="00CD3FAB"/>
    <w:rsid w:val="00CD4DF9"/>
    <w:rsid w:val="00CD5456"/>
    <w:rsid w:val="00CD5C3E"/>
    <w:rsid w:val="00CD5C57"/>
    <w:rsid w:val="00CD6331"/>
    <w:rsid w:val="00CE0FE9"/>
    <w:rsid w:val="00CE14BE"/>
    <w:rsid w:val="00CE17A4"/>
    <w:rsid w:val="00CE1BA9"/>
    <w:rsid w:val="00CE2383"/>
    <w:rsid w:val="00CE2D8F"/>
    <w:rsid w:val="00CE3E48"/>
    <w:rsid w:val="00CE47B8"/>
    <w:rsid w:val="00CE62FA"/>
    <w:rsid w:val="00CE6494"/>
    <w:rsid w:val="00CE670B"/>
    <w:rsid w:val="00CE6833"/>
    <w:rsid w:val="00CE6E27"/>
    <w:rsid w:val="00CF0081"/>
    <w:rsid w:val="00CF020B"/>
    <w:rsid w:val="00CF2E4D"/>
    <w:rsid w:val="00CF4205"/>
    <w:rsid w:val="00CF4908"/>
    <w:rsid w:val="00CF51EC"/>
    <w:rsid w:val="00CF545D"/>
    <w:rsid w:val="00CF5873"/>
    <w:rsid w:val="00CF73AE"/>
    <w:rsid w:val="00CF7777"/>
    <w:rsid w:val="00CF7E70"/>
    <w:rsid w:val="00D0085A"/>
    <w:rsid w:val="00D0197F"/>
    <w:rsid w:val="00D01B31"/>
    <w:rsid w:val="00D0242D"/>
    <w:rsid w:val="00D02716"/>
    <w:rsid w:val="00D02999"/>
    <w:rsid w:val="00D02A35"/>
    <w:rsid w:val="00D02B89"/>
    <w:rsid w:val="00D03A72"/>
    <w:rsid w:val="00D040DD"/>
    <w:rsid w:val="00D04101"/>
    <w:rsid w:val="00D04134"/>
    <w:rsid w:val="00D05C65"/>
    <w:rsid w:val="00D0686E"/>
    <w:rsid w:val="00D06B56"/>
    <w:rsid w:val="00D06D68"/>
    <w:rsid w:val="00D075BE"/>
    <w:rsid w:val="00D07AFF"/>
    <w:rsid w:val="00D07BC1"/>
    <w:rsid w:val="00D10BDD"/>
    <w:rsid w:val="00D10C15"/>
    <w:rsid w:val="00D11011"/>
    <w:rsid w:val="00D11476"/>
    <w:rsid w:val="00D12C25"/>
    <w:rsid w:val="00D133B4"/>
    <w:rsid w:val="00D13829"/>
    <w:rsid w:val="00D13986"/>
    <w:rsid w:val="00D14C5B"/>
    <w:rsid w:val="00D152E7"/>
    <w:rsid w:val="00D15FED"/>
    <w:rsid w:val="00D16712"/>
    <w:rsid w:val="00D16D59"/>
    <w:rsid w:val="00D2000D"/>
    <w:rsid w:val="00D2007D"/>
    <w:rsid w:val="00D202E5"/>
    <w:rsid w:val="00D205DA"/>
    <w:rsid w:val="00D214EF"/>
    <w:rsid w:val="00D215B0"/>
    <w:rsid w:val="00D21D6D"/>
    <w:rsid w:val="00D21D83"/>
    <w:rsid w:val="00D22A47"/>
    <w:rsid w:val="00D22AE8"/>
    <w:rsid w:val="00D235B7"/>
    <w:rsid w:val="00D23FAE"/>
    <w:rsid w:val="00D25F28"/>
    <w:rsid w:val="00D26071"/>
    <w:rsid w:val="00D260C7"/>
    <w:rsid w:val="00D2638A"/>
    <w:rsid w:val="00D269B9"/>
    <w:rsid w:val="00D27973"/>
    <w:rsid w:val="00D27F3A"/>
    <w:rsid w:val="00D31537"/>
    <w:rsid w:val="00D31E1E"/>
    <w:rsid w:val="00D322A0"/>
    <w:rsid w:val="00D32824"/>
    <w:rsid w:val="00D334E2"/>
    <w:rsid w:val="00D33FC5"/>
    <w:rsid w:val="00D34342"/>
    <w:rsid w:val="00D34835"/>
    <w:rsid w:val="00D34A5A"/>
    <w:rsid w:val="00D350B1"/>
    <w:rsid w:val="00D3546A"/>
    <w:rsid w:val="00D35AD6"/>
    <w:rsid w:val="00D35BBB"/>
    <w:rsid w:val="00D35E1A"/>
    <w:rsid w:val="00D3640A"/>
    <w:rsid w:val="00D36B0A"/>
    <w:rsid w:val="00D36DFB"/>
    <w:rsid w:val="00D36E1C"/>
    <w:rsid w:val="00D373AF"/>
    <w:rsid w:val="00D40556"/>
    <w:rsid w:val="00D406BB"/>
    <w:rsid w:val="00D40E6C"/>
    <w:rsid w:val="00D418B1"/>
    <w:rsid w:val="00D41A44"/>
    <w:rsid w:val="00D41F74"/>
    <w:rsid w:val="00D428C8"/>
    <w:rsid w:val="00D43034"/>
    <w:rsid w:val="00D43ED2"/>
    <w:rsid w:val="00D447B8"/>
    <w:rsid w:val="00D5040A"/>
    <w:rsid w:val="00D50F46"/>
    <w:rsid w:val="00D52084"/>
    <w:rsid w:val="00D5376B"/>
    <w:rsid w:val="00D5384E"/>
    <w:rsid w:val="00D544E7"/>
    <w:rsid w:val="00D545CD"/>
    <w:rsid w:val="00D5499F"/>
    <w:rsid w:val="00D5560A"/>
    <w:rsid w:val="00D56FBF"/>
    <w:rsid w:val="00D57677"/>
    <w:rsid w:val="00D5781F"/>
    <w:rsid w:val="00D60415"/>
    <w:rsid w:val="00D60DE7"/>
    <w:rsid w:val="00D60E3C"/>
    <w:rsid w:val="00D61FAB"/>
    <w:rsid w:val="00D63BE5"/>
    <w:rsid w:val="00D64735"/>
    <w:rsid w:val="00D6475F"/>
    <w:rsid w:val="00D655D4"/>
    <w:rsid w:val="00D66223"/>
    <w:rsid w:val="00D667B8"/>
    <w:rsid w:val="00D70289"/>
    <w:rsid w:val="00D70822"/>
    <w:rsid w:val="00D70BBF"/>
    <w:rsid w:val="00D72076"/>
    <w:rsid w:val="00D72084"/>
    <w:rsid w:val="00D721B4"/>
    <w:rsid w:val="00D726A9"/>
    <w:rsid w:val="00D72DBA"/>
    <w:rsid w:val="00D73BEB"/>
    <w:rsid w:val="00D743E0"/>
    <w:rsid w:val="00D7490C"/>
    <w:rsid w:val="00D75AC1"/>
    <w:rsid w:val="00D77252"/>
    <w:rsid w:val="00D8084C"/>
    <w:rsid w:val="00D81809"/>
    <w:rsid w:val="00D82EF1"/>
    <w:rsid w:val="00D84F43"/>
    <w:rsid w:val="00D85114"/>
    <w:rsid w:val="00D85821"/>
    <w:rsid w:val="00D8598C"/>
    <w:rsid w:val="00D86273"/>
    <w:rsid w:val="00D87C06"/>
    <w:rsid w:val="00D914D6"/>
    <w:rsid w:val="00D915EA"/>
    <w:rsid w:val="00D91620"/>
    <w:rsid w:val="00D919ED"/>
    <w:rsid w:val="00D922A1"/>
    <w:rsid w:val="00D928BE"/>
    <w:rsid w:val="00D932B8"/>
    <w:rsid w:val="00D95302"/>
    <w:rsid w:val="00D95C5D"/>
    <w:rsid w:val="00D96AFE"/>
    <w:rsid w:val="00D97D00"/>
    <w:rsid w:val="00DA096C"/>
    <w:rsid w:val="00DA1AB6"/>
    <w:rsid w:val="00DA1C5D"/>
    <w:rsid w:val="00DA2E65"/>
    <w:rsid w:val="00DA345F"/>
    <w:rsid w:val="00DA3ADF"/>
    <w:rsid w:val="00DA3D0F"/>
    <w:rsid w:val="00DA4174"/>
    <w:rsid w:val="00DA544C"/>
    <w:rsid w:val="00DA5F8E"/>
    <w:rsid w:val="00DA6364"/>
    <w:rsid w:val="00DA7114"/>
    <w:rsid w:val="00DA7C0C"/>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0138"/>
    <w:rsid w:val="00DC17D0"/>
    <w:rsid w:val="00DC2B41"/>
    <w:rsid w:val="00DC3128"/>
    <w:rsid w:val="00DC435B"/>
    <w:rsid w:val="00DC43C3"/>
    <w:rsid w:val="00DC53D8"/>
    <w:rsid w:val="00DC56FE"/>
    <w:rsid w:val="00DC5B3B"/>
    <w:rsid w:val="00DC6C2D"/>
    <w:rsid w:val="00DC7B1A"/>
    <w:rsid w:val="00DD0059"/>
    <w:rsid w:val="00DD04B0"/>
    <w:rsid w:val="00DD0E89"/>
    <w:rsid w:val="00DD129F"/>
    <w:rsid w:val="00DD13FC"/>
    <w:rsid w:val="00DD1A3F"/>
    <w:rsid w:val="00DD29B5"/>
    <w:rsid w:val="00DD2A4B"/>
    <w:rsid w:val="00DD2A77"/>
    <w:rsid w:val="00DD32DD"/>
    <w:rsid w:val="00DD33E8"/>
    <w:rsid w:val="00DD4463"/>
    <w:rsid w:val="00DD5287"/>
    <w:rsid w:val="00DD5B36"/>
    <w:rsid w:val="00DD7849"/>
    <w:rsid w:val="00DE03DE"/>
    <w:rsid w:val="00DE0D8B"/>
    <w:rsid w:val="00DE1237"/>
    <w:rsid w:val="00DE140F"/>
    <w:rsid w:val="00DE172A"/>
    <w:rsid w:val="00DE17E9"/>
    <w:rsid w:val="00DE2491"/>
    <w:rsid w:val="00DE31B8"/>
    <w:rsid w:val="00DE450F"/>
    <w:rsid w:val="00DE5CA6"/>
    <w:rsid w:val="00DE7AC8"/>
    <w:rsid w:val="00DF0830"/>
    <w:rsid w:val="00DF08DF"/>
    <w:rsid w:val="00DF1BCC"/>
    <w:rsid w:val="00DF2C5D"/>
    <w:rsid w:val="00DF3643"/>
    <w:rsid w:val="00DF42FF"/>
    <w:rsid w:val="00DF4369"/>
    <w:rsid w:val="00DF4423"/>
    <w:rsid w:val="00DF4ADF"/>
    <w:rsid w:val="00DF56C3"/>
    <w:rsid w:val="00DF5D1E"/>
    <w:rsid w:val="00DF5EAA"/>
    <w:rsid w:val="00DF77E4"/>
    <w:rsid w:val="00DF7F88"/>
    <w:rsid w:val="00E00B88"/>
    <w:rsid w:val="00E01C0E"/>
    <w:rsid w:val="00E02CF7"/>
    <w:rsid w:val="00E0368F"/>
    <w:rsid w:val="00E03D73"/>
    <w:rsid w:val="00E03F9A"/>
    <w:rsid w:val="00E040DA"/>
    <w:rsid w:val="00E044BF"/>
    <w:rsid w:val="00E04694"/>
    <w:rsid w:val="00E0510D"/>
    <w:rsid w:val="00E07FBC"/>
    <w:rsid w:val="00E1168B"/>
    <w:rsid w:val="00E12191"/>
    <w:rsid w:val="00E129E7"/>
    <w:rsid w:val="00E12ABE"/>
    <w:rsid w:val="00E12B1E"/>
    <w:rsid w:val="00E1394B"/>
    <w:rsid w:val="00E13995"/>
    <w:rsid w:val="00E1444C"/>
    <w:rsid w:val="00E14D38"/>
    <w:rsid w:val="00E15361"/>
    <w:rsid w:val="00E154E5"/>
    <w:rsid w:val="00E158D7"/>
    <w:rsid w:val="00E17262"/>
    <w:rsid w:val="00E17F36"/>
    <w:rsid w:val="00E20016"/>
    <w:rsid w:val="00E2009B"/>
    <w:rsid w:val="00E20BB9"/>
    <w:rsid w:val="00E20BCC"/>
    <w:rsid w:val="00E21413"/>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18F"/>
    <w:rsid w:val="00E357BF"/>
    <w:rsid w:val="00E35A53"/>
    <w:rsid w:val="00E3656B"/>
    <w:rsid w:val="00E3724A"/>
    <w:rsid w:val="00E378B1"/>
    <w:rsid w:val="00E37F74"/>
    <w:rsid w:val="00E40324"/>
    <w:rsid w:val="00E40BA3"/>
    <w:rsid w:val="00E417BE"/>
    <w:rsid w:val="00E41CD5"/>
    <w:rsid w:val="00E42054"/>
    <w:rsid w:val="00E4218B"/>
    <w:rsid w:val="00E4372D"/>
    <w:rsid w:val="00E43A9E"/>
    <w:rsid w:val="00E44243"/>
    <w:rsid w:val="00E444F5"/>
    <w:rsid w:val="00E453F9"/>
    <w:rsid w:val="00E45D7D"/>
    <w:rsid w:val="00E4623F"/>
    <w:rsid w:val="00E4665D"/>
    <w:rsid w:val="00E47854"/>
    <w:rsid w:val="00E47EBA"/>
    <w:rsid w:val="00E50156"/>
    <w:rsid w:val="00E504EB"/>
    <w:rsid w:val="00E5062B"/>
    <w:rsid w:val="00E5076C"/>
    <w:rsid w:val="00E50D2E"/>
    <w:rsid w:val="00E50D7D"/>
    <w:rsid w:val="00E51EF0"/>
    <w:rsid w:val="00E53470"/>
    <w:rsid w:val="00E5368D"/>
    <w:rsid w:val="00E53970"/>
    <w:rsid w:val="00E539F6"/>
    <w:rsid w:val="00E54698"/>
    <w:rsid w:val="00E54FB4"/>
    <w:rsid w:val="00E5539A"/>
    <w:rsid w:val="00E55791"/>
    <w:rsid w:val="00E55E1A"/>
    <w:rsid w:val="00E561A7"/>
    <w:rsid w:val="00E56BD7"/>
    <w:rsid w:val="00E578A2"/>
    <w:rsid w:val="00E579ED"/>
    <w:rsid w:val="00E57D86"/>
    <w:rsid w:val="00E60043"/>
    <w:rsid w:val="00E60A9D"/>
    <w:rsid w:val="00E60BEE"/>
    <w:rsid w:val="00E61740"/>
    <w:rsid w:val="00E61EB5"/>
    <w:rsid w:val="00E624E8"/>
    <w:rsid w:val="00E62F49"/>
    <w:rsid w:val="00E6324D"/>
    <w:rsid w:val="00E65084"/>
    <w:rsid w:val="00E6519D"/>
    <w:rsid w:val="00E66062"/>
    <w:rsid w:val="00E66341"/>
    <w:rsid w:val="00E6660E"/>
    <w:rsid w:val="00E66768"/>
    <w:rsid w:val="00E67305"/>
    <w:rsid w:val="00E67696"/>
    <w:rsid w:val="00E70C5F"/>
    <w:rsid w:val="00E71A58"/>
    <w:rsid w:val="00E71FB4"/>
    <w:rsid w:val="00E72A26"/>
    <w:rsid w:val="00E72A7A"/>
    <w:rsid w:val="00E7335A"/>
    <w:rsid w:val="00E7467D"/>
    <w:rsid w:val="00E747DC"/>
    <w:rsid w:val="00E74A2D"/>
    <w:rsid w:val="00E75C94"/>
    <w:rsid w:val="00E76A08"/>
    <w:rsid w:val="00E76B9B"/>
    <w:rsid w:val="00E76E61"/>
    <w:rsid w:val="00E77CC0"/>
    <w:rsid w:val="00E80B3D"/>
    <w:rsid w:val="00E80CA3"/>
    <w:rsid w:val="00E80F06"/>
    <w:rsid w:val="00E82618"/>
    <w:rsid w:val="00E844D4"/>
    <w:rsid w:val="00E84E09"/>
    <w:rsid w:val="00E85BB8"/>
    <w:rsid w:val="00E86048"/>
    <w:rsid w:val="00E86FB9"/>
    <w:rsid w:val="00E90CA8"/>
    <w:rsid w:val="00E930A1"/>
    <w:rsid w:val="00E93820"/>
    <w:rsid w:val="00E938CD"/>
    <w:rsid w:val="00E94A86"/>
    <w:rsid w:val="00E953F6"/>
    <w:rsid w:val="00E95F74"/>
    <w:rsid w:val="00E96143"/>
    <w:rsid w:val="00E96833"/>
    <w:rsid w:val="00E97506"/>
    <w:rsid w:val="00E97BB5"/>
    <w:rsid w:val="00E97F14"/>
    <w:rsid w:val="00EA0C68"/>
    <w:rsid w:val="00EA0E39"/>
    <w:rsid w:val="00EA156C"/>
    <w:rsid w:val="00EA1D0E"/>
    <w:rsid w:val="00EA1F81"/>
    <w:rsid w:val="00EA2072"/>
    <w:rsid w:val="00EA2841"/>
    <w:rsid w:val="00EA32BC"/>
    <w:rsid w:val="00EA35A7"/>
    <w:rsid w:val="00EA3B32"/>
    <w:rsid w:val="00EA3D05"/>
    <w:rsid w:val="00EA4402"/>
    <w:rsid w:val="00EA4B8D"/>
    <w:rsid w:val="00EA4F9E"/>
    <w:rsid w:val="00EA513E"/>
    <w:rsid w:val="00EA624A"/>
    <w:rsid w:val="00EA65E8"/>
    <w:rsid w:val="00EA6D0F"/>
    <w:rsid w:val="00EA7419"/>
    <w:rsid w:val="00EB0E32"/>
    <w:rsid w:val="00EB1632"/>
    <w:rsid w:val="00EB3E60"/>
    <w:rsid w:val="00EB4074"/>
    <w:rsid w:val="00EB4511"/>
    <w:rsid w:val="00EB48D7"/>
    <w:rsid w:val="00EB4A8E"/>
    <w:rsid w:val="00EB4BC5"/>
    <w:rsid w:val="00EB5BF7"/>
    <w:rsid w:val="00EB5E79"/>
    <w:rsid w:val="00EB6FAC"/>
    <w:rsid w:val="00EB7243"/>
    <w:rsid w:val="00EB7712"/>
    <w:rsid w:val="00EB7BAC"/>
    <w:rsid w:val="00EC03D7"/>
    <w:rsid w:val="00EC105F"/>
    <w:rsid w:val="00EC13A7"/>
    <w:rsid w:val="00EC24CE"/>
    <w:rsid w:val="00EC2EB6"/>
    <w:rsid w:val="00EC5A9F"/>
    <w:rsid w:val="00EC5E0C"/>
    <w:rsid w:val="00EC6267"/>
    <w:rsid w:val="00EC7221"/>
    <w:rsid w:val="00EC769F"/>
    <w:rsid w:val="00ED0EF0"/>
    <w:rsid w:val="00ED12B9"/>
    <w:rsid w:val="00ED16B8"/>
    <w:rsid w:val="00ED1A00"/>
    <w:rsid w:val="00ED1DF0"/>
    <w:rsid w:val="00ED2386"/>
    <w:rsid w:val="00ED2EA1"/>
    <w:rsid w:val="00ED3818"/>
    <w:rsid w:val="00ED3851"/>
    <w:rsid w:val="00ED3B4C"/>
    <w:rsid w:val="00ED3E51"/>
    <w:rsid w:val="00ED3F10"/>
    <w:rsid w:val="00ED4D04"/>
    <w:rsid w:val="00ED566D"/>
    <w:rsid w:val="00ED5907"/>
    <w:rsid w:val="00ED5F5B"/>
    <w:rsid w:val="00ED62C6"/>
    <w:rsid w:val="00ED64C1"/>
    <w:rsid w:val="00ED781F"/>
    <w:rsid w:val="00EE0735"/>
    <w:rsid w:val="00EE249F"/>
    <w:rsid w:val="00EE2EB4"/>
    <w:rsid w:val="00EE3446"/>
    <w:rsid w:val="00EE3E78"/>
    <w:rsid w:val="00EE40BD"/>
    <w:rsid w:val="00EE41FD"/>
    <w:rsid w:val="00EE420E"/>
    <w:rsid w:val="00EE460E"/>
    <w:rsid w:val="00EE4B1B"/>
    <w:rsid w:val="00EE5FBA"/>
    <w:rsid w:val="00EE6E06"/>
    <w:rsid w:val="00EE7179"/>
    <w:rsid w:val="00EE7D3F"/>
    <w:rsid w:val="00EF0D90"/>
    <w:rsid w:val="00EF150D"/>
    <w:rsid w:val="00EF1F5A"/>
    <w:rsid w:val="00EF23B5"/>
    <w:rsid w:val="00EF326A"/>
    <w:rsid w:val="00EF332E"/>
    <w:rsid w:val="00EF47BF"/>
    <w:rsid w:val="00EF59B1"/>
    <w:rsid w:val="00EF5A13"/>
    <w:rsid w:val="00EF5FF9"/>
    <w:rsid w:val="00EF77D4"/>
    <w:rsid w:val="00EF7CC7"/>
    <w:rsid w:val="00F00853"/>
    <w:rsid w:val="00F00866"/>
    <w:rsid w:val="00F00D29"/>
    <w:rsid w:val="00F00EC8"/>
    <w:rsid w:val="00F0160B"/>
    <w:rsid w:val="00F0193E"/>
    <w:rsid w:val="00F02F07"/>
    <w:rsid w:val="00F037FB"/>
    <w:rsid w:val="00F03E2F"/>
    <w:rsid w:val="00F03F8D"/>
    <w:rsid w:val="00F04811"/>
    <w:rsid w:val="00F0488C"/>
    <w:rsid w:val="00F05B75"/>
    <w:rsid w:val="00F073ED"/>
    <w:rsid w:val="00F07BC3"/>
    <w:rsid w:val="00F07C4C"/>
    <w:rsid w:val="00F10F11"/>
    <w:rsid w:val="00F11159"/>
    <w:rsid w:val="00F115E4"/>
    <w:rsid w:val="00F11AD8"/>
    <w:rsid w:val="00F12417"/>
    <w:rsid w:val="00F12931"/>
    <w:rsid w:val="00F12CFB"/>
    <w:rsid w:val="00F12EC0"/>
    <w:rsid w:val="00F13E60"/>
    <w:rsid w:val="00F13FDB"/>
    <w:rsid w:val="00F14055"/>
    <w:rsid w:val="00F15AAA"/>
    <w:rsid w:val="00F15BEF"/>
    <w:rsid w:val="00F17898"/>
    <w:rsid w:val="00F207C2"/>
    <w:rsid w:val="00F21337"/>
    <w:rsid w:val="00F219A1"/>
    <w:rsid w:val="00F23E20"/>
    <w:rsid w:val="00F240F7"/>
    <w:rsid w:val="00F24407"/>
    <w:rsid w:val="00F24FAA"/>
    <w:rsid w:val="00F25040"/>
    <w:rsid w:val="00F27071"/>
    <w:rsid w:val="00F27331"/>
    <w:rsid w:val="00F27EE5"/>
    <w:rsid w:val="00F27FB1"/>
    <w:rsid w:val="00F27FD6"/>
    <w:rsid w:val="00F307CB"/>
    <w:rsid w:val="00F30C5B"/>
    <w:rsid w:val="00F30C65"/>
    <w:rsid w:val="00F321D2"/>
    <w:rsid w:val="00F32649"/>
    <w:rsid w:val="00F33523"/>
    <w:rsid w:val="00F3364D"/>
    <w:rsid w:val="00F33914"/>
    <w:rsid w:val="00F349BF"/>
    <w:rsid w:val="00F34DDC"/>
    <w:rsid w:val="00F35211"/>
    <w:rsid w:val="00F36191"/>
    <w:rsid w:val="00F3629F"/>
    <w:rsid w:val="00F36DF3"/>
    <w:rsid w:val="00F37EDC"/>
    <w:rsid w:val="00F418D4"/>
    <w:rsid w:val="00F42F1C"/>
    <w:rsid w:val="00F42FF1"/>
    <w:rsid w:val="00F437CC"/>
    <w:rsid w:val="00F44537"/>
    <w:rsid w:val="00F44F17"/>
    <w:rsid w:val="00F458CC"/>
    <w:rsid w:val="00F45C94"/>
    <w:rsid w:val="00F46185"/>
    <w:rsid w:val="00F463A4"/>
    <w:rsid w:val="00F46423"/>
    <w:rsid w:val="00F4696A"/>
    <w:rsid w:val="00F47067"/>
    <w:rsid w:val="00F47234"/>
    <w:rsid w:val="00F51697"/>
    <w:rsid w:val="00F51ADD"/>
    <w:rsid w:val="00F525AB"/>
    <w:rsid w:val="00F525EB"/>
    <w:rsid w:val="00F529D3"/>
    <w:rsid w:val="00F52CB5"/>
    <w:rsid w:val="00F531E1"/>
    <w:rsid w:val="00F53378"/>
    <w:rsid w:val="00F53A68"/>
    <w:rsid w:val="00F54934"/>
    <w:rsid w:val="00F55A08"/>
    <w:rsid w:val="00F55A92"/>
    <w:rsid w:val="00F575D3"/>
    <w:rsid w:val="00F62720"/>
    <w:rsid w:val="00F62BFF"/>
    <w:rsid w:val="00F63AAE"/>
    <w:rsid w:val="00F63DDE"/>
    <w:rsid w:val="00F63FB7"/>
    <w:rsid w:val="00F6421B"/>
    <w:rsid w:val="00F6459D"/>
    <w:rsid w:val="00F647F1"/>
    <w:rsid w:val="00F649D2"/>
    <w:rsid w:val="00F6598D"/>
    <w:rsid w:val="00F65BCC"/>
    <w:rsid w:val="00F6602B"/>
    <w:rsid w:val="00F66638"/>
    <w:rsid w:val="00F6799D"/>
    <w:rsid w:val="00F70C75"/>
    <w:rsid w:val="00F7150B"/>
    <w:rsid w:val="00F717E4"/>
    <w:rsid w:val="00F71DE6"/>
    <w:rsid w:val="00F72D71"/>
    <w:rsid w:val="00F7381C"/>
    <w:rsid w:val="00F73A0C"/>
    <w:rsid w:val="00F74004"/>
    <w:rsid w:val="00F74052"/>
    <w:rsid w:val="00F7549F"/>
    <w:rsid w:val="00F756DB"/>
    <w:rsid w:val="00F757FC"/>
    <w:rsid w:val="00F767A8"/>
    <w:rsid w:val="00F77590"/>
    <w:rsid w:val="00F82A12"/>
    <w:rsid w:val="00F82D14"/>
    <w:rsid w:val="00F84E7D"/>
    <w:rsid w:val="00F85066"/>
    <w:rsid w:val="00F85575"/>
    <w:rsid w:val="00F86A3B"/>
    <w:rsid w:val="00F87619"/>
    <w:rsid w:val="00F87A4D"/>
    <w:rsid w:val="00F87C2D"/>
    <w:rsid w:val="00F92102"/>
    <w:rsid w:val="00F93688"/>
    <w:rsid w:val="00F939F3"/>
    <w:rsid w:val="00F93C6E"/>
    <w:rsid w:val="00F93F2C"/>
    <w:rsid w:val="00F94E96"/>
    <w:rsid w:val="00F962AD"/>
    <w:rsid w:val="00F9644E"/>
    <w:rsid w:val="00F97A10"/>
    <w:rsid w:val="00FA0105"/>
    <w:rsid w:val="00FA01D5"/>
    <w:rsid w:val="00FA05A0"/>
    <w:rsid w:val="00FA0AEF"/>
    <w:rsid w:val="00FA17CC"/>
    <w:rsid w:val="00FA1CFE"/>
    <w:rsid w:val="00FA1F01"/>
    <w:rsid w:val="00FA23E8"/>
    <w:rsid w:val="00FA26DF"/>
    <w:rsid w:val="00FA32BC"/>
    <w:rsid w:val="00FA34FF"/>
    <w:rsid w:val="00FA4059"/>
    <w:rsid w:val="00FA4574"/>
    <w:rsid w:val="00FA48A4"/>
    <w:rsid w:val="00FA4CB7"/>
    <w:rsid w:val="00FA50C4"/>
    <w:rsid w:val="00FA5112"/>
    <w:rsid w:val="00FA5526"/>
    <w:rsid w:val="00FA5D4D"/>
    <w:rsid w:val="00FA6084"/>
    <w:rsid w:val="00FA6831"/>
    <w:rsid w:val="00FA6CB6"/>
    <w:rsid w:val="00FA70D3"/>
    <w:rsid w:val="00FA7AEC"/>
    <w:rsid w:val="00FB062A"/>
    <w:rsid w:val="00FB0AEA"/>
    <w:rsid w:val="00FB0EE2"/>
    <w:rsid w:val="00FB1A79"/>
    <w:rsid w:val="00FB208B"/>
    <w:rsid w:val="00FB2B2D"/>
    <w:rsid w:val="00FB383D"/>
    <w:rsid w:val="00FB542E"/>
    <w:rsid w:val="00FB564F"/>
    <w:rsid w:val="00FB602B"/>
    <w:rsid w:val="00FB68F1"/>
    <w:rsid w:val="00FB7DBB"/>
    <w:rsid w:val="00FC05F8"/>
    <w:rsid w:val="00FC0E5F"/>
    <w:rsid w:val="00FC1266"/>
    <w:rsid w:val="00FC1A95"/>
    <w:rsid w:val="00FC1ED4"/>
    <w:rsid w:val="00FC35DD"/>
    <w:rsid w:val="00FC3BEC"/>
    <w:rsid w:val="00FC440B"/>
    <w:rsid w:val="00FC4431"/>
    <w:rsid w:val="00FC529C"/>
    <w:rsid w:val="00FC56DE"/>
    <w:rsid w:val="00FC59FE"/>
    <w:rsid w:val="00FC63D9"/>
    <w:rsid w:val="00FC64DE"/>
    <w:rsid w:val="00FC684B"/>
    <w:rsid w:val="00FC7D98"/>
    <w:rsid w:val="00FD03E1"/>
    <w:rsid w:val="00FD1135"/>
    <w:rsid w:val="00FD1B89"/>
    <w:rsid w:val="00FD30AD"/>
    <w:rsid w:val="00FD3265"/>
    <w:rsid w:val="00FD3CF7"/>
    <w:rsid w:val="00FD4916"/>
    <w:rsid w:val="00FD4D12"/>
    <w:rsid w:val="00FD4F73"/>
    <w:rsid w:val="00FD5049"/>
    <w:rsid w:val="00FD595E"/>
    <w:rsid w:val="00FD5A69"/>
    <w:rsid w:val="00FD5F69"/>
    <w:rsid w:val="00FD7802"/>
    <w:rsid w:val="00FE27C7"/>
    <w:rsid w:val="00FE2C7E"/>
    <w:rsid w:val="00FE2F78"/>
    <w:rsid w:val="00FE3137"/>
    <w:rsid w:val="00FE346B"/>
    <w:rsid w:val="00FE346F"/>
    <w:rsid w:val="00FE4602"/>
    <w:rsid w:val="00FE48E4"/>
    <w:rsid w:val="00FE634C"/>
    <w:rsid w:val="00FE6E69"/>
    <w:rsid w:val="00FE6E94"/>
    <w:rsid w:val="00FE6F59"/>
    <w:rsid w:val="00FE7036"/>
    <w:rsid w:val="00FF01B6"/>
    <w:rsid w:val="00FF1136"/>
    <w:rsid w:val="00FF22B6"/>
    <w:rsid w:val="00FF230E"/>
    <w:rsid w:val="00FF28CB"/>
    <w:rsid w:val="00FF3D76"/>
    <w:rsid w:val="00FF5B8C"/>
    <w:rsid w:val="00FF63E6"/>
    <w:rsid w:val="00FF70A2"/>
    <w:rsid w:val="00FF710A"/>
    <w:rsid w:val="00FF79F9"/>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Q-makro-rok%202020\anglick&#225;%20verze\Odv&#283;tv&#237;%20grafy-rok-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Q-makro-rok%202020\anglick&#225;%20verze\Odv&#283;tv&#237;%20grafy-rok-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Q-makro-rok%202020\anglick&#225;%20verze\Odv&#283;tv&#237;%20grafy-rok-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Q-makro-rok%202020\anglick&#225;%20verze\Odv&#283;tv&#237;%20grafy-rok-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6203544707895996E-2"/>
          <c:w val="0.84974974879787502"/>
          <c:h val="0.71911425331511469"/>
        </c:manualLayout>
      </c:layout>
      <c:barChart>
        <c:barDir val="col"/>
        <c:grouping val="stacked"/>
        <c:varyColors val="0"/>
        <c:ser>
          <c:idx val="0"/>
          <c:order val="0"/>
          <c:tx>
            <c:strRef>
              <c:f>'GRAF příspěvky IPP'!$A$27</c:f>
              <c:strCache>
                <c:ptCount val="1"/>
                <c:pt idx="0">
                  <c:v>Manufacture of transport equipment (29, 30)</c:v>
                </c:pt>
              </c:strCache>
            </c:strRef>
          </c:tx>
          <c:spPr>
            <a:solidFill>
              <a:srgbClr val="E8AFB2"/>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IPP'!$R$27:$AP$27</c:f>
              <c:numCache>
                <c:formatCode>0.0</c:formatCode>
                <c:ptCount val="25"/>
                <c:pt idx="0">
                  <c:v>1.5427636659570074</c:v>
                </c:pt>
                <c:pt idx="1">
                  <c:v>2.1744189951095638</c:v>
                </c:pt>
                <c:pt idx="2">
                  <c:v>2.3615471800975762</c:v>
                </c:pt>
                <c:pt idx="3">
                  <c:v>2.8763334479914366</c:v>
                </c:pt>
                <c:pt idx="4">
                  <c:v>3.3202050006794548</c:v>
                </c:pt>
                <c:pt idx="5">
                  <c:v>2.7215746370676146</c:v>
                </c:pt>
                <c:pt idx="6">
                  <c:v>1.4745844536226125</c:v>
                </c:pt>
                <c:pt idx="7">
                  <c:v>1.029783660919984</c:v>
                </c:pt>
                <c:pt idx="8">
                  <c:v>1.7559630278375791</c:v>
                </c:pt>
                <c:pt idx="9">
                  <c:v>2.1219731026483708</c:v>
                </c:pt>
                <c:pt idx="10">
                  <c:v>1.5886047244911885</c:v>
                </c:pt>
                <c:pt idx="11">
                  <c:v>1.6809067081071383</c:v>
                </c:pt>
                <c:pt idx="12">
                  <c:v>0.74493678680711439</c:v>
                </c:pt>
                <c:pt idx="13">
                  <c:v>0.54513887708297193</c:v>
                </c:pt>
                <c:pt idx="14">
                  <c:v>0.23957305284254377</c:v>
                </c:pt>
                <c:pt idx="15">
                  <c:v>0.98330989831368998</c:v>
                </c:pt>
                <c:pt idx="16">
                  <c:v>-0.22713691763850202</c:v>
                </c:pt>
                <c:pt idx="17">
                  <c:v>0.47985653560762392</c:v>
                </c:pt>
                <c:pt idx="18">
                  <c:v>0.8344461496640414</c:v>
                </c:pt>
                <c:pt idx="19">
                  <c:v>-1.0997917317679555</c:v>
                </c:pt>
                <c:pt idx="20">
                  <c:v>-1.5348710107361396</c:v>
                </c:pt>
                <c:pt idx="21">
                  <c:v>-9.4028858120272236</c:v>
                </c:pt>
                <c:pt idx="22">
                  <c:v>-0.19477939440515324</c:v>
                </c:pt>
                <c:pt idx="23">
                  <c:v>2.0397409461843927</c:v>
                </c:pt>
              </c:numCache>
            </c:numRef>
          </c:val>
          <c:extLst>
            <c:ext xmlns:c16="http://schemas.microsoft.com/office/drawing/2014/chart" uri="{C3380CC4-5D6E-409C-BE32-E72D297353CC}">
              <c16:uniqueId val="{00000000-74A3-415F-9546-54BFE5F01EDD}"/>
            </c:ext>
          </c:extLst>
        </c:ser>
        <c:ser>
          <c:idx val="1"/>
          <c:order val="1"/>
          <c:tx>
            <c:strRef>
              <c:f>'GRAF příspěvky IPP'!$A$28</c:f>
              <c:strCache>
                <c:ptCount val="1"/>
                <c:pt idx="0">
                  <c:v>Rubber, electro technical ind. (22, 27)</c:v>
                </c:pt>
              </c:strCache>
            </c:strRef>
          </c:tx>
          <c:spPr>
            <a:solidFill>
              <a:srgbClr val="BD1B21"/>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IPP'!$R$28:$AP$28</c:f>
              <c:numCache>
                <c:formatCode>0.0</c:formatCode>
                <c:ptCount val="25"/>
                <c:pt idx="0">
                  <c:v>1.0347997790234529</c:v>
                </c:pt>
                <c:pt idx="1">
                  <c:v>1.2402910045199831</c:v>
                </c:pt>
                <c:pt idx="2">
                  <c:v>1.3933850782064026</c:v>
                </c:pt>
                <c:pt idx="3">
                  <c:v>0.63791581718355739</c:v>
                </c:pt>
                <c:pt idx="4">
                  <c:v>0.79388932110213228</c:v>
                </c:pt>
                <c:pt idx="5">
                  <c:v>0.2019149020372687</c:v>
                </c:pt>
                <c:pt idx="6">
                  <c:v>0.26167949554629399</c:v>
                </c:pt>
                <c:pt idx="7">
                  <c:v>0.42926870670931194</c:v>
                </c:pt>
                <c:pt idx="8">
                  <c:v>0.85659869546738754</c:v>
                </c:pt>
                <c:pt idx="9">
                  <c:v>1.3986573982823201</c:v>
                </c:pt>
                <c:pt idx="10">
                  <c:v>0.8549510762484176</c:v>
                </c:pt>
                <c:pt idx="11">
                  <c:v>1.6528406324124423</c:v>
                </c:pt>
                <c:pt idx="12">
                  <c:v>0.96832999064458503</c:v>
                </c:pt>
                <c:pt idx="13">
                  <c:v>0.34047285731155275</c:v>
                </c:pt>
                <c:pt idx="14">
                  <c:v>0.42906491790818274</c:v>
                </c:pt>
                <c:pt idx="15">
                  <c:v>-3.9817228444367067E-2</c:v>
                </c:pt>
                <c:pt idx="16">
                  <c:v>0.52468173088796888</c:v>
                </c:pt>
                <c:pt idx="17">
                  <c:v>0.40691877027439094</c:v>
                </c:pt>
                <c:pt idx="18">
                  <c:v>0.23892033299114637</c:v>
                </c:pt>
                <c:pt idx="19">
                  <c:v>0.39269794616476111</c:v>
                </c:pt>
                <c:pt idx="20">
                  <c:v>-0.53345760227133399</c:v>
                </c:pt>
                <c:pt idx="21">
                  <c:v>-4.058016774523308</c:v>
                </c:pt>
                <c:pt idx="22">
                  <c:v>-0.43406125814937391</c:v>
                </c:pt>
                <c:pt idx="23">
                  <c:v>0.56914780428489253</c:v>
                </c:pt>
              </c:numCache>
            </c:numRef>
          </c:val>
          <c:extLst>
            <c:ext xmlns:c16="http://schemas.microsoft.com/office/drawing/2014/chart" uri="{C3380CC4-5D6E-409C-BE32-E72D297353CC}">
              <c16:uniqueId val="{00000001-74A3-415F-9546-54BFE5F01EDD}"/>
            </c:ext>
          </c:extLst>
        </c:ser>
        <c:ser>
          <c:idx val="2"/>
          <c:order val="2"/>
          <c:tx>
            <c:strRef>
              <c:f>'GRAF příspěvky IPP'!$A$29</c:f>
              <c:strCache>
                <c:ptCount val="1"/>
                <c:pt idx="0">
                  <c:v>Machinery industry (28)</c:v>
                </c:pt>
              </c:strCache>
            </c:strRef>
          </c:tx>
          <c:spPr>
            <a:solidFill>
              <a:srgbClr val="BFE3F7"/>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IPP'!$R$29:$AP$29</c:f>
              <c:numCache>
                <c:formatCode>0.0</c:formatCode>
                <c:ptCount val="25"/>
                <c:pt idx="0">
                  <c:v>0.27270263761758856</c:v>
                </c:pt>
                <c:pt idx="1">
                  <c:v>0.29403078857932563</c:v>
                </c:pt>
                <c:pt idx="2">
                  <c:v>0.39049498716950576</c:v>
                </c:pt>
                <c:pt idx="3">
                  <c:v>1.6706731853184675E-2</c:v>
                </c:pt>
                <c:pt idx="4">
                  <c:v>0.36627927553744222</c:v>
                </c:pt>
                <c:pt idx="5">
                  <c:v>-7.6147331102472113E-2</c:v>
                </c:pt>
                <c:pt idx="6">
                  <c:v>0.19818384395915697</c:v>
                </c:pt>
                <c:pt idx="7">
                  <c:v>0.31987625685574234</c:v>
                </c:pt>
                <c:pt idx="8">
                  <c:v>0.35138012672655355</c:v>
                </c:pt>
                <c:pt idx="9">
                  <c:v>1.0806762781542611</c:v>
                </c:pt>
                <c:pt idx="10">
                  <c:v>0.85235463515891896</c:v>
                </c:pt>
                <c:pt idx="11">
                  <c:v>0.80092971170041016</c:v>
                </c:pt>
                <c:pt idx="12">
                  <c:v>0.47838436231758868</c:v>
                </c:pt>
                <c:pt idx="13">
                  <c:v>0.14272649937017898</c:v>
                </c:pt>
                <c:pt idx="14">
                  <c:v>0.18566799065513268</c:v>
                </c:pt>
                <c:pt idx="15">
                  <c:v>-0.19544287053044684</c:v>
                </c:pt>
                <c:pt idx="16">
                  <c:v>0.1426091932774885</c:v>
                </c:pt>
                <c:pt idx="17">
                  <c:v>-1.8219579710844171E-2</c:v>
                </c:pt>
                <c:pt idx="18">
                  <c:v>-0.26667324098505646</c:v>
                </c:pt>
                <c:pt idx="19">
                  <c:v>-0.13523495726290005</c:v>
                </c:pt>
                <c:pt idx="20">
                  <c:v>-0.69982847866990527</c:v>
                </c:pt>
                <c:pt idx="21">
                  <c:v>-2.143736621030647</c:v>
                </c:pt>
                <c:pt idx="22">
                  <c:v>-0.79829937749052238</c:v>
                </c:pt>
                <c:pt idx="23">
                  <c:v>-0.5332703437119769</c:v>
                </c:pt>
              </c:numCache>
            </c:numRef>
          </c:val>
          <c:extLst>
            <c:ext xmlns:c16="http://schemas.microsoft.com/office/drawing/2014/chart" uri="{C3380CC4-5D6E-409C-BE32-E72D297353CC}">
              <c16:uniqueId val="{00000002-74A3-415F-9546-54BFE5F01EDD}"/>
            </c:ext>
          </c:extLst>
        </c:ser>
        <c:ser>
          <c:idx val="3"/>
          <c:order val="3"/>
          <c:tx>
            <c:strRef>
              <c:f>'GRAF příspěvky IPP'!$A$30</c:f>
              <c:strCache>
                <c:ptCount val="1"/>
                <c:pt idx="0">
                  <c:v>Fabricated metal product industry (25)</c:v>
                </c:pt>
              </c:strCache>
            </c:strRef>
          </c:tx>
          <c:spPr>
            <a:solidFill>
              <a:srgbClr val="48AEE7"/>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IPP'!$R$30:$AP$30</c:f>
              <c:numCache>
                <c:formatCode>0.0</c:formatCode>
                <c:ptCount val="25"/>
                <c:pt idx="0">
                  <c:v>0.69596551057470069</c:v>
                </c:pt>
                <c:pt idx="1">
                  <c:v>0.78519852193461859</c:v>
                </c:pt>
                <c:pt idx="2">
                  <c:v>0.97872609478998152</c:v>
                </c:pt>
                <c:pt idx="3">
                  <c:v>0.60562900795012453</c:v>
                </c:pt>
                <c:pt idx="4">
                  <c:v>0.79779807743663034</c:v>
                </c:pt>
                <c:pt idx="5">
                  <c:v>0.39331000455464687</c:v>
                </c:pt>
                <c:pt idx="6">
                  <c:v>0.22346669872664385</c:v>
                </c:pt>
                <c:pt idx="7">
                  <c:v>0.2509263227159737</c:v>
                </c:pt>
                <c:pt idx="8">
                  <c:v>0.41949121934029482</c:v>
                </c:pt>
                <c:pt idx="9">
                  <c:v>0.915656554291014</c:v>
                </c:pt>
                <c:pt idx="10">
                  <c:v>0.85101791279413608</c:v>
                </c:pt>
                <c:pt idx="11">
                  <c:v>0.96460683383824763</c:v>
                </c:pt>
                <c:pt idx="12">
                  <c:v>0.6503458160203307</c:v>
                </c:pt>
                <c:pt idx="13">
                  <c:v>0.47166305832842809</c:v>
                </c:pt>
                <c:pt idx="14">
                  <c:v>0.40339784198569495</c:v>
                </c:pt>
                <c:pt idx="15">
                  <c:v>0.15238419304014436</c:v>
                </c:pt>
                <c:pt idx="16">
                  <c:v>0.25794422279958196</c:v>
                </c:pt>
                <c:pt idx="17">
                  <c:v>8.4966698962352285E-3</c:v>
                </c:pt>
                <c:pt idx="18">
                  <c:v>-0.23776981739408756</c:v>
                </c:pt>
                <c:pt idx="19">
                  <c:v>-0.35660248428239738</c:v>
                </c:pt>
                <c:pt idx="20">
                  <c:v>-0.60191683272527741</c:v>
                </c:pt>
                <c:pt idx="21">
                  <c:v>-2.0876186338676583</c:v>
                </c:pt>
                <c:pt idx="22">
                  <c:v>-0.54558510517083125</c:v>
                </c:pt>
                <c:pt idx="23">
                  <c:v>0.14207590001489598</c:v>
                </c:pt>
              </c:numCache>
            </c:numRef>
          </c:val>
          <c:extLst>
            <c:ext xmlns:c16="http://schemas.microsoft.com/office/drawing/2014/chart" uri="{C3380CC4-5D6E-409C-BE32-E72D297353CC}">
              <c16:uniqueId val="{00000003-74A3-415F-9546-54BFE5F01EDD}"/>
            </c:ext>
          </c:extLst>
        </c:ser>
        <c:ser>
          <c:idx val="4"/>
          <c:order val="4"/>
          <c:tx>
            <c:strRef>
              <c:f>'GRAF příspěvky IPP'!$A$31</c:f>
              <c:strCache>
                <c:ptCount val="1"/>
                <c:pt idx="0">
                  <c:v>Manufact. of PC, electron., optical prod. (26)</c:v>
                </c:pt>
              </c:strCache>
            </c:strRef>
          </c:tx>
          <c:spPr>
            <a:solidFill>
              <a:srgbClr val="FDDEB3"/>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IPP'!$R$31:$AP$31</c:f>
              <c:numCache>
                <c:formatCode>0.0</c:formatCode>
                <c:ptCount val="25"/>
                <c:pt idx="0">
                  <c:v>0.10170488438327828</c:v>
                </c:pt>
                <c:pt idx="1">
                  <c:v>1.5778276536074189E-2</c:v>
                </c:pt>
                <c:pt idx="2">
                  <c:v>4.1438955080881863E-2</c:v>
                </c:pt>
                <c:pt idx="3">
                  <c:v>-7.3024462330519888E-2</c:v>
                </c:pt>
                <c:pt idx="4">
                  <c:v>-4.9806451474101454E-3</c:v>
                </c:pt>
                <c:pt idx="5">
                  <c:v>5.957617604494695E-2</c:v>
                </c:pt>
                <c:pt idx="6">
                  <c:v>5.0898250959063439E-2</c:v>
                </c:pt>
                <c:pt idx="7">
                  <c:v>0.16208766562248597</c:v>
                </c:pt>
                <c:pt idx="8">
                  <c:v>0.14070745650190031</c:v>
                </c:pt>
                <c:pt idx="9">
                  <c:v>0.36181300424777024</c:v>
                </c:pt>
                <c:pt idx="10">
                  <c:v>0.23055137883893681</c:v>
                </c:pt>
                <c:pt idx="11">
                  <c:v>0.23490764813394466</c:v>
                </c:pt>
                <c:pt idx="12">
                  <c:v>0.39572929891866881</c:v>
                </c:pt>
                <c:pt idx="13">
                  <c:v>0.15494190944138145</c:v>
                </c:pt>
                <c:pt idx="14">
                  <c:v>0.63675141042476269</c:v>
                </c:pt>
                <c:pt idx="15">
                  <c:v>0.31197941341144203</c:v>
                </c:pt>
                <c:pt idx="16">
                  <c:v>-0.1138094906464448</c:v>
                </c:pt>
                <c:pt idx="17">
                  <c:v>-4.3015769550027276E-2</c:v>
                </c:pt>
                <c:pt idx="18">
                  <c:v>-0.61199925873530214</c:v>
                </c:pt>
                <c:pt idx="19">
                  <c:v>-0.34608902926122082</c:v>
                </c:pt>
                <c:pt idx="20">
                  <c:v>-9.4244777563469689E-2</c:v>
                </c:pt>
                <c:pt idx="21">
                  <c:v>-0.28016760614498631</c:v>
                </c:pt>
                <c:pt idx="22">
                  <c:v>4.1733310663326162E-3</c:v>
                </c:pt>
                <c:pt idx="23">
                  <c:v>-5.8819144540146794E-3</c:v>
                </c:pt>
              </c:numCache>
            </c:numRef>
          </c:val>
          <c:extLst>
            <c:ext xmlns:c16="http://schemas.microsoft.com/office/drawing/2014/chart" uri="{C3380CC4-5D6E-409C-BE32-E72D297353CC}">
              <c16:uniqueId val="{00000004-74A3-415F-9546-54BFE5F01EDD}"/>
            </c:ext>
          </c:extLst>
        </c:ser>
        <c:ser>
          <c:idx val="5"/>
          <c:order val="5"/>
          <c:tx>
            <c:strRef>
              <c:f>'GRAF příspěvky IPP'!$A$32</c:f>
              <c:strCache>
                <c:ptCount val="1"/>
                <c:pt idx="0">
                  <c:v>Chemical and pharmaceutical ind. (20, 21)</c:v>
                </c:pt>
              </c:strCache>
            </c:strRef>
          </c:tx>
          <c:spPr>
            <a:solidFill>
              <a:srgbClr val="F8A124"/>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IPP'!$R$32:$AP$32</c:f>
              <c:numCache>
                <c:formatCode>0.0</c:formatCode>
                <c:ptCount val="25"/>
                <c:pt idx="0">
                  <c:v>7.7145180063932006E-2</c:v>
                </c:pt>
                <c:pt idx="1">
                  <c:v>0.23592734761971534</c:v>
                </c:pt>
                <c:pt idx="2">
                  <c:v>-0.16190483408394998</c:v>
                </c:pt>
                <c:pt idx="3">
                  <c:v>-0.33492372911335988</c:v>
                </c:pt>
                <c:pt idx="4">
                  <c:v>-0.41681031625325043</c:v>
                </c:pt>
                <c:pt idx="5">
                  <c:v>-0.42807091512785361</c:v>
                </c:pt>
                <c:pt idx="6">
                  <c:v>-0.10710300214484272</c:v>
                </c:pt>
                <c:pt idx="7">
                  <c:v>0.23735256894613982</c:v>
                </c:pt>
                <c:pt idx="8">
                  <c:v>0.52023701192457539</c:v>
                </c:pt>
                <c:pt idx="9">
                  <c:v>0.8265323370449118</c:v>
                </c:pt>
                <c:pt idx="10">
                  <c:v>0.65153742268467851</c:v>
                </c:pt>
                <c:pt idx="11">
                  <c:v>0.50476336901670693</c:v>
                </c:pt>
                <c:pt idx="12">
                  <c:v>0.40498332734603759</c:v>
                </c:pt>
                <c:pt idx="13">
                  <c:v>7.959649597511656E-2</c:v>
                </c:pt>
                <c:pt idx="14">
                  <c:v>-5.3166653427509744E-2</c:v>
                </c:pt>
                <c:pt idx="15">
                  <c:v>-6.9022660855142706E-2</c:v>
                </c:pt>
                <c:pt idx="16">
                  <c:v>0.10388406561335245</c:v>
                </c:pt>
                <c:pt idx="17">
                  <c:v>4.8446934125945446E-2</c:v>
                </c:pt>
                <c:pt idx="18">
                  <c:v>0.22806927156168727</c:v>
                </c:pt>
                <c:pt idx="19">
                  <c:v>3.1408071024151746E-2</c:v>
                </c:pt>
                <c:pt idx="20">
                  <c:v>-3.2158631476948973E-2</c:v>
                </c:pt>
                <c:pt idx="21">
                  <c:v>-0.54857219231072263</c:v>
                </c:pt>
                <c:pt idx="22">
                  <c:v>-0.21329862089654433</c:v>
                </c:pt>
                <c:pt idx="23">
                  <c:v>0.43262887365676678</c:v>
                </c:pt>
              </c:numCache>
            </c:numRef>
          </c:val>
          <c:extLst>
            <c:ext xmlns:c16="http://schemas.microsoft.com/office/drawing/2014/chart" uri="{C3380CC4-5D6E-409C-BE32-E72D297353CC}">
              <c16:uniqueId val="{00000005-74A3-415F-9546-54BFE5F01EDD}"/>
            </c:ext>
          </c:extLst>
        </c:ser>
        <c:ser>
          <c:idx val="6"/>
          <c:order val="6"/>
          <c:tx>
            <c:strRef>
              <c:f>'GRAF příspěvky IPP'!$A$33</c:f>
              <c:strCache>
                <c:ptCount val="1"/>
                <c:pt idx="0">
                  <c:v>Remaining manufacturing industries</c:v>
                </c:pt>
              </c:strCache>
            </c:strRef>
          </c:tx>
          <c:spPr>
            <a:solidFill>
              <a:schemeClr val="bg1">
                <a:lumMod val="85000"/>
              </a:schemeClr>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IPP'!$R$33:$AP$33</c:f>
              <c:numCache>
                <c:formatCode>0.0</c:formatCode>
                <c:ptCount val="25"/>
                <c:pt idx="0">
                  <c:v>0.99791732990160331</c:v>
                </c:pt>
                <c:pt idx="1">
                  <c:v>0.89879889524708523</c:v>
                </c:pt>
                <c:pt idx="2">
                  <c:v>1.0131351242508335</c:v>
                </c:pt>
                <c:pt idx="3">
                  <c:v>-0.23058687737441785</c:v>
                </c:pt>
                <c:pt idx="4">
                  <c:v>0.26302900768530285</c:v>
                </c:pt>
                <c:pt idx="5">
                  <c:v>-0.36259040041020835</c:v>
                </c:pt>
                <c:pt idx="6">
                  <c:v>6.0042066841197061E-2</c:v>
                </c:pt>
                <c:pt idx="7">
                  <c:v>0.57478968559379218</c:v>
                </c:pt>
                <c:pt idx="8">
                  <c:v>7.0362086300343754E-2</c:v>
                </c:pt>
                <c:pt idx="9">
                  <c:v>1.4963530143159023</c:v>
                </c:pt>
                <c:pt idx="10">
                  <c:v>0.75566150983946234</c:v>
                </c:pt>
                <c:pt idx="11">
                  <c:v>0.97333538176673595</c:v>
                </c:pt>
                <c:pt idx="12">
                  <c:v>1.1566595398624029</c:v>
                </c:pt>
                <c:pt idx="13">
                  <c:v>0.67218569394475614</c:v>
                </c:pt>
                <c:pt idx="14">
                  <c:v>1.1044934074231074</c:v>
                </c:pt>
                <c:pt idx="15">
                  <c:v>0.4900555089476254</c:v>
                </c:pt>
                <c:pt idx="16">
                  <c:v>-4.5141994532615914E-2</c:v>
                </c:pt>
                <c:pt idx="17">
                  <c:v>4.2037649083112624E-2</c:v>
                </c:pt>
                <c:pt idx="18">
                  <c:v>-0.66085160777663721</c:v>
                </c:pt>
                <c:pt idx="19">
                  <c:v>-0.22518150415497493</c:v>
                </c:pt>
                <c:pt idx="20">
                  <c:v>7.944029876236916E-2</c:v>
                </c:pt>
                <c:pt idx="21">
                  <c:v>-2.8342049584608784</c:v>
                </c:pt>
                <c:pt idx="22">
                  <c:v>8.3831795339215309E-2</c:v>
                </c:pt>
                <c:pt idx="23">
                  <c:v>9.7608445372536962E-2</c:v>
                </c:pt>
              </c:numCache>
            </c:numRef>
          </c:val>
          <c:extLst>
            <c:ext xmlns:c16="http://schemas.microsoft.com/office/drawing/2014/chart" uri="{C3380CC4-5D6E-409C-BE32-E72D297353CC}">
              <c16:uniqueId val="{00000006-74A3-415F-9546-54BFE5F01EDD}"/>
            </c:ext>
          </c:extLst>
        </c:ser>
        <c:ser>
          <c:idx val="7"/>
          <c:order val="7"/>
          <c:tx>
            <c:strRef>
              <c:f>'GRAF příspěvky IPP'!$A$34</c:f>
              <c:strCache>
                <c:ptCount val="1"/>
                <c:pt idx="0">
                  <c:v>Mining and energetics (B, D)</c:v>
                </c:pt>
              </c:strCache>
            </c:strRef>
          </c:tx>
          <c:spPr>
            <a:solidFill>
              <a:srgbClr val="808080"/>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IPP'!$R$34:$AP$34</c:f>
              <c:numCache>
                <c:formatCode>0.0</c:formatCode>
                <c:ptCount val="25"/>
                <c:pt idx="0">
                  <c:v>0.14533349397844122</c:v>
                </c:pt>
                <c:pt idx="1">
                  <c:v>-0.33982009504636901</c:v>
                </c:pt>
                <c:pt idx="2">
                  <c:v>-0.39704286301123137</c:v>
                </c:pt>
                <c:pt idx="3">
                  <c:v>-1.1146952173599984</c:v>
                </c:pt>
                <c:pt idx="4">
                  <c:v>-0.64578884114030577</c:v>
                </c:pt>
                <c:pt idx="5">
                  <c:v>9.8480952736059002E-2</c:v>
                </c:pt>
                <c:pt idx="6">
                  <c:v>-0.47666619461012838</c:v>
                </c:pt>
                <c:pt idx="7">
                  <c:v>0.50387184593657341</c:v>
                </c:pt>
                <c:pt idx="8">
                  <c:v>0.66203458180136321</c:v>
                </c:pt>
                <c:pt idx="9">
                  <c:v>-0.18221417078455418</c:v>
                </c:pt>
                <c:pt idx="10">
                  <c:v>0.77181444314425951</c:v>
                </c:pt>
                <c:pt idx="11">
                  <c:v>0.73266059102437608</c:v>
                </c:pt>
                <c:pt idx="12">
                  <c:v>-0.53877484071672854</c:v>
                </c:pt>
                <c:pt idx="13">
                  <c:v>4.1518654456083465E-3</c:v>
                </c:pt>
                <c:pt idx="14">
                  <c:v>0.7878560558880805</c:v>
                </c:pt>
                <c:pt idx="15">
                  <c:v>0.33112124011704824</c:v>
                </c:pt>
                <c:pt idx="16">
                  <c:v>0.21327689053916421</c:v>
                </c:pt>
                <c:pt idx="17">
                  <c:v>4.5976789373567417E-2</c:v>
                </c:pt>
                <c:pt idx="18">
                  <c:v>-0.66585611552579071</c:v>
                </c:pt>
                <c:pt idx="19">
                  <c:v>-0.33080115525945808</c:v>
                </c:pt>
                <c:pt idx="20">
                  <c:v>-0.97349186051930126</c:v>
                </c:pt>
                <c:pt idx="21">
                  <c:v>-1.5875483871345766</c:v>
                </c:pt>
                <c:pt idx="22">
                  <c:v>-0.71557941839312744</c:v>
                </c:pt>
                <c:pt idx="23">
                  <c:v>-0.69499205914749695</c:v>
                </c:pt>
              </c:numCache>
            </c:numRef>
          </c:val>
          <c:extLst>
            <c:ext xmlns:c16="http://schemas.microsoft.com/office/drawing/2014/chart" uri="{C3380CC4-5D6E-409C-BE32-E72D297353CC}">
              <c16:uniqueId val="{00000007-74A3-415F-9546-54BFE5F01EDD}"/>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Total industry (NACE B, C,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IPP'!$R$35:$AP$35</c:f>
              <c:numCache>
                <c:formatCode>0.0</c:formatCode>
                <c:ptCount val="25"/>
                <c:pt idx="0">
                  <c:v>4.8683324815000049</c:v>
                </c:pt>
                <c:pt idx="1">
                  <c:v>5.304623734499998</c:v>
                </c:pt>
                <c:pt idx="2">
                  <c:v>5.6197797224999988</c:v>
                </c:pt>
                <c:pt idx="3">
                  <c:v>2.3833547188000068</c:v>
                </c:pt>
                <c:pt idx="4">
                  <c:v>4.4736208798999968</c:v>
                </c:pt>
                <c:pt idx="5">
                  <c:v>2.6080480258000023</c:v>
                </c:pt>
                <c:pt idx="6">
                  <c:v>1.6850856128999965</c:v>
                </c:pt>
                <c:pt idx="7">
                  <c:v>3.507956713300004</c:v>
                </c:pt>
                <c:pt idx="8">
                  <c:v>4.7767742058999971</c:v>
                </c:pt>
                <c:pt idx="9">
                  <c:v>8.0194475181999962</c:v>
                </c:pt>
                <c:pt idx="10">
                  <c:v>6.5564931031999976</c:v>
                </c:pt>
                <c:pt idx="11">
                  <c:v>7.5449508760000015</c:v>
                </c:pt>
                <c:pt idx="12">
                  <c:v>4.2605942811999995</c:v>
                </c:pt>
                <c:pt idx="13">
                  <c:v>2.4108772568999939</c:v>
                </c:pt>
                <c:pt idx="14">
                  <c:v>3.7336380236999958</c:v>
                </c:pt>
                <c:pt idx="15">
                  <c:v>1.9645674939999935</c:v>
                </c:pt>
                <c:pt idx="16">
                  <c:v>0.85630770029999326</c:v>
                </c:pt>
                <c:pt idx="17">
                  <c:v>0.97049799910000445</c:v>
                </c:pt>
                <c:pt idx="18">
                  <c:v>-1.1417142861999992</c:v>
                </c:pt>
                <c:pt idx="19">
                  <c:v>-2.0695948447999939</c:v>
                </c:pt>
                <c:pt idx="20">
                  <c:v>-4.3905288952000063</c:v>
                </c:pt>
                <c:pt idx="21">
                  <c:v>-22.942750985499998</c:v>
                </c:pt>
                <c:pt idx="22">
                  <c:v>-2.8135980481000047</c:v>
                </c:pt>
                <c:pt idx="23">
                  <c:v>2.0470576521999959</c:v>
                </c:pt>
              </c:numCache>
            </c:numRef>
          </c:val>
          <c:smooth val="0"/>
          <c:extLst>
            <c:ext xmlns:c16="http://schemas.microsoft.com/office/drawing/2014/chart" uri="{C3380CC4-5D6E-409C-BE32-E72D297353CC}">
              <c16:uniqueId val="{00000008-74A3-415F-9546-54BFE5F01EDD}"/>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pt idx="0">
                  <c:v>Balance of confidence indicator in industry</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IPP'!$R$36:$AP$36</c:f>
              <c:numCache>
                <c:formatCode>0.0</c:formatCode>
                <c:ptCount val="25"/>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-25.3</c:v>
                </c:pt>
                <c:pt idx="22">
                  <c:v>-6.3</c:v>
                </c:pt>
                <c:pt idx="23">
                  <c:v>-10</c:v>
                </c:pt>
                <c:pt idx="24">
                  <c:v>-1.3</c:v>
                </c:pt>
              </c:numCache>
            </c:numRef>
          </c:val>
          <c:smooth val="0"/>
          <c:extLst>
            <c:ext xmlns:c16="http://schemas.microsoft.com/office/drawing/2014/chart" uri="{C3380CC4-5D6E-409C-BE32-E72D297353CC}">
              <c16:uniqueId val="{00000009-74A3-415F-9546-54BFE5F01EDD}"/>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9"/>
          <c:min val="-27"/>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u="none" strike="noStrike" baseline="0">
                    <a:effectLst/>
                  </a:rPr>
                  <a:t>I</a:t>
                </a:r>
                <a:r>
                  <a:rPr lang="en-GB" sz="700" b="0" i="1" u="none" strike="noStrike" baseline="0">
                    <a:effectLst/>
                  </a:rPr>
                  <a:t>ndustrial </a:t>
                </a:r>
                <a:r>
                  <a:rPr lang="en-GB"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production</a:t>
                </a:r>
                <a:r>
                  <a:rPr lang="en-GB" sz="700" b="0" i="1" u="none" strike="noStrike" baseline="0">
                    <a:effectLst/>
                  </a:rPr>
                  <a:t> </a:t>
                </a:r>
                <a:endParaRPr lang="cs-CZ" sz="700" b="0" i="1">
                  <a:latin typeface="Arial" panose="020B0604020202020204" pitchFamily="34" charset="0"/>
                  <a:cs typeface="Arial" panose="020B0604020202020204" pitchFamily="34" charset="0"/>
                </a:endParaRPr>
              </a:p>
            </c:rich>
          </c:tx>
          <c:layout>
            <c:manualLayout>
              <c:xMode val="edge"/>
              <c:yMode val="edge"/>
              <c:x val="0"/>
              <c:y val="0.23046485242635661"/>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3"/>
      </c:valAx>
      <c:valAx>
        <c:axId val="1513729024"/>
        <c:scaling>
          <c:orientation val="minMax"/>
          <c:max val="30"/>
        </c:scaling>
        <c:delete val="0"/>
        <c:axPos val="r"/>
        <c:title>
          <c:tx>
            <c:rich>
              <a:bodyPr/>
              <a:lstStyle/>
              <a:p>
                <a:pPr>
                  <a:defRPr sz="700" b="0" i="1">
                    <a:latin typeface="Arial" panose="020B0604020202020204" pitchFamily="34" charset="0"/>
                    <a:cs typeface="Arial" panose="020B0604020202020204" pitchFamily="34" charset="0"/>
                  </a:defRPr>
                </a:pPr>
                <a:r>
                  <a:rPr lang="en-GB" sz="700" b="0" i="1" u="none" strike="noStrike" baseline="0">
                    <a:effectLst/>
                  </a:rPr>
                  <a:t>Balance of confidence indicator </a:t>
                </a:r>
                <a:endParaRPr lang="cs-CZ" sz="700" b="0" i="1">
                  <a:latin typeface="Arial" panose="020B0604020202020204" pitchFamily="34" charset="0"/>
                  <a:cs typeface="Arial" panose="020B0604020202020204" pitchFamily="34" charset="0"/>
                </a:endParaRPr>
              </a:p>
            </c:rich>
          </c:tx>
          <c:layout>
            <c:manualLayout>
              <c:xMode val="edge"/>
              <c:yMode val="edge"/>
              <c:x val="0.97073916983354047"/>
              <c:y val="0.1919156077545873"/>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5"/>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3674313143127631E-3"/>
          <c:y val="0.8208401379824497"/>
          <c:w val="0.99049246182308814"/>
          <c:h val="0.1680903527628885"/>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015582501720615E-2"/>
          <c:y val="1.643251153889452E-2"/>
          <c:w val="0.86254083709606399"/>
          <c:h val="0.76336752497043359"/>
        </c:manualLayout>
      </c:layout>
      <c:barChart>
        <c:barDir val="col"/>
        <c:grouping val="clustered"/>
        <c:varyColors val="0"/>
        <c:ser>
          <c:idx val="0"/>
          <c:order val="0"/>
          <c:tx>
            <c:strRef>
              <c:f>'výkonnost odvětví 2'!$A$31</c:f>
              <c:strCache>
                <c:ptCount val="1"/>
                <c:pt idx="0">
                  <c:v>Total industry orders</c:v>
                </c:pt>
              </c:strCache>
            </c:strRef>
          </c:tx>
          <c:spPr>
            <a:solidFill>
              <a:schemeClr val="bg1">
                <a:lumMod val="65000"/>
              </a:schemeClr>
            </a:solidFill>
            <a:ln w="12700">
              <a:noFill/>
              <a:prstDash val="solid"/>
            </a:ln>
          </c:spPr>
          <c:invertIfNegative val="0"/>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2'!$R$31:$AP$31</c:f>
              <c:numCache>
                <c:formatCode>#,##0.0__</c:formatCode>
                <c:ptCount val="25"/>
                <c:pt idx="0">
                  <c:v>8.5397251010390391</c:v>
                </c:pt>
                <c:pt idx="1">
                  <c:v>6.4894834031568251</c:v>
                </c:pt>
                <c:pt idx="2">
                  <c:v>4.1045761314248068</c:v>
                </c:pt>
                <c:pt idx="3">
                  <c:v>6.0151063810169205</c:v>
                </c:pt>
                <c:pt idx="4">
                  <c:v>1.3550678522953064</c:v>
                </c:pt>
                <c:pt idx="5">
                  <c:v>10.856046878525433</c:v>
                </c:pt>
                <c:pt idx="6">
                  <c:v>1.6431282237439291</c:v>
                </c:pt>
                <c:pt idx="7">
                  <c:v>6.7220844736941103</c:v>
                </c:pt>
                <c:pt idx="8">
                  <c:v>10.841479121555906</c:v>
                </c:pt>
                <c:pt idx="9">
                  <c:v>4.5315942367003714</c:v>
                </c:pt>
                <c:pt idx="10">
                  <c:v>6.9082617878945598</c:v>
                </c:pt>
                <c:pt idx="11">
                  <c:v>7.5112613571588724</c:v>
                </c:pt>
                <c:pt idx="12">
                  <c:v>1.6339188767607453</c:v>
                </c:pt>
                <c:pt idx="13">
                  <c:v>4.6301209797549205</c:v>
                </c:pt>
                <c:pt idx="14">
                  <c:v>3.6945404784506337</c:v>
                </c:pt>
                <c:pt idx="15">
                  <c:v>4.2467023509658759</c:v>
                </c:pt>
                <c:pt idx="16">
                  <c:v>3.2159327201169816</c:v>
                </c:pt>
                <c:pt idx="17">
                  <c:v>0.65858715061426665</c:v>
                </c:pt>
                <c:pt idx="18">
                  <c:v>2.2747163836690305</c:v>
                </c:pt>
                <c:pt idx="19">
                  <c:v>-4.7832000111320241</c:v>
                </c:pt>
                <c:pt idx="20">
                  <c:v>-1.2762466132796817</c:v>
                </c:pt>
                <c:pt idx="21">
                  <c:v>-27.685678861776282</c:v>
                </c:pt>
                <c:pt idx="22">
                  <c:v>-2.0849225069869703</c:v>
                </c:pt>
                <c:pt idx="23">
                  <c:v>6.882954384462451</c:v>
                </c:pt>
              </c:numCache>
            </c:numRef>
          </c:val>
          <c:extLst>
            <c:ext xmlns:c16="http://schemas.microsoft.com/office/drawing/2014/chart" uri="{C3380CC4-5D6E-409C-BE32-E72D297353CC}">
              <c16:uniqueId val="{00000000-9186-4DD2-BF17-E0A620F7C7E2}"/>
            </c:ext>
          </c:extLst>
        </c:ser>
        <c:dLbls>
          <c:showLegendKey val="0"/>
          <c:showVal val="0"/>
          <c:showCatName val="0"/>
          <c:showSerName val="0"/>
          <c:showPercent val="0"/>
          <c:showBubbleSize val="0"/>
        </c:dLbls>
        <c:gapWidth val="34"/>
        <c:overlap val="28"/>
        <c:axId val="139174272"/>
        <c:axId val="139175808"/>
      </c:barChart>
      <c:lineChart>
        <c:grouping val="standard"/>
        <c:varyColors val="0"/>
        <c:ser>
          <c:idx val="2"/>
          <c:order val="1"/>
          <c:tx>
            <c:strRef>
              <c:f>'výkonnost odvětví 2'!$A$32</c:f>
              <c:strCache>
                <c:ptCount val="1"/>
                <c:pt idx="0">
                  <c:v>Total industry orders (domestic only)</c:v>
                </c:pt>
              </c:strCache>
            </c:strRef>
          </c:tx>
          <c:spPr>
            <a:ln w="15875">
              <a:solidFill>
                <a:srgbClr val="0070C0"/>
              </a:solidFill>
              <a:prstDash val="solid"/>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2'!$R$32:$AP$32</c:f>
              <c:numCache>
                <c:formatCode>#,##0.0__</c:formatCode>
                <c:ptCount val="25"/>
                <c:pt idx="0">
                  <c:v>4.341961301010727</c:v>
                </c:pt>
                <c:pt idx="1">
                  <c:v>10.024449168168019</c:v>
                </c:pt>
                <c:pt idx="2">
                  <c:v>-4.7604240586837108</c:v>
                </c:pt>
                <c:pt idx="3">
                  <c:v>0.56107209694786775</c:v>
                </c:pt>
                <c:pt idx="4">
                  <c:v>0.20304376106223287</c:v>
                </c:pt>
                <c:pt idx="5">
                  <c:v>4.9376200007964286</c:v>
                </c:pt>
                <c:pt idx="6">
                  <c:v>-0.65834656713856532</c:v>
                </c:pt>
                <c:pt idx="7">
                  <c:v>2.873089889380708</c:v>
                </c:pt>
                <c:pt idx="8">
                  <c:v>16.722989365311648</c:v>
                </c:pt>
                <c:pt idx="9">
                  <c:v>11.567742610098009</c:v>
                </c:pt>
                <c:pt idx="10">
                  <c:v>14.702871802754672</c:v>
                </c:pt>
                <c:pt idx="11">
                  <c:v>15.641374658030259</c:v>
                </c:pt>
                <c:pt idx="12">
                  <c:v>-0.54655499165191657</c:v>
                </c:pt>
                <c:pt idx="13">
                  <c:v>3.3862320433243838</c:v>
                </c:pt>
                <c:pt idx="14">
                  <c:v>4.5707977831681177</c:v>
                </c:pt>
                <c:pt idx="15">
                  <c:v>4.8009732818449038</c:v>
                </c:pt>
                <c:pt idx="16">
                  <c:v>8.0074778782798006</c:v>
                </c:pt>
                <c:pt idx="17">
                  <c:v>4.3685672275757952</c:v>
                </c:pt>
                <c:pt idx="18">
                  <c:v>3.2795252635021939</c:v>
                </c:pt>
                <c:pt idx="19">
                  <c:v>-2.4886565019466786</c:v>
                </c:pt>
                <c:pt idx="20">
                  <c:v>6.4934467246087451</c:v>
                </c:pt>
                <c:pt idx="21">
                  <c:v>-25.916734002239323</c:v>
                </c:pt>
                <c:pt idx="22">
                  <c:v>-3.9678211678045017</c:v>
                </c:pt>
                <c:pt idx="23">
                  <c:v>6.667164135045283</c:v>
                </c:pt>
              </c:numCache>
            </c:numRef>
          </c:val>
          <c:smooth val="0"/>
          <c:extLst>
            <c:ext xmlns:c16="http://schemas.microsoft.com/office/drawing/2014/chart" uri="{C3380CC4-5D6E-409C-BE32-E72D297353CC}">
              <c16:uniqueId val="{00000001-9186-4DD2-BF17-E0A620F7C7E2}"/>
            </c:ext>
          </c:extLst>
        </c:ser>
        <c:ser>
          <c:idx val="5"/>
          <c:order val="2"/>
          <c:tx>
            <c:strRef>
              <c:f>'výkonnost odvětví 2'!$A$33</c:f>
              <c:strCache>
                <c:ptCount val="1"/>
                <c:pt idx="0">
                  <c:v>Total orders (motor vehicles)</c:v>
                </c:pt>
              </c:strCache>
            </c:strRef>
          </c:tx>
          <c:spPr>
            <a:ln w="15875">
              <a:solidFill>
                <a:srgbClr val="BD1B21"/>
              </a:solidFill>
              <a:prstDash val="solid"/>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2'!$R$33:$AP$33</c:f>
              <c:numCache>
                <c:formatCode>#,##0.0__</c:formatCode>
                <c:ptCount val="25"/>
                <c:pt idx="0">
                  <c:v>15.316352438277931</c:v>
                </c:pt>
                <c:pt idx="1">
                  <c:v>5.584343456517459</c:v>
                </c:pt>
                <c:pt idx="2">
                  <c:v>13.898535777390734</c:v>
                </c:pt>
                <c:pt idx="3">
                  <c:v>18.975191723154538</c:v>
                </c:pt>
                <c:pt idx="4">
                  <c:v>11.460497347422447</c:v>
                </c:pt>
                <c:pt idx="5">
                  <c:v>33.085131031292235</c:v>
                </c:pt>
                <c:pt idx="6">
                  <c:v>5.912380139380474</c:v>
                </c:pt>
                <c:pt idx="7">
                  <c:v>12.001000805244416</c:v>
                </c:pt>
                <c:pt idx="8">
                  <c:v>7.9804719471503205</c:v>
                </c:pt>
                <c:pt idx="9">
                  <c:v>-1.7592612473364966</c:v>
                </c:pt>
                <c:pt idx="10">
                  <c:v>3.8626497182263222</c:v>
                </c:pt>
                <c:pt idx="11">
                  <c:v>0.37376710568412364</c:v>
                </c:pt>
                <c:pt idx="12">
                  <c:v>0.60861960894675349</c:v>
                </c:pt>
                <c:pt idx="13">
                  <c:v>3.6675371997157811</c:v>
                </c:pt>
                <c:pt idx="14">
                  <c:v>0.69699979014031044</c:v>
                </c:pt>
                <c:pt idx="15">
                  <c:v>1.0371076901644045</c:v>
                </c:pt>
                <c:pt idx="16">
                  <c:v>2.3844519038519962</c:v>
                </c:pt>
                <c:pt idx="17">
                  <c:v>3.1505861553301884</c:v>
                </c:pt>
                <c:pt idx="18">
                  <c:v>7.8772894879504776</c:v>
                </c:pt>
                <c:pt idx="19">
                  <c:v>-0.27078960340936931</c:v>
                </c:pt>
                <c:pt idx="20">
                  <c:v>-6.5941090261626556</c:v>
                </c:pt>
                <c:pt idx="21">
                  <c:v>-43.297757603226039</c:v>
                </c:pt>
                <c:pt idx="22">
                  <c:v>3.6539438072891244</c:v>
                </c:pt>
                <c:pt idx="23">
                  <c:v>8.0597939162845336</c:v>
                </c:pt>
              </c:numCache>
            </c:numRef>
          </c:val>
          <c:smooth val="0"/>
          <c:extLst>
            <c:ext xmlns:c16="http://schemas.microsoft.com/office/drawing/2014/chart" uri="{C3380CC4-5D6E-409C-BE32-E72D297353CC}">
              <c16:uniqueId val="{00000002-9186-4DD2-BF17-E0A620F7C7E2}"/>
            </c:ext>
          </c:extLst>
        </c:ser>
        <c:dLbls>
          <c:showLegendKey val="0"/>
          <c:showVal val="0"/>
          <c:showCatName val="0"/>
          <c:showSerName val="0"/>
          <c:showPercent val="0"/>
          <c:showBubbleSize val="0"/>
        </c:dLbls>
        <c:marker val="1"/>
        <c:smooth val="0"/>
        <c:axId val="139174272"/>
        <c:axId val="139175808"/>
      </c:lineChart>
      <c:lineChart>
        <c:grouping val="standard"/>
        <c:varyColors val="0"/>
        <c:ser>
          <c:idx val="3"/>
          <c:order val="3"/>
          <c:tx>
            <c:strRef>
              <c:f>'výkonnost odvětví 2'!$A$34</c:f>
              <c:strCache>
                <c:ptCount val="1"/>
                <c:pt idx="0">
                  <c:v>Utilisation of product. capacities in industry</c:v>
                </c:pt>
              </c:strCache>
            </c:strRef>
          </c:tx>
          <c:spPr>
            <a:ln w="19050">
              <a:solidFill>
                <a:srgbClr val="00B050"/>
              </a:solidFill>
              <a:prstDash val="solid"/>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2'!$R$34:$AP$34</c:f>
              <c:numCache>
                <c:formatCode>#,##0.0</c:formatCode>
                <c:ptCount val="25"/>
                <c:pt idx="0">
                  <c:v>86.2</c:v>
                </c:pt>
                <c:pt idx="1">
                  <c:v>85</c:v>
                </c:pt>
                <c:pt idx="2">
                  <c:v>85.6</c:v>
                </c:pt>
                <c:pt idx="3">
                  <c:v>83.9</c:v>
                </c:pt>
                <c:pt idx="4">
                  <c:v>84.5</c:v>
                </c:pt>
                <c:pt idx="5">
                  <c:v>84.7</c:v>
                </c:pt>
                <c:pt idx="6">
                  <c:v>84.7</c:v>
                </c:pt>
                <c:pt idx="7">
                  <c:v>84.1</c:v>
                </c:pt>
                <c:pt idx="8">
                  <c:v>84.9</c:v>
                </c:pt>
                <c:pt idx="9">
                  <c:v>83.1</c:v>
                </c:pt>
                <c:pt idx="10">
                  <c:v>84.4</c:v>
                </c:pt>
                <c:pt idx="11">
                  <c:v>84.3</c:v>
                </c:pt>
                <c:pt idx="12">
                  <c:v>85.8</c:v>
                </c:pt>
                <c:pt idx="13">
                  <c:v>85.4</c:v>
                </c:pt>
                <c:pt idx="14">
                  <c:v>86.2</c:v>
                </c:pt>
                <c:pt idx="15">
                  <c:v>85.8</c:v>
                </c:pt>
                <c:pt idx="16">
                  <c:v>85.8</c:v>
                </c:pt>
                <c:pt idx="17">
                  <c:v>85.9</c:v>
                </c:pt>
                <c:pt idx="18">
                  <c:v>84.8</c:v>
                </c:pt>
                <c:pt idx="19">
                  <c:v>84.1</c:v>
                </c:pt>
                <c:pt idx="20">
                  <c:v>84.2</c:v>
                </c:pt>
                <c:pt idx="21">
                  <c:v>71</c:v>
                </c:pt>
                <c:pt idx="22">
                  <c:v>75.5</c:v>
                </c:pt>
                <c:pt idx="23">
                  <c:v>81.099999999999994</c:v>
                </c:pt>
                <c:pt idx="24">
                  <c:v>83.4</c:v>
                </c:pt>
              </c:numCache>
            </c:numRef>
          </c:val>
          <c:smooth val="0"/>
          <c:extLst>
            <c:ext xmlns:c16="http://schemas.microsoft.com/office/drawing/2014/chart" uri="{C3380CC4-5D6E-409C-BE32-E72D297353CC}">
              <c16:uniqueId val="{00000003-9186-4DD2-BF17-E0A620F7C7E2}"/>
            </c:ext>
          </c:extLst>
        </c:ser>
        <c:ser>
          <c:idx val="1"/>
          <c:order val="4"/>
          <c:tx>
            <c:strRef>
              <c:f>'výkonnost odvětví 2'!$A$35</c:f>
              <c:strCache>
                <c:ptCount val="1"/>
                <c:pt idx="0">
                  <c:v>Utilisation of prod.cap.in motor vehicles ind.</c:v>
                </c:pt>
              </c:strCache>
            </c:strRef>
          </c:tx>
          <c:spPr>
            <a:ln w="15875">
              <a:solidFill>
                <a:srgbClr val="00B050"/>
              </a:solidFill>
              <a:prstDash val="sysDash"/>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2'!$R$35:$AP$35</c:f>
              <c:numCache>
                <c:formatCode>0.0</c:formatCode>
                <c:ptCount val="25"/>
                <c:pt idx="0">
                  <c:v>92.8</c:v>
                </c:pt>
                <c:pt idx="1">
                  <c:v>91.1</c:v>
                </c:pt>
                <c:pt idx="2">
                  <c:v>93.1</c:v>
                </c:pt>
                <c:pt idx="3">
                  <c:v>88.7</c:v>
                </c:pt>
                <c:pt idx="4">
                  <c:v>91.6</c:v>
                </c:pt>
                <c:pt idx="5">
                  <c:v>90.3</c:v>
                </c:pt>
                <c:pt idx="6">
                  <c:v>93.1</c:v>
                </c:pt>
                <c:pt idx="7">
                  <c:v>90.9</c:v>
                </c:pt>
                <c:pt idx="8">
                  <c:v>93.2</c:v>
                </c:pt>
                <c:pt idx="9">
                  <c:v>87.3</c:v>
                </c:pt>
                <c:pt idx="10">
                  <c:v>90.7</c:v>
                </c:pt>
                <c:pt idx="11">
                  <c:v>90.5</c:v>
                </c:pt>
                <c:pt idx="12">
                  <c:v>91.1</c:v>
                </c:pt>
                <c:pt idx="13">
                  <c:v>91.6</c:v>
                </c:pt>
                <c:pt idx="14">
                  <c:v>92.1</c:v>
                </c:pt>
                <c:pt idx="15">
                  <c:v>93</c:v>
                </c:pt>
                <c:pt idx="16">
                  <c:v>92.8</c:v>
                </c:pt>
                <c:pt idx="17">
                  <c:v>93.6</c:v>
                </c:pt>
                <c:pt idx="18">
                  <c:v>92.3</c:v>
                </c:pt>
                <c:pt idx="19">
                  <c:v>93.4</c:v>
                </c:pt>
                <c:pt idx="20">
                  <c:v>90.5</c:v>
                </c:pt>
                <c:pt idx="21">
                  <c:v>50.8</c:v>
                </c:pt>
                <c:pt idx="22" formatCode="General">
                  <c:v>75.3</c:v>
                </c:pt>
                <c:pt idx="23" formatCode="General">
                  <c:v>90.9</c:v>
                </c:pt>
                <c:pt idx="24" formatCode="General">
                  <c:v>90.3</c:v>
                </c:pt>
              </c:numCache>
            </c:numRef>
          </c:val>
          <c:smooth val="0"/>
          <c:extLst>
            <c:ext xmlns:c16="http://schemas.microsoft.com/office/drawing/2014/chart" uri="{C3380CC4-5D6E-409C-BE32-E72D297353CC}">
              <c16:uniqueId val="{00000004-9186-4DD2-BF17-E0A620F7C7E2}"/>
            </c:ext>
          </c:extLst>
        </c:ser>
        <c:ser>
          <c:idx val="4"/>
          <c:order val="5"/>
          <c:tx>
            <c:strRef>
              <c:f>'výkonnost odvětví 2'!$A$36</c:f>
              <c:strCache>
                <c:ptCount val="1"/>
                <c:pt idx="0">
                  <c:v>Growth barrier: insufficient demand</c:v>
                </c:pt>
              </c:strCache>
            </c:strRef>
          </c:tx>
          <c:spPr>
            <a:ln w="15875">
              <a:solidFill>
                <a:srgbClr val="D2CD00"/>
              </a:solidFill>
              <a:prstDash val="solid"/>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2'!$R$36:$AP$36</c:f>
              <c:numCache>
                <c:formatCode>#,##0.0</c:formatCode>
                <c:ptCount val="25"/>
                <c:pt idx="0">
                  <c:v>43.6</c:v>
                </c:pt>
                <c:pt idx="1">
                  <c:v>49.6</c:v>
                </c:pt>
                <c:pt idx="2">
                  <c:v>47.8</c:v>
                </c:pt>
                <c:pt idx="3">
                  <c:v>47.8</c:v>
                </c:pt>
                <c:pt idx="4">
                  <c:v>45.7</c:v>
                </c:pt>
                <c:pt idx="5">
                  <c:v>45.5</c:v>
                </c:pt>
                <c:pt idx="6">
                  <c:v>43</c:v>
                </c:pt>
                <c:pt idx="7">
                  <c:v>43.8</c:v>
                </c:pt>
                <c:pt idx="8">
                  <c:v>42.7</c:v>
                </c:pt>
                <c:pt idx="9">
                  <c:v>41.6</c:v>
                </c:pt>
                <c:pt idx="10">
                  <c:v>40.299999999999997</c:v>
                </c:pt>
                <c:pt idx="11">
                  <c:v>37.299999999999997</c:v>
                </c:pt>
                <c:pt idx="12">
                  <c:v>35.4</c:v>
                </c:pt>
                <c:pt idx="13">
                  <c:v>36</c:v>
                </c:pt>
                <c:pt idx="14">
                  <c:v>31.6</c:v>
                </c:pt>
                <c:pt idx="15">
                  <c:v>33.4</c:v>
                </c:pt>
                <c:pt idx="16">
                  <c:v>33.700000000000003</c:v>
                </c:pt>
                <c:pt idx="17">
                  <c:v>35.299999999999997</c:v>
                </c:pt>
                <c:pt idx="18">
                  <c:v>40.1</c:v>
                </c:pt>
                <c:pt idx="19">
                  <c:v>47.3</c:v>
                </c:pt>
                <c:pt idx="20">
                  <c:v>50.4</c:v>
                </c:pt>
                <c:pt idx="21">
                  <c:v>58.4</c:v>
                </c:pt>
                <c:pt idx="22">
                  <c:v>63.2</c:v>
                </c:pt>
                <c:pt idx="23">
                  <c:v>47.9</c:v>
                </c:pt>
                <c:pt idx="24">
                  <c:v>48.7</c:v>
                </c:pt>
              </c:numCache>
            </c:numRef>
          </c:val>
          <c:smooth val="0"/>
          <c:extLst>
            <c:ext xmlns:c16="http://schemas.microsoft.com/office/drawing/2014/chart" uri="{C3380CC4-5D6E-409C-BE32-E72D297353CC}">
              <c16:uniqueId val="{00000005-9186-4DD2-BF17-E0A620F7C7E2}"/>
            </c:ext>
          </c:extLst>
        </c:ser>
        <c:ser>
          <c:idx val="6"/>
          <c:order val="6"/>
          <c:tx>
            <c:strRef>
              <c:f>'výkonnost odvětví 2'!$A$37</c:f>
              <c:strCache>
                <c:ptCount val="1"/>
                <c:pt idx="0">
                  <c:v>Growth barrier: shortage of labour</c:v>
                </c:pt>
              </c:strCache>
            </c:strRef>
          </c:tx>
          <c:spPr>
            <a:ln w="19050">
              <a:solidFill>
                <a:srgbClr val="D2CD00"/>
              </a:solidFill>
              <a:prstDash val="sysDash"/>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2'!$R$37:$AP$37</c:f>
              <c:numCache>
                <c:formatCode>#,##0.0</c:formatCode>
                <c:ptCount val="25"/>
                <c:pt idx="0">
                  <c:v>6.7</c:v>
                </c:pt>
                <c:pt idx="1">
                  <c:v>6.9</c:v>
                </c:pt>
                <c:pt idx="2">
                  <c:v>8.1</c:v>
                </c:pt>
                <c:pt idx="3">
                  <c:v>13.9</c:v>
                </c:pt>
                <c:pt idx="4">
                  <c:v>15.4</c:v>
                </c:pt>
                <c:pt idx="5">
                  <c:v>16.899999999999999</c:v>
                </c:pt>
                <c:pt idx="6">
                  <c:v>18.8</c:v>
                </c:pt>
                <c:pt idx="7">
                  <c:v>28.8</c:v>
                </c:pt>
                <c:pt idx="8">
                  <c:v>32.799999999999997</c:v>
                </c:pt>
                <c:pt idx="9">
                  <c:v>34.700000000000003</c:v>
                </c:pt>
                <c:pt idx="10">
                  <c:v>41.3</c:v>
                </c:pt>
                <c:pt idx="11">
                  <c:v>38.299999999999997</c:v>
                </c:pt>
                <c:pt idx="12">
                  <c:v>43.4</c:v>
                </c:pt>
                <c:pt idx="13">
                  <c:v>43.7</c:v>
                </c:pt>
                <c:pt idx="14">
                  <c:v>43.7</c:v>
                </c:pt>
                <c:pt idx="15">
                  <c:v>44.8</c:v>
                </c:pt>
                <c:pt idx="16">
                  <c:v>38.799999999999997</c:v>
                </c:pt>
                <c:pt idx="17">
                  <c:v>36.4</c:v>
                </c:pt>
                <c:pt idx="18">
                  <c:v>39.5</c:v>
                </c:pt>
                <c:pt idx="19">
                  <c:v>37.200000000000003</c:v>
                </c:pt>
                <c:pt idx="20">
                  <c:v>28.2</c:v>
                </c:pt>
                <c:pt idx="21">
                  <c:v>16.600000000000001</c:v>
                </c:pt>
                <c:pt idx="22">
                  <c:v>15.1</c:v>
                </c:pt>
                <c:pt idx="23">
                  <c:v>13.7</c:v>
                </c:pt>
                <c:pt idx="24">
                  <c:v>20.3</c:v>
                </c:pt>
              </c:numCache>
            </c:numRef>
          </c:val>
          <c:smooth val="0"/>
          <c:extLst>
            <c:ext xmlns:c16="http://schemas.microsoft.com/office/drawing/2014/chart" uri="{C3380CC4-5D6E-409C-BE32-E72D297353CC}">
              <c16:uniqueId val="{00000006-9186-4DD2-BF17-E0A620F7C7E2}"/>
            </c:ext>
          </c:extLst>
        </c:ser>
        <c:dLbls>
          <c:showLegendKey val="0"/>
          <c:showVal val="0"/>
          <c:showCatName val="0"/>
          <c:showSerName val="0"/>
          <c:showPercent val="0"/>
          <c:showBubbleSize val="0"/>
        </c:dLbls>
        <c:marker val="1"/>
        <c:smooth val="0"/>
        <c:axId val="146478208"/>
        <c:axId val="139177344"/>
      </c:lineChart>
      <c:catAx>
        <c:axId val="139174272"/>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39175808"/>
        <c:crossesAt val="0"/>
        <c:auto val="0"/>
        <c:lblAlgn val="ctr"/>
        <c:lblOffset val="0"/>
        <c:tickLblSkip val="1"/>
        <c:tickMarkSkip val="4"/>
        <c:noMultiLvlLbl val="0"/>
      </c:catAx>
      <c:valAx>
        <c:axId val="139175808"/>
        <c:scaling>
          <c:orientation val="minMax"/>
          <c:max val="50"/>
          <c:min val="-50"/>
        </c:scaling>
        <c:delete val="0"/>
        <c:axPos val="l"/>
        <c:majorGridlines>
          <c:spPr>
            <a:ln w="6350">
              <a:solidFill>
                <a:schemeClr val="bg1">
                  <a:lumMod val="75000"/>
                </a:schemeClr>
              </a:solidFill>
            </a:ln>
          </c:spPr>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rgbClr val="000000"/>
                    </a:solidFill>
                    <a:latin typeface="Arial" panose="020B0604020202020204" pitchFamily="34" charset="0"/>
                    <a:ea typeface="Arial CE"/>
                    <a:cs typeface="Arial" panose="020B0604020202020204" pitchFamily="34" charset="0"/>
                  </a:defRPr>
                </a:pPr>
                <a:r>
                  <a:rPr lang="cs-CZ" sz="700" b="0" i="1">
                    <a:effectLst/>
                    <a:latin typeface="Arial" panose="020B0604020202020204" pitchFamily="34" charset="0"/>
                    <a:cs typeface="Arial" panose="020B0604020202020204" pitchFamily="34" charset="0"/>
                  </a:rPr>
                  <a:t>New or</a:t>
                </a:r>
                <a:r>
                  <a:rPr lang="en-GB" sz="700" b="0" i="1">
                    <a:effectLst/>
                    <a:latin typeface="Arial" panose="020B0604020202020204" pitchFamily="34" charset="0"/>
                    <a:cs typeface="Arial" panose="020B0604020202020204" pitchFamily="34" charset="0"/>
                  </a:rPr>
                  <a:t>ders</a:t>
                </a:r>
                <a:endParaRPr lang="cs-CZ" sz="700" b="0">
                  <a:effectLst/>
                  <a:latin typeface="Arial" panose="020B0604020202020204" pitchFamily="34" charset="0"/>
                  <a:cs typeface="Arial" panose="020B0604020202020204" pitchFamily="34" charset="0"/>
                </a:endParaRPr>
              </a:p>
            </c:rich>
          </c:tx>
          <c:layout/>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39174272"/>
        <c:crosses val="autoZero"/>
        <c:crossBetween val="between"/>
        <c:majorUnit val="10"/>
      </c:valAx>
      <c:valAx>
        <c:axId val="139177344"/>
        <c:scaling>
          <c:orientation val="minMax"/>
          <c:max val="100"/>
          <c:min val="0"/>
        </c:scaling>
        <c:delete val="0"/>
        <c:axPos val="r"/>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rgbClr val="000000"/>
                    </a:solidFill>
                    <a:latin typeface="Arial" panose="020B0604020202020204" pitchFamily="34" charset="0"/>
                    <a:ea typeface="Arial CE"/>
                    <a:cs typeface="Arial" panose="020B0604020202020204" pitchFamily="34" charset="0"/>
                  </a:defRPr>
                </a:pPr>
                <a:r>
                  <a:rPr lang="en-GB" sz="700" i="1">
                    <a:effectLst/>
                    <a:latin typeface="Arial" panose="020B0604020202020204" pitchFamily="34" charset="0"/>
                    <a:cs typeface="Arial" panose="020B0604020202020204" pitchFamily="34" charset="0"/>
                  </a:rPr>
                  <a:t>Utilisation of production capacities, growth barriers</a:t>
                </a:r>
                <a:endParaRPr lang="cs-CZ" sz="700">
                  <a:effectLst/>
                  <a:latin typeface="Arial" panose="020B0604020202020204" pitchFamily="34" charset="0"/>
                  <a:cs typeface="Arial" panose="020B0604020202020204" pitchFamily="34" charset="0"/>
                </a:endParaRPr>
              </a:p>
            </c:rich>
          </c:tx>
          <c:layout>
            <c:manualLayout>
              <c:xMode val="edge"/>
              <c:yMode val="edge"/>
              <c:x val="0.96791330900210915"/>
              <c:y val="0.10372767821200264"/>
            </c:manualLayout>
          </c:layout>
          <c:overlay val="0"/>
        </c:title>
        <c:numFmt formatCode="0" sourceLinked="0"/>
        <c:majorTickMark val="out"/>
        <c:minorTickMark val="none"/>
        <c:tickLblPos val="nextTo"/>
        <c:crossAx val="146478208"/>
        <c:crosses val="max"/>
        <c:crossBetween val="between"/>
      </c:valAx>
      <c:catAx>
        <c:axId val="146478208"/>
        <c:scaling>
          <c:orientation val="minMax"/>
        </c:scaling>
        <c:delete val="1"/>
        <c:axPos val="b"/>
        <c:numFmt formatCode="General" sourceLinked="1"/>
        <c:majorTickMark val="out"/>
        <c:minorTickMark val="none"/>
        <c:tickLblPos val="none"/>
        <c:crossAx val="139177344"/>
        <c:crosses val="autoZero"/>
        <c:auto val="0"/>
        <c:lblAlgn val="ctr"/>
        <c:lblOffset val="100"/>
        <c:noMultiLvlLbl val="0"/>
      </c:catAx>
      <c:spPr>
        <a:solidFill>
          <a:srgbClr val="FFFFFF"/>
        </a:solidFill>
        <a:ln w="9525">
          <a:solidFill>
            <a:schemeClr val="tx1"/>
          </a:solidFill>
        </a:ln>
      </c:spPr>
    </c:plotArea>
    <c:legend>
      <c:legendPos val="b"/>
      <c:layout>
        <c:manualLayout>
          <c:xMode val="edge"/>
          <c:yMode val="edge"/>
          <c:x val="8.1990961748686711E-3"/>
          <c:y val="0.86823807683750776"/>
          <c:w val="0.98379594369130352"/>
          <c:h val="0.12461329492628892"/>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797233975646277E-2"/>
          <c:y val="1.6563187842952781E-2"/>
          <c:w val="0.85309849317471154"/>
          <c:h val="0.74701445903427344"/>
        </c:manualLayout>
      </c:layout>
      <c:barChart>
        <c:barDir val="col"/>
        <c:grouping val="stacked"/>
        <c:varyColors val="0"/>
        <c:ser>
          <c:idx val="1"/>
          <c:order val="1"/>
          <c:tx>
            <c:strRef>
              <c:f>'výkonnost odvětví 3'!$Y$10</c:f>
              <c:strCache>
                <c:ptCount val="1"/>
                <c:pt idx="0">
                  <c:v>Building construction (contribution in p.p.)</c:v>
                </c:pt>
              </c:strCache>
            </c:strRef>
          </c:tx>
          <c:spPr>
            <a:solidFill>
              <a:srgbClr val="A6CDE9"/>
            </a:solidFill>
            <a:ln w="19050">
              <a:noFill/>
              <a:prstDash val="solid"/>
            </a:ln>
          </c:spPr>
          <c:invertIfNegative val="0"/>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3'!$Y$31:$Y$55</c:f>
              <c:numCache>
                <c:formatCode>0.0</c:formatCode>
                <c:ptCount val="25"/>
                <c:pt idx="0">
                  <c:v>6.0472691415550308</c:v>
                </c:pt>
                <c:pt idx="1">
                  <c:v>5.0361785279850331</c:v>
                </c:pt>
                <c:pt idx="2">
                  <c:v>0.79284647800469443</c:v>
                </c:pt>
                <c:pt idx="3">
                  <c:v>-1.7469503076723902</c:v>
                </c:pt>
                <c:pt idx="4">
                  <c:v>-4.9966395973466113</c:v>
                </c:pt>
                <c:pt idx="5">
                  <c:v>-4.9257017459251742</c:v>
                </c:pt>
                <c:pt idx="6">
                  <c:v>0.77276571096827207</c:v>
                </c:pt>
                <c:pt idx="7">
                  <c:v>3.9335414535585005</c:v>
                </c:pt>
                <c:pt idx="8">
                  <c:v>2.3671560586056022</c:v>
                </c:pt>
                <c:pt idx="9">
                  <c:v>9.8680621909171364</c:v>
                </c:pt>
                <c:pt idx="10">
                  <c:v>3.4017933101817137</c:v>
                </c:pt>
                <c:pt idx="11">
                  <c:v>2.6470410387980881</c:v>
                </c:pt>
                <c:pt idx="12">
                  <c:v>13.566805669626437</c:v>
                </c:pt>
                <c:pt idx="13">
                  <c:v>6.3014309761028438</c:v>
                </c:pt>
                <c:pt idx="14">
                  <c:v>7.6955191405999477</c:v>
                </c:pt>
                <c:pt idx="15">
                  <c:v>2.4925933032829257</c:v>
                </c:pt>
                <c:pt idx="16">
                  <c:v>2.8991265346082757</c:v>
                </c:pt>
                <c:pt idx="17">
                  <c:v>2.4161064271216639</c:v>
                </c:pt>
                <c:pt idx="18">
                  <c:v>-0.67044140108437589</c:v>
                </c:pt>
                <c:pt idx="19">
                  <c:v>2.416093622463102</c:v>
                </c:pt>
                <c:pt idx="20">
                  <c:v>-0.33918173121542228</c:v>
                </c:pt>
                <c:pt idx="21">
                  <c:v>-7.4193975140058424</c:v>
                </c:pt>
                <c:pt idx="22">
                  <c:v>-7.1727603765696051</c:v>
                </c:pt>
                <c:pt idx="23">
                  <c:v>-8.5628260982408833</c:v>
                </c:pt>
              </c:numCache>
            </c:numRef>
          </c:val>
          <c:extLst>
            <c:ext xmlns:c16="http://schemas.microsoft.com/office/drawing/2014/chart" uri="{C3380CC4-5D6E-409C-BE32-E72D297353CC}">
              <c16:uniqueId val="{00000000-2CCF-4077-85AF-C475822D0491}"/>
            </c:ext>
          </c:extLst>
        </c:ser>
        <c:ser>
          <c:idx val="2"/>
          <c:order val="2"/>
          <c:tx>
            <c:strRef>
              <c:f>'výkonnost odvětví 3'!$Z$10</c:f>
              <c:strCache>
                <c:ptCount val="1"/>
                <c:pt idx="0">
                  <c:v>Civil engineering con. (contribution in p.p.)</c:v>
                </c:pt>
              </c:strCache>
            </c:strRef>
          </c:tx>
          <c:spPr>
            <a:solidFill>
              <a:srgbClr val="E8AFB2"/>
            </a:solidFill>
            <a:ln w="19050">
              <a:noFill/>
              <a:prstDash val="solid"/>
            </a:ln>
          </c:spPr>
          <c:invertIfNegative val="0"/>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3'!$Z$31:$Z$55</c:f>
              <c:numCache>
                <c:formatCode>0.0</c:formatCode>
                <c:ptCount val="25"/>
                <c:pt idx="0">
                  <c:v>3.2371734793492286</c:v>
                </c:pt>
                <c:pt idx="1">
                  <c:v>7.2133653363142445</c:v>
                </c:pt>
                <c:pt idx="2">
                  <c:v>7.3965728347939308</c:v>
                </c:pt>
                <c:pt idx="3">
                  <c:v>2.855138673774563</c:v>
                </c:pt>
                <c:pt idx="4">
                  <c:v>-1.2748612346910093</c:v>
                </c:pt>
                <c:pt idx="5">
                  <c:v>-5.414778412052824</c:v>
                </c:pt>
                <c:pt idx="6">
                  <c:v>-7.0615948905346464</c:v>
                </c:pt>
                <c:pt idx="7">
                  <c:v>-5.9113799674669414</c:v>
                </c:pt>
                <c:pt idx="8">
                  <c:v>-3.3927259981365467</c:v>
                </c:pt>
                <c:pt idx="9">
                  <c:v>-1.198952761717637</c:v>
                </c:pt>
                <c:pt idx="10">
                  <c:v>-1.5292517461591122</c:v>
                </c:pt>
                <c:pt idx="11">
                  <c:v>0.24904908942130594</c:v>
                </c:pt>
                <c:pt idx="12">
                  <c:v>1.7517060590922457</c:v>
                </c:pt>
                <c:pt idx="13">
                  <c:v>1.2046321635544115</c:v>
                </c:pt>
                <c:pt idx="14">
                  <c:v>4.7152862062363932</c:v>
                </c:pt>
                <c:pt idx="15">
                  <c:v>1.8992954479389978</c:v>
                </c:pt>
                <c:pt idx="16">
                  <c:v>0.73586870212531541</c:v>
                </c:pt>
                <c:pt idx="17">
                  <c:v>1.8713674836205678</c:v>
                </c:pt>
                <c:pt idx="18">
                  <c:v>0.75615189920903703</c:v>
                </c:pt>
                <c:pt idx="19">
                  <c:v>0.84449513778573204</c:v>
                </c:pt>
                <c:pt idx="20">
                  <c:v>3.2042596941285559</c:v>
                </c:pt>
                <c:pt idx="21">
                  <c:v>1.2156790684783816</c:v>
                </c:pt>
                <c:pt idx="22">
                  <c:v>-1.8725018139646268</c:v>
                </c:pt>
                <c:pt idx="23">
                  <c:v>0.35005818727718746</c:v>
                </c:pt>
              </c:numCache>
            </c:numRef>
          </c:val>
          <c:extLst>
            <c:ext xmlns:c16="http://schemas.microsoft.com/office/drawing/2014/chart" uri="{C3380CC4-5D6E-409C-BE32-E72D297353CC}">
              <c16:uniqueId val="{00000001-2CCF-4077-85AF-C475822D0491}"/>
            </c:ext>
          </c:extLst>
        </c:ser>
        <c:dLbls>
          <c:showLegendKey val="0"/>
          <c:showVal val="0"/>
          <c:showCatName val="0"/>
          <c:showSerName val="0"/>
          <c:showPercent val="0"/>
          <c:showBubbleSize val="0"/>
        </c:dLbls>
        <c:gapWidth val="24"/>
        <c:overlap val="100"/>
        <c:axId val="147432960"/>
        <c:axId val="147434496"/>
      </c:barChart>
      <c:lineChart>
        <c:grouping val="standard"/>
        <c:varyColors val="0"/>
        <c:ser>
          <c:idx val="0"/>
          <c:order val="0"/>
          <c:tx>
            <c:strRef>
              <c:f>'výkonnost odvětví 3'!$X$10</c:f>
              <c:strCache>
                <c:ptCount val="1"/>
                <c:pt idx="0">
                  <c:v>Total construction output (year-on-year in %)</c:v>
                </c:pt>
              </c:strCache>
            </c:strRef>
          </c:tx>
          <c:spPr>
            <a:ln>
              <a:noFill/>
            </a:ln>
          </c:spPr>
          <c:marker>
            <c:symbol val="dash"/>
            <c:size val="9"/>
            <c:spPr>
              <a:solidFill>
                <a:schemeClr val="tx1">
                  <a:lumMod val="95000"/>
                  <a:lumOff val="5000"/>
                </a:schemeClr>
              </a:solidFill>
              <a:ln>
                <a:noFill/>
              </a:ln>
            </c:spPr>
          </c:marker>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3'!$X$31:$X$55</c:f>
              <c:numCache>
                <c:formatCode>0.0</c:formatCode>
                <c:ptCount val="25"/>
                <c:pt idx="0">
                  <c:v>9.2017765228224988</c:v>
                </c:pt>
                <c:pt idx="1">
                  <c:v>11.980043538808332</c:v>
                </c:pt>
                <c:pt idx="2">
                  <c:v>7.8286342656312939</c:v>
                </c:pt>
                <c:pt idx="3">
                  <c:v>0.94557774780092529</c:v>
                </c:pt>
                <c:pt idx="4">
                  <c:v>-6.2824122661548785</c:v>
                </c:pt>
                <c:pt idx="5">
                  <c:v>-10.194427090117628</c:v>
                </c:pt>
                <c:pt idx="6">
                  <c:v>-5.917849407755682</c:v>
                </c:pt>
                <c:pt idx="7">
                  <c:v>-1.6490685502181321</c:v>
                </c:pt>
                <c:pt idx="8">
                  <c:v>-0.79880269419055594</c:v>
                </c:pt>
                <c:pt idx="9">
                  <c:v>8.9534675343638526</c:v>
                </c:pt>
                <c:pt idx="10">
                  <c:v>2.0444749820850632</c:v>
                </c:pt>
                <c:pt idx="11">
                  <c:v>2.9396785672127379</c:v>
                </c:pt>
                <c:pt idx="12">
                  <c:v>15.317302207920179</c:v>
                </c:pt>
                <c:pt idx="13">
                  <c:v>7.5063094273893398</c:v>
                </c:pt>
                <c:pt idx="14">
                  <c:v>12.406544540651936</c:v>
                </c:pt>
                <c:pt idx="15">
                  <c:v>4.3180623617480762</c:v>
                </c:pt>
                <c:pt idx="16">
                  <c:v>3.6346322356212539</c:v>
                </c:pt>
                <c:pt idx="17">
                  <c:v>4.2888988271298842</c:v>
                </c:pt>
                <c:pt idx="18">
                  <c:v>8.6862748706039383E-2</c:v>
                </c:pt>
                <c:pt idx="19">
                  <c:v>3.2606251776515762</c:v>
                </c:pt>
                <c:pt idx="20">
                  <c:v>2.8649648216544392</c:v>
                </c:pt>
                <c:pt idx="21">
                  <c:v>-6.2024596600145259</c:v>
                </c:pt>
                <c:pt idx="22">
                  <c:v>-9.0466947127630135</c:v>
                </c:pt>
                <c:pt idx="23">
                  <c:v>-8.2756255759856003</c:v>
                </c:pt>
              </c:numCache>
            </c:numRef>
          </c:val>
          <c:smooth val="0"/>
          <c:extLst>
            <c:ext xmlns:c16="http://schemas.microsoft.com/office/drawing/2014/chart" uri="{C3380CC4-5D6E-409C-BE32-E72D297353CC}">
              <c16:uniqueId val="{00000002-2CCF-4077-85AF-C475822D0491}"/>
            </c:ext>
          </c:extLst>
        </c:ser>
        <c:dLbls>
          <c:showLegendKey val="0"/>
          <c:showVal val="0"/>
          <c:showCatName val="0"/>
          <c:showSerName val="0"/>
          <c:showPercent val="0"/>
          <c:showBubbleSize val="0"/>
        </c:dLbls>
        <c:marker val="1"/>
        <c:smooth val="0"/>
        <c:axId val="147432960"/>
        <c:axId val="147434496"/>
      </c:lineChart>
      <c:lineChart>
        <c:grouping val="standard"/>
        <c:varyColors val="0"/>
        <c:ser>
          <c:idx val="3"/>
          <c:order val="3"/>
          <c:tx>
            <c:strRef>
              <c:f>'výkonnost odvětví 3'!$AA$10</c:f>
              <c:strCache>
                <c:ptCount val="1"/>
                <c:pt idx="0">
                  <c:v>New construction orders</c:v>
                </c:pt>
              </c:strCache>
            </c:strRef>
          </c:tx>
          <c:spPr>
            <a:ln w="15875">
              <a:solidFill>
                <a:srgbClr val="984807"/>
              </a:solidFill>
              <a:prstDash val="solid"/>
            </a:ln>
          </c:spPr>
          <c:marker>
            <c:symbol val="none"/>
          </c:marker>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3'!$AA$31:$AA$55</c:f>
              <c:numCache>
                <c:formatCode>0.0</c:formatCode>
                <c:ptCount val="25"/>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numCache>
            </c:numRef>
          </c:val>
          <c:smooth val="0"/>
          <c:extLst>
            <c:ext xmlns:c16="http://schemas.microsoft.com/office/drawing/2014/chart" uri="{C3380CC4-5D6E-409C-BE32-E72D297353CC}">
              <c16:uniqueId val="{00000003-2CCF-4077-85AF-C475822D0491}"/>
            </c:ext>
          </c:extLst>
        </c:ser>
        <c:ser>
          <c:idx val="4"/>
          <c:order val="4"/>
          <c:tx>
            <c:strRef>
              <c:f>'výkonnost odvětví 3'!$AB$10</c:f>
              <c:strCache>
                <c:ptCount val="1"/>
                <c:pt idx="0">
                  <c:v>Growth barrier: insufficient demand</c:v>
                </c:pt>
              </c:strCache>
            </c:strRef>
          </c:tx>
          <c:spPr>
            <a:ln w="15875">
              <a:solidFill>
                <a:srgbClr val="00B050"/>
              </a:solidFill>
            </a:ln>
          </c:spPr>
          <c:marker>
            <c:symbol val="none"/>
          </c:marker>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3'!$AB$31:$AB$55</c:f>
              <c:numCache>
                <c:formatCode>#,##0.0</c:formatCode>
                <c:ptCount val="25"/>
                <c:pt idx="0">
                  <c:v>65.8</c:v>
                </c:pt>
                <c:pt idx="1">
                  <c:v>60.4</c:v>
                </c:pt>
                <c:pt idx="2">
                  <c:v>58.9</c:v>
                </c:pt>
                <c:pt idx="3">
                  <c:v>57.6</c:v>
                </c:pt>
                <c:pt idx="4">
                  <c:v>54.5</c:v>
                </c:pt>
                <c:pt idx="5">
                  <c:v>61.1</c:v>
                </c:pt>
                <c:pt idx="6">
                  <c:v>60.4</c:v>
                </c:pt>
                <c:pt idx="7">
                  <c:v>57</c:v>
                </c:pt>
                <c:pt idx="8">
                  <c:v>53.9</c:v>
                </c:pt>
                <c:pt idx="9">
                  <c:v>54.3</c:v>
                </c:pt>
                <c:pt idx="10">
                  <c:v>50</c:v>
                </c:pt>
                <c:pt idx="11">
                  <c:v>48.3</c:v>
                </c:pt>
                <c:pt idx="12">
                  <c:v>40.299999999999997</c:v>
                </c:pt>
                <c:pt idx="13">
                  <c:v>38.200000000000003</c:v>
                </c:pt>
                <c:pt idx="14">
                  <c:v>33.4</c:v>
                </c:pt>
                <c:pt idx="15">
                  <c:v>24.1</c:v>
                </c:pt>
                <c:pt idx="16">
                  <c:v>25.4</c:v>
                </c:pt>
                <c:pt idx="17">
                  <c:v>23.3</c:v>
                </c:pt>
                <c:pt idx="18">
                  <c:v>17.899999999999999</c:v>
                </c:pt>
                <c:pt idx="19">
                  <c:v>20.9</c:v>
                </c:pt>
                <c:pt idx="20">
                  <c:v>30.3</c:v>
                </c:pt>
                <c:pt idx="21">
                  <c:v>29.3</c:v>
                </c:pt>
                <c:pt idx="22">
                  <c:v>38.799999999999997</c:v>
                </c:pt>
                <c:pt idx="23" formatCode="General">
                  <c:v>41.2</c:v>
                </c:pt>
                <c:pt idx="24">
                  <c:v>31.3</c:v>
                </c:pt>
              </c:numCache>
            </c:numRef>
          </c:val>
          <c:smooth val="0"/>
          <c:extLst>
            <c:ext xmlns:c16="http://schemas.microsoft.com/office/drawing/2014/chart" uri="{C3380CC4-5D6E-409C-BE32-E72D297353CC}">
              <c16:uniqueId val="{00000004-2CCF-4077-85AF-C475822D0491}"/>
            </c:ext>
          </c:extLst>
        </c:ser>
        <c:ser>
          <c:idx val="5"/>
          <c:order val="5"/>
          <c:tx>
            <c:strRef>
              <c:f>'výkonnost odvětví 3'!$AC$10</c:f>
              <c:strCache>
                <c:ptCount val="1"/>
                <c:pt idx="0">
                  <c:v>Growth barrier: shortage of labour</c:v>
                </c:pt>
              </c:strCache>
            </c:strRef>
          </c:tx>
          <c:spPr>
            <a:ln w="15875">
              <a:solidFill>
                <a:srgbClr val="00B050"/>
              </a:solidFill>
              <a:prstDash val="sysDash"/>
            </a:ln>
          </c:spPr>
          <c:marker>
            <c:symbol val="none"/>
          </c:marker>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3'!$AC$31:$AC$55</c:f>
              <c:numCache>
                <c:formatCode>#,##0.0</c:formatCode>
                <c:ptCount val="25"/>
                <c:pt idx="0">
                  <c:v>6.8</c:v>
                </c:pt>
                <c:pt idx="1">
                  <c:v>7.9</c:v>
                </c:pt>
                <c:pt idx="2">
                  <c:v>7.2</c:v>
                </c:pt>
                <c:pt idx="3">
                  <c:v>7</c:v>
                </c:pt>
                <c:pt idx="4">
                  <c:v>5.8</c:v>
                </c:pt>
                <c:pt idx="5">
                  <c:v>6.7</c:v>
                </c:pt>
                <c:pt idx="6">
                  <c:v>7.8</c:v>
                </c:pt>
                <c:pt idx="7">
                  <c:v>10.7</c:v>
                </c:pt>
                <c:pt idx="8">
                  <c:v>11.5</c:v>
                </c:pt>
                <c:pt idx="9">
                  <c:v>14</c:v>
                </c:pt>
                <c:pt idx="10">
                  <c:v>22.7</c:v>
                </c:pt>
                <c:pt idx="11">
                  <c:v>23.1</c:v>
                </c:pt>
                <c:pt idx="12">
                  <c:v>23.5</c:v>
                </c:pt>
                <c:pt idx="13">
                  <c:v>29.3</c:v>
                </c:pt>
                <c:pt idx="14">
                  <c:v>30.4</c:v>
                </c:pt>
                <c:pt idx="15">
                  <c:v>40.799999999999997</c:v>
                </c:pt>
                <c:pt idx="16">
                  <c:v>34.299999999999997</c:v>
                </c:pt>
                <c:pt idx="17">
                  <c:v>43</c:v>
                </c:pt>
                <c:pt idx="18">
                  <c:v>55</c:v>
                </c:pt>
                <c:pt idx="19">
                  <c:v>49.7</c:v>
                </c:pt>
                <c:pt idx="20">
                  <c:v>50</c:v>
                </c:pt>
                <c:pt idx="21">
                  <c:v>46.3</c:v>
                </c:pt>
                <c:pt idx="22">
                  <c:v>38.200000000000003</c:v>
                </c:pt>
                <c:pt idx="23" formatCode="0.0">
                  <c:v>34</c:v>
                </c:pt>
                <c:pt idx="24">
                  <c:v>43.6</c:v>
                </c:pt>
              </c:numCache>
            </c:numRef>
          </c:val>
          <c:smooth val="0"/>
          <c:extLst>
            <c:ext xmlns:c16="http://schemas.microsoft.com/office/drawing/2014/chart" uri="{C3380CC4-5D6E-409C-BE32-E72D297353CC}">
              <c16:uniqueId val="{00000005-2CCF-4077-85AF-C475822D0491}"/>
            </c:ext>
          </c:extLst>
        </c:ser>
        <c:ser>
          <c:idx val="6"/>
          <c:order val="6"/>
          <c:tx>
            <c:strRef>
              <c:f>'výkonnost odvětví 3'!$AD$10</c:f>
              <c:strCache>
                <c:ptCount val="1"/>
                <c:pt idx="0">
                  <c:v>Balance of confidence indicator in construction</c:v>
                </c:pt>
              </c:strCache>
            </c:strRef>
          </c:tx>
          <c:spPr>
            <a:ln w="6350">
              <a:solidFill>
                <a:schemeClr val="bg1">
                  <a:lumMod val="50000"/>
                </a:schemeClr>
              </a:solidFill>
              <a:prstDash val="sysDash"/>
            </a:ln>
          </c:spPr>
          <c:marker>
            <c:symbol val="diamond"/>
            <c:size val="5"/>
            <c:spPr>
              <a:solidFill>
                <a:srgbClr val="FFFF00"/>
              </a:solidFill>
              <a:ln>
                <a:solidFill>
                  <a:prstClr val="black">
                    <a:lumMod val="95000"/>
                    <a:lumOff val="5000"/>
                  </a:prstClr>
                </a:solidFill>
              </a:ln>
            </c:spPr>
          </c:marker>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3'!$AD$31:$AD$55</c:f>
              <c:numCache>
                <c:formatCode>0.0</c:formatCode>
                <c:ptCount val="25"/>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numCache>
            </c:numRef>
          </c:val>
          <c:smooth val="0"/>
          <c:extLst>
            <c:ext xmlns:c16="http://schemas.microsoft.com/office/drawing/2014/chart" uri="{C3380CC4-5D6E-409C-BE32-E72D297353CC}">
              <c16:uniqueId val="{00000006-2CCF-4077-85AF-C475822D0491}"/>
            </c:ext>
          </c:extLst>
        </c:ser>
        <c:dLbls>
          <c:showLegendKey val="0"/>
          <c:showVal val="0"/>
          <c:showCatName val="0"/>
          <c:showSerName val="0"/>
          <c:showPercent val="0"/>
          <c:showBubbleSize val="0"/>
        </c:dLbls>
        <c:marker val="1"/>
        <c:smooth val="0"/>
        <c:axId val="147650816"/>
        <c:axId val="147649280"/>
      </c:lineChart>
      <c:catAx>
        <c:axId val="14743296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47434496"/>
        <c:crossesAt val="0"/>
        <c:auto val="0"/>
        <c:lblAlgn val="ctr"/>
        <c:lblOffset val="0"/>
        <c:tickLblSkip val="1"/>
        <c:tickMarkSkip val="4"/>
        <c:noMultiLvlLbl val="0"/>
      </c:catAx>
      <c:valAx>
        <c:axId val="147434496"/>
        <c:scaling>
          <c:orientation val="minMax"/>
          <c:max val="30"/>
          <c:min val="-20"/>
        </c:scaling>
        <c:delete val="0"/>
        <c:axPos val="l"/>
        <c:majorGridlines>
          <c:spPr>
            <a:ln w="6350">
              <a:solidFill>
                <a:schemeClr val="bg1">
                  <a:lumMod val="75000"/>
                </a:schemeClr>
              </a:solidFill>
            </a:ln>
          </c:spPr>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rgbClr val="000000"/>
                    </a:solidFill>
                    <a:latin typeface="Arial" panose="020B0604020202020204" pitchFamily="34" charset="0"/>
                    <a:ea typeface="Arial CE"/>
                    <a:cs typeface="Arial" panose="020B0604020202020204" pitchFamily="34" charset="0"/>
                  </a:defRPr>
                </a:pPr>
                <a:r>
                  <a:rPr lang="en-GB" sz="700" i="1">
                    <a:effectLst/>
                    <a:latin typeface="Arial" panose="020B0604020202020204" pitchFamily="34" charset="0"/>
                    <a:cs typeface="Arial" panose="020B0604020202020204" pitchFamily="34" charset="0"/>
                  </a:rPr>
                  <a:t>Contribution to the growth of construction output</a:t>
                </a:r>
                <a:endParaRPr lang="cs-CZ" sz="700">
                  <a:effectLst/>
                  <a:latin typeface="Arial" panose="020B0604020202020204" pitchFamily="34" charset="0"/>
                  <a:cs typeface="Arial" panose="020B0604020202020204" pitchFamily="34" charset="0"/>
                </a:endParaRPr>
              </a:p>
            </c:rich>
          </c:tx>
          <c:layout>
            <c:manualLayout>
              <c:xMode val="edge"/>
              <c:yMode val="edge"/>
              <c:x val="3.9009353322445295E-5"/>
              <c:y val="8.7432428126434439E-2"/>
            </c:manualLayout>
          </c:layout>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47432960"/>
        <c:crosses val="autoZero"/>
        <c:crossBetween val="between"/>
        <c:majorUnit val="5"/>
      </c:valAx>
      <c:valAx>
        <c:axId val="147649280"/>
        <c:scaling>
          <c:orientation val="minMax"/>
          <c:max val="90"/>
          <c:min val="-60"/>
        </c:scaling>
        <c:delete val="0"/>
        <c:axPos val="r"/>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rgbClr val="000000"/>
                    </a:solidFill>
                    <a:latin typeface="Arial" panose="020B0604020202020204" pitchFamily="34" charset="0"/>
                    <a:ea typeface="Arial CE"/>
                    <a:cs typeface="Arial" panose="020B0604020202020204" pitchFamily="34" charset="0"/>
                  </a:defRPr>
                </a:pPr>
                <a:r>
                  <a:rPr lang="en-GB" sz="700" i="1">
                    <a:effectLst/>
                    <a:latin typeface="Arial" panose="020B0604020202020204" pitchFamily="34" charset="0"/>
                    <a:cs typeface="Arial" panose="020B0604020202020204" pitchFamily="34" charset="0"/>
                  </a:rPr>
                  <a:t>Orders, Balance of confidence indicator, Growth barriers</a:t>
                </a:r>
                <a:endParaRPr lang="cs-CZ" sz="700">
                  <a:effectLst/>
                  <a:latin typeface="Arial" panose="020B0604020202020204" pitchFamily="34" charset="0"/>
                  <a:cs typeface="Arial" panose="020B0604020202020204" pitchFamily="34" charset="0"/>
                </a:endParaRPr>
              </a:p>
            </c:rich>
          </c:tx>
          <c:layout/>
          <c:overlay val="0"/>
        </c:title>
        <c:numFmt formatCode="0" sourceLinked="0"/>
        <c:majorTickMark val="out"/>
        <c:minorTickMark val="none"/>
        <c:tickLblPos val="nextTo"/>
        <c:crossAx val="147650816"/>
        <c:crosses val="max"/>
        <c:crossBetween val="between"/>
        <c:majorUnit val="15"/>
      </c:valAx>
      <c:catAx>
        <c:axId val="147650816"/>
        <c:scaling>
          <c:orientation val="minMax"/>
        </c:scaling>
        <c:delete val="1"/>
        <c:axPos val="b"/>
        <c:numFmt formatCode="General" sourceLinked="1"/>
        <c:majorTickMark val="out"/>
        <c:minorTickMark val="none"/>
        <c:tickLblPos val="none"/>
        <c:crossAx val="147649280"/>
        <c:crosses val="autoZero"/>
        <c:auto val="0"/>
        <c:lblAlgn val="ctr"/>
        <c:lblOffset val="100"/>
        <c:noMultiLvlLbl val="0"/>
      </c:catAx>
      <c:spPr>
        <a:solidFill>
          <a:srgbClr val="FFFFFF"/>
        </a:solidFill>
        <a:ln w="9525">
          <a:solidFill>
            <a:schemeClr val="tx1"/>
          </a:solidFill>
        </a:ln>
      </c:spPr>
    </c:plotArea>
    <c:legend>
      <c:legendPos val="b"/>
      <c:layout>
        <c:manualLayout>
          <c:xMode val="edge"/>
          <c:yMode val="edge"/>
          <c:x val="5.4370629189153278E-3"/>
          <c:y val="0.85298415743641243"/>
          <c:w val="0.98929036556296612"/>
          <c:h val="0.14367606044639572"/>
        </c:manualLayout>
      </c:layout>
      <c:overlay val="0"/>
      <c:spPr>
        <a:noFill/>
        <a:ln w="6350">
          <a:solidFill>
            <a:schemeClr val="tx1"/>
          </a:solidFill>
        </a:ln>
      </c:spPr>
      <c:txPr>
        <a:bodyPr/>
        <a:lstStyle/>
        <a:p>
          <a:pPr>
            <a:defRPr sz="750"/>
          </a:pPr>
          <a:endParaRPr lang="cs-CZ"/>
        </a:p>
      </c:tx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892892035383794E-2"/>
          <c:y val="1.5803328678987455E-2"/>
          <c:w val="0.85870205045677883"/>
          <c:h val="0.69754168907720737"/>
        </c:manualLayout>
      </c:layout>
      <c:barChart>
        <c:barDir val="col"/>
        <c:grouping val="stacked"/>
        <c:varyColors val="0"/>
        <c:ser>
          <c:idx val="0"/>
          <c:order val="1"/>
          <c:tx>
            <c:strRef>
              <c:f>'Služby-příspěvkyk růstu'!$D$25</c:f>
              <c:strCache>
                <c:ptCount val="1"/>
                <c:pt idx="0">
                  <c:v>Transporting and storage</c:v>
                </c:pt>
              </c:strCache>
            </c:strRef>
          </c:tx>
          <c:spPr>
            <a:solidFill>
              <a:srgbClr val="92D050"/>
            </a:solidFill>
            <a:ln>
              <a:noFill/>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růstu'!$D$38:$D$62</c:f>
              <c:numCache>
                <c:formatCode>0.0</c:formatCode>
                <c:ptCount val="25"/>
                <c:pt idx="0">
                  <c:v>0.17784702542993272</c:v>
                </c:pt>
                <c:pt idx="1">
                  <c:v>-4.1153953747014721E-2</c:v>
                </c:pt>
                <c:pt idx="2">
                  <c:v>0.1967550766692415</c:v>
                </c:pt>
                <c:pt idx="3">
                  <c:v>4.4524497072685416E-2</c:v>
                </c:pt>
                <c:pt idx="4">
                  <c:v>0.13946448474091597</c:v>
                </c:pt>
                <c:pt idx="5">
                  <c:v>0.20828573782199397</c:v>
                </c:pt>
                <c:pt idx="6">
                  <c:v>0.13789199804325733</c:v>
                </c:pt>
                <c:pt idx="7">
                  <c:v>0.86068515065368634</c:v>
                </c:pt>
                <c:pt idx="8">
                  <c:v>1.7974934694994784</c:v>
                </c:pt>
                <c:pt idx="9">
                  <c:v>1.0846625367336171</c:v>
                </c:pt>
                <c:pt idx="10">
                  <c:v>1.1351852460965488</c:v>
                </c:pt>
                <c:pt idx="11">
                  <c:v>0.60468209395083738</c:v>
                </c:pt>
                <c:pt idx="12">
                  <c:v>1.7465012842772922</c:v>
                </c:pt>
                <c:pt idx="13">
                  <c:v>1.9213841074038147</c:v>
                </c:pt>
                <c:pt idx="14">
                  <c:v>1.4689302857885012</c:v>
                </c:pt>
                <c:pt idx="15">
                  <c:v>0.50117729901127261</c:v>
                </c:pt>
                <c:pt idx="16">
                  <c:v>0.75263240481802895</c:v>
                </c:pt>
                <c:pt idx="17">
                  <c:v>-8.1211369973804459E-2</c:v>
                </c:pt>
                <c:pt idx="18">
                  <c:v>-0.66994925852896292</c:v>
                </c:pt>
                <c:pt idx="19">
                  <c:v>-0.54145747843689973</c:v>
                </c:pt>
                <c:pt idx="20">
                  <c:v>-1.8981031905810553</c:v>
                </c:pt>
                <c:pt idx="21">
                  <c:v>-6.879134227851365</c:v>
                </c:pt>
                <c:pt idx="22">
                  <c:v>-4.2174759998821578</c:v>
                </c:pt>
                <c:pt idx="23">
                  <c:v>-1.7598038755132173</c:v>
                </c:pt>
              </c:numCache>
            </c:numRef>
          </c:val>
          <c:extLst>
            <c:ext xmlns:c16="http://schemas.microsoft.com/office/drawing/2014/chart" uri="{C3380CC4-5D6E-409C-BE32-E72D297353CC}">
              <c16:uniqueId val="{00000000-6E07-486F-AA2D-FFC282D71760}"/>
            </c:ext>
          </c:extLst>
        </c:ser>
        <c:ser>
          <c:idx val="1"/>
          <c:order val="2"/>
          <c:tx>
            <c:strRef>
              <c:f>'Služby-příspěvkyk růstu'!$E$25</c:f>
              <c:strCache>
                <c:ptCount val="1"/>
                <c:pt idx="0">
                  <c:v>Accommodation, food service activities</c:v>
                </c:pt>
              </c:strCache>
            </c:strRef>
          </c:tx>
          <c:spPr>
            <a:solidFill>
              <a:srgbClr val="00B0F0"/>
            </a:solidFill>
            <a:ln>
              <a:noFill/>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růstu'!$E$38:$E$62</c:f>
              <c:numCache>
                <c:formatCode>0.0</c:formatCode>
                <c:ptCount val="25"/>
                <c:pt idx="0">
                  <c:v>0.23068727887100596</c:v>
                </c:pt>
                <c:pt idx="1">
                  <c:v>0.65500430571454682</c:v>
                </c:pt>
                <c:pt idx="2">
                  <c:v>0.65445127331779929</c:v>
                </c:pt>
                <c:pt idx="3">
                  <c:v>0.40295088991967137</c:v>
                </c:pt>
                <c:pt idx="4">
                  <c:v>0.46667218537685373</c:v>
                </c:pt>
                <c:pt idx="5">
                  <c:v>0.1710444437848046</c:v>
                </c:pt>
                <c:pt idx="6">
                  <c:v>0.56704693433553988</c:v>
                </c:pt>
                <c:pt idx="7">
                  <c:v>0.60083208250080533</c:v>
                </c:pt>
                <c:pt idx="8">
                  <c:v>0.91455838503774378</c:v>
                </c:pt>
                <c:pt idx="9">
                  <c:v>1.2316072542389023</c:v>
                </c:pt>
                <c:pt idx="10">
                  <c:v>0.55345109158871542</c:v>
                </c:pt>
                <c:pt idx="11">
                  <c:v>0.45394811365368137</c:v>
                </c:pt>
                <c:pt idx="12">
                  <c:v>0.20369258797505621</c:v>
                </c:pt>
                <c:pt idx="13">
                  <c:v>4.7235696662607296E-2</c:v>
                </c:pt>
                <c:pt idx="14">
                  <c:v>5.8750890432180687E-2</c:v>
                </c:pt>
                <c:pt idx="15">
                  <c:v>-3.836634960552178E-2</c:v>
                </c:pt>
                <c:pt idx="16">
                  <c:v>0.19921780943455034</c:v>
                </c:pt>
                <c:pt idx="17">
                  <c:v>0.19028430973131449</c:v>
                </c:pt>
                <c:pt idx="18">
                  <c:v>-1.9166901240237025E-2</c:v>
                </c:pt>
                <c:pt idx="19">
                  <c:v>-1.9723740013199119E-2</c:v>
                </c:pt>
                <c:pt idx="20">
                  <c:v>-1.1617708262346884</c:v>
                </c:pt>
                <c:pt idx="21">
                  <c:v>-4.9674745183469904</c:v>
                </c:pt>
                <c:pt idx="22">
                  <c:v>-1.9525847727872179</c:v>
                </c:pt>
                <c:pt idx="23">
                  <c:v>-4.5015896466310741</c:v>
                </c:pt>
              </c:numCache>
            </c:numRef>
          </c:val>
          <c:extLst>
            <c:ext xmlns:c16="http://schemas.microsoft.com/office/drawing/2014/chart" uri="{C3380CC4-5D6E-409C-BE32-E72D297353CC}">
              <c16:uniqueId val="{00000001-6E07-486F-AA2D-FFC282D71760}"/>
            </c:ext>
          </c:extLst>
        </c:ser>
        <c:ser>
          <c:idx val="2"/>
          <c:order val="3"/>
          <c:tx>
            <c:strRef>
              <c:f>'Služby-příspěvkyk růstu'!$F$25</c:f>
              <c:strCache>
                <c:ptCount val="1"/>
                <c:pt idx="0">
                  <c:v>Information and communication</c:v>
                </c:pt>
              </c:strCache>
            </c:strRef>
          </c:tx>
          <c:spPr>
            <a:solidFill>
              <a:srgbClr val="E6E100"/>
            </a:solidFill>
            <a:ln>
              <a:noFill/>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růstu'!$F$38:$F$62</c:f>
              <c:numCache>
                <c:formatCode>0.0</c:formatCode>
                <c:ptCount val="25"/>
                <c:pt idx="0">
                  <c:v>1.407889808621178</c:v>
                </c:pt>
                <c:pt idx="1">
                  <c:v>0.82525906253417192</c:v>
                </c:pt>
                <c:pt idx="2">
                  <c:v>0.80495762866674458</c:v>
                </c:pt>
                <c:pt idx="3">
                  <c:v>1.3162338144239947</c:v>
                </c:pt>
                <c:pt idx="4">
                  <c:v>0.36033487592174906</c:v>
                </c:pt>
                <c:pt idx="5">
                  <c:v>0.15638027594739867</c:v>
                </c:pt>
                <c:pt idx="6">
                  <c:v>0.32610885545485901</c:v>
                </c:pt>
                <c:pt idx="7">
                  <c:v>0.17762627918062024</c:v>
                </c:pt>
                <c:pt idx="8">
                  <c:v>0.76282426049190521</c:v>
                </c:pt>
                <c:pt idx="9">
                  <c:v>0.9830688573717753</c:v>
                </c:pt>
                <c:pt idx="10">
                  <c:v>0.77131825130347442</c:v>
                </c:pt>
                <c:pt idx="11">
                  <c:v>0.5843204333200237</c:v>
                </c:pt>
                <c:pt idx="12">
                  <c:v>1.4410506369436735</c:v>
                </c:pt>
                <c:pt idx="13">
                  <c:v>0.76544503754725868</c:v>
                </c:pt>
                <c:pt idx="14">
                  <c:v>1.4164775777579539</c:v>
                </c:pt>
                <c:pt idx="15">
                  <c:v>0.98719747202455899</c:v>
                </c:pt>
                <c:pt idx="16">
                  <c:v>1.2347847875298792</c:v>
                </c:pt>
                <c:pt idx="17">
                  <c:v>1.1610055812776692</c:v>
                </c:pt>
                <c:pt idx="18">
                  <c:v>0.91432301571880847</c:v>
                </c:pt>
                <c:pt idx="19">
                  <c:v>1.1617923843637676</c:v>
                </c:pt>
                <c:pt idx="20">
                  <c:v>0.81875762052345991</c:v>
                </c:pt>
                <c:pt idx="21">
                  <c:v>1.2709144306749125E-2</c:v>
                </c:pt>
                <c:pt idx="22">
                  <c:v>-0.20800867793652372</c:v>
                </c:pt>
                <c:pt idx="23">
                  <c:v>-0.54275021624738551</c:v>
                </c:pt>
              </c:numCache>
            </c:numRef>
          </c:val>
          <c:extLst>
            <c:ext xmlns:c16="http://schemas.microsoft.com/office/drawing/2014/chart" uri="{C3380CC4-5D6E-409C-BE32-E72D297353CC}">
              <c16:uniqueId val="{00000002-6E07-486F-AA2D-FFC282D71760}"/>
            </c:ext>
          </c:extLst>
        </c:ser>
        <c:ser>
          <c:idx val="4"/>
          <c:order val="4"/>
          <c:tx>
            <c:strRef>
              <c:f>'Služby-příspěvkyk růstu'!$G$25</c:f>
              <c:strCache>
                <c:ptCount val="1"/>
                <c:pt idx="0">
                  <c:v>Real estate activities</c:v>
                </c:pt>
              </c:strCache>
            </c:strRef>
          </c:tx>
          <c:spPr>
            <a:solidFill>
              <a:schemeClr val="accent5">
                <a:lumMod val="60000"/>
                <a:lumOff val="40000"/>
              </a:schemeClr>
            </a:solidFill>
            <a:ln>
              <a:noFill/>
              <a:prstDash val="sysDash"/>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růstu'!$G$38:$G$62</c:f>
              <c:numCache>
                <c:formatCode>0.0</c:formatCode>
                <c:ptCount val="25"/>
                <c:pt idx="0">
                  <c:v>4.5114687433560306E-2</c:v>
                </c:pt>
                <c:pt idx="1">
                  <c:v>-4.6332035268016221E-3</c:v>
                </c:pt>
                <c:pt idx="2">
                  <c:v>8.5015739391012091E-2</c:v>
                </c:pt>
                <c:pt idx="3">
                  <c:v>4.2208307641240138E-2</c:v>
                </c:pt>
                <c:pt idx="4">
                  <c:v>0.22367935721226123</c:v>
                </c:pt>
                <c:pt idx="5">
                  <c:v>6.8179121742595258E-2</c:v>
                </c:pt>
                <c:pt idx="6">
                  <c:v>0.11569139985311286</c:v>
                </c:pt>
                <c:pt idx="7">
                  <c:v>-7.0466111576954538E-2</c:v>
                </c:pt>
                <c:pt idx="8">
                  <c:v>0.2817034743166883</c:v>
                </c:pt>
                <c:pt idx="9">
                  <c:v>0.36183937473684985</c:v>
                </c:pt>
                <c:pt idx="10">
                  <c:v>-3.8722622280749804E-2</c:v>
                </c:pt>
                <c:pt idx="11">
                  <c:v>0.1375178635065378</c:v>
                </c:pt>
                <c:pt idx="12">
                  <c:v>-1.6524920487738199E-2</c:v>
                </c:pt>
                <c:pt idx="13">
                  <c:v>-0.22648211116742281</c:v>
                </c:pt>
                <c:pt idx="14">
                  <c:v>-0.12424593654845113</c:v>
                </c:pt>
                <c:pt idx="15">
                  <c:v>-0.20693626252291025</c:v>
                </c:pt>
                <c:pt idx="16">
                  <c:v>0.14696794955742462</c:v>
                </c:pt>
                <c:pt idx="17">
                  <c:v>-2.7570979439452199E-2</c:v>
                </c:pt>
                <c:pt idx="18">
                  <c:v>-0.16565733752607226</c:v>
                </c:pt>
                <c:pt idx="19">
                  <c:v>-0.11837811882672172</c:v>
                </c:pt>
                <c:pt idx="20">
                  <c:v>0.4333949544812507</c:v>
                </c:pt>
                <c:pt idx="21">
                  <c:v>-0.29664667827714641</c:v>
                </c:pt>
                <c:pt idx="22">
                  <c:v>-0.27589755106802255</c:v>
                </c:pt>
                <c:pt idx="23">
                  <c:v>-0.22603611624101408</c:v>
                </c:pt>
              </c:numCache>
            </c:numRef>
          </c:val>
          <c:extLst>
            <c:ext xmlns:c16="http://schemas.microsoft.com/office/drawing/2014/chart" uri="{C3380CC4-5D6E-409C-BE32-E72D297353CC}">
              <c16:uniqueId val="{00000003-6E07-486F-AA2D-FFC282D71760}"/>
            </c:ext>
          </c:extLst>
        </c:ser>
        <c:ser>
          <c:idx val="5"/>
          <c:order val="5"/>
          <c:tx>
            <c:strRef>
              <c:f>'Služby-příspěvkyk růstu'!$H$25</c:f>
              <c:strCache>
                <c:ptCount val="1"/>
                <c:pt idx="0">
                  <c:v>Professional, scientific, technical act.</c:v>
                </c:pt>
              </c:strCache>
            </c:strRef>
          </c:tx>
          <c:spPr>
            <a:solidFill>
              <a:schemeClr val="accent6">
                <a:lumMod val="60000"/>
                <a:lumOff val="40000"/>
              </a:schemeClr>
            </a:solidFill>
            <a:ln>
              <a:noFill/>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růstu'!$H$38:$H$62</c:f>
              <c:numCache>
                <c:formatCode>0.0</c:formatCode>
                <c:ptCount val="25"/>
                <c:pt idx="0">
                  <c:v>1.0484383487899711</c:v>
                </c:pt>
                <c:pt idx="1">
                  <c:v>0.72052999545577168</c:v>
                </c:pt>
                <c:pt idx="2">
                  <c:v>1.0868604151162005</c:v>
                </c:pt>
                <c:pt idx="3">
                  <c:v>-4.0322082415785492E-2</c:v>
                </c:pt>
                <c:pt idx="4">
                  <c:v>-0.43449187968361835</c:v>
                </c:pt>
                <c:pt idx="5">
                  <c:v>-1.3323038963027927</c:v>
                </c:pt>
                <c:pt idx="6">
                  <c:v>-3.9552148164600709E-3</c:v>
                </c:pt>
                <c:pt idx="7">
                  <c:v>-0.31462694060722485</c:v>
                </c:pt>
                <c:pt idx="8">
                  <c:v>0.96902063867400445</c:v>
                </c:pt>
                <c:pt idx="9">
                  <c:v>0.58685346999817534</c:v>
                </c:pt>
                <c:pt idx="10">
                  <c:v>0.30367671908798494</c:v>
                </c:pt>
                <c:pt idx="11">
                  <c:v>0.4272378328972698</c:v>
                </c:pt>
                <c:pt idx="12">
                  <c:v>1.046516660206382</c:v>
                </c:pt>
                <c:pt idx="13">
                  <c:v>0.55031892838577978</c:v>
                </c:pt>
                <c:pt idx="14">
                  <c:v>0.3606269063463074</c:v>
                </c:pt>
                <c:pt idx="15">
                  <c:v>-0.26282042656827093</c:v>
                </c:pt>
                <c:pt idx="16">
                  <c:v>0.70683419450667839</c:v>
                </c:pt>
                <c:pt idx="17">
                  <c:v>0.58909336817613034</c:v>
                </c:pt>
                <c:pt idx="18">
                  <c:v>-0.76655146650449768</c:v>
                </c:pt>
                <c:pt idx="19">
                  <c:v>-0.57034880427530998</c:v>
                </c:pt>
                <c:pt idx="20">
                  <c:v>-0.862671202284087</c:v>
                </c:pt>
                <c:pt idx="21">
                  <c:v>-3.1824030086585093</c:v>
                </c:pt>
                <c:pt idx="22">
                  <c:v>-1.4967172567562528</c:v>
                </c:pt>
                <c:pt idx="23">
                  <c:v>-1.5494143142687984</c:v>
                </c:pt>
              </c:numCache>
            </c:numRef>
          </c:val>
          <c:extLst>
            <c:ext xmlns:c16="http://schemas.microsoft.com/office/drawing/2014/chart" uri="{C3380CC4-5D6E-409C-BE32-E72D297353CC}">
              <c16:uniqueId val="{00000004-6E07-486F-AA2D-FFC282D71760}"/>
            </c:ext>
          </c:extLst>
        </c:ser>
        <c:ser>
          <c:idx val="6"/>
          <c:order val="6"/>
          <c:tx>
            <c:strRef>
              <c:f>'Služby-příspěvkyk růstu'!$I$25</c:f>
              <c:strCache>
                <c:ptCount val="1"/>
                <c:pt idx="0">
                  <c:v>Administrative and support service act.</c:v>
                </c:pt>
              </c:strCache>
            </c:strRef>
          </c:tx>
          <c:spPr>
            <a:solidFill>
              <a:schemeClr val="accent1">
                <a:lumMod val="20000"/>
                <a:lumOff val="80000"/>
              </a:schemeClr>
            </a:solidFill>
            <a:ln>
              <a:noFill/>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růstu'!$I$38:$I$62</c:f>
              <c:numCache>
                <c:formatCode>0.0</c:formatCode>
                <c:ptCount val="25"/>
                <c:pt idx="0">
                  <c:v>0.51529021782059092</c:v>
                </c:pt>
                <c:pt idx="1">
                  <c:v>0.62103855114509265</c:v>
                </c:pt>
                <c:pt idx="2">
                  <c:v>0.43595933844001955</c:v>
                </c:pt>
                <c:pt idx="3">
                  <c:v>0.50146244094602455</c:v>
                </c:pt>
                <c:pt idx="4">
                  <c:v>0.46409597349779164</c:v>
                </c:pt>
                <c:pt idx="5">
                  <c:v>0.16302808064014088</c:v>
                </c:pt>
                <c:pt idx="6">
                  <c:v>0.26998446358589956</c:v>
                </c:pt>
                <c:pt idx="7">
                  <c:v>0.51404132409576386</c:v>
                </c:pt>
                <c:pt idx="8">
                  <c:v>1.3081284681462071</c:v>
                </c:pt>
                <c:pt idx="9">
                  <c:v>1.0890272614101544</c:v>
                </c:pt>
                <c:pt idx="10">
                  <c:v>0.64167805580696791</c:v>
                </c:pt>
                <c:pt idx="11">
                  <c:v>0.30494507513789598</c:v>
                </c:pt>
                <c:pt idx="12">
                  <c:v>0.53369642451270716</c:v>
                </c:pt>
                <c:pt idx="13">
                  <c:v>0.37812124449670165</c:v>
                </c:pt>
                <c:pt idx="14">
                  <c:v>0.43585539244585964</c:v>
                </c:pt>
                <c:pt idx="15">
                  <c:v>-1.3565740352544766E-2</c:v>
                </c:pt>
                <c:pt idx="16">
                  <c:v>0.47293200739556923</c:v>
                </c:pt>
                <c:pt idx="17">
                  <c:v>0.12985986482803277</c:v>
                </c:pt>
                <c:pt idx="18">
                  <c:v>-0.12378098729050785</c:v>
                </c:pt>
                <c:pt idx="19">
                  <c:v>-0.21478965355329299</c:v>
                </c:pt>
                <c:pt idx="20">
                  <c:v>-1.095647450588088</c:v>
                </c:pt>
                <c:pt idx="21">
                  <c:v>-4.3129378306473711</c:v>
                </c:pt>
                <c:pt idx="22">
                  <c:v>-4.4460381962393489</c:v>
                </c:pt>
                <c:pt idx="23">
                  <c:v>-2.3718014371067651</c:v>
                </c:pt>
              </c:numCache>
            </c:numRef>
          </c:val>
          <c:extLst>
            <c:ext xmlns:c16="http://schemas.microsoft.com/office/drawing/2014/chart" uri="{C3380CC4-5D6E-409C-BE32-E72D297353CC}">
              <c16:uniqueId val="{00000005-6E07-486F-AA2D-FFC282D71760}"/>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růstu'!$C$25</c:f>
              <c:strCache>
                <c:ptCount val="1"/>
                <c:pt idx="0">
                  <c:v>Total services</c:v>
                </c:pt>
              </c:strCache>
            </c:strRef>
          </c:tx>
          <c:spPr>
            <a:ln>
              <a:noFill/>
            </a:ln>
          </c:spPr>
          <c:marker>
            <c:symbol val="dash"/>
            <c:size val="9"/>
            <c:spPr>
              <a:solidFill>
                <a:schemeClr val="tx1">
                  <a:lumMod val="95000"/>
                  <a:lumOff val="5000"/>
                </a:schemeClr>
              </a:solidFill>
              <a:ln>
                <a:noFill/>
              </a:ln>
            </c:spPr>
          </c:marker>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růstu'!$C$38:$C$62</c:f>
              <c:numCache>
                <c:formatCode>0.0</c:formatCode>
                <c:ptCount val="25"/>
                <c:pt idx="0">
                  <c:v>3.3382433958668543</c:v>
                </c:pt>
                <c:pt idx="1">
                  <c:v>2.7103361232655629</c:v>
                </c:pt>
                <c:pt idx="2">
                  <c:v>3.2239950369824015</c:v>
                </c:pt>
                <c:pt idx="3">
                  <c:v>2.2290744901698503</c:v>
                </c:pt>
                <c:pt idx="4">
                  <c:v>1.1705942890214658</c:v>
                </c:pt>
                <c:pt idx="5">
                  <c:v>-0.79617382977255602</c:v>
                </c:pt>
                <c:pt idx="6">
                  <c:v>1.3957902293238789</c:v>
                </c:pt>
                <c:pt idx="7">
                  <c:v>1.6187710130799218</c:v>
                </c:pt>
                <c:pt idx="8">
                  <c:v>5.8784103471439551</c:v>
                </c:pt>
                <c:pt idx="9">
                  <c:v>5.3482581398495768</c:v>
                </c:pt>
                <c:pt idx="10">
                  <c:v>3.3779943282277998</c:v>
                </c:pt>
                <c:pt idx="11">
                  <c:v>2.5043716791567761</c:v>
                </c:pt>
                <c:pt idx="12">
                  <c:v>5.0156711008346235</c:v>
                </c:pt>
                <c:pt idx="13">
                  <c:v>3.5070069269133626</c:v>
                </c:pt>
                <c:pt idx="14">
                  <c:v>3.6980923847765013</c:v>
                </c:pt>
                <c:pt idx="15">
                  <c:v>1.088994618978063</c:v>
                </c:pt>
                <c:pt idx="16">
                  <c:v>3.5749845208334534</c:v>
                </c:pt>
                <c:pt idx="17">
                  <c:v>1.954576538323721</c:v>
                </c:pt>
                <c:pt idx="18">
                  <c:v>-0.74453870345746509</c:v>
                </c:pt>
                <c:pt idx="19">
                  <c:v>-0.17451544055846568</c:v>
                </c:pt>
                <c:pt idx="20">
                  <c:v>-3.8008841756984992</c:v>
                </c:pt>
                <c:pt idx="21">
                  <c:v>-19.645885010863395</c:v>
                </c:pt>
                <c:pt idx="22">
                  <c:v>-12.616731539536957</c:v>
                </c:pt>
                <c:pt idx="23">
                  <c:v>-10.908003215270696</c:v>
                </c:pt>
              </c:numCache>
            </c:numRef>
          </c:val>
          <c:smooth val="0"/>
          <c:extLst>
            <c:ext xmlns:c16="http://schemas.microsoft.com/office/drawing/2014/chart" uri="{C3380CC4-5D6E-409C-BE32-E72D297353CC}">
              <c16:uniqueId val="{00000006-6E07-486F-AA2D-FFC282D71760}"/>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růstu'!$J$25</c:f>
              <c:strCache>
                <c:ptCount val="1"/>
                <c:pt idx="0">
                  <c:v>Balance of confidence in services</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růstu'!$J$38:$J$62</c:f>
              <c:numCache>
                <c:formatCode>0.0</c:formatCode>
                <c:ptCount val="25"/>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numCache>
            </c:numRef>
          </c:val>
          <c:smooth val="0"/>
          <c:extLst>
            <c:ext xmlns:c16="http://schemas.microsoft.com/office/drawing/2014/chart" uri="{C3380CC4-5D6E-409C-BE32-E72D297353CC}">
              <c16:uniqueId val="{00000007-6E07-486F-AA2D-FFC282D71760}"/>
            </c:ext>
          </c:extLst>
        </c:ser>
        <c:ser>
          <c:idx val="8"/>
          <c:order val="8"/>
          <c:tx>
            <c:strRef>
              <c:f>'Služby-příspěvkyk růstu'!$K$25</c:f>
              <c:strCache>
                <c:ptCount val="1"/>
                <c:pt idx="0">
                  <c:v>Growth barrier: insufficient demand</c:v>
                </c:pt>
              </c:strCache>
            </c:strRef>
          </c:tx>
          <c:spPr>
            <a:ln w="19050">
              <a:solidFill>
                <a:srgbClr val="00B050"/>
              </a:solidFill>
            </a:ln>
          </c:spPr>
          <c:marker>
            <c:symbol val="none"/>
          </c:marker>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růstu'!$K$38:$K$62</c:f>
              <c:numCache>
                <c:formatCode>#,##0.0</c:formatCode>
                <c:ptCount val="25"/>
                <c:pt idx="0">
                  <c:v>26.2</c:v>
                </c:pt>
                <c:pt idx="1">
                  <c:v>29</c:v>
                </c:pt>
                <c:pt idx="2">
                  <c:v>26.9</c:v>
                </c:pt>
                <c:pt idx="3">
                  <c:v>23.3</c:v>
                </c:pt>
                <c:pt idx="4">
                  <c:v>24</c:v>
                </c:pt>
                <c:pt idx="5">
                  <c:v>24.5</c:v>
                </c:pt>
                <c:pt idx="6">
                  <c:v>21</c:v>
                </c:pt>
                <c:pt idx="7">
                  <c:v>23.3</c:v>
                </c:pt>
                <c:pt idx="8">
                  <c:v>26.2</c:v>
                </c:pt>
                <c:pt idx="9">
                  <c:v>20.5</c:v>
                </c:pt>
                <c:pt idx="10">
                  <c:v>19.899999999999999</c:v>
                </c:pt>
                <c:pt idx="11">
                  <c:v>20.9</c:v>
                </c:pt>
                <c:pt idx="12">
                  <c:v>17.3</c:v>
                </c:pt>
                <c:pt idx="13">
                  <c:v>18.600000000000001</c:v>
                </c:pt>
                <c:pt idx="14">
                  <c:v>18.899999999999999</c:v>
                </c:pt>
                <c:pt idx="15">
                  <c:v>19.8</c:v>
                </c:pt>
                <c:pt idx="16">
                  <c:v>20.7</c:v>
                </c:pt>
                <c:pt idx="17">
                  <c:v>17.100000000000001</c:v>
                </c:pt>
                <c:pt idx="18">
                  <c:v>21.7</c:v>
                </c:pt>
                <c:pt idx="19">
                  <c:v>14.1</c:v>
                </c:pt>
                <c:pt idx="20">
                  <c:v>20.399999999999999</c:v>
                </c:pt>
                <c:pt idx="21">
                  <c:v>29.1</c:v>
                </c:pt>
                <c:pt idx="22">
                  <c:v>30.9</c:v>
                </c:pt>
                <c:pt idx="23">
                  <c:v>39</c:v>
                </c:pt>
                <c:pt idx="24">
                  <c:v>35.799999999999997</c:v>
                </c:pt>
              </c:numCache>
            </c:numRef>
          </c:val>
          <c:smooth val="0"/>
          <c:extLst>
            <c:ext xmlns:c16="http://schemas.microsoft.com/office/drawing/2014/chart" uri="{C3380CC4-5D6E-409C-BE32-E72D297353CC}">
              <c16:uniqueId val="{00000008-6E07-486F-AA2D-FFC282D71760}"/>
            </c:ext>
          </c:extLst>
        </c:ser>
        <c:ser>
          <c:idx val="9"/>
          <c:order val="9"/>
          <c:tx>
            <c:strRef>
              <c:f>'Služby-příspěvkyk růstu'!$L$25</c:f>
              <c:strCache>
                <c:ptCount val="1"/>
                <c:pt idx="0">
                  <c:v>Growth barrier: shortage of labour</c:v>
                </c:pt>
              </c:strCache>
            </c:strRef>
          </c:tx>
          <c:spPr>
            <a:ln w="19050">
              <a:solidFill>
                <a:srgbClr val="00B050"/>
              </a:solidFill>
              <a:prstDash val="sysDash"/>
            </a:ln>
          </c:spPr>
          <c:marker>
            <c:symbol val="none"/>
          </c:marker>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růstu'!$L$38:$L$62</c:f>
              <c:numCache>
                <c:formatCode>#,##0.0</c:formatCode>
                <c:ptCount val="25"/>
                <c:pt idx="0">
                  <c:v>2.8</c:v>
                </c:pt>
                <c:pt idx="1">
                  <c:v>5.7</c:v>
                </c:pt>
                <c:pt idx="2">
                  <c:v>5.9</c:v>
                </c:pt>
                <c:pt idx="3">
                  <c:v>5.8</c:v>
                </c:pt>
                <c:pt idx="4">
                  <c:v>8.6999999999999993</c:v>
                </c:pt>
                <c:pt idx="5">
                  <c:v>4.5999999999999996</c:v>
                </c:pt>
                <c:pt idx="6">
                  <c:v>7.1</c:v>
                </c:pt>
                <c:pt idx="7">
                  <c:v>9.1</c:v>
                </c:pt>
                <c:pt idx="8">
                  <c:v>10.1</c:v>
                </c:pt>
                <c:pt idx="9">
                  <c:v>10</c:v>
                </c:pt>
                <c:pt idx="10">
                  <c:v>9.3000000000000007</c:v>
                </c:pt>
                <c:pt idx="11">
                  <c:v>12.2</c:v>
                </c:pt>
                <c:pt idx="12">
                  <c:v>14.2</c:v>
                </c:pt>
                <c:pt idx="13">
                  <c:v>16.600000000000001</c:v>
                </c:pt>
                <c:pt idx="14">
                  <c:v>17.3</c:v>
                </c:pt>
                <c:pt idx="15">
                  <c:v>18.600000000000001</c:v>
                </c:pt>
                <c:pt idx="16">
                  <c:v>19.600000000000001</c:v>
                </c:pt>
                <c:pt idx="17">
                  <c:v>16.600000000000001</c:v>
                </c:pt>
                <c:pt idx="18">
                  <c:v>21.2</c:v>
                </c:pt>
                <c:pt idx="19">
                  <c:v>19.100000000000001</c:v>
                </c:pt>
                <c:pt idx="20">
                  <c:v>19.7</c:v>
                </c:pt>
                <c:pt idx="21">
                  <c:v>12.1</c:v>
                </c:pt>
                <c:pt idx="22">
                  <c:v>9.8000000000000007</c:v>
                </c:pt>
                <c:pt idx="23">
                  <c:v>11.1</c:v>
                </c:pt>
                <c:pt idx="24">
                  <c:v>11.2</c:v>
                </c:pt>
              </c:numCache>
            </c:numRef>
          </c:val>
          <c:smooth val="0"/>
          <c:extLst>
            <c:ext xmlns:c16="http://schemas.microsoft.com/office/drawing/2014/chart" uri="{C3380CC4-5D6E-409C-BE32-E72D297353CC}">
              <c16:uniqueId val="{00000009-6E07-486F-AA2D-FFC282D71760}"/>
            </c:ext>
          </c:extLst>
        </c:ser>
        <c:ser>
          <c:idx val="10"/>
          <c:order val="10"/>
          <c:tx>
            <c:strRef>
              <c:f>'Služby-příspěvkyk růstu'!$M$25</c:f>
              <c:strCache>
                <c:ptCount val="1"/>
                <c:pt idx="0">
                  <c:v>Growth barrier: none</c:v>
                </c:pt>
              </c:strCache>
            </c:strRef>
          </c:tx>
          <c:spPr>
            <a:ln w="19050">
              <a:solidFill>
                <a:srgbClr val="00B050"/>
              </a:solidFill>
              <a:prstDash val="sysDot"/>
            </a:ln>
          </c:spPr>
          <c:marker>
            <c:symbol val="none"/>
          </c:marker>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růstu'!$M$38:$M$62</c:f>
              <c:numCache>
                <c:formatCode>#,##0.0</c:formatCode>
                <c:ptCount val="25"/>
                <c:pt idx="0">
                  <c:v>43.8</c:v>
                </c:pt>
                <c:pt idx="1">
                  <c:v>42.8</c:v>
                </c:pt>
                <c:pt idx="2">
                  <c:v>46.2</c:v>
                </c:pt>
                <c:pt idx="3">
                  <c:v>50.3</c:v>
                </c:pt>
                <c:pt idx="4">
                  <c:v>47</c:v>
                </c:pt>
                <c:pt idx="5">
                  <c:v>46.5</c:v>
                </c:pt>
                <c:pt idx="6">
                  <c:v>51.8</c:v>
                </c:pt>
                <c:pt idx="7">
                  <c:v>48.6</c:v>
                </c:pt>
                <c:pt idx="8">
                  <c:v>45.5</c:v>
                </c:pt>
                <c:pt idx="9">
                  <c:v>47.7</c:v>
                </c:pt>
                <c:pt idx="10">
                  <c:v>48.2</c:v>
                </c:pt>
                <c:pt idx="11">
                  <c:v>46.6</c:v>
                </c:pt>
                <c:pt idx="12">
                  <c:v>49.6</c:v>
                </c:pt>
                <c:pt idx="13">
                  <c:v>45.4</c:v>
                </c:pt>
                <c:pt idx="14">
                  <c:v>43.4</c:v>
                </c:pt>
                <c:pt idx="15">
                  <c:v>46.4</c:v>
                </c:pt>
                <c:pt idx="16">
                  <c:v>45</c:v>
                </c:pt>
                <c:pt idx="17">
                  <c:v>46.4</c:v>
                </c:pt>
                <c:pt idx="18">
                  <c:v>45.9</c:v>
                </c:pt>
                <c:pt idx="19">
                  <c:v>47.5</c:v>
                </c:pt>
                <c:pt idx="20">
                  <c:v>44.4</c:v>
                </c:pt>
                <c:pt idx="21">
                  <c:v>32.9</c:v>
                </c:pt>
                <c:pt idx="22">
                  <c:v>27.1</c:v>
                </c:pt>
                <c:pt idx="23">
                  <c:v>26.4</c:v>
                </c:pt>
                <c:pt idx="24">
                  <c:v>26.4</c:v>
                </c:pt>
              </c:numCache>
            </c:numRef>
          </c:val>
          <c:smooth val="0"/>
          <c:extLst>
            <c:ext xmlns:c16="http://schemas.microsoft.com/office/drawing/2014/chart" uri="{C3380CC4-5D6E-409C-BE32-E72D297353CC}">
              <c16:uniqueId val="{0000000A-6E07-486F-AA2D-FFC282D71760}"/>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6"/>
          <c:min val="-24"/>
        </c:scaling>
        <c:delete val="0"/>
        <c:axPos val="l"/>
        <c:majorGridlines>
          <c:spPr>
            <a:ln w="6350">
              <a:solidFill>
                <a:schemeClr val="bg1">
                  <a:lumMod val="75000"/>
                </a:schemeClr>
              </a:solidFill>
            </a:ln>
          </c:spPr>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en-GB" sz="700" b="0" i="1">
                    <a:effectLst/>
                  </a:rPr>
                  <a:t>Contribution to the growth of sales</a:t>
                </a:r>
                <a:endParaRPr lang="cs-CZ" sz="700" b="0">
                  <a:effectLst/>
                </a:endParaRPr>
              </a:p>
            </c:rich>
          </c:tx>
          <c:layout>
            <c:manualLayout>
              <c:xMode val="edge"/>
              <c:yMode val="edge"/>
              <c:x val="0"/>
              <c:y val="0.17330249928282673"/>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80"/>
          <c:min val="-15"/>
        </c:scaling>
        <c:delete val="0"/>
        <c:axPos val="r"/>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en-GB" sz="700" b="0" i="1">
                    <a:effectLst/>
                  </a:rPr>
                  <a:t>Balance of confidence indicator, Growth barriers</a:t>
                </a:r>
                <a:endParaRPr lang="cs-CZ" sz="700" b="0">
                  <a:effectLst/>
                </a:endParaRPr>
              </a:p>
            </c:rich>
          </c:tx>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3.3715938115495649E-2"/>
          <c:y val="0.79913960372263959"/>
          <c:w val="0.9237866194112766"/>
          <c:h val="0.19395839434148354"/>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3B90-7511-405B-9CF5-99B6A3157597}">
  <ds:schemaRefs>
    <ds:schemaRef ds:uri="http://schemas.openxmlformats.org/officeDocument/2006/bibliography"/>
  </ds:schemaRefs>
</ds:datastoreItem>
</file>

<file path=customXml/itemProps2.xml><?xml version="1.0" encoding="utf-8"?>
<ds:datastoreItem xmlns:ds="http://schemas.openxmlformats.org/officeDocument/2006/customXml" ds:itemID="{37655EE6-1EAC-40AC-BD81-F844B434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8</Pages>
  <Words>3777</Words>
  <Characters>22286</Characters>
  <Application>Microsoft Office Word</Application>
  <DocSecurity>0</DocSecurity>
  <Lines>185</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26011</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3</cp:revision>
  <cp:lastPrinted>2019-04-08T10:52:00Z</cp:lastPrinted>
  <dcterms:created xsi:type="dcterms:W3CDTF">2021-04-15T07:06:00Z</dcterms:created>
  <dcterms:modified xsi:type="dcterms:W3CDTF">2021-04-15T07:21:00Z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2021-03-22T11:53:56Z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1a9c6233-56e3-45a9-a4c7-406c80ed1e4a</vt:lpwstr>
  </property>
  <property fmtid="{D5CDD505-2E9C-101B-9397-08002B2CF9AE}" pid="8" name="MSIP_Label_29db9e61-aac5-4f6e-805d-ceb8cb9983a1_ContentBits">
    <vt:lpwstr>0</vt:lpwstr>
  </property>
</Properties>
</file>