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88C93" w14:textId="47A5D5F1" w:rsidR="00AB75C5" w:rsidRPr="00D970F7" w:rsidRDefault="00AB75C5" w:rsidP="00AB75C5">
      <w:pPr>
        <w:pStyle w:val="Nadpis11"/>
        <w:rPr>
          <w:lang w:val="en-GB"/>
        </w:rPr>
      </w:pPr>
      <w:bookmarkStart w:id="0" w:name="_Toc50712131"/>
      <w:r w:rsidRPr="00D970F7">
        <w:rPr>
          <w:lang w:val="en-GB"/>
        </w:rPr>
        <w:t>7. M</w:t>
      </w:r>
      <w:r w:rsidR="00A16CA8" w:rsidRPr="00D970F7">
        <w:rPr>
          <w:lang w:val="en-GB"/>
        </w:rPr>
        <w:t>onetary Conditions</w:t>
      </w:r>
      <w:bookmarkEnd w:id="0"/>
    </w:p>
    <w:tbl>
      <w:tblPr>
        <w:tblW w:w="9641" w:type="dxa"/>
        <w:tblInd w:w="-15" w:type="dxa"/>
        <w:tblCellMar>
          <w:left w:w="0" w:type="dxa"/>
          <w:right w:w="0" w:type="dxa"/>
        </w:tblCellMar>
        <w:tblLook w:val="00A0" w:firstRow="1" w:lastRow="0" w:firstColumn="1" w:lastColumn="0" w:noHBand="0" w:noVBand="0"/>
      </w:tblPr>
      <w:tblGrid>
        <w:gridCol w:w="1802"/>
        <w:gridCol w:w="229"/>
        <w:gridCol w:w="7610"/>
      </w:tblGrid>
      <w:tr w:rsidR="00AB75C5" w:rsidRPr="00D970F7" w14:paraId="1819077F" w14:textId="77777777" w:rsidTr="00AB75C5">
        <w:trPr>
          <w:trHeight w:val="145"/>
        </w:trPr>
        <w:tc>
          <w:tcPr>
            <w:tcW w:w="1802" w:type="dxa"/>
          </w:tcPr>
          <w:p w14:paraId="4D75A5DD" w14:textId="2B04B212" w:rsidR="00AB75C5" w:rsidRPr="00D970F7" w:rsidRDefault="007325BA">
            <w:pPr>
              <w:pStyle w:val="Marginlie"/>
              <w:rPr>
                <w:lang w:val="en-GB" w:eastAsia="en-US"/>
              </w:rPr>
            </w:pPr>
            <w:r>
              <w:rPr>
                <w:lang w:val="en-GB" w:eastAsia="en-US"/>
              </w:rPr>
              <w:t>Key</w:t>
            </w:r>
            <w:r w:rsidR="0007683E" w:rsidRPr="00D970F7">
              <w:rPr>
                <w:lang w:val="en-GB" w:eastAsia="en-US"/>
              </w:rPr>
              <w:t xml:space="preserve"> monetary policy-relevant interest rates were again decreased in Q</w:t>
            </w:r>
            <w:r w:rsidR="00AB75C5" w:rsidRPr="00D970F7">
              <w:rPr>
                <w:lang w:val="en-GB" w:eastAsia="en-US"/>
              </w:rPr>
              <w:t>2.</w:t>
            </w:r>
          </w:p>
          <w:p w14:paraId="3568ED8C" w14:textId="77777777" w:rsidR="00AB75C5" w:rsidRPr="00D970F7" w:rsidRDefault="00AB75C5">
            <w:pPr>
              <w:pStyle w:val="Marginlie"/>
              <w:rPr>
                <w:lang w:val="en-GB" w:eastAsia="en-US"/>
              </w:rPr>
            </w:pPr>
          </w:p>
          <w:p w14:paraId="156DDAAB" w14:textId="77777777" w:rsidR="00AB75C5" w:rsidRPr="00D970F7" w:rsidRDefault="00AB75C5">
            <w:pPr>
              <w:pStyle w:val="Marginlie"/>
              <w:rPr>
                <w:lang w:val="en-GB" w:eastAsia="en-US"/>
              </w:rPr>
            </w:pPr>
          </w:p>
          <w:p w14:paraId="326A9E8D" w14:textId="77777777" w:rsidR="00AB75C5" w:rsidRPr="00D970F7" w:rsidRDefault="00AB75C5">
            <w:pPr>
              <w:pStyle w:val="Marginlie"/>
              <w:rPr>
                <w:lang w:val="en-GB" w:eastAsia="en-US"/>
              </w:rPr>
            </w:pPr>
          </w:p>
          <w:p w14:paraId="3F514530" w14:textId="77777777" w:rsidR="00AB75C5" w:rsidRPr="00D970F7" w:rsidRDefault="00AB75C5">
            <w:pPr>
              <w:pStyle w:val="Marginlie"/>
              <w:rPr>
                <w:lang w:val="en-GB" w:eastAsia="en-US"/>
              </w:rPr>
            </w:pPr>
          </w:p>
          <w:p w14:paraId="2BD82498" w14:textId="56ED95EE" w:rsidR="00AB75C5" w:rsidRPr="00D970F7" w:rsidRDefault="00086C6F">
            <w:pPr>
              <w:pStyle w:val="Marginlie"/>
              <w:rPr>
                <w:lang w:val="en-GB" w:eastAsia="en-US"/>
              </w:rPr>
            </w:pPr>
            <w:r w:rsidRPr="00D970F7">
              <w:rPr>
                <w:lang w:val="en-GB" w:eastAsia="en-US"/>
              </w:rPr>
              <w:t xml:space="preserve">Koruna foreign exchange per both euro and dollar again appreciated after the March weakening. </w:t>
            </w:r>
          </w:p>
        </w:tc>
        <w:tc>
          <w:tcPr>
            <w:tcW w:w="229" w:type="dxa"/>
          </w:tcPr>
          <w:p w14:paraId="1E00B31D" w14:textId="77777777" w:rsidR="00AB75C5" w:rsidRPr="00D970F7" w:rsidRDefault="00AB75C5">
            <w:pPr>
              <w:pStyle w:val="Textpoznpodarou"/>
              <w:jc w:val="both"/>
              <w:rPr>
                <w:spacing w:val="-4"/>
                <w:lang w:val="en-GB" w:eastAsia="en-US"/>
              </w:rPr>
            </w:pPr>
          </w:p>
        </w:tc>
        <w:tc>
          <w:tcPr>
            <w:tcW w:w="7610" w:type="dxa"/>
            <w:hideMark/>
          </w:tcPr>
          <w:p w14:paraId="1BE4157C" w14:textId="34EB5F7B" w:rsidR="00AB75C5" w:rsidRPr="00D970F7" w:rsidRDefault="00E35576" w:rsidP="007325BA">
            <w:pPr>
              <w:rPr>
                <w:spacing w:val="-2"/>
                <w:lang w:val="en-GB" w:eastAsia="en-US"/>
              </w:rPr>
            </w:pPr>
            <w:r w:rsidRPr="00D970F7">
              <w:rPr>
                <w:spacing w:val="-2"/>
                <w:lang w:val="en-GB" w:eastAsia="en-US"/>
              </w:rPr>
              <w:t xml:space="preserve">Set up of </w:t>
            </w:r>
            <w:r w:rsidR="007325BA">
              <w:rPr>
                <w:spacing w:val="-2"/>
                <w:lang w:val="en-GB" w:eastAsia="en-US"/>
              </w:rPr>
              <w:t>key</w:t>
            </w:r>
            <w:r w:rsidRPr="00D970F7">
              <w:rPr>
                <w:spacing w:val="-2"/>
                <w:lang w:val="en-GB" w:eastAsia="en-US"/>
              </w:rPr>
              <w:t xml:space="preserve"> monetary policy-relevant rates </w:t>
            </w:r>
            <w:r w:rsidR="0007683E" w:rsidRPr="00D970F7">
              <w:rPr>
                <w:spacing w:val="-2"/>
                <w:lang w:val="en-GB" w:eastAsia="en-US"/>
              </w:rPr>
              <w:t>considerably changed together with the development of the economic situation during</w:t>
            </w:r>
            <w:r w:rsidRPr="00D970F7">
              <w:rPr>
                <w:spacing w:val="-2"/>
                <w:lang w:val="en-GB" w:eastAsia="en-US"/>
              </w:rPr>
              <w:t xml:space="preserve"> H1</w:t>
            </w:r>
            <w:r w:rsidR="00AB75C5" w:rsidRPr="00D970F7">
              <w:rPr>
                <w:spacing w:val="-2"/>
                <w:lang w:val="en-GB" w:eastAsia="en-US"/>
              </w:rPr>
              <w:t xml:space="preserve">. </w:t>
            </w:r>
            <w:r w:rsidR="0007683E" w:rsidRPr="00D970F7">
              <w:rPr>
                <w:spacing w:val="-2"/>
                <w:lang w:val="en-GB" w:eastAsia="en-US"/>
              </w:rPr>
              <w:t xml:space="preserve">Given the strengthening inflationary pressures, the repo rate was increased from </w:t>
            </w:r>
            <w:r w:rsidR="00AB75C5" w:rsidRPr="00D970F7">
              <w:rPr>
                <w:spacing w:val="-2"/>
                <w:lang w:val="en-GB" w:eastAsia="en-US"/>
              </w:rPr>
              <w:t xml:space="preserve">2% </w:t>
            </w:r>
            <w:r w:rsidR="0007683E" w:rsidRPr="00D970F7">
              <w:rPr>
                <w:spacing w:val="-2"/>
                <w:lang w:val="en-GB" w:eastAsia="en-US"/>
              </w:rPr>
              <w:t xml:space="preserve">to </w:t>
            </w:r>
            <w:r w:rsidR="00AB75C5" w:rsidRPr="00D970F7">
              <w:rPr>
                <w:spacing w:val="-2"/>
                <w:lang w:val="en-GB" w:eastAsia="en-US"/>
              </w:rPr>
              <w:t>2</w:t>
            </w:r>
            <w:r w:rsidR="0007683E" w:rsidRPr="00D970F7">
              <w:rPr>
                <w:spacing w:val="-2"/>
                <w:lang w:val="en-GB" w:eastAsia="en-US"/>
              </w:rPr>
              <w:t>.</w:t>
            </w:r>
            <w:r w:rsidR="00AB75C5" w:rsidRPr="00D970F7">
              <w:rPr>
                <w:spacing w:val="-2"/>
                <w:lang w:val="en-GB" w:eastAsia="en-US"/>
              </w:rPr>
              <w:t>25%</w:t>
            </w:r>
            <w:r w:rsidR="00AB75C5" w:rsidRPr="00D970F7">
              <w:rPr>
                <w:rStyle w:val="Znakapoznpodarou"/>
                <w:spacing w:val="-2"/>
                <w:lang w:val="en-GB" w:eastAsia="en-US"/>
              </w:rPr>
              <w:footnoteReference w:id="1"/>
            </w:r>
            <w:r w:rsidR="0007683E" w:rsidRPr="00D970F7">
              <w:rPr>
                <w:spacing w:val="-2"/>
                <w:lang w:val="en-GB" w:eastAsia="en-US"/>
              </w:rPr>
              <w:t xml:space="preserve"> at the beginning of the year</w:t>
            </w:r>
            <w:r w:rsidR="00AB75C5" w:rsidRPr="00D970F7">
              <w:rPr>
                <w:spacing w:val="-2"/>
                <w:lang w:val="en-GB" w:eastAsia="en-US"/>
              </w:rPr>
              <w:t>.</w:t>
            </w:r>
            <w:r w:rsidR="0007683E" w:rsidRPr="00D970F7">
              <w:rPr>
                <w:spacing w:val="-2"/>
                <w:lang w:val="en-GB" w:eastAsia="en-US"/>
              </w:rPr>
              <w:t xml:space="preserve"> This level however held only shortly. The rate was reduced to </w:t>
            </w:r>
            <w:r w:rsidR="00AB75C5" w:rsidRPr="00D970F7">
              <w:rPr>
                <w:spacing w:val="-2"/>
                <w:lang w:val="en-GB" w:eastAsia="en-US"/>
              </w:rPr>
              <w:t>1%</w:t>
            </w:r>
            <w:r w:rsidR="0007683E" w:rsidRPr="00D970F7">
              <w:rPr>
                <w:spacing w:val="-2"/>
                <w:lang w:val="en-GB" w:eastAsia="en-US"/>
              </w:rPr>
              <w:t xml:space="preserve"> in March and further down to </w:t>
            </w:r>
            <w:r w:rsidR="00AB75C5" w:rsidRPr="00D970F7">
              <w:rPr>
                <w:spacing w:val="-2"/>
                <w:lang w:val="en-GB" w:eastAsia="en-US"/>
              </w:rPr>
              <w:t>0</w:t>
            </w:r>
            <w:r w:rsidR="0007683E" w:rsidRPr="00D970F7">
              <w:rPr>
                <w:spacing w:val="-2"/>
                <w:lang w:val="en-GB" w:eastAsia="en-US"/>
              </w:rPr>
              <w:t>.</w:t>
            </w:r>
            <w:r w:rsidR="00AB75C5" w:rsidRPr="00D970F7">
              <w:rPr>
                <w:spacing w:val="-2"/>
                <w:lang w:val="en-GB" w:eastAsia="en-US"/>
              </w:rPr>
              <w:t>25 %</w:t>
            </w:r>
            <w:r w:rsidR="0007683E" w:rsidRPr="00D970F7">
              <w:rPr>
                <w:spacing w:val="-2"/>
                <w:lang w:val="en-GB" w:eastAsia="en-US"/>
              </w:rPr>
              <w:t xml:space="preserve"> in May</w:t>
            </w:r>
            <w:r w:rsidR="00AB75C5" w:rsidRPr="00D970F7">
              <w:rPr>
                <w:spacing w:val="-2"/>
                <w:lang w:val="en-GB" w:eastAsia="en-US"/>
              </w:rPr>
              <w:t>,</w:t>
            </w:r>
            <w:r w:rsidR="0007683E" w:rsidRPr="00D970F7">
              <w:rPr>
                <w:spacing w:val="-2"/>
                <w:lang w:val="en-GB" w:eastAsia="en-US"/>
              </w:rPr>
              <w:t xml:space="preserve"> the lowest value since November </w:t>
            </w:r>
            <w:r w:rsidR="00AB75C5" w:rsidRPr="00D970F7">
              <w:rPr>
                <w:spacing w:val="-2"/>
                <w:lang w:val="en-GB" w:eastAsia="en-US"/>
              </w:rPr>
              <w:t xml:space="preserve">2017. </w:t>
            </w:r>
            <w:r w:rsidR="0007683E" w:rsidRPr="00D970F7">
              <w:rPr>
                <w:spacing w:val="-2"/>
                <w:lang w:val="en-GB" w:eastAsia="en-US"/>
              </w:rPr>
              <w:t xml:space="preserve">The discount rate was technically zero </w:t>
            </w:r>
            <w:r w:rsidR="00AB75C5" w:rsidRPr="00D970F7">
              <w:rPr>
                <w:spacing w:val="-2"/>
                <w:lang w:val="en-GB" w:eastAsia="en-US"/>
              </w:rPr>
              <w:t>(0</w:t>
            </w:r>
            <w:r w:rsidR="0007683E" w:rsidRPr="00D970F7">
              <w:rPr>
                <w:spacing w:val="-2"/>
                <w:lang w:val="en-GB" w:eastAsia="en-US"/>
              </w:rPr>
              <w:t>.</w:t>
            </w:r>
            <w:r w:rsidR="00AB75C5" w:rsidRPr="00D970F7">
              <w:rPr>
                <w:spacing w:val="-2"/>
                <w:lang w:val="en-GB" w:eastAsia="en-US"/>
              </w:rPr>
              <w:t>05%)</w:t>
            </w:r>
            <w:r w:rsidR="0007683E" w:rsidRPr="00D970F7">
              <w:rPr>
                <w:spacing w:val="-2"/>
                <w:lang w:val="en-GB" w:eastAsia="en-US"/>
              </w:rPr>
              <w:t xml:space="preserve"> at the end of June and the </w:t>
            </w:r>
            <w:r w:rsidR="0007200B" w:rsidRPr="00D970F7">
              <w:rPr>
                <w:spacing w:val="-2"/>
                <w:lang w:val="en-GB" w:eastAsia="en-US"/>
              </w:rPr>
              <w:t>L</w:t>
            </w:r>
            <w:r w:rsidR="0007683E" w:rsidRPr="00D970F7">
              <w:rPr>
                <w:spacing w:val="-2"/>
                <w:lang w:val="en-GB" w:eastAsia="en-US"/>
              </w:rPr>
              <w:t>ombard rate</w:t>
            </w:r>
            <w:r w:rsidR="0007200B" w:rsidRPr="00D970F7">
              <w:rPr>
                <w:spacing w:val="-2"/>
                <w:lang w:val="en-GB" w:eastAsia="en-US"/>
              </w:rPr>
              <w:t xml:space="preserve"> attained </w:t>
            </w:r>
            <w:r w:rsidR="00AB75C5" w:rsidRPr="00D970F7">
              <w:rPr>
                <w:spacing w:val="-2"/>
                <w:lang w:val="en-GB" w:eastAsia="en-US"/>
              </w:rPr>
              <w:t>1%. K</w:t>
            </w:r>
            <w:r w:rsidR="0007200B" w:rsidRPr="00D970F7">
              <w:rPr>
                <w:spacing w:val="-2"/>
                <w:lang w:val="en-GB" w:eastAsia="en-US"/>
              </w:rPr>
              <w:t xml:space="preserve">oruna foreign exchange against both euro and dollar </w:t>
            </w:r>
            <w:r w:rsidR="00A22B49" w:rsidRPr="00D970F7">
              <w:rPr>
                <w:spacing w:val="-2"/>
                <w:lang w:val="en-GB" w:eastAsia="en-US"/>
              </w:rPr>
              <w:t xml:space="preserve">stayed at higher level during the whole April and large part of May following marked March depreciation. Koruna foreign exchange per euro remained above </w:t>
            </w:r>
            <w:r w:rsidR="00AB75C5" w:rsidRPr="00D970F7">
              <w:rPr>
                <w:spacing w:val="-2"/>
                <w:lang w:val="en-GB" w:eastAsia="en-US"/>
              </w:rPr>
              <w:t>27 CZK/EUR</w:t>
            </w:r>
            <w:r w:rsidR="00A22B49" w:rsidRPr="00D970F7">
              <w:rPr>
                <w:spacing w:val="-2"/>
                <w:lang w:val="en-GB" w:eastAsia="en-US"/>
              </w:rPr>
              <w:t xml:space="preserve"> for the major part of this period</w:t>
            </w:r>
            <w:r w:rsidR="00AB75C5" w:rsidRPr="00D970F7">
              <w:rPr>
                <w:spacing w:val="-2"/>
                <w:lang w:val="en-GB" w:eastAsia="en-US"/>
              </w:rPr>
              <w:t xml:space="preserve">. </w:t>
            </w:r>
            <w:r w:rsidR="003B6B91" w:rsidRPr="00D970F7">
              <w:rPr>
                <w:spacing w:val="-2"/>
                <w:lang w:val="en-GB" w:eastAsia="en-US"/>
              </w:rPr>
              <w:t xml:space="preserve">The foreign exchange again gradually appreciated to </w:t>
            </w:r>
            <w:r w:rsidR="00AB75C5" w:rsidRPr="00D970F7">
              <w:rPr>
                <w:spacing w:val="-2"/>
                <w:lang w:val="en-GB" w:eastAsia="en-US"/>
              </w:rPr>
              <w:t>26</w:t>
            </w:r>
            <w:r w:rsidR="003B6B91" w:rsidRPr="00D970F7">
              <w:rPr>
                <w:spacing w:val="-2"/>
                <w:lang w:val="en-GB" w:eastAsia="en-US"/>
              </w:rPr>
              <w:t>.</w:t>
            </w:r>
            <w:r w:rsidR="00AB75C5" w:rsidRPr="00D970F7">
              <w:rPr>
                <w:spacing w:val="-2"/>
                <w:lang w:val="en-GB" w:eastAsia="en-US"/>
              </w:rPr>
              <w:t>65 </w:t>
            </w:r>
            <w:r w:rsidR="003B6B91" w:rsidRPr="00D970F7">
              <w:rPr>
                <w:spacing w:val="-2"/>
                <w:lang w:val="en-GB" w:eastAsia="en-US"/>
              </w:rPr>
              <w:t>CZK from 20</w:t>
            </w:r>
            <w:r w:rsidR="003B6B91" w:rsidRPr="00D970F7">
              <w:rPr>
                <w:spacing w:val="-2"/>
                <w:vertAlign w:val="superscript"/>
                <w:lang w:val="en-GB" w:eastAsia="en-US"/>
              </w:rPr>
              <w:t>th</w:t>
            </w:r>
            <w:r w:rsidR="003B6B91" w:rsidRPr="00D970F7">
              <w:rPr>
                <w:spacing w:val="-2"/>
                <w:lang w:val="en-GB" w:eastAsia="en-US"/>
              </w:rPr>
              <w:t xml:space="preserve"> May till 2</w:t>
            </w:r>
            <w:r w:rsidR="003B6B91" w:rsidRPr="00D970F7">
              <w:rPr>
                <w:spacing w:val="-2"/>
                <w:vertAlign w:val="superscript"/>
                <w:lang w:val="en-GB" w:eastAsia="en-US"/>
              </w:rPr>
              <w:t>nd</w:t>
            </w:r>
            <w:r w:rsidR="003B6B91" w:rsidRPr="00D970F7">
              <w:rPr>
                <w:spacing w:val="-2"/>
                <w:lang w:val="en-GB" w:eastAsia="en-US"/>
              </w:rPr>
              <w:t xml:space="preserve"> June</w:t>
            </w:r>
            <w:r w:rsidR="00AB75C5" w:rsidRPr="00D970F7">
              <w:rPr>
                <w:spacing w:val="-2"/>
                <w:lang w:val="en-GB" w:eastAsia="en-US"/>
              </w:rPr>
              <w:t>.</w:t>
            </w:r>
            <w:r w:rsidR="003B6B91" w:rsidRPr="00D970F7">
              <w:rPr>
                <w:spacing w:val="-2"/>
                <w:lang w:val="en-GB" w:eastAsia="en-US"/>
              </w:rPr>
              <w:t xml:space="preserve"> Subsequently it remained near this level until the end of month. Development in case of dollar was very similar. The koruna foreign exchange often moved above </w:t>
            </w:r>
            <w:r w:rsidR="00AB75C5" w:rsidRPr="00D970F7">
              <w:rPr>
                <w:spacing w:val="-2"/>
                <w:lang w:val="en-GB" w:eastAsia="en-US"/>
              </w:rPr>
              <w:t>25 CZK/USD</w:t>
            </w:r>
            <w:r w:rsidR="003B6B91" w:rsidRPr="00D970F7">
              <w:rPr>
                <w:spacing w:val="-2"/>
                <w:lang w:val="en-GB" w:eastAsia="en-US"/>
              </w:rPr>
              <w:t xml:space="preserve"> during April and May</w:t>
            </w:r>
            <w:r w:rsidR="00AB75C5" w:rsidRPr="00D970F7">
              <w:rPr>
                <w:spacing w:val="-2"/>
                <w:lang w:val="en-GB" w:eastAsia="en-US"/>
              </w:rPr>
              <w:t xml:space="preserve">. </w:t>
            </w:r>
            <w:r w:rsidR="00431859" w:rsidRPr="00D970F7">
              <w:rPr>
                <w:spacing w:val="-2"/>
                <w:lang w:val="en-GB" w:eastAsia="en-US"/>
              </w:rPr>
              <w:t xml:space="preserve">Koruna again strengthen up to </w:t>
            </w:r>
            <w:r w:rsidR="00AB75C5" w:rsidRPr="00D970F7">
              <w:rPr>
                <w:spacing w:val="-2"/>
                <w:lang w:val="en-GB" w:eastAsia="en-US"/>
              </w:rPr>
              <w:t>23</w:t>
            </w:r>
            <w:r w:rsidR="00431859" w:rsidRPr="00D970F7">
              <w:rPr>
                <w:spacing w:val="-2"/>
                <w:lang w:val="en-GB" w:eastAsia="en-US"/>
              </w:rPr>
              <w:t>.</w:t>
            </w:r>
            <w:r w:rsidR="00AB75C5" w:rsidRPr="00D970F7">
              <w:rPr>
                <w:spacing w:val="-2"/>
                <w:lang w:val="en-GB" w:eastAsia="en-US"/>
              </w:rPr>
              <w:t>47 CZK/USD</w:t>
            </w:r>
            <w:r w:rsidR="00431859" w:rsidRPr="00D970F7">
              <w:rPr>
                <w:spacing w:val="-2"/>
                <w:lang w:val="en-GB" w:eastAsia="en-US"/>
              </w:rPr>
              <w:t xml:space="preserve"> in the period from 20</w:t>
            </w:r>
            <w:r w:rsidR="00431859" w:rsidRPr="00D970F7">
              <w:rPr>
                <w:spacing w:val="-2"/>
                <w:vertAlign w:val="superscript"/>
                <w:lang w:val="en-GB" w:eastAsia="en-US"/>
              </w:rPr>
              <w:t>th</w:t>
            </w:r>
            <w:r w:rsidR="00431859" w:rsidRPr="00D970F7">
              <w:rPr>
                <w:spacing w:val="-2"/>
                <w:lang w:val="en-GB" w:eastAsia="en-US"/>
              </w:rPr>
              <w:t xml:space="preserve"> May to 5</w:t>
            </w:r>
            <w:r w:rsidR="00431859" w:rsidRPr="00D970F7">
              <w:rPr>
                <w:spacing w:val="-2"/>
                <w:vertAlign w:val="superscript"/>
                <w:lang w:val="en-GB" w:eastAsia="en-US"/>
              </w:rPr>
              <w:t>th</w:t>
            </w:r>
            <w:r w:rsidR="00431859" w:rsidRPr="00D970F7">
              <w:rPr>
                <w:spacing w:val="-2"/>
                <w:lang w:val="en-GB" w:eastAsia="en-US"/>
              </w:rPr>
              <w:t xml:space="preserve"> June and it was </w:t>
            </w:r>
            <w:r w:rsidR="00BE1E6C" w:rsidRPr="00D970F7">
              <w:rPr>
                <w:spacing w:val="-2"/>
                <w:lang w:val="en-GB" w:eastAsia="en-US"/>
              </w:rPr>
              <w:t>mildly</w:t>
            </w:r>
            <w:r w:rsidR="00431859" w:rsidRPr="00D970F7">
              <w:rPr>
                <w:spacing w:val="-2"/>
                <w:lang w:val="en-GB" w:eastAsia="en-US"/>
              </w:rPr>
              <w:t xml:space="preserve"> depreciati</w:t>
            </w:r>
            <w:r w:rsidR="00BE1E6C" w:rsidRPr="00D970F7">
              <w:rPr>
                <w:spacing w:val="-2"/>
                <w:lang w:val="en-GB" w:eastAsia="en-US"/>
              </w:rPr>
              <w:t>ng</w:t>
            </w:r>
            <w:r w:rsidR="00431859" w:rsidRPr="00D970F7">
              <w:rPr>
                <w:spacing w:val="-2"/>
                <w:lang w:val="en-GB" w:eastAsia="en-US"/>
              </w:rPr>
              <w:t xml:space="preserve"> in the direction of </w:t>
            </w:r>
            <w:r w:rsidR="00AB75C5" w:rsidRPr="00D970F7">
              <w:rPr>
                <w:spacing w:val="-2"/>
                <w:lang w:val="en-GB" w:eastAsia="en-US"/>
              </w:rPr>
              <w:t>24 </w:t>
            </w:r>
            <w:r w:rsidR="00BE1E6C" w:rsidRPr="00D970F7">
              <w:rPr>
                <w:spacing w:val="-2"/>
                <w:lang w:val="en-GB" w:eastAsia="en-US"/>
              </w:rPr>
              <w:t>CZK per</w:t>
            </w:r>
            <w:r w:rsidR="00AB75C5" w:rsidRPr="00D970F7">
              <w:rPr>
                <w:spacing w:val="-2"/>
                <w:lang w:val="en-GB" w:eastAsia="en-US"/>
              </w:rPr>
              <w:t xml:space="preserve"> </w:t>
            </w:r>
            <w:r w:rsidR="00BE1E6C" w:rsidRPr="00D970F7">
              <w:rPr>
                <w:spacing w:val="-2"/>
                <w:lang w:val="en-GB" w:eastAsia="en-US"/>
              </w:rPr>
              <w:t>dollar until the end of June</w:t>
            </w:r>
            <w:r w:rsidR="00AB75C5" w:rsidRPr="00D970F7">
              <w:rPr>
                <w:spacing w:val="-2"/>
                <w:lang w:val="en-GB" w:eastAsia="en-US"/>
              </w:rPr>
              <w:t xml:space="preserve">. </w:t>
            </w:r>
            <w:r w:rsidR="00922FF3" w:rsidRPr="00D970F7">
              <w:rPr>
                <w:spacing w:val="-2"/>
                <w:lang w:val="en-GB" w:eastAsia="en-US"/>
              </w:rPr>
              <w:t xml:space="preserve">Notable deprecation of koruna towards other currencies meant strengthening of the inflationary pressures from abroad. </w:t>
            </w:r>
          </w:p>
        </w:tc>
      </w:tr>
      <w:tr w:rsidR="00AB75C5" w:rsidRPr="00D970F7" w14:paraId="31B062B2" w14:textId="77777777" w:rsidTr="00AB75C5">
        <w:trPr>
          <w:trHeight w:val="145"/>
        </w:trPr>
        <w:tc>
          <w:tcPr>
            <w:tcW w:w="1802" w:type="dxa"/>
            <w:hideMark/>
          </w:tcPr>
          <w:p w14:paraId="134157A0" w14:textId="37FBC368" w:rsidR="00AB75C5" w:rsidRPr="00D970F7" w:rsidRDefault="00B75E68">
            <w:pPr>
              <w:pStyle w:val="Marginlie"/>
              <w:rPr>
                <w:lang w:val="en-GB" w:eastAsia="en-US"/>
              </w:rPr>
            </w:pPr>
            <w:r w:rsidRPr="00D970F7">
              <w:rPr>
                <w:lang w:val="en-GB" w:eastAsia="en-US"/>
              </w:rPr>
              <w:t>Interbank interest rates and also the yield</w:t>
            </w:r>
            <w:r w:rsidR="008F26DB" w:rsidRPr="00D970F7">
              <w:rPr>
                <w:lang w:val="en-GB" w:eastAsia="en-US"/>
              </w:rPr>
              <w:t>s</w:t>
            </w:r>
            <w:r w:rsidRPr="00D970F7">
              <w:rPr>
                <w:lang w:val="en-GB" w:eastAsia="en-US"/>
              </w:rPr>
              <w:t xml:space="preserve"> of government bonds sharply dropped. </w:t>
            </w:r>
          </w:p>
        </w:tc>
        <w:tc>
          <w:tcPr>
            <w:tcW w:w="229" w:type="dxa"/>
          </w:tcPr>
          <w:p w14:paraId="4CCB4959" w14:textId="77777777" w:rsidR="00AB75C5" w:rsidRPr="00D970F7" w:rsidRDefault="00AB75C5">
            <w:pPr>
              <w:pStyle w:val="Textpoznpodarou"/>
              <w:jc w:val="both"/>
              <w:rPr>
                <w:spacing w:val="-4"/>
                <w:lang w:val="en-GB" w:eastAsia="en-US"/>
              </w:rPr>
            </w:pPr>
          </w:p>
        </w:tc>
        <w:tc>
          <w:tcPr>
            <w:tcW w:w="7610" w:type="dxa"/>
            <w:hideMark/>
          </w:tcPr>
          <w:p w14:paraId="2DC9CC53" w14:textId="22B3E841" w:rsidR="00AB75C5" w:rsidRPr="00D970F7" w:rsidRDefault="00922FF3">
            <w:pPr>
              <w:rPr>
                <w:spacing w:val="-1"/>
                <w:lang w:val="en-GB" w:eastAsia="en-US"/>
              </w:rPr>
            </w:pPr>
            <w:r w:rsidRPr="00D970F7">
              <w:rPr>
                <w:spacing w:val="-1"/>
                <w:lang w:val="en-GB" w:eastAsia="en-US"/>
              </w:rPr>
              <w:t xml:space="preserve">Changes of the monetary policy-relevant rates led to fast decrease of the interbank interest rates. The </w:t>
            </w:r>
            <w:r w:rsidR="008F26DB" w:rsidRPr="00D970F7">
              <w:rPr>
                <w:spacing w:val="-1"/>
                <w:lang w:val="en-GB" w:eastAsia="en-US"/>
              </w:rPr>
              <w:t>three-month</w:t>
            </w:r>
            <w:r w:rsidRPr="00D970F7">
              <w:rPr>
                <w:spacing w:val="-1"/>
                <w:lang w:val="en-GB" w:eastAsia="en-US"/>
              </w:rPr>
              <w:t xml:space="preserve"> </w:t>
            </w:r>
            <w:r w:rsidR="00AB75C5" w:rsidRPr="00D970F7">
              <w:rPr>
                <w:spacing w:val="-1"/>
                <w:lang w:val="en-GB" w:eastAsia="en-US"/>
              </w:rPr>
              <w:t xml:space="preserve">PRIBOR </w:t>
            </w:r>
            <w:r w:rsidRPr="00D970F7">
              <w:rPr>
                <w:spacing w:val="-1"/>
                <w:lang w:val="en-GB" w:eastAsia="en-US"/>
              </w:rPr>
              <w:t xml:space="preserve">thus attained </w:t>
            </w:r>
            <w:r w:rsidR="00AB75C5" w:rsidRPr="00D970F7">
              <w:rPr>
                <w:spacing w:val="-1"/>
                <w:lang w:val="en-GB" w:eastAsia="en-US"/>
              </w:rPr>
              <w:t>2%</w:t>
            </w:r>
            <w:r w:rsidRPr="00D970F7">
              <w:rPr>
                <w:spacing w:val="-1"/>
                <w:lang w:val="en-GB" w:eastAsia="en-US"/>
              </w:rPr>
              <w:t xml:space="preserve"> towards the end of March and it was </w:t>
            </w:r>
            <w:r w:rsidR="00AB75C5" w:rsidRPr="00D970F7">
              <w:rPr>
                <w:spacing w:val="-1"/>
                <w:lang w:val="en-GB" w:eastAsia="en-US"/>
              </w:rPr>
              <w:t>0</w:t>
            </w:r>
            <w:r w:rsidRPr="00D970F7">
              <w:rPr>
                <w:spacing w:val="-1"/>
                <w:lang w:val="en-GB" w:eastAsia="en-US"/>
              </w:rPr>
              <w:t>.</w:t>
            </w:r>
            <w:r w:rsidR="00AB75C5" w:rsidRPr="00D970F7">
              <w:rPr>
                <w:spacing w:val="-1"/>
                <w:lang w:val="en-GB" w:eastAsia="en-US"/>
              </w:rPr>
              <w:t>34%</w:t>
            </w:r>
            <w:r w:rsidRPr="00D970F7">
              <w:rPr>
                <w:spacing w:val="-1"/>
                <w:lang w:val="en-GB" w:eastAsia="en-US"/>
              </w:rPr>
              <w:t xml:space="preserve"> at the end of June</w:t>
            </w:r>
            <w:r w:rsidR="00AB75C5" w:rsidRPr="00D970F7">
              <w:rPr>
                <w:spacing w:val="-1"/>
                <w:lang w:val="en-GB" w:eastAsia="en-US"/>
              </w:rPr>
              <w:t xml:space="preserve">. </w:t>
            </w:r>
            <w:r w:rsidR="008F26DB" w:rsidRPr="00D970F7">
              <w:rPr>
                <w:spacing w:val="-1"/>
                <w:lang w:val="en-GB" w:eastAsia="en-US"/>
              </w:rPr>
              <w:t xml:space="preserve">Interest rates on government bonds were also falling, specifically for all types of maturities. </w:t>
            </w:r>
            <w:r w:rsidR="006C67EC" w:rsidRPr="00D970F7">
              <w:rPr>
                <w:spacing w:val="-1"/>
                <w:lang w:val="en-GB" w:eastAsia="en-US"/>
              </w:rPr>
              <w:t xml:space="preserve">The average interest thus decreased from 1.27% to 0.08% for bonds with maturity up to 2 years, it was from </w:t>
            </w:r>
            <w:r w:rsidR="00AB75C5" w:rsidRPr="00D970F7">
              <w:rPr>
                <w:spacing w:val="-1"/>
                <w:lang w:val="en-GB" w:eastAsia="en-US"/>
              </w:rPr>
              <w:t>1</w:t>
            </w:r>
            <w:r w:rsidR="006C67EC" w:rsidRPr="00D970F7">
              <w:rPr>
                <w:spacing w:val="-1"/>
                <w:lang w:val="en-GB" w:eastAsia="en-US"/>
              </w:rPr>
              <w:t>.</w:t>
            </w:r>
            <w:r w:rsidR="00AB75C5" w:rsidRPr="00D970F7">
              <w:rPr>
                <w:spacing w:val="-1"/>
                <w:lang w:val="en-GB" w:eastAsia="en-US"/>
              </w:rPr>
              <w:t xml:space="preserve">23% </w:t>
            </w:r>
            <w:r w:rsidR="006C67EC" w:rsidRPr="00D970F7">
              <w:rPr>
                <w:spacing w:val="-1"/>
                <w:lang w:val="en-GB" w:eastAsia="en-US"/>
              </w:rPr>
              <w:t xml:space="preserve">to </w:t>
            </w:r>
            <w:r w:rsidR="00AB75C5" w:rsidRPr="00D970F7">
              <w:rPr>
                <w:spacing w:val="-1"/>
                <w:lang w:val="en-GB" w:eastAsia="en-US"/>
              </w:rPr>
              <w:t>0</w:t>
            </w:r>
            <w:r w:rsidR="006C67EC" w:rsidRPr="00D970F7">
              <w:rPr>
                <w:spacing w:val="-1"/>
                <w:lang w:val="en-GB" w:eastAsia="en-US"/>
              </w:rPr>
              <w:t>.</w:t>
            </w:r>
            <w:r w:rsidR="00AB75C5" w:rsidRPr="00D970F7">
              <w:rPr>
                <w:spacing w:val="-1"/>
                <w:lang w:val="en-GB" w:eastAsia="en-US"/>
              </w:rPr>
              <w:t xml:space="preserve">52% </w:t>
            </w:r>
            <w:r w:rsidR="006C67EC" w:rsidRPr="00D970F7">
              <w:rPr>
                <w:spacing w:val="-1"/>
                <w:lang w:val="en-GB" w:eastAsia="en-US"/>
              </w:rPr>
              <w:t xml:space="preserve">for maturity up to 5 years and the rate moved from </w:t>
            </w:r>
            <w:r w:rsidR="00AB75C5" w:rsidRPr="00D970F7">
              <w:rPr>
                <w:spacing w:val="-1"/>
                <w:lang w:val="en-GB" w:eastAsia="en-US"/>
              </w:rPr>
              <w:t>1</w:t>
            </w:r>
            <w:r w:rsidR="006C67EC" w:rsidRPr="00D970F7">
              <w:rPr>
                <w:spacing w:val="-1"/>
                <w:lang w:val="en-GB" w:eastAsia="en-US"/>
              </w:rPr>
              <w:t>.</w:t>
            </w:r>
            <w:r w:rsidR="00AB75C5" w:rsidRPr="00D970F7">
              <w:rPr>
                <w:spacing w:val="-1"/>
                <w:lang w:val="en-GB" w:eastAsia="en-US"/>
              </w:rPr>
              <w:t xml:space="preserve">28% </w:t>
            </w:r>
            <w:r w:rsidR="006C67EC" w:rsidRPr="00D970F7">
              <w:rPr>
                <w:spacing w:val="-1"/>
                <w:lang w:val="en-GB" w:eastAsia="en-US"/>
              </w:rPr>
              <w:t xml:space="preserve">to </w:t>
            </w:r>
            <w:r w:rsidR="00AB75C5" w:rsidRPr="00D970F7">
              <w:rPr>
                <w:spacing w:val="-1"/>
                <w:lang w:val="en-GB" w:eastAsia="en-US"/>
              </w:rPr>
              <w:t>0</w:t>
            </w:r>
            <w:r w:rsidR="006C67EC" w:rsidRPr="00D970F7">
              <w:rPr>
                <w:spacing w:val="-1"/>
                <w:lang w:val="en-GB" w:eastAsia="en-US"/>
              </w:rPr>
              <w:t>.</w:t>
            </w:r>
            <w:r w:rsidR="00AB75C5" w:rsidRPr="00D970F7">
              <w:rPr>
                <w:spacing w:val="-1"/>
                <w:lang w:val="en-GB" w:eastAsia="en-US"/>
              </w:rPr>
              <w:t>86%</w:t>
            </w:r>
            <w:r w:rsidR="006C67EC" w:rsidRPr="00D970F7">
              <w:rPr>
                <w:spacing w:val="-1"/>
                <w:lang w:val="en-GB" w:eastAsia="en-US"/>
              </w:rPr>
              <w:t xml:space="preserve"> in case of bonds with long term maturity from the end of March till the end of June</w:t>
            </w:r>
            <w:r w:rsidR="00AB75C5" w:rsidRPr="00D970F7">
              <w:rPr>
                <w:spacing w:val="-1"/>
                <w:lang w:val="en-GB" w:eastAsia="en-US"/>
              </w:rPr>
              <w:t xml:space="preserve">. </w:t>
            </w:r>
            <w:r w:rsidR="006C67EC" w:rsidRPr="00D970F7">
              <w:rPr>
                <w:spacing w:val="-1"/>
                <w:lang w:val="en-GB" w:eastAsia="en-US"/>
              </w:rPr>
              <w:t xml:space="preserve">Rates on the government bonds issued by the area followed similar pattern of development. </w:t>
            </w:r>
            <w:r w:rsidR="00153E4A" w:rsidRPr="00D970F7">
              <w:rPr>
                <w:spacing w:val="-1"/>
                <w:lang w:val="en-GB" w:eastAsia="en-US"/>
              </w:rPr>
              <w:t xml:space="preserve">Both short term and medium-term maturities had negative interest rate towards the end of June </w:t>
            </w:r>
            <w:r w:rsidR="00AB75C5" w:rsidRPr="00D970F7">
              <w:rPr>
                <w:spacing w:val="-1"/>
                <w:lang w:val="en-GB" w:eastAsia="en-US"/>
              </w:rPr>
              <w:t>(–0</w:t>
            </w:r>
            <w:r w:rsidR="00153E4A" w:rsidRPr="00D970F7">
              <w:rPr>
                <w:spacing w:val="-1"/>
                <w:lang w:val="en-GB" w:eastAsia="en-US"/>
              </w:rPr>
              <w:t>.</w:t>
            </w:r>
            <w:r w:rsidR="00AB75C5" w:rsidRPr="00D970F7">
              <w:rPr>
                <w:spacing w:val="-1"/>
                <w:lang w:val="en-GB" w:eastAsia="en-US"/>
              </w:rPr>
              <w:t>36%</w:t>
            </w:r>
            <w:r w:rsidR="00153E4A" w:rsidRPr="00D970F7">
              <w:rPr>
                <w:spacing w:val="-1"/>
                <w:lang w:val="en-GB" w:eastAsia="en-US"/>
              </w:rPr>
              <w:t xml:space="preserve"> for short term</w:t>
            </w:r>
            <w:r w:rsidR="00AB75C5" w:rsidRPr="00D970F7">
              <w:rPr>
                <w:spacing w:val="-1"/>
                <w:lang w:val="en-GB" w:eastAsia="en-US"/>
              </w:rPr>
              <w:t>, –0</w:t>
            </w:r>
            <w:r w:rsidR="00153E4A" w:rsidRPr="00D970F7">
              <w:rPr>
                <w:spacing w:val="-1"/>
                <w:lang w:val="en-GB" w:eastAsia="en-US"/>
              </w:rPr>
              <w:t>.</w:t>
            </w:r>
            <w:r w:rsidR="00AB75C5" w:rsidRPr="00D970F7">
              <w:rPr>
                <w:spacing w:val="-1"/>
                <w:lang w:val="en-GB" w:eastAsia="en-US"/>
              </w:rPr>
              <w:t>04%</w:t>
            </w:r>
            <w:r w:rsidR="00153E4A" w:rsidRPr="00D970F7">
              <w:rPr>
                <w:spacing w:val="-1"/>
                <w:lang w:val="en-GB" w:eastAsia="en-US"/>
              </w:rPr>
              <w:t xml:space="preserve"> for medium term</w:t>
            </w:r>
            <w:r w:rsidR="00AB75C5" w:rsidRPr="00D970F7">
              <w:rPr>
                <w:spacing w:val="-1"/>
                <w:lang w:val="en-GB" w:eastAsia="en-US"/>
              </w:rPr>
              <w:t>).</w:t>
            </w:r>
            <w:r w:rsidR="00153E4A" w:rsidRPr="00D970F7">
              <w:rPr>
                <w:spacing w:val="-1"/>
                <w:lang w:val="en-GB" w:eastAsia="en-US"/>
              </w:rPr>
              <w:t xml:space="preserve"> The average interest on long term bonds was </w:t>
            </w:r>
            <w:r w:rsidR="00AB75C5" w:rsidRPr="00D970F7">
              <w:rPr>
                <w:spacing w:val="-1"/>
                <w:lang w:val="en-GB" w:eastAsia="en-US"/>
              </w:rPr>
              <w:t>0</w:t>
            </w:r>
            <w:r w:rsidR="00153E4A" w:rsidRPr="00D970F7">
              <w:rPr>
                <w:spacing w:val="-1"/>
                <w:lang w:val="en-GB" w:eastAsia="en-US"/>
              </w:rPr>
              <w:t>.</w:t>
            </w:r>
            <w:r w:rsidR="00AB75C5" w:rsidRPr="00D970F7">
              <w:rPr>
                <w:spacing w:val="-1"/>
                <w:lang w:val="en-GB" w:eastAsia="en-US"/>
              </w:rPr>
              <w:t>35%</w:t>
            </w:r>
            <w:r w:rsidR="00153E4A" w:rsidRPr="00D970F7">
              <w:rPr>
                <w:spacing w:val="-1"/>
                <w:lang w:val="en-GB" w:eastAsia="en-US"/>
              </w:rPr>
              <w:t xml:space="preserve"> in the euro area towards the end of June</w:t>
            </w:r>
            <w:r w:rsidR="00AB75C5" w:rsidRPr="00D970F7">
              <w:rPr>
                <w:spacing w:val="-1"/>
                <w:lang w:val="en-GB" w:eastAsia="en-US"/>
              </w:rPr>
              <w:t>.</w:t>
            </w:r>
          </w:p>
        </w:tc>
      </w:tr>
      <w:tr w:rsidR="00AB75C5" w:rsidRPr="00D970F7" w14:paraId="157BC0D5" w14:textId="77777777" w:rsidTr="00AB75C5">
        <w:trPr>
          <w:trHeight w:val="145"/>
        </w:trPr>
        <w:tc>
          <w:tcPr>
            <w:tcW w:w="1802" w:type="dxa"/>
            <w:hideMark/>
          </w:tcPr>
          <w:p w14:paraId="56C718A2" w14:textId="710B7BC1" w:rsidR="00AB75C5" w:rsidRPr="00D970F7" w:rsidRDefault="005F2D91">
            <w:pPr>
              <w:pStyle w:val="Marginlie"/>
              <w:rPr>
                <w:lang w:val="en-GB" w:eastAsia="en-US"/>
              </w:rPr>
            </w:pPr>
            <w:r w:rsidRPr="00D970F7">
              <w:rPr>
                <w:lang w:val="en-GB" w:eastAsia="en-US"/>
              </w:rPr>
              <w:t xml:space="preserve">Interest rates on the client accounts also reacted to the new conditions. Decrease of </w:t>
            </w:r>
            <w:r w:rsidR="00C33F11" w:rsidRPr="00D970F7">
              <w:rPr>
                <w:lang w:val="en-GB" w:eastAsia="en-US"/>
              </w:rPr>
              <w:t>interests</w:t>
            </w:r>
            <w:r w:rsidRPr="00D970F7">
              <w:rPr>
                <w:lang w:val="en-GB" w:eastAsia="en-US"/>
              </w:rPr>
              <w:t xml:space="preserve"> on deposits with agreed maturity was also connected to the transfer of financial funds to the non-term deposits. </w:t>
            </w:r>
          </w:p>
        </w:tc>
        <w:tc>
          <w:tcPr>
            <w:tcW w:w="229" w:type="dxa"/>
          </w:tcPr>
          <w:p w14:paraId="2F08F41E" w14:textId="77777777" w:rsidR="00AB75C5" w:rsidRPr="00D970F7" w:rsidRDefault="00AB75C5">
            <w:pPr>
              <w:pStyle w:val="Textpoznpodarou"/>
              <w:jc w:val="both"/>
              <w:rPr>
                <w:spacing w:val="-4"/>
                <w:lang w:val="en-GB" w:eastAsia="en-US"/>
              </w:rPr>
            </w:pPr>
          </w:p>
        </w:tc>
        <w:tc>
          <w:tcPr>
            <w:tcW w:w="7610" w:type="dxa"/>
            <w:hideMark/>
          </w:tcPr>
          <w:p w14:paraId="0589E0A5" w14:textId="7CA49782" w:rsidR="00AB75C5" w:rsidRPr="00D970F7" w:rsidRDefault="00C33F11">
            <w:pPr>
              <w:rPr>
                <w:spacing w:val="-3"/>
                <w:lang w:val="en-GB" w:eastAsia="en-US"/>
              </w:rPr>
            </w:pPr>
            <w:r w:rsidRPr="00D970F7">
              <w:rPr>
                <w:spacing w:val="-3"/>
                <w:lang w:val="en-GB" w:eastAsia="en-US"/>
              </w:rPr>
              <w:t xml:space="preserve">Interest rates on some types of deposits also very fast reacted to the new situation. The average interest rate on the current accounts of households was </w:t>
            </w:r>
            <w:r w:rsidR="00AB75C5" w:rsidRPr="00D970F7">
              <w:rPr>
                <w:spacing w:val="-3"/>
                <w:lang w:val="en-GB" w:eastAsia="en-US"/>
              </w:rPr>
              <w:t>0</w:t>
            </w:r>
            <w:r w:rsidRPr="00D970F7">
              <w:rPr>
                <w:spacing w:val="-3"/>
                <w:lang w:val="en-GB" w:eastAsia="en-US"/>
              </w:rPr>
              <w:t>.</w:t>
            </w:r>
            <w:r w:rsidR="00AB75C5" w:rsidRPr="00D970F7">
              <w:rPr>
                <w:spacing w:val="-3"/>
                <w:lang w:val="en-GB" w:eastAsia="en-US"/>
              </w:rPr>
              <w:t>03%</w:t>
            </w:r>
            <w:r w:rsidRPr="00D970F7">
              <w:rPr>
                <w:spacing w:val="-3"/>
                <w:lang w:val="en-GB" w:eastAsia="en-US"/>
              </w:rPr>
              <w:t xml:space="preserve"> at the end of this year’s June </w:t>
            </w:r>
            <w:r w:rsidR="00AB75C5" w:rsidRPr="00D970F7">
              <w:rPr>
                <w:spacing w:val="-3"/>
                <w:lang w:val="en-GB" w:eastAsia="en-US"/>
              </w:rPr>
              <w:t>(</w:t>
            </w:r>
            <w:r w:rsidRPr="00D970F7">
              <w:rPr>
                <w:spacing w:val="-3"/>
                <w:lang w:val="en-GB" w:eastAsia="en-US"/>
              </w:rPr>
              <w:t xml:space="preserve">it lowered by </w:t>
            </w:r>
            <w:r w:rsidR="00AB75C5" w:rsidRPr="00D970F7">
              <w:rPr>
                <w:spacing w:val="-3"/>
                <w:lang w:val="en-GB" w:eastAsia="en-US"/>
              </w:rPr>
              <w:t>0</w:t>
            </w:r>
            <w:r w:rsidRPr="00D970F7">
              <w:rPr>
                <w:spacing w:val="-3"/>
                <w:lang w:val="en-GB" w:eastAsia="en-US"/>
              </w:rPr>
              <w:t>.</w:t>
            </w:r>
            <w:r w:rsidR="00AB75C5" w:rsidRPr="00D970F7">
              <w:rPr>
                <w:spacing w:val="-3"/>
                <w:lang w:val="en-GB" w:eastAsia="en-US"/>
              </w:rPr>
              <w:t>01 p.</w:t>
            </w:r>
            <w:r w:rsidRPr="00D970F7">
              <w:rPr>
                <w:spacing w:val="-3"/>
                <w:lang w:val="en-GB" w:eastAsia="en-US"/>
              </w:rPr>
              <w:t>p</w:t>
            </w:r>
            <w:r w:rsidR="00AB75C5" w:rsidRPr="00D970F7">
              <w:rPr>
                <w:spacing w:val="-3"/>
                <w:lang w:val="en-GB" w:eastAsia="en-US"/>
              </w:rPr>
              <w:t>.</w:t>
            </w:r>
            <w:r w:rsidRPr="00D970F7">
              <w:rPr>
                <w:spacing w:val="-3"/>
                <w:lang w:val="en-GB" w:eastAsia="en-US"/>
              </w:rPr>
              <w:t xml:space="preserve"> compared to March</w:t>
            </w:r>
            <w:r w:rsidR="00AB75C5" w:rsidRPr="00D970F7">
              <w:rPr>
                <w:spacing w:val="-3"/>
                <w:lang w:val="en-GB" w:eastAsia="en-US"/>
              </w:rPr>
              <w:t>).</w:t>
            </w:r>
            <w:r w:rsidRPr="00D970F7">
              <w:rPr>
                <w:spacing w:val="-3"/>
                <w:lang w:val="en-GB" w:eastAsia="en-US"/>
              </w:rPr>
              <w:t xml:space="preserve"> Interests on the current accounts of households stays at the nearly zero level already more than four years a</w:t>
            </w:r>
            <w:r w:rsidR="008F26DB" w:rsidRPr="00D970F7">
              <w:rPr>
                <w:spacing w:val="-3"/>
                <w:lang w:val="en-GB" w:eastAsia="en-US"/>
              </w:rPr>
              <w:t>nd did not react in any way to the previous increase of the monetary policy-relevan</w:t>
            </w:r>
            <w:r w:rsidRPr="00D970F7">
              <w:rPr>
                <w:spacing w:val="-3"/>
                <w:lang w:val="en-GB" w:eastAsia="en-US"/>
              </w:rPr>
              <w:t>t</w:t>
            </w:r>
            <w:r w:rsidR="008F26DB" w:rsidRPr="00D970F7">
              <w:rPr>
                <w:spacing w:val="-3"/>
                <w:lang w:val="en-GB" w:eastAsia="en-US"/>
              </w:rPr>
              <w:t xml:space="preserve"> rates</w:t>
            </w:r>
            <w:r w:rsidR="00AB75C5" w:rsidRPr="00D970F7">
              <w:rPr>
                <w:spacing w:val="-3"/>
                <w:lang w:val="en-GB" w:eastAsia="en-US"/>
              </w:rPr>
              <w:t xml:space="preserve">. </w:t>
            </w:r>
            <w:r w:rsidR="003050FD" w:rsidRPr="00D970F7">
              <w:rPr>
                <w:spacing w:val="-3"/>
                <w:lang w:val="en-GB" w:eastAsia="en-US"/>
              </w:rPr>
              <w:t xml:space="preserve">Interests on deposits with agreed maturity sharply slumped. Total average fell since the end of March </w:t>
            </w:r>
            <w:r w:rsidR="00AB75C5" w:rsidRPr="00D970F7">
              <w:rPr>
                <w:spacing w:val="-3"/>
                <w:lang w:val="en-GB" w:eastAsia="en-US"/>
              </w:rPr>
              <w:t>(1</w:t>
            </w:r>
            <w:r w:rsidR="003050FD" w:rsidRPr="00D970F7">
              <w:rPr>
                <w:spacing w:val="-3"/>
                <w:lang w:val="en-GB" w:eastAsia="en-US"/>
              </w:rPr>
              <w:t>.</w:t>
            </w:r>
            <w:r w:rsidR="00AB75C5" w:rsidRPr="00D970F7">
              <w:rPr>
                <w:spacing w:val="-3"/>
                <w:lang w:val="en-GB" w:eastAsia="en-US"/>
              </w:rPr>
              <w:t xml:space="preserve">43%) </w:t>
            </w:r>
            <w:r w:rsidR="003050FD" w:rsidRPr="00D970F7">
              <w:rPr>
                <w:spacing w:val="-3"/>
                <w:lang w:val="en-GB" w:eastAsia="en-US"/>
              </w:rPr>
              <w:t xml:space="preserve">to </w:t>
            </w:r>
            <w:r w:rsidR="00AB75C5" w:rsidRPr="00D970F7">
              <w:rPr>
                <w:spacing w:val="-3"/>
                <w:lang w:val="en-GB" w:eastAsia="en-US"/>
              </w:rPr>
              <w:t>0</w:t>
            </w:r>
            <w:r w:rsidR="003050FD" w:rsidRPr="00D970F7">
              <w:rPr>
                <w:spacing w:val="-3"/>
                <w:lang w:val="en-GB" w:eastAsia="en-US"/>
              </w:rPr>
              <w:t>.</w:t>
            </w:r>
            <w:r w:rsidR="00AB75C5" w:rsidRPr="00D970F7">
              <w:rPr>
                <w:spacing w:val="-3"/>
                <w:lang w:val="en-GB" w:eastAsia="en-US"/>
              </w:rPr>
              <w:t xml:space="preserve">6%. </w:t>
            </w:r>
            <w:r w:rsidR="003050FD" w:rsidRPr="00D970F7">
              <w:rPr>
                <w:spacing w:val="-3"/>
                <w:lang w:val="en-GB" w:eastAsia="en-US"/>
              </w:rPr>
              <w:t xml:space="preserve">The decrease affected all types of maturity, the most however maturity up to and including </w:t>
            </w:r>
            <w:r w:rsidR="00AB75C5" w:rsidRPr="00D970F7">
              <w:rPr>
                <w:spacing w:val="-3"/>
                <w:lang w:val="en-GB" w:eastAsia="en-US"/>
              </w:rPr>
              <w:t>1 </w:t>
            </w:r>
            <w:r w:rsidR="003050FD" w:rsidRPr="00D970F7">
              <w:rPr>
                <w:spacing w:val="-3"/>
                <w:lang w:val="en-GB" w:eastAsia="en-US"/>
              </w:rPr>
              <w:t xml:space="preserve">year </w:t>
            </w:r>
            <w:r w:rsidR="00AB75C5" w:rsidRPr="00D970F7">
              <w:rPr>
                <w:spacing w:val="-3"/>
                <w:lang w:val="en-GB" w:eastAsia="en-US"/>
              </w:rPr>
              <w:t>(</w:t>
            </w:r>
            <w:r w:rsidR="003050FD" w:rsidRPr="00D970F7">
              <w:rPr>
                <w:spacing w:val="-3"/>
                <w:lang w:val="en-GB" w:eastAsia="en-US"/>
              </w:rPr>
              <w:t xml:space="preserve">decrease between March and June from </w:t>
            </w:r>
            <w:r w:rsidR="00AB75C5" w:rsidRPr="00D970F7">
              <w:rPr>
                <w:spacing w:val="-3"/>
                <w:lang w:val="en-GB" w:eastAsia="en-US"/>
              </w:rPr>
              <w:t>1</w:t>
            </w:r>
            <w:r w:rsidR="003050FD" w:rsidRPr="00D970F7">
              <w:rPr>
                <w:spacing w:val="-3"/>
                <w:lang w:val="en-GB" w:eastAsia="en-US"/>
              </w:rPr>
              <w:t>.</w:t>
            </w:r>
            <w:r w:rsidR="00AB75C5" w:rsidRPr="00D970F7">
              <w:rPr>
                <w:spacing w:val="-3"/>
                <w:lang w:val="en-GB" w:eastAsia="en-US"/>
              </w:rPr>
              <w:t>38%</w:t>
            </w:r>
            <w:r w:rsidR="003050FD" w:rsidRPr="00D970F7">
              <w:rPr>
                <w:spacing w:val="-3"/>
                <w:lang w:val="en-GB" w:eastAsia="en-US"/>
              </w:rPr>
              <w:t xml:space="preserve"> to </w:t>
            </w:r>
            <w:r w:rsidR="00AB75C5" w:rsidRPr="00D970F7">
              <w:rPr>
                <w:spacing w:val="-3"/>
                <w:lang w:val="en-GB" w:eastAsia="en-US"/>
              </w:rPr>
              <w:t>0</w:t>
            </w:r>
            <w:r w:rsidR="003050FD" w:rsidRPr="00D970F7">
              <w:rPr>
                <w:spacing w:val="-3"/>
                <w:lang w:val="en-GB" w:eastAsia="en-US"/>
              </w:rPr>
              <w:t>.</w:t>
            </w:r>
            <w:r w:rsidR="00AB75C5" w:rsidRPr="00D970F7">
              <w:rPr>
                <w:spacing w:val="-3"/>
                <w:lang w:val="en-GB" w:eastAsia="en-US"/>
              </w:rPr>
              <w:t>37%)</w:t>
            </w:r>
            <w:r w:rsidR="003050FD" w:rsidRPr="00D970F7">
              <w:rPr>
                <w:spacing w:val="-3"/>
                <w:lang w:val="en-GB" w:eastAsia="en-US"/>
              </w:rPr>
              <w:t xml:space="preserve"> and above </w:t>
            </w:r>
            <w:r w:rsidR="00AB75C5" w:rsidRPr="00D970F7">
              <w:rPr>
                <w:spacing w:val="-3"/>
                <w:lang w:val="en-GB" w:eastAsia="en-US"/>
              </w:rPr>
              <w:t>1 </w:t>
            </w:r>
            <w:r w:rsidR="003050FD" w:rsidRPr="00D970F7">
              <w:rPr>
                <w:spacing w:val="-3"/>
                <w:lang w:val="en-GB" w:eastAsia="en-US"/>
              </w:rPr>
              <w:t xml:space="preserve">year till </w:t>
            </w:r>
            <w:r w:rsidR="00AB75C5" w:rsidRPr="00D970F7">
              <w:rPr>
                <w:spacing w:val="-3"/>
                <w:lang w:val="en-GB" w:eastAsia="en-US"/>
              </w:rPr>
              <w:t>2 </w:t>
            </w:r>
            <w:r w:rsidR="003050FD" w:rsidRPr="00D970F7">
              <w:rPr>
                <w:spacing w:val="-3"/>
                <w:lang w:val="en-GB" w:eastAsia="en-US"/>
              </w:rPr>
              <w:t xml:space="preserve">years </w:t>
            </w:r>
            <w:r w:rsidR="00AB75C5" w:rsidRPr="00D970F7">
              <w:rPr>
                <w:spacing w:val="-3"/>
                <w:lang w:val="en-GB" w:eastAsia="en-US"/>
              </w:rPr>
              <w:t>(</w:t>
            </w:r>
            <w:r w:rsidR="003050FD" w:rsidRPr="00D970F7">
              <w:rPr>
                <w:spacing w:val="-3"/>
                <w:lang w:val="en-GB" w:eastAsia="en-US"/>
              </w:rPr>
              <w:t xml:space="preserve">from </w:t>
            </w:r>
            <w:r w:rsidR="00AB75C5" w:rsidRPr="00D970F7">
              <w:rPr>
                <w:spacing w:val="-3"/>
                <w:lang w:val="en-GB" w:eastAsia="en-US"/>
              </w:rPr>
              <w:t>2</w:t>
            </w:r>
            <w:r w:rsidR="003050FD" w:rsidRPr="00D970F7">
              <w:rPr>
                <w:spacing w:val="-3"/>
                <w:lang w:val="en-GB" w:eastAsia="en-US"/>
              </w:rPr>
              <w:t>.</w:t>
            </w:r>
            <w:r w:rsidR="00AB75C5" w:rsidRPr="00D970F7">
              <w:rPr>
                <w:spacing w:val="-3"/>
                <w:lang w:val="en-GB" w:eastAsia="en-US"/>
              </w:rPr>
              <w:t>07%</w:t>
            </w:r>
            <w:r w:rsidR="003050FD" w:rsidRPr="00D970F7">
              <w:rPr>
                <w:spacing w:val="-3"/>
                <w:lang w:val="en-GB" w:eastAsia="en-US"/>
              </w:rPr>
              <w:t xml:space="preserve"> to </w:t>
            </w:r>
            <w:r w:rsidR="00AB75C5" w:rsidRPr="00D970F7">
              <w:rPr>
                <w:spacing w:val="-3"/>
                <w:lang w:val="en-GB" w:eastAsia="en-US"/>
              </w:rPr>
              <w:t>1</w:t>
            </w:r>
            <w:r w:rsidR="003050FD" w:rsidRPr="00D970F7">
              <w:rPr>
                <w:spacing w:val="-3"/>
                <w:lang w:val="en-GB" w:eastAsia="en-US"/>
              </w:rPr>
              <w:t>.</w:t>
            </w:r>
            <w:r w:rsidR="00AB75C5" w:rsidRPr="00D970F7">
              <w:rPr>
                <w:spacing w:val="-3"/>
                <w:lang w:val="en-GB" w:eastAsia="en-US"/>
              </w:rPr>
              <w:t xml:space="preserve">53%). </w:t>
            </w:r>
            <w:r w:rsidR="00A71462" w:rsidRPr="00D970F7">
              <w:rPr>
                <w:spacing w:val="-3"/>
                <w:lang w:val="en-GB" w:eastAsia="en-US"/>
              </w:rPr>
              <w:t xml:space="preserve">Rates on the current accounts dropped also to the non-financial businesses </w:t>
            </w:r>
            <w:r w:rsidR="00AB75C5" w:rsidRPr="00D970F7">
              <w:rPr>
                <w:spacing w:val="-3"/>
                <w:lang w:val="en-GB" w:eastAsia="en-US"/>
              </w:rPr>
              <w:t>(</w:t>
            </w:r>
            <w:r w:rsidR="00A71462" w:rsidRPr="00D970F7">
              <w:rPr>
                <w:spacing w:val="-3"/>
                <w:lang w:val="en-GB" w:eastAsia="en-US"/>
              </w:rPr>
              <w:t xml:space="preserve">from </w:t>
            </w:r>
            <w:r w:rsidR="00AB75C5" w:rsidRPr="00D970F7">
              <w:rPr>
                <w:spacing w:val="-3"/>
                <w:lang w:val="en-GB" w:eastAsia="en-US"/>
              </w:rPr>
              <w:t>0</w:t>
            </w:r>
            <w:r w:rsidR="00A71462" w:rsidRPr="00D970F7">
              <w:rPr>
                <w:spacing w:val="-3"/>
                <w:lang w:val="en-GB" w:eastAsia="en-US"/>
              </w:rPr>
              <w:t>.</w:t>
            </w:r>
            <w:r w:rsidR="00AB75C5" w:rsidRPr="00D970F7">
              <w:rPr>
                <w:spacing w:val="-3"/>
                <w:lang w:val="en-GB" w:eastAsia="en-US"/>
              </w:rPr>
              <w:t>16%</w:t>
            </w:r>
            <w:r w:rsidR="00A71462" w:rsidRPr="00D970F7">
              <w:rPr>
                <w:spacing w:val="-3"/>
                <w:lang w:val="en-GB" w:eastAsia="en-US"/>
              </w:rPr>
              <w:t xml:space="preserve"> to </w:t>
            </w:r>
            <w:r w:rsidR="00AB75C5" w:rsidRPr="00D970F7">
              <w:rPr>
                <w:spacing w:val="-3"/>
                <w:lang w:val="en-GB" w:eastAsia="en-US"/>
              </w:rPr>
              <w:t>0</w:t>
            </w:r>
            <w:r w:rsidR="00A71462" w:rsidRPr="00D970F7">
              <w:rPr>
                <w:spacing w:val="-3"/>
                <w:lang w:val="en-GB" w:eastAsia="en-US"/>
              </w:rPr>
              <w:t>.</w:t>
            </w:r>
            <w:r w:rsidR="00AB75C5" w:rsidRPr="00D970F7">
              <w:rPr>
                <w:spacing w:val="-3"/>
                <w:lang w:val="en-GB" w:eastAsia="en-US"/>
              </w:rPr>
              <w:t xml:space="preserve">04%). </w:t>
            </w:r>
            <w:r w:rsidR="00A073CB" w:rsidRPr="00D970F7">
              <w:rPr>
                <w:spacing w:val="-3"/>
                <w:lang w:val="en-GB" w:eastAsia="en-US"/>
              </w:rPr>
              <w:t xml:space="preserve">Slump of interest rates on deposits with agreed maturity for non-financial businesses was even stronger than for households </w:t>
            </w:r>
            <w:r w:rsidR="00AB75C5" w:rsidRPr="00D970F7">
              <w:rPr>
                <w:spacing w:val="-3"/>
                <w:lang w:val="en-GB" w:eastAsia="en-US"/>
              </w:rPr>
              <w:t>(</w:t>
            </w:r>
            <w:r w:rsidR="00A073CB" w:rsidRPr="00D970F7">
              <w:rPr>
                <w:spacing w:val="-3"/>
                <w:lang w:val="en-GB" w:eastAsia="en-US"/>
              </w:rPr>
              <w:t xml:space="preserve">from </w:t>
            </w:r>
            <w:r w:rsidR="00AB75C5" w:rsidRPr="00D970F7">
              <w:rPr>
                <w:spacing w:val="-3"/>
                <w:lang w:val="en-GB" w:eastAsia="en-US"/>
              </w:rPr>
              <w:t>1</w:t>
            </w:r>
            <w:r w:rsidR="00A073CB" w:rsidRPr="00D970F7">
              <w:rPr>
                <w:spacing w:val="-3"/>
                <w:lang w:val="en-GB" w:eastAsia="en-US"/>
              </w:rPr>
              <w:t>.</w:t>
            </w:r>
            <w:r w:rsidR="00AB75C5" w:rsidRPr="00D970F7">
              <w:rPr>
                <w:spacing w:val="-3"/>
                <w:lang w:val="en-GB" w:eastAsia="en-US"/>
              </w:rPr>
              <w:t xml:space="preserve">36% </w:t>
            </w:r>
            <w:r w:rsidR="00A073CB" w:rsidRPr="00D970F7">
              <w:rPr>
                <w:spacing w:val="-3"/>
                <w:lang w:val="en-GB" w:eastAsia="en-US"/>
              </w:rPr>
              <w:t xml:space="preserve">in March to </w:t>
            </w:r>
            <w:r w:rsidR="00AB75C5" w:rsidRPr="00D970F7">
              <w:rPr>
                <w:spacing w:val="-3"/>
                <w:lang w:val="en-GB" w:eastAsia="en-US"/>
              </w:rPr>
              <w:t>0</w:t>
            </w:r>
            <w:r w:rsidR="00A073CB" w:rsidRPr="00D970F7">
              <w:rPr>
                <w:spacing w:val="-3"/>
                <w:lang w:val="en-GB" w:eastAsia="en-US"/>
              </w:rPr>
              <w:t>.</w:t>
            </w:r>
            <w:r w:rsidR="00AB75C5" w:rsidRPr="00D970F7">
              <w:rPr>
                <w:spacing w:val="-3"/>
                <w:lang w:val="en-GB" w:eastAsia="en-US"/>
              </w:rPr>
              <w:t xml:space="preserve">16% </w:t>
            </w:r>
            <w:r w:rsidR="00A073CB" w:rsidRPr="00D970F7">
              <w:rPr>
                <w:spacing w:val="-3"/>
                <w:lang w:val="en-GB" w:eastAsia="en-US"/>
              </w:rPr>
              <w:t>in June</w:t>
            </w:r>
            <w:r w:rsidR="00AB75C5" w:rsidRPr="00D970F7">
              <w:rPr>
                <w:spacing w:val="-3"/>
                <w:lang w:val="en-GB" w:eastAsia="en-US"/>
              </w:rPr>
              <w:t xml:space="preserve">). </w:t>
            </w:r>
            <w:r w:rsidR="00813B27" w:rsidRPr="00D970F7">
              <w:rPr>
                <w:spacing w:val="-3"/>
                <w:lang w:val="en-GB" w:eastAsia="en-US"/>
              </w:rPr>
              <w:t>It thus was not surprising, that the total volume of deposits with agreed maturity was by 1.3% lower year-on-year at the end of June</w:t>
            </w:r>
            <w:r w:rsidR="00AB75C5" w:rsidRPr="00D970F7">
              <w:rPr>
                <w:spacing w:val="-3"/>
                <w:lang w:val="en-GB" w:eastAsia="en-US"/>
              </w:rPr>
              <w:t xml:space="preserve">, </w:t>
            </w:r>
            <w:r w:rsidR="00D85196" w:rsidRPr="00D970F7">
              <w:rPr>
                <w:spacing w:val="-3"/>
                <w:lang w:val="en-GB" w:eastAsia="en-US"/>
              </w:rPr>
              <w:t xml:space="preserve">while non-term deposits strengthened by </w:t>
            </w:r>
            <w:r w:rsidR="00AB75C5" w:rsidRPr="00D970F7">
              <w:rPr>
                <w:spacing w:val="-3"/>
                <w:lang w:val="en-GB" w:eastAsia="en-US"/>
              </w:rPr>
              <w:t>13</w:t>
            </w:r>
            <w:r w:rsidR="00D85196" w:rsidRPr="00D970F7">
              <w:rPr>
                <w:spacing w:val="-3"/>
                <w:lang w:val="en-GB" w:eastAsia="en-US"/>
              </w:rPr>
              <w:t>.</w:t>
            </w:r>
            <w:r w:rsidR="00AB75C5" w:rsidRPr="00D970F7">
              <w:rPr>
                <w:spacing w:val="-3"/>
                <w:lang w:val="en-GB" w:eastAsia="en-US"/>
              </w:rPr>
              <w:t>3% (</w:t>
            </w:r>
            <w:r w:rsidR="00D85196" w:rsidRPr="00D970F7">
              <w:rPr>
                <w:spacing w:val="-3"/>
                <w:lang w:val="en-GB" w:eastAsia="en-US"/>
              </w:rPr>
              <w:t xml:space="preserve">the most since September </w:t>
            </w:r>
            <w:r w:rsidR="00AB75C5" w:rsidRPr="00D970F7">
              <w:rPr>
                <w:spacing w:val="-3"/>
                <w:lang w:val="en-GB" w:eastAsia="en-US"/>
              </w:rPr>
              <w:t>2017).</w:t>
            </w:r>
          </w:p>
        </w:tc>
      </w:tr>
      <w:tr w:rsidR="00AB75C5" w:rsidRPr="00D970F7" w14:paraId="0B5FBA11" w14:textId="77777777" w:rsidTr="00AB75C5">
        <w:trPr>
          <w:trHeight w:val="145"/>
        </w:trPr>
        <w:tc>
          <w:tcPr>
            <w:tcW w:w="1802" w:type="dxa"/>
            <w:hideMark/>
          </w:tcPr>
          <w:p w14:paraId="47A16945" w14:textId="736A4E40" w:rsidR="00AB75C5" w:rsidRPr="00D970F7" w:rsidRDefault="00374428">
            <w:pPr>
              <w:pStyle w:val="Marginlie"/>
              <w:rPr>
                <w:lang w:val="en-GB" w:eastAsia="en-US"/>
              </w:rPr>
            </w:pPr>
            <w:r w:rsidRPr="00D970F7">
              <w:rPr>
                <w:lang w:val="en-GB" w:eastAsia="en-US"/>
              </w:rPr>
              <w:t>Consumption possibilities were limited in Q</w:t>
            </w:r>
            <w:r w:rsidR="00AB75C5" w:rsidRPr="00D970F7">
              <w:rPr>
                <w:lang w:val="en-GB" w:eastAsia="en-US"/>
              </w:rPr>
              <w:t>2</w:t>
            </w:r>
            <w:r w:rsidRPr="00D970F7">
              <w:rPr>
                <w:lang w:val="en-GB" w:eastAsia="en-US"/>
              </w:rPr>
              <w:t>, which was also evident on the development of the volume of provided consum</w:t>
            </w:r>
            <w:r w:rsidR="007C3FBC" w:rsidRPr="00D970F7">
              <w:rPr>
                <w:lang w:val="en-GB" w:eastAsia="en-US"/>
              </w:rPr>
              <w:t>er</w:t>
            </w:r>
            <w:r w:rsidRPr="00D970F7">
              <w:rPr>
                <w:lang w:val="en-GB" w:eastAsia="en-US"/>
              </w:rPr>
              <w:t xml:space="preserve"> credit. </w:t>
            </w:r>
          </w:p>
        </w:tc>
        <w:tc>
          <w:tcPr>
            <w:tcW w:w="229" w:type="dxa"/>
          </w:tcPr>
          <w:p w14:paraId="16505742" w14:textId="77777777" w:rsidR="00AB75C5" w:rsidRPr="00D970F7" w:rsidRDefault="00AB75C5">
            <w:pPr>
              <w:pStyle w:val="Textpoznpodarou"/>
              <w:jc w:val="both"/>
              <w:rPr>
                <w:spacing w:val="-4"/>
                <w:lang w:val="en-GB" w:eastAsia="en-US"/>
              </w:rPr>
            </w:pPr>
          </w:p>
        </w:tc>
        <w:tc>
          <w:tcPr>
            <w:tcW w:w="7610" w:type="dxa"/>
            <w:hideMark/>
          </w:tcPr>
          <w:p w14:paraId="233034A1" w14:textId="409F098B" w:rsidR="00AB75C5" w:rsidRPr="00D970F7" w:rsidRDefault="007C3FBC">
            <w:pPr>
              <w:rPr>
                <w:lang w:val="en-GB" w:eastAsia="en-US"/>
              </w:rPr>
            </w:pPr>
            <w:r w:rsidRPr="00D970F7">
              <w:rPr>
                <w:lang w:val="en-GB" w:eastAsia="en-US"/>
              </w:rPr>
              <w:t>The access of households to the credit financing was also made cheaper in Q2</w:t>
            </w:r>
            <w:r w:rsidR="00AB75C5" w:rsidRPr="00D970F7">
              <w:rPr>
                <w:lang w:val="en-GB" w:eastAsia="en-US"/>
              </w:rPr>
              <w:t>.</w:t>
            </w:r>
            <w:r w:rsidRPr="00D970F7">
              <w:rPr>
                <w:lang w:val="en-GB" w:eastAsia="en-US"/>
              </w:rPr>
              <w:t xml:space="preserve"> </w:t>
            </w:r>
            <w:r w:rsidR="001D6464" w:rsidRPr="00D970F7">
              <w:rPr>
                <w:lang w:val="en-GB" w:eastAsia="en-US"/>
              </w:rPr>
              <w:t>The average interest rate of consumer credit decreased by</w:t>
            </w:r>
            <w:r w:rsidR="00AB75C5" w:rsidRPr="00D970F7">
              <w:rPr>
                <w:lang w:val="en-GB" w:eastAsia="en-US"/>
              </w:rPr>
              <w:t> 0</w:t>
            </w:r>
            <w:r w:rsidR="001D6464" w:rsidRPr="00D970F7">
              <w:rPr>
                <w:lang w:val="en-GB" w:eastAsia="en-US"/>
              </w:rPr>
              <w:t>.</w:t>
            </w:r>
            <w:r w:rsidR="00AB75C5" w:rsidRPr="00D970F7">
              <w:rPr>
                <w:lang w:val="en-GB" w:eastAsia="en-US"/>
              </w:rPr>
              <w:t>26 p.</w:t>
            </w:r>
            <w:r w:rsidR="001D6464" w:rsidRPr="00D970F7">
              <w:rPr>
                <w:lang w:val="en-GB" w:eastAsia="en-US"/>
              </w:rPr>
              <w:t xml:space="preserve">p. to </w:t>
            </w:r>
            <w:r w:rsidR="00AB75C5" w:rsidRPr="00D970F7">
              <w:rPr>
                <w:lang w:val="en-GB" w:eastAsia="en-US"/>
              </w:rPr>
              <w:t>7</w:t>
            </w:r>
            <w:r w:rsidR="001D6464" w:rsidRPr="00D970F7">
              <w:rPr>
                <w:lang w:val="en-GB" w:eastAsia="en-US"/>
              </w:rPr>
              <w:t>.</w:t>
            </w:r>
            <w:r w:rsidR="00AB75C5" w:rsidRPr="00D970F7">
              <w:rPr>
                <w:lang w:val="en-GB" w:eastAsia="en-US"/>
              </w:rPr>
              <w:t xml:space="preserve">89% </w:t>
            </w:r>
            <w:r w:rsidR="001D6464" w:rsidRPr="00D970F7">
              <w:rPr>
                <w:lang w:val="en-GB" w:eastAsia="en-US"/>
              </w:rPr>
              <w:t xml:space="preserve">between March and June and it moved below the </w:t>
            </w:r>
            <w:r w:rsidR="00AB75C5" w:rsidRPr="00D970F7">
              <w:rPr>
                <w:lang w:val="en-GB" w:eastAsia="en-US"/>
              </w:rPr>
              <w:t xml:space="preserve">8% </w:t>
            </w:r>
            <w:r w:rsidR="001D6464" w:rsidRPr="00D970F7">
              <w:rPr>
                <w:lang w:val="en-GB" w:eastAsia="en-US"/>
              </w:rPr>
              <w:t>boundary for the first time</w:t>
            </w:r>
            <w:r w:rsidR="00AB75C5" w:rsidRPr="00D970F7">
              <w:rPr>
                <w:lang w:val="en-GB" w:eastAsia="en-US"/>
              </w:rPr>
              <w:t xml:space="preserve">. </w:t>
            </w:r>
            <w:r w:rsidR="0061541C" w:rsidRPr="00D970F7">
              <w:rPr>
                <w:lang w:val="en-GB" w:eastAsia="en-US"/>
              </w:rPr>
              <w:t xml:space="preserve">The average interest on mortgages also decreased </w:t>
            </w:r>
            <w:r w:rsidR="00AB75C5" w:rsidRPr="00D970F7">
              <w:rPr>
                <w:lang w:val="en-GB" w:eastAsia="en-US"/>
              </w:rPr>
              <w:t>(–0</w:t>
            </w:r>
            <w:r w:rsidR="0061541C" w:rsidRPr="00D970F7">
              <w:rPr>
                <w:lang w:val="en-GB" w:eastAsia="en-US"/>
              </w:rPr>
              <w:t>.</w:t>
            </w:r>
            <w:r w:rsidR="00AB75C5" w:rsidRPr="00D970F7">
              <w:rPr>
                <w:lang w:val="en-GB" w:eastAsia="en-US"/>
              </w:rPr>
              <w:t>13 p.</w:t>
            </w:r>
            <w:r w:rsidR="0061541C" w:rsidRPr="00D970F7">
              <w:rPr>
                <w:lang w:val="en-GB" w:eastAsia="en-US"/>
              </w:rPr>
              <w:t>p</w:t>
            </w:r>
            <w:r w:rsidR="00AB75C5" w:rsidRPr="00D970F7">
              <w:rPr>
                <w:lang w:val="en-GB" w:eastAsia="en-US"/>
              </w:rPr>
              <w:t>.</w:t>
            </w:r>
            <w:r w:rsidR="0061541C" w:rsidRPr="00D970F7">
              <w:rPr>
                <w:lang w:val="en-GB" w:eastAsia="en-US"/>
              </w:rPr>
              <w:t xml:space="preserve"> to </w:t>
            </w:r>
            <w:r w:rsidR="00AB75C5" w:rsidRPr="00D970F7">
              <w:rPr>
                <w:lang w:val="en-GB" w:eastAsia="en-US"/>
              </w:rPr>
              <w:t>2</w:t>
            </w:r>
            <w:r w:rsidR="0061541C" w:rsidRPr="00D970F7">
              <w:rPr>
                <w:lang w:val="en-GB" w:eastAsia="en-US"/>
              </w:rPr>
              <w:t>.</w:t>
            </w:r>
            <w:r w:rsidR="00AB75C5" w:rsidRPr="00D970F7">
              <w:rPr>
                <w:lang w:val="en-GB" w:eastAsia="en-US"/>
              </w:rPr>
              <w:t>42%</w:t>
            </w:r>
            <w:r w:rsidR="0061541C" w:rsidRPr="00D970F7">
              <w:rPr>
                <w:lang w:val="en-GB" w:eastAsia="en-US"/>
              </w:rPr>
              <w:t xml:space="preserve"> at the end of June</w:t>
            </w:r>
            <w:r w:rsidR="00AB75C5" w:rsidRPr="00D970F7">
              <w:rPr>
                <w:lang w:val="en-GB" w:eastAsia="en-US"/>
              </w:rPr>
              <w:t xml:space="preserve">). </w:t>
            </w:r>
            <w:r w:rsidR="00454515" w:rsidRPr="00D970F7">
              <w:rPr>
                <w:lang w:val="en-GB" w:eastAsia="en-US"/>
              </w:rPr>
              <w:t xml:space="preserve">The </w:t>
            </w:r>
            <w:r w:rsidR="00454515" w:rsidRPr="00D970F7">
              <w:rPr>
                <w:lang w:val="en-GB" w:eastAsia="en-US"/>
              </w:rPr>
              <w:lastRenderedPageBreak/>
              <w:t>reduction was the most significant for</w:t>
            </w:r>
            <w:r w:rsidR="00454515" w:rsidRPr="00D970F7">
              <w:rPr>
                <w:lang w:val="en-GB"/>
              </w:rPr>
              <w:t xml:space="preserve"> fixation of the rate up to 1 year, but the cut occurred also in case of fixation above 1 year till 5 years and above 5 years till 10 years.  Only interests on mortgages with fixation above </w:t>
            </w:r>
            <w:r w:rsidR="00AB75C5" w:rsidRPr="00D970F7">
              <w:rPr>
                <w:lang w:val="en-GB" w:eastAsia="en-US"/>
              </w:rPr>
              <w:t>10</w:t>
            </w:r>
            <w:r w:rsidR="00454515" w:rsidRPr="00D970F7">
              <w:rPr>
                <w:lang w:val="en-GB" w:eastAsia="en-US"/>
              </w:rPr>
              <w:t xml:space="preserve"> years went up in Q</w:t>
            </w:r>
            <w:r w:rsidR="00AB75C5" w:rsidRPr="00D970F7">
              <w:rPr>
                <w:lang w:val="en-GB" w:eastAsia="en-US"/>
              </w:rPr>
              <w:t>2.</w:t>
            </w:r>
            <w:r w:rsidR="00454515" w:rsidRPr="00D970F7">
              <w:rPr>
                <w:lang w:val="en-GB" w:eastAsia="en-US"/>
              </w:rPr>
              <w:t xml:space="preserve"> </w:t>
            </w:r>
            <w:r w:rsidR="006F77B7" w:rsidRPr="00D970F7">
              <w:rPr>
                <w:lang w:val="en-GB" w:eastAsia="en-US"/>
              </w:rPr>
              <w:t>Ongoing restrictions had impact on marked slowdown of the year-on-year rate of growth of the volume of consumer credit in Q</w:t>
            </w:r>
            <w:r w:rsidR="00AB75C5" w:rsidRPr="00D970F7">
              <w:rPr>
                <w:lang w:val="en-GB" w:eastAsia="en-US"/>
              </w:rPr>
              <w:t>2.</w:t>
            </w:r>
            <w:r w:rsidR="006F77B7" w:rsidRPr="00D970F7">
              <w:rPr>
                <w:lang w:val="en-GB" w:eastAsia="en-US"/>
              </w:rPr>
              <w:t xml:space="preserve"> While in the previous half year the rate was </w:t>
            </w:r>
            <w:r w:rsidR="00AB75C5" w:rsidRPr="00D970F7">
              <w:rPr>
                <w:lang w:val="en-GB" w:eastAsia="en-US"/>
              </w:rPr>
              <w:t>9%,</w:t>
            </w:r>
            <w:r w:rsidR="006F77B7" w:rsidRPr="00D970F7">
              <w:rPr>
                <w:lang w:val="en-GB" w:eastAsia="en-US"/>
              </w:rPr>
              <w:t xml:space="preserve"> at the end of June, the volume of provided credit </w:t>
            </w:r>
            <w:r w:rsidR="000E70F3" w:rsidRPr="00D970F7">
              <w:rPr>
                <w:lang w:val="en-GB" w:eastAsia="en-US"/>
              </w:rPr>
              <w:t xml:space="preserve">was </w:t>
            </w:r>
            <w:r w:rsidR="006F77B7" w:rsidRPr="00D970F7">
              <w:rPr>
                <w:lang w:val="en-GB" w:eastAsia="en-US"/>
              </w:rPr>
              <w:t xml:space="preserve">by 6.3% higher year-on-year. </w:t>
            </w:r>
            <w:r w:rsidR="007230C9" w:rsidRPr="00D970F7">
              <w:rPr>
                <w:lang w:val="en-GB" w:eastAsia="en-US"/>
              </w:rPr>
              <w:t xml:space="preserve">Regarding mortgages, the decrease did not manifest. Volume of provided mortgages rose by 7.9% year-on-year, the pace thus slightly accelerated. </w:t>
            </w:r>
          </w:p>
        </w:tc>
      </w:tr>
      <w:tr w:rsidR="00AB75C5" w:rsidRPr="00D970F7" w14:paraId="48784E8D" w14:textId="77777777" w:rsidTr="00AB75C5">
        <w:trPr>
          <w:trHeight w:val="145"/>
        </w:trPr>
        <w:tc>
          <w:tcPr>
            <w:tcW w:w="1802" w:type="dxa"/>
            <w:hideMark/>
          </w:tcPr>
          <w:p w14:paraId="7271CCC7" w14:textId="14E19A46" w:rsidR="00AB75C5" w:rsidRPr="00D970F7" w:rsidRDefault="00B454C0">
            <w:pPr>
              <w:pStyle w:val="Marginlie"/>
              <w:rPr>
                <w:lang w:val="en-GB" w:eastAsia="en-US"/>
              </w:rPr>
            </w:pPr>
            <w:r w:rsidRPr="00D970F7">
              <w:rPr>
                <w:lang w:val="en-GB" w:eastAsia="en-US"/>
              </w:rPr>
              <w:lastRenderedPageBreak/>
              <w:t xml:space="preserve">Access to credit made cheaper for non-financial businesses. Uncertain </w:t>
            </w:r>
            <w:r w:rsidR="000E3E28" w:rsidRPr="00D970F7">
              <w:rPr>
                <w:lang w:val="en-GB" w:eastAsia="en-US"/>
              </w:rPr>
              <w:t>environment</w:t>
            </w:r>
            <w:r w:rsidRPr="00D970F7">
              <w:rPr>
                <w:lang w:val="en-GB" w:eastAsia="en-US"/>
              </w:rPr>
              <w:t xml:space="preserve"> however also led to moderation of the credit dynamics. </w:t>
            </w:r>
          </w:p>
        </w:tc>
        <w:tc>
          <w:tcPr>
            <w:tcW w:w="229" w:type="dxa"/>
          </w:tcPr>
          <w:p w14:paraId="12C9EDC0" w14:textId="77777777" w:rsidR="00AB75C5" w:rsidRPr="00D970F7" w:rsidRDefault="00AB75C5">
            <w:pPr>
              <w:pStyle w:val="Textpoznpodarou"/>
              <w:jc w:val="both"/>
              <w:rPr>
                <w:spacing w:val="-4"/>
                <w:lang w:val="en-GB" w:eastAsia="en-US"/>
              </w:rPr>
            </w:pPr>
          </w:p>
        </w:tc>
        <w:tc>
          <w:tcPr>
            <w:tcW w:w="7610" w:type="dxa"/>
            <w:hideMark/>
          </w:tcPr>
          <w:p w14:paraId="6D5959C0" w14:textId="336873C9" w:rsidR="00434459" w:rsidRPr="00D970F7" w:rsidRDefault="000E3E28" w:rsidP="0078236A">
            <w:pPr>
              <w:spacing w:after="0"/>
              <w:rPr>
                <w:lang w:val="en-GB" w:eastAsia="en-US"/>
              </w:rPr>
            </w:pPr>
            <w:r w:rsidRPr="00D970F7">
              <w:rPr>
                <w:lang w:val="en-GB" w:eastAsia="en-US"/>
              </w:rPr>
              <w:t xml:space="preserve">Interest rates of credit for non-financial businesses were cut across the board since March till June. The most for credit above </w:t>
            </w:r>
            <w:r w:rsidR="00AB75C5" w:rsidRPr="00D970F7">
              <w:rPr>
                <w:lang w:val="en-GB" w:eastAsia="en-US"/>
              </w:rPr>
              <w:t>30</w:t>
            </w:r>
            <w:r w:rsidRPr="00D970F7">
              <w:rPr>
                <w:lang w:val="en-GB" w:eastAsia="en-US"/>
              </w:rPr>
              <w:t xml:space="preserve"> CZK mil </w:t>
            </w:r>
            <w:r w:rsidR="00AB75C5" w:rsidRPr="00D970F7">
              <w:rPr>
                <w:lang w:val="en-GB" w:eastAsia="en-US"/>
              </w:rPr>
              <w:t>(–1</w:t>
            </w:r>
            <w:r w:rsidRPr="00D970F7">
              <w:rPr>
                <w:lang w:val="en-GB" w:eastAsia="en-US"/>
              </w:rPr>
              <w:t>.</w:t>
            </w:r>
            <w:r w:rsidR="00AB75C5" w:rsidRPr="00D970F7">
              <w:rPr>
                <w:lang w:val="en-GB" w:eastAsia="en-US"/>
              </w:rPr>
              <w:t>03 p.</w:t>
            </w:r>
            <w:r w:rsidRPr="00D970F7">
              <w:rPr>
                <w:lang w:val="en-GB" w:eastAsia="en-US"/>
              </w:rPr>
              <w:t>p</w:t>
            </w:r>
            <w:r w:rsidR="00AB75C5" w:rsidRPr="00D970F7">
              <w:rPr>
                <w:lang w:val="en-GB" w:eastAsia="en-US"/>
              </w:rPr>
              <w:t xml:space="preserve">. </w:t>
            </w:r>
            <w:r w:rsidRPr="00D970F7">
              <w:rPr>
                <w:lang w:val="en-GB" w:eastAsia="en-US"/>
              </w:rPr>
              <w:t>to</w:t>
            </w:r>
            <w:r w:rsidR="00AB75C5" w:rsidRPr="00D970F7">
              <w:rPr>
                <w:lang w:val="en-GB" w:eastAsia="en-US"/>
              </w:rPr>
              <w:t xml:space="preserve"> 2</w:t>
            </w:r>
            <w:r w:rsidRPr="00D970F7">
              <w:rPr>
                <w:lang w:val="en-GB" w:eastAsia="en-US"/>
              </w:rPr>
              <w:t>.</w:t>
            </w:r>
            <w:r w:rsidR="00AB75C5" w:rsidRPr="00D970F7">
              <w:rPr>
                <w:lang w:val="en-GB" w:eastAsia="en-US"/>
              </w:rPr>
              <w:t xml:space="preserve">07%). </w:t>
            </w:r>
            <w:r w:rsidRPr="00D970F7">
              <w:rPr>
                <w:lang w:val="en-GB" w:eastAsia="en-US"/>
              </w:rPr>
              <w:t xml:space="preserve">Credits with the volume between </w:t>
            </w:r>
            <w:r w:rsidR="00AB75C5" w:rsidRPr="00D970F7">
              <w:rPr>
                <w:lang w:val="en-GB" w:eastAsia="en-US"/>
              </w:rPr>
              <w:t>7</w:t>
            </w:r>
            <w:r w:rsidRPr="00D970F7">
              <w:rPr>
                <w:lang w:val="en-GB" w:eastAsia="en-US"/>
              </w:rPr>
              <w:t>.</w:t>
            </w:r>
            <w:r w:rsidR="00AB75C5" w:rsidRPr="00D970F7">
              <w:rPr>
                <w:lang w:val="en-GB" w:eastAsia="en-US"/>
              </w:rPr>
              <w:t>5</w:t>
            </w:r>
            <w:r w:rsidRPr="00D970F7">
              <w:rPr>
                <w:lang w:val="en-GB" w:eastAsia="en-US"/>
              </w:rPr>
              <w:t xml:space="preserve"> to </w:t>
            </w:r>
            <w:r w:rsidR="00AB75C5" w:rsidRPr="00D970F7">
              <w:rPr>
                <w:lang w:val="en-GB" w:eastAsia="en-US"/>
              </w:rPr>
              <w:t>30 mil</w:t>
            </w:r>
            <w:r w:rsidRPr="00D970F7">
              <w:rPr>
                <w:lang w:val="en-GB" w:eastAsia="en-US"/>
              </w:rPr>
              <w:t xml:space="preserve"> recorded a decrease of avera</w:t>
            </w:r>
            <w:r w:rsidR="00E74C39" w:rsidRPr="00D970F7">
              <w:rPr>
                <w:lang w:val="en-GB" w:eastAsia="en-US"/>
              </w:rPr>
              <w:t>g</w:t>
            </w:r>
            <w:r w:rsidRPr="00D970F7">
              <w:rPr>
                <w:lang w:val="en-GB" w:eastAsia="en-US"/>
              </w:rPr>
              <w:t xml:space="preserve">e rate by </w:t>
            </w:r>
            <w:r w:rsidR="00AB75C5" w:rsidRPr="00D970F7">
              <w:rPr>
                <w:lang w:val="en-GB" w:eastAsia="en-US"/>
              </w:rPr>
              <w:t>0</w:t>
            </w:r>
            <w:r w:rsidRPr="00D970F7">
              <w:rPr>
                <w:lang w:val="en-GB" w:eastAsia="en-US"/>
              </w:rPr>
              <w:t>.</w:t>
            </w:r>
            <w:r w:rsidR="00AB75C5" w:rsidRPr="00D970F7">
              <w:rPr>
                <w:lang w:val="en-GB" w:eastAsia="en-US"/>
              </w:rPr>
              <w:t>89 p.</w:t>
            </w:r>
            <w:r w:rsidRPr="00D970F7">
              <w:rPr>
                <w:lang w:val="en-GB" w:eastAsia="en-US"/>
              </w:rPr>
              <w:t xml:space="preserve">p. to </w:t>
            </w:r>
            <w:r w:rsidR="00AB75C5" w:rsidRPr="00D970F7">
              <w:rPr>
                <w:lang w:val="en-GB" w:eastAsia="en-US"/>
              </w:rPr>
              <w:t>2</w:t>
            </w:r>
            <w:r w:rsidRPr="00D970F7">
              <w:rPr>
                <w:lang w:val="en-GB" w:eastAsia="en-US"/>
              </w:rPr>
              <w:t>.</w:t>
            </w:r>
            <w:r w:rsidR="00AB75C5" w:rsidRPr="00D970F7">
              <w:rPr>
                <w:lang w:val="en-GB" w:eastAsia="en-US"/>
              </w:rPr>
              <w:t xml:space="preserve">54%. </w:t>
            </w:r>
            <w:r w:rsidR="00A20AE3" w:rsidRPr="00D970F7">
              <w:rPr>
                <w:lang w:val="en-GB" w:eastAsia="en-US"/>
              </w:rPr>
              <w:t xml:space="preserve">The interest was decreasing the least for credit up to </w:t>
            </w:r>
            <w:r w:rsidR="00AB75C5" w:rsidRPr="00D970F7">
              <w:rPr>
                <w:lang w:val="en-GB" w:eastAsia="en-US"/>
              </w:rPr>
              <w:t>7</w:t>
            </w:r>
            <w:r w:rsidR="00A20AE3" w:rsidRPr="00D970F7">
              <w:rPr>
                <w:lang w:val="en-GB" w:eastAsia="en-US"/>
              </w:rPr>
              <w:t>.</w:t>
            </w:r>
            <w:r w:rsidR="00AB75C5" w:rsidRPr="00D970F7">
              <w:rPr>
                <w:lang w:val="en-GB" w:eastAsia="en-US"/>
              </w:rPr>
              <w:t>5 </w:t>
            </w:r>
            <w:r w:rsidR="00A20AE3" w:rsidRPr="00D970F7">
              <w:rPr>
                <w:lang w:val="en-GB" w:eastAsia="en-US"/>
              </w:rPr>
              <w:t xml:space="preserve">CZK mil </w:t>
            </w:r>
            <w:r w:rsidR="00AB75C5" w:rsidRPr="00D970F7">
              <w:rPr>
                <w:lang w:val="en-GB" w:eastAsia="en-US"/>
              </w:rPr>
              <w:t>(–0</w:t>
            </w:r>
            <w:r w:rsidR="00A20AE3" w:rsidRPr="00D970F7">
              <w:rPr>
                <w:lang w:val="en-GB" w:eastAsia="en-US"/>
              </w:rPr>
              <w:t>.</w:t>
            </w:r>
            <w:r w:rsidR="00AB75C5" w:rsidRPr="00D970F7">
              <w:rPr>
                <w:lang w:val="en-GB" w:eastAsia="en-US"/>
              </w:rPr>
              <w:t>67 p.</w:t>
            </w:r>
            <w:r w:rsidR="00A20AE3" w:rsidRPr="00D970F7">
              <w:rPr>
                <w:lang w:val="en-GB" w:eastAsia="en-US"/>
              </w:rPr>
              <w:t>p</w:t>
            </w:r>
            <w:r w:rsidR="00AB75C5" w:rsidRPr="00D970F7">
              <w:rPr>
                <w:lang w:val="en-GB" w:eastAsia="en-US"/>
              </w:rPr>
              <w:t>.</w:t>
            </w:r>
            <w:r w:rsidR="00A20AE3" w:rsidRPr="00D970F7">
              <w:rPr>
                <w:lang w:val="en-GB" w:eastAsia="en-US"/>
              </w:rPr>
              <w:t xml:space="preserve"> to </w:t>
            </w:r>
            <w:r w:rsidR="00AB75C5" w:rsidRPr="00D970F7">
              <w:rPr>
                <w:lang w:val="en-GB" w:eastAsia="en-US"/>
              </w:rPr>
              <w:t>3</w:t>
            </w:r>
            <w:r w:rsidR="00A20AE3" w:rsidRPr="00D970F7">
              <w:rPr>
                <w:lang w:val="en-GB" w:eastAsia="en-US"/>
              </w:rPr>
              <w:t>.</w:t>
            </w:r>
            <w:r w:rsidR="00AB75C5" w:rsidRPr="00D970F7">
              <w:rPr>
                <w:lang w:val="en-GB" w:eastAsia="en-US"/>
              </w:rPr>
              <w:t xml:space="preserve">78%). </w:t>
            </w:r>
            <w:r w:rsidR="002F0DA5" w:rsidRPr="00D970F7">
              <w:rPr>
                <w:lang w:val="en-GB" w:eastAsia="en-US"/>
              </w:rPr>
              <w:t>Year-on-year growth of the total volume of credit and receivables of non-financial businesses slowed down in Q</w:t>
            </w:r>
            <w:r w:rsidR="00AB75C5" w:rsidRPr="00D970F7">
              <w:rPr>
                <w:lang w:val="en-GB" w:eastAsia="en-US"/>
              </w:rPr>
              <w:t>2.</w:t>
            </w:r>
            <w:r w:rsidR="002F0DA5" w:rsidRPr="00D970F7">
              <w:rPr>
                <w:lang w:val="en-GB" w:eastAsia="en-US"/>
              </w:rPr>
              <w:t xml:space="preserve"> In comparison to the end of June </w:t>
            </w:r>
            <w:r w:rsidR="00AB75C5" w:rsidRPr="00D970F7">
              <w:rPr>
                <w:lang w:val="en-GB" w:eastAsia="en-US"/>
              </w:rPr>
              <w:t>2019</w:t>
            </w:r>
            <w:r w:rsidR="002F0DA5" w:rsidRPr="00D970F7">
              <w:rPr>
                <w:lang w:val="en-GB" w:eastAsia="en-US"/>
              </w:rPr>
              <w:t xml:space="preserve">, </w:t>
            </w:r>
            <w:r w:rsidR="00EE7A0B" w:rsidRPr="00D970F7">
              <w:rPr>
                <w:lang w:val="en-GB" w:eastAsia="en-US"/>
              </w:rPr>
              <w:t xml:space="preserve">the volume of koruna credit and receivables went down by </w:t>
            </w:r>
            <w:r w:rsidR="00AB75C5" w:rsidRPr="00D970F7">
              <w:rPr>
                <w:lang w:val="en-GB" w:eastAsia="en-US"/>
              </w:rPr>
              <w:t>2</w:t>
            </w:r>
            <w:r w:rsidR="00EE7A0B" w:rsidRPr="00D970F7">
              <w:rPr>
                <w:lang w:val="en-GB" w:eastAsia="en-US"/>
              </w:rPr>
              <w:t>.</w:t>
            </w:r>
            <w:r w:rsidR="00AB75C5" w:rsidRPr="00D970F7">
              <w:rPr>
                <w:lang w:val="en-GB" w:eastAsia="en-US"/>
              </w:rPr>
              <w:t xml:space="preserve">8%. </w:t>
            </w:r>
            <w:r w:rsidR="00EE7A0B" w:rsidRPr="00D970F7">
              <w:rPr>
                <w:lang w:val="en-GB" w:eastAsia="en-US"/>
              </w:rPr>
              <w:t xml:space="preserve"> Volume of credit in foreign currency on the contrary increased year-on-year by </w:t>
            </w:r>
            <w:r w:rsidR="00AB75C5" w:rsidRPr="00D970F7">
              <w:rPr>
                <w:lang w:val="en-GB" w:eastAsia="en-US"/>
              </w:rPr>
              <w:t>21</w:t>
            </w:r>
            <w:r w:rsidR="00EE7A0B" w:rsidRPr="00D970F7">
              <w:rPr>
                <w:lang w:val="en-GB" w:eastAsia="en-US"/>
              </w:rPr>
              <w:t>.</w:t>
            </w:r>
            <w:r w:rsidR="00AB75C5" w:rsidRPr="00D970F7">
              <w:rPr>
                <w:lang w:val="en-GB" w:eastAsia="en-US"/>
              </w:rPr>
              <w:t xml:space="preserve">7%. </w:t>
            </w:r>
            <w:r w:rsidR="00EE7A0B" w:rsidRPr="00D970F7">
              <w:rPr>
                <w:lang w:val="en-GB" w:eastAsia="en-US"/>
              </w:rPr>
              <w:t xml:space="preserve">Growth of the volume of provided credit slowed down in manufacturing </w:t>
            </w:r>
            <w:r w:rsidR="00AB75C5" w:rsidRPr="00D970F7">
              <w:rPr>
                <w:lang w:val="en-GB" w:eastAsia="en-US"/>
              </w:rPr>
              <w:t>(3</w:t>
            </w:r>
            <w:r w:rsidR="00EE7A0B" w:rsidRPr="00D970F7">
              <w:rPr>
                <w:lang w:val="en-GB" w:eastAsia="en-US"/>
              </w:rPr>
              <w:t>.</w:t>
            </w:r>
            <w:r w:rsidR="00AB75C5" w:rsidRPr="00D970F7">
              <w:rPr>
                <w:lang w:val="en-GB" w:eastAsia="en-US"/>
              </w:rPr>
              <w:t>5%),</w:t>
            </w:r>
            <w:r w:rsidR="00EE7A0B" w:rsidRPr="00D970F7">
              <w:rPr>
                <w:lang w:val="en-GB" w:eastAsia="en-US"/>
              </w:rPr>
              <w:t xml:space="preserve"> construction </w:t>
            </w:r>
            <w:r w:rsidR="00AB75C5" w:rsidRPr="00D970F7">
              <w:rPr>
                <w:lang w:val="en-GB" w:eastAsia="en-US"/>
              </w:rPr>
              <w:t>(4</w:t>
            </w:r>
            <w:r w:rsidR="00EE7A0B" w:rsidRPr="00D970F7">
              <w:rPr>
                <w:lang w:val="en-GB" w:eastAsia="en-US"/>
              </w:rPr>
              <w:t>.</w:t>
            </w:r>
            <w:r w:rsidR="00AB75C5" w:rsidRPr="00D970F7">
              <w:rPr>
                <w:lang w:val="en-GB" w:eastAsia="en-US"/>
              </w:rPr>
              <w:t>8%)</w:t>
            </w:r>
            <w:r w:rsidR="00EE7A0B" w:rsidRPr="00D970F7">
              <w:rPr>
                <w:lang w:val="en-GB" w:eastAsia="en-US"/>
              </w:rPr>
              <w:t xml:space="preserve"> and in wholesale and retail, repairs and maintenance of motor vehicles </w:t>
            </w:r>
            <w:r w:rsidR="00AB75C5" w:rsidRPr="00D970F7">
              <w:rPr>
                <w:lang w:val="en-GB" w:eastAsia="en-US"/>
              </w:rPr>
              <w:t>(1</w:t>
            </w:r>
            <w:r w:rsidR="00EE7A0B" w:rsidRPr="00D970F7">
              <w:rPr>
                <w:lang w:val="en-GB" w:eastAsia="en-US"/>
              </w:rPr>
              <w:t>.</w:t>
            </w:r>
            <w:r w:rsidR="00AB75C5" w:rsidRPr="00D970F7">
              <w:rPr>
                <w:lang w:val="en-GB" w:eastAsia="en-US"/>
              </w:rPr>
              <w:t xml:space="preserve">2%). </w:t>
            </w:r>
            <w:r w:rsidR="006963A7" w:rsidRPr="00D970F7">
              <w:rPr>
                <w:lang w:val="en-GB" w:eastAsia="en-US"/>
              </w:rPr>
              <w:t xml:space="preserve">The volume of credit to real estate activities grew on the contrary very fast </w:t>
            </w:r>
            <w:r w:rsidR="00AB75C5" w:rsidRPr="00D970F7">
              <w:rPr>
                <w:lang w:val="en-GB" w:eastAsia="en-US"/>
              </w:rPr>
              <w:t>(12</w:t>
            </w:r>
            <w:r w:rsidR="006963A7" w:rsidRPr="00D970F7">
              <w:rPr>
                <w:lang w:val="en-GB" w:eastAsia="en-US"/>
              </w:rPr>
              <w:t>.</w:t>
            </w:r>
            <w:r w:rsidR="00AB75C5" w:rsidRPr="00D970F7">
              <w:rPr>
                <w:lang w:val="en-GB" w:eastAsia="en-US"/>
              </w:rPr>
              <w:t xml:space="preserve">3%; </w:t>
            </w:r>
            <w:r w:rsidR="006963A7" w:rsidRPr="00D970F7">
              <w:rPr>
                <w:lang w:val="en-GB" w:eastAsia="en-US"/>
              </w:rPr>
              <w:t xml:space="preserve">very substantial addition </w:t>
            </w:r>
            <w:r w:rsidR="00AB75C5" w:rsidRPr="00D970F7">
              <w:rPr>
                <w:lang w:val="en-GB" w:eastAsia="en-US"/>
              </w:rPr>
              <w:t>10</w:t>
            </w:r>
            <w:r w:rsidR="006963A7" w:rsidRPr="00D970F7">
              <w:rPr>
                <w:lang w:val="en-GB" w:eastAsia="en-US"/>
              </w:rPr>
              <w:t>.</w:t>
            </w:r>
            <w:r w:rsidR="00AB75C5" w:rsidRPr="00D970F7">
              <w:rPr>
                <w:lang w:val="en-GB" w:eastAsia="en-US"/>
              </w:rPr>
              <w:t>3%</w:t>
            </w:r>
            <w:r w:rsidR="006963A7" w:rsidRPr="00D970F7">
              <w:rPr>
                <w:lang w:val="en-GB" w:eastAsia="en-US"/>
              </w:rPr>
              <w:t xml:space="preserve"> was recorded already in Q</w:t>
            </w:r>
            <w:r w:rsidR="00AB75C5" w:rsidRPr="00D970F7">
              <w:rPr>
                <w:lang w:val="en-GB" w:eastAsia="en-US"/>
              </w:rPr>
              <w:t xml:space="preserve">1). </w:t>
            </w:r>
            <w:r w:rsidR="006963A7" w:rsidRPr="00D970F7">
              <w:rPr>
                <w:lang w:val="en-GB" w:eastAsia="en-US"/>
              </w:rPr>
              <w:t xml:space="preserve">Part of the addition in manufacturing or financial and insurance activities is however also connected to the March depreciation of koruna, which was reflected in the recalculated value of credit in foreign currency. </w:t>
            </w:r>
            <w:r w:rsidR="00AC6FFE" w:rsidRPr="00D970F7">
              <w:rPr>
                <w:lang w:val="en-GB" w:eastAsia="en-US"/>
              </w:rPr>
              <w:t xml:space="preserve">The volume of credit in accommodation, food service and restaurants also reached high year-on-year addition </w:t>
            </w:r>
            <w:r w:rsidR="00AB75C5" w:rsidRPr="00D970F7">
              <w:rPr>
                <w:lang w:val="en-GB" w:eastAsia="en-US"/>
              </w:rPr>
              <w:t>(10</w:t>
            </w:r>
            <w:r w:rsidR="00AC6FFE" w:rsidRPr="00D970F7">
              <w:rPr>
                <w:lang w:val="en-GB" w:eastAsia="en-US"/>
              </w:rPr>
              <w:t>.</w:t>
            </w:r>
            <w:r w:rsidR="00AB75C5" w:rsidRPr="00D970F7">
              <w:rPr>
                <w:lang w:val="en-GB" w:eastAsia="en-US"/>
              </w:rPr>
              <w:t>2%)</w:t>
            </w:r>
            <w:r w:rsidR="00AC6FFE" w:rsidRPr="00D970F7">
              <w:rPr>
                <w:lang w:val="en-GB" w:eastAsia="en-US"/>
              </w:rPr>
              <w:t xml:space="preserve"> in March</w:t>
            </w:r>
            <w:r w:rsidR="0078236A" w:rsidRPr="00D970F7">
              <w:rPr>
                <w:lang w:val="en-GB" w:eastAsia="en-US"/>
              </w:rPr>
              <w:t>,</w:t>
            </w:r>
            <w:r w:rsidR="00AB75C5" w:rsidRPr="00D970F7">
              <w:rPr>
                <w:lang w:val="en-GB" w:eastAsia="en-US"/>
              </w:rPr>
              <w:t xml:space="preserve"> a</w:t>
            </w:r>
            <w:r w:rsidR="0078236A" w:rsidRPr="00D970F7">
              <w:rPr>
                <w:lang w:val="en-GB" w:eastAsia="en-US"/>
              </w:rPr>
              <w:t>nd</w:t>
            </w:r>
            <w:r w:rsidR="00AB75C5" w:rsidRPr="00D970F7">
              <w:rPr>
                <w:lang w:val="en-GB" w:eastAsia="en-US"/>
              </w:rPr>
              <w:t> </w:t>
            </w:r>
            <w:r w:rsidR="00AC6FFE" w:rsidRPr="00D970F7">
              <w:rPr>
                <w:lang w:val="en-GB" w:eastAsia="en-US"/>
              </w:rPr>
              <w:t xml:space="preserve">the year-on-year increase reached </w:t>
            </w:r>
            <w:r w:rsidR="00AB75C5" w:rsidRPr="00D970F7">
              <w:rPr>
                <w:lang w:val="en-GB" w:eastAsia="en-US"/>
              </w:rPr>
              <w:t>12</w:t>
            </w:r>
            <w:r w:rsidR="00AC6FFE" w:rsidRPr="00D970F7">
              <w:rPr>
                <w:lang w:val="en-GB" w:eastAsia="en-US"/>
              </w:rPr>
              <w:t>.</w:t>
            </w:r>
            <w:r w:rsidR="00AB75C5" w:rsidRPr="00D970F7">
              <w:rPr>
                <w:lang w:val="en-GB" w:eastAsia="en-US"/>
              </w:rPr>
              <w:t>5%</w:t>
            </w:r>
            <w:r w:rsidR="00AC6FFE" w:rsidRPr="00D970F7">
              <w:rPr>
                <w:lang w:val="en-GB" w:eastAsia="en-US"/>
              </w:rPr>
              <w:t xml:space="preserve"> at the end of June</w:t>
            </w:r>
            <w:r w:rsidR="00AB75C5" w:rsidRPr="00D970F7">
              <w:rPr>
                <w:lang w:val="en-GB" w:eastAsia="en-US"/>
              </w:rPr>
              <w:t xml:space="preserve">. </w:t>
            </w:r>
            <w:r w:rsidR="0078236A" w:rsidRPr="00D970F7">
              <w:rPr>
                <w:lang w:val="en-GB" w:eastAsia="en-US"/>
              </w:rPr>
              <w:t>The volume of credit for p</w:t>
            </w:r>
            <w:r w:rsidR="0078236A" w:rsidRPr="00D970F7">
              <w:rPr>
                <w:rFonts w:cs="Arial"/>
                <w:szCs w:val="20"/>
                <w:lang w:val="en-GB"/>
              </w:rPr>
              <w:t xml:space="preserve">ublic administration, education, health and social work grew notably during Q2 </w:t>
            </w:r>
            <w:r w:rsidR="00AB75C5" w:rsidRPr="00D970F7">
              <w:rPr>
                <w:lang w:val="en-GB" w:eastAsia="en-US"/>
              </w:rPr>
              <w:t>(</w:t>
            </w:r>
            <w:r w:rsidR="0078236A" w:rsidRPr="00D970F7">
              <w:rPr>
                <w:lang w:val="en-GB" w:eastAsia="en-US"/>
              </w:rPr>
              <w:t>value was by 16.9% higher year-on-year at the end of June</w:t>
            </w:r>
            <w:r w:rsidR="00AB75C5" w:rsidRPr="00D970F7">
              <w:rPr>
                <w:lang w:val="en-GB" w:eastAsia="en-US"/>
              </w:rPr>
              <w:t xml:space="preserve">). </w:t>
            </w:r>
            <w:r w:rsidR="00434459" w:rsidRPr="00D970F7">
              <w:rPr>
                <w:lang w:val="en-GB" w:eastAsia="en-US"/>
              </w:rPr>
              <w:t xml:space="preserve">Volume of credit was lower year-on-year for information and communication </w:t>
            </w:r>
            <w:r w:rsidR="00AB75C5" w:rsidRPr="00D970F7">
              <w:rPr>
                <w:lang w:val="en-GB" w:eastAsia="en-US"/>
              </w:rPr>
              <w:t>(–6</w:t>
            </w:r>
            <w:r w:rsidR="00434459" w:rsidRPr="00D970F7">
              <w:rPr>
                <w:lang w:val="en-GB" w:eastAsia="en-US"/>
              </w:rPr>
              <w:t>.</w:t>
            </w:r>
            <w:r w:rsidR="00AB75C5" w:rsidRPr="00D970F7">
              <w:rPr>
                <w:lang w:val="en-GB" w:eastAsia="en-US"/>
              </w:rPr>
              <w:t xml:space="preserve">9%), </w:t>
            </w:r>
            <w:r w:rsidR="00434459" w:rsidRPr="00D970F7">
              <w:rPr>
                <w:lang w:val="en-GB" w:eastAsia="en-US"/>
              </w:rPr>
              <w:t xml:space="preserve">financial and insurance activities </w:t>
            </w:r>
            <w:r w:rsidR="00AB75C5" w:rsidRPr="00D970F7">
              <w:rPr>
                <w:lang w:val="en-GB" w:eastAsia="en-US"/>
              </w:rPr>
              <w:t>(–2</w:t>
            </w:r>
            <w:r w:rsidR="00434459" w:rsidRPr="00D970F7">
              <w:rPr>
                <w:lang w:val="en-GB" w:eastAsia="en-US"/>
              </w:rPr>
              <w:t>.</w:t>
            </w:r>
            <w:r w:rsidR="00AB75C5" w:rsidRPr="00D970F7">
              <w:rPr>
                <w:lang w:val="en-GB" w:eastAsia="en-US"/>
              </w:rPr>
              <w:t>0%)</w:t>
            </w:r>
            <w:r w:rsidR="00434459" w:rsidRPr="00D970F7">
              <w:rPr>
                <w:lang w:val="en-GB" w:eastAsia="en-US"/>
              </w:rPr>
              <w:t xml:space="preserve"> and a series of cuts continued also for mining and quarrying </w:t>
            </w:r>
            <w:r w:rsidR="00AB75C5" w:rsidRPr="00D970F7">
              <w:rPr>
                <w:lang w:val="en-GB" w:eastAsia="en-US"/>
              </w:rPr>
              <w:t>(–0</w:t>
            </w:r>
            <w:r w:rsidR="00434459" w:rsidRPr="00D970F7">
              <w:rPr>
                <w:lang w:val="en-GB" w:eastAsia="en-US"/>
              </w:rPr>
              <w:t>.</w:t>
            </w:r>
            <w:r w:rsidR="00AB75C5" w:rsidRPr="00D970F7">
              <w:rPr>
                <w:lang w:val="en-GB" w:eastAsia="en-US"/>
              </w:rPr>
              <w:t>9%)</w:t>
            </w:r>
            <w:r w:rsidR="00434459" w:rsidRPr="00D970F7">
              <w:rPr>
                <w:lang w:val="en-GB" w:eastAsia="en-US"/>
              </w:rPr>
              <w:t xml:space="preserve"> at the end of June</w:t>
            </w:r>
            <w:r w:rsidR="00AB75C5" w:rsidRPr="00D970F7">
              <w:rPr>
                <w:lang w:val="en-GB" w:eastAsia="en-US"/>
              </w:rPr>
              <w:t>.</w:t>
            </w:r>
          </w:p>
          <w:p w14:paraId="67B2912D" w14:textId="5B8F930A" w:rsidR="0078236A" w:rsidRPr="00D970F7" w:rsidRDefault="0078236A" w:rsidP="0078236A">
            <w:pPr>
              <w:spacing w:after="0"/>
              <w:rPr>
                <w:lang w:val="en-GB" w:eastAsia="en-US"/>
              </w:rPr>
            </w:pPr>
          </w:p>
        </w:tc>
      </w:tr>
      <w:tr w:rsidR="00AB75C5" w:rsidRPr="00D970F7" w14:paraId="28E44416" w14:textId="77777777" w:rsidTr="00AB75C5">
        <w:trPr>
          <w:trHeight w:val="304"/>
        </w:trPr>
        <w:tc>
          <w:tcPr>
            <w:tcW w:w="1802" w:type="dxa"/>
            <w:vMerge w:val="restart"/>
          </w:tcPr>
          <w:p w14:paraId="4A6A63F1" w14:textId="77777777" w:rsidR="00AB75C5" w:rsidRPr="00D970F7" w:rsidRDefault="00AB75C5">
            <w:pPr>
              <w:pStyle w:val="Marginlie"/>
              <w:rPr>
                <w:lang w:val="en-GB" w:eastAsia="en-US"/>
              </w:rPr>
            </w:pPr>
          </w:p>
        </w:tc>
        <w:tc>
          <w:tcPr>
            <w:tcW w:w="229" w:type="dxa"/>
            <w:vMerge w:val="restart"/>
          </w:tcPr>
          <w:p w14:paraId="6E8903E4" w14:textId="77777777" w:rsidR="00AB75C5" w:rsidRPr="00D970F7" w:rsidRDefault="00AB75C5">
            <w:pPr>
              <w:pStyle w:val="Textpoznpodarou"/>
              <w:jc w:val="both"/>
              <w:rPr>
                <w:spacing w:val="-4"/>
                <w:lang w:val="en-GB" w:eastAsia="en-US"/>
              </w:rPr>
            </w:pPr>
          </w:p>
        </w:tc>
        <w:tc>
          <w:tcPr>
            <w:tcW w:w="7610" w:type="dxa"/>
            <w:hideMark/>
          </w:tcPr>
          <w:p w14:paraId="19673EE3" w14:textId="02401008" w:rsidR="00AB75C5" w:rsidRPr="00D970F7" w:rsidRDefault="00A20AE3">
            <w:pPr>
              <w:spacing w:after="0"/>
              <w:rPr>
                <w:lang w:val="en-GB" w:eastAsia="en-US"/>
              </w:rPr>
            </w:pPr>
            <w:r w:rsidRPr="00D970F7">
              <w:rPr>
                <w:rFonts w:cs="Arial"/>
                <w:b/>
                <w:bCs/>
                <w:color w:val="000000"/>
                <w:sz w:val="18"/>
                <w:szCs w:val="18"/>
                <w:lang w:val="en-GB" w:eastAsia="en-US"/>
              </w:rPr>
              <w:t xml:space="preserve">Chart </w:t>
            </w:r>
            <w:r w:rsidR="00AB75C5" w:rsidRPr="00D970F7">
              <w:rPr>
                <w:rFonts w:cs="Arial"/>
                <w:b/>
                <w:bCs/>
                <w:color w:val="000000"/>
                <w:sz w:val="18"/>
                <w:szCs w:val="18"/>
                <w:lang w:val="en-GB" w:eastAsia="en-US"/>
              </w:rPr>
              <w:t xml:space="preserve">15  </w:t>
            </w:r>
            <w:r w:rsidRPr="00D970F7">
              <w:rPr>
                <w:rFonts w:cs="Arial"/>
                <w:b/>
                <w:bCs/>
                <w:color w:val="000000"/>
                <w:sz w:val="18"/>
                <w:szCs w:val="18"/>
                <w:lang w:val="en-GB" w:eastAsia="en-US"/>
              </w:rPr>
              <w:t xml:space="preserve">Market interest rates </w:t>
            </w:r>
            <w:r w:rsidR="00AB75C5" w:rsidRPr="00D970F7">
              <w:rPr>
                <w:bCs/>
                <w:spacing w:val="-4"/>
                <w:sz w:val="18"/>
                <w:szCs w:val="18"/>
                <w:lang w:val="en-GB" w:eastAsia="en-US"/>
              </w:rPr>
              <w:t>(</w:t>
            </w:r>
            <w:r w:rsidRPr="00D970F7">
              <w:rPr>
                <w:bCs/>
                <w:spacing w:val="-4"/>
                <w:sz w:val="18"/>
                <w:szCs w:val="18"/>
                <w:lang w:val="en-GB" w:eastAsia="en-US"/>
              </w:rPr>
              <w:t>in</w:t>
            </w:r>
            <w:r w:rsidR="00AB75C5" w:rsidRPr="00D970F7">
              <w:rPr>
                <w:bCs/>
                <w:spacing w:val="-4"/>
                <w:sz w:val="18"/>
                <w:szCs w:val="18"/>
                <w:lang w:val="en-GB" w:eastAsia="en-US"/>
              </w:rPr>
              <w:t> %)</w:t>
            </w:r>
          </w:p>
        </w:tc>
      </w:tr>
      <w:tr w:rsidR="00AB75C5" w:rsidRPr="00D970F7" w14:paraId="45BBD3B6" w14:textId="77777777" w:rsidTr="00DD2984">
        <w:tblPrEx>
          <w:tblCellMar>
            <w:left w:w="70" w:type="dxa"/>
            <w:right w:w="70" w:type="dxa"/>
          </w:tblCellMar>
        </w:tblPrEx>
        <w:trPr>
          <w:trHeight w:val="170"/>
        </w:trPr>
        <w:tc>
          <w:tcPr>
            <w:tcW w:w="1802" w:type="dxa"/>
            <w:vMerge/>
            <w:vAlign w:val="center"/>
            <w:hideMark/>
          </w:tcPr>
          <w:p w14:paraId="5814CD9E" w14:textId="77777777" w:rsidR="00AB75C5" w:rsidRPr="00D970F7" w:rsidRDefault="00AB75C5">
            <w:pPr>
              <w:spacing w:after="0" w:line="240" w:lineRule="auto"/>
              <w:jc w:val="left"/>
              <w:rPr>
                <w:spacing w:val="-2"/>
                <w:sz w:val="16"/>
                <w:szCs w:val="16"/>
                <w:lang w:val="en-GB" w:eastAsia="en-US"/>
              </w:rPr>
            </w:pPr>
          </w:p>
        </w:tc>
        <w:tc>
          <w:tcPr>
            <w:tcW w:w="229" w:type="dxa"/>
            <w:vMerge/>
            <w:vAlign w:val="center"/>
            <w:hideMark/>
          </w:tcPr>
          <w:p w14:paraId="31210722" w14:textId="77777777" w:rsidR="00AB75C5" w:rsidRPr="00D970F7" w:rsidRDefault="00AB75C5">
            <w:pPr>
              <w:spacing w:after="0" w:line="240" w:lineRule="auto"/>
              <w:jc w:val="left"/>
              <w:rPr>
                <w:rFonts w:eastAsia="Calibri"/>
                <w:spacing w:val="-4"/>
                <w:szCs w:val="20"/>
                <w:lang w:val="en-GB" w:eastAsia="en-US"/>
              </w:rPr>
            </w:pPr>
          </w:p>
        </w:tc>
        <w:tc>
          <w:tcPr>
            <w:tcW w:w="7610" w:type="dxa"/>
            <w:hideMark/>
          </w:tcPr>
          <w:p w14:paraId="5B1B69EF" w14:textId="15ACF9C0" w:rsidR="00AB75C5" w:rsidRPr="00D970F7" w:rsidRDefault="00DD2984">
            <w:pPr>
              <w:spacing w:after="0"/>
              <w:rPr>
                <w:sz w:val="14"/>
                <w:szCs w:val="14"/>
                <w:lang w:val="en-GB" w:eastAsia="en-US"/>
              </w:rPr>
            </w:pPr>
            <w:r>
              <w:rPr>
                <w:noProof/>
              </w:rPr>
              <w:drawing>
                <wp:inline distT="0" distB="0" distL="0" distR="0" wp14:anchorId="27F5ED07" wp14:editId="1A95BA4C">
                  <wp:extent cx="4737600" cy="3528000"/>
                  <wp:effectExtent l="0" t="0" r="6350" b="0"/>
                  <wp:docPr id="21" name="Graf 21">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AB75C5" w:rsidRPr="00D970F7" w14:paraId="3F63AC6A" w14:textId="77777777" w:rsidTr="00AB75C5">
        <w:trPr>
          <w:trHeight w:val="170"/>
        </w:trPr>
        <w:tc>
          <w:tcPr>
            <w:tcW w:w="0" w:type="auto"/>
            <w:vMerge/>
            <w:vAlign w:val="center"/>
            <w:hideMark/>
          </w:tcPr>
          <w:p w14:paraId="51B5B772" w14:textId="77777777" w:rsidR="00AB75C5" w:rsidRPr="00D970F7" w:rsidRDefault="00AB75C5">
            <w:pPr>
              <w:spacing w:after="0" w:line="240" w:lineRule="auto"/>
              <w:jc w:val="left"/>
              <w:rPr>
                <w:spacing w:val="-2"/>
                <w:sz w:val="16"/>
                <w:szCs w:val="16"/>
                <w:lang w:val="en-GB" w:eastAsia="en-US"/>
              </w:rPr>
            </w:pPr>
          </w:p>
        </w:tc>
        <w:tc>
          <w:tcPr>
            <w:tcW w:w="0" w:type="auto"/>
            <w:vMerge/>
            <w:vAlign w:val="center"/>
            <w:hideMark/>
          </w:tcPr>
          <w:p w14:paraId="434B7172" w14:textId="77777777" w:rsidR="00AB75C5" w:rsidRPr="00D970F7" w:rsidRDefault="00AB75C5">
            <w:pPr>
              <w:spacing w:after="0" w:line="240" w:lineRule="auto"/>
              <w:jc w:val="left"/>
              <w:rPr>
                <w:rFonts w:eastAsia="Calibri"/>
                <w:spacing w:val="-4"/>
                <w:szCs w:val="20"/>
                <w:lang w:val="en-GB" w:eastAsia="en-US"/>
              </w:rPr>
            </w:pPr>
          </w:p>
        </w:tc>
        <w:tc>
          <w:tcPr>
            <w:tcW w:w="7610" w:type="dxa"/>
            <w:hideMark/>
          </w:tcPr>
          <w:p w14:paraId="404C04DF" w14:textId="3FAEFCCE" w:rsidR="00FA5F40" w:rsidRPr="00D970F7" w:rsidRDefault="00434459" w:rsidP="00DD2984">
            <w:pPr>
              <w:spacing w:after="0"/>
              <w:rPr>
                <w:sz w:val="14"/>
                <w:szCs w:val="14"/>
                <w:lang w:val="en-GB" w:eastAsia="en-US"/>
              </w:rPr>
            </w:pPr>
            <w:r w:rsidRPr="00D970F7">
              <w:rPr>
                <w:sz w:val="14"/>
                <w:szCs w:val="14"/>
                <w:lang w:val="en-GB" w:eastAsia="en-US"/>
              </w:rPr>
              <w:t>Source</w:t>
            </w:r>
            <w:r w:rsidR="00AB75C5" w:rsidRPr="00D970F7">
              <w:rPr>
                <w:sz w:val="14"/>
                <w:szCs w:val="14"/>
                <w:lang w:val="en-GB" w:eastAsia="en-US"/>
              </w:rPr>
              <w:t xml:space="preserve">: </w:t>
            </w:r>
            <w:r w:rsidRPr="00D970F7">
              <w:rPr>
                <w:sz w:val="14"/>
                <w:szCs w:val="14"/>
                <w:lang w:val="en-GB" w:eastAsia="en-US"/>
              </w:rPr>
              <w:t>CNB</w:t>
            </w:r>
          </w:p>
        </w:tc>
      </w:tr>
    </w:tbl>
    <w:p w14:paraId="5BCF3DC5" w14:textId="004356BF" w:rsidR="00E42054" w:rsidRPr="00D970F7" w:rsidRDefault="00E42054" w:rsidP="00E42054">
      <w:pPr>
        <w:pStyle w:val="Nadpis11"/>
        <w:spacing w:after="0"/>
        <w:rPr>
          <w:b w:val="0"/>
          <w:sz w:val="2"/>
          <w:szCs w:val="2"/>
          <w:lang w:val="en-GB"/>
        </w:rPr>
      </w:pPr>
      <w:bookmarkStart w:id="1" w:name="_GoBack"/>
      <w:bookmarkEnd w:id="1"/>
    </w:p>
    <w:sectPr w:rsidR="00E42054" w:rsidRPr="00D970F7" w:rsidSect="00154BEE">
      <w:headerReference w:type="even" r:id="rId10"/>
      <w:headerReference w:type="default" r:id="rId11"/>
      <w:footerReference w:type="even" r:id="rId12"/>
      <w:footerReference w:type="default" r:id="rId13"/>
      <w:pgSz w:w="11906" w:h="16838" w:code="9"/>
      <w:pgMar w:top="1134" w:right="1134" w:bottom="1418" w:left="1134" w:header="680" w:footer="737"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A4DB3" w14:textId="77777777" w:rsidR="00BE66A8" w:rsidRDefault="00BE66A8" w:rsidP="00E71A58">
      <w:r>
        <w:separator/>
      </w:r>
    </w:p>
  </w:endnote>
  <w:endnote w:type="continuationSeparator" w:id="0">
    <w:p w14:paraId="7A466374" w14:textId="77777777" w:rsidR="00BE66A8" w:rsidRDefault="00BE66A8"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1A0D" w14:textId="023FB40F" w:rsidR="00C2211E" w:rsidRPr="00932443" w:rsidRDefault="00C2211E"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154BEE">
      <w:rPr>
        <w:szCs w:val="16"/>
      </w:rPr>
      <w:t>32</w:t>
    </w:r>
    <w:r w:rsidRPr="00932443">
      <w:rPr>
        <w:szCs w:val="16"/>
      </w:rPr>
      <w:fldChar w:fldCharType="end"/>
    </w:r>
    <w:r w:rsidRPr="00932443">
      <w:rPr>
        <w:szCs w:val="16"/>
      </w:rPr>
      <w:tab/>
    </w:r>
    <w:r>
      <w:rPr>
        <w:szCs w:val="16"/>
      </w:rPr>
      <w:t>First half of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7E4B" w14:textId="54B4B575" w:rsidR="00C2211E" w:rsidRPr="00932443" w:rsidRDefault="00C2211E" w:rsidP="00FA6CB6">
    <w:pPr>
      <w:pStyle w:val="Zpat"/>
      <w:rPr>
        <w:szCs w:val="16"/>
      </w:rPr>
    </w:pPr>
    <w:r w:rsidRPr="00FA6CB6">
      <w:rPr>
        <w:szCs w:val="16"/>
      </w:rPr>
      <w:tab/>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First half of 2020</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154BEE">
      <w:rPr>
        <w:rStyle w:val="ZpatChar"/>
        <w:szCs w:val="16"/>
      </w:rPr>
      <w:t>31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D0DA9" w14:textId="77777777" w:rsidR="00BE66A8" w:rsidRDefault="00BE66A8" w:rsidP="00A21B4D">
      <w:pPr>
        <w:spacing w:after="0"/>
      </w:pPr>
      <w:r>
        <w:separator/>
      </w:r>
    </w:p>
  </w:footnote>
  <w:footnote w:type="continuationSeparator" w:id="0">
    <w:p w14:paraId="157B5A8E" w14:textId="77777777" w:rsidR="00BE66A8" w:rsidRDefault="00BE66A8" w:rsidP="00E71A58">
      <w:r>
        <w:continuationSeparator/>
      </w:r>
    </w:p>
  </w:footnote>
  <w:footnote w:id="1">
    <w:p w14:paraId="6BBC2645" w14:textId="11F7F448" w:rsidR="00C2211E" w:rsidRPr="002B7AFA" w:rsidRDefault="00C2211E" w:rsidP="00AB75C5">
      <w:pPr>
        <w:pStyle w:val="Textpoznpodarou"/>
        <w:rPr>
          <w:sz w:val="16"/>
          <w:szCs w:val="16"/>
          <w:lang w:val="en-GB"/>
        </w:rPr>
      </w:pPr>
      <w:r>
        <w:rPr>
          <w:rStyle w:val="Znakapoznpodarou"/>
          <w:sz w:val="16"/>
          <w:szCs w:val="16"/>
        </w:rPr>
        <w:footnoteRef/>
      </w:r>
      <w:r>
        <w:rPr>
          <w:sz w:val="16"/>
          <w:szCs w:val="16"/>
        </w:rPr>
        <w:t xml:space="preserve"> </w:t>
      </w:r>
      <w:r w:rsidRPr="002B7AFA">
        <w:rPr>
          <w:sz w:val="16"/>
          <w:szCs w:val="16"/>
          <w:lang w:val="en-GB"/>
        </w:rPr>
        <w:t xml:space="preserve">Unless stated otherwise, the source of data in the chapter is the Czech National Bank database ARAD. Values of foreign </w:t>
      </w:r>
      <w:r>
        <w:rPr>
          <w:sz w:val="16"/>
          <w:szCs w:val="16"/>
          <w:lang w:val="en-GB"/>
        </w:rPr>
        <w:t>e</w:t>
      </w:r>
      <w:r w:rsidRPr="002B7AFA">
        <w:rPr>
          <w:sz w:val="16"/>
          <w:szCs w:val="16"/>
          <w:lang w:val="en-GB"/>
        </w:rPr>
        <w:t xml:space="preserve">xchange rates are also sourced from the CNB.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85C8" w14:textId="2868C48F" w:rsidR="00C2211E" w:rsidRPr="00BB50E6" w:rsidRDefault="00C2211E" w:rsidP="00937AE2">
    <w:pPr>
      <w:pStyle w:val="Zhlav"/>
      <w:rPr>
        <w:lang w:val="en-GB"/>
      </w:rPr>
    </w:pPr>
    <w:r w:rsidRPr="00BB50E6">
      <w:rPr>
        <w:lang w:val="en-GB"/>
      </w:rPr>
      <w:t>The Czech Economy Development</w:t>
    </w:r>
  </w:p>
  <w:p w14:paraId="675E4C41" w14:textId="77777777" w:rsidR="00C2211E" w:rsidRPr="006F5416" w:rsidRDefault="00C2211E"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12FB" w14:textId="15FBD22A" w:rsidR="00C2211E" w:rsidRPr="00BB50E6" w:rsidRDefault="00C2211E" w:rsidP="00937AE2">
    <w:pPr>
      <w:pStyle w:val="Zhlav"/>
      <w:rPr>
        <w:lang w:val="en-GB"/>
      </w:rPr>
    </w:pPr>
    <w:r w:rsidRPr="00BB50E6">
      <w:rPr>
        <w:lang w:val="en-GB"/>
      </w:rPr>
      <w:t>The Czech Economy Development</w:t>
    </w:r>
  </w:p>
  <w:p w14:paraId="0CDCFD48" w14:textId="77777777" w:rsidR="00C2211E" w:rsidRPr="006F5416" w:rsidRDefault="00C2211E"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4"/>
  </w:num>
  <w:num w:numId="14">
    <w:abstractNumId w:val="12"/>
  </w:num>
  <w:num w:numId="15">
    <w:abstractNumId w:val="18"/>
  </w:num>
  <w:num w:numId="16">
    <w:abstractNumId w:val="14"/>
  </w:num>
  <w:num w:numId="17">
    <w:abstractNumId w:val="25"/>
  </w:num>
  <w:num w:numId="18">
    <w:abstractNumId w:val="19"/>
  </w:num>
  <w:num w:numId="19">
    <w:abstractNumId w:val="26"/>
  </w:num>
  <w:num w:numId="20">
    <w:abstractNumId w:val="27"/>
  </w:num>
  <w:num w:numId="21">
    <w:abstractNumId w:val="23"/>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0DC2"/>
    <w:rsid w:val="0000130A"/>
    <w:rsid w:val="00001B6E"/>
    <w:rsid w:val="0000209D"/>
    <w:rsid w:val="00002566"/>
    <w:rsid w:val="00002664"/>
    <w:rsid w:val="000029B2"/>
    <w:rsid w:val="00002B7E"/>
    <w:rsid w:val="00003849"/>
    <w:rsid w:val="00003F5C"/>
    <w:rsid w:val="000047D1"/>
    <w:rsid w:val="00004D5A"/>
    <w:rsid w:val="000056D5"/>
    <w:rsid w:val="00005D9E"/>
    <w:rsid w:val="000063D5"/>
    <w:rsid w:val="00006625"/>
    <w:rsid w:val="00006ABD"/>
    <w:rsid w:val="00006B67"/>
    <w:rsid w:val="00006C0B"/>
    <w:rsid w:val="000070EA"/>
    <w:rsid w:val="000073A0"/>
    <w:rsid w:val="0000767A"/>
    <w:rsid w:val="00007ABE"/>
    <w:rsid w:val="00010256"/>
    <w:rsid w:val="00010702"/>
    <w:rsid w:val="0001128E"/>
    <w:rsid w:val="00011912"/>
    <w:rsid w:val="00011B7F"/>
    <w:rsid w:val="0001250C"/>
    <w:rsid w:val="000129C2"/>
    <w:rsid w:val="00012DD5"/>
    <w:rsid w:val="0001387D"/>
    <w:rsid w:val="000144A2"/>
    <w:rsid w:val="00014ED0"/>
    <w:rsid w:val="00016269"/>
    <w:rsid w:val="00016420"/>
    <w:rsid w:val="00017B01"/>
    <w:rsid w:val="00017CD1"/>
    <w:rsid w:val="000205D1"/>
    <w:rsid w:val="00020F22"/>
    <w:rsid w:val="0002195D"/>
    <w:rsid w:val="000228AE"/>
    <w:rsid w:val="000233D1"/>
    <w:rsid w:val="000234D6"/>
    <w:rsid w:val="00023D29"/>
    <w:rsid w:val="00024348"/>
    <w:rsid w:val="00024394"/>
    <w:rsid w:val="00026389"/>
    <w:rsid w:val="0002669F"/>
    <w:rsid w:val="00027644"/>
    <w:rsid w:val="000279E5"/>
    <w:rsid w:val="000304B6"/>
    <w:rsid w:val="00030EB6"/>
    <w:rsid w:val="00031AE0"/>
    <w:rsid w:val="00031BB2"/>
    <w:rsid w:val="000322EF"/>
    <w:rsid w:val="00033FCD"/>
    <w:rsid w:val="00034DF7"/>
    <w:rsid w:val="00034E68"/>
    <w:rsid w:val="000350C8"/>
    <w:rsid w:val="00036195"/>
    <w:rsid w:val="000374B2"/>
    <w:rsid w:val="000376C0"/>
    <w:rsid w:val="000403A7"/>
    <w:rsid w:val="00040632"/>
    <w:rsid w:val="0004166D"/>
    <w:rsid w:val="00041AFC"/>
    <w:rsid w:val="00041CEC"/>
    <w:rsid w:val="000421A8"/>
    <w:rsid w:val="00042596"/>
    <w:rsid w:val="00044183"/>
    <w:rsid w:val="0004431D"/>
    <w:rsid w:val="0004694F"/>
    <w:rsid w:val="00046F2F"/>
    <w:rsid w:val="00047AD4"/>
    <w:rsid w:val="00047D54"/>
    <w:rsid w:val="0005054A"/>
    <w:rsid w:val="00050708"/>
    <w:rsid w:val="00051506"/>
    <w:rsid w:val="000522E4"/>
    <w:rsid w:val="00053713"/>
    <w:rsid w:val="0005434E"/>
    <w:rsid w:val="00054F86"/>
    <w:rsid w:val="00055CB6"/>
    <w:rsid w:val="000572DD"/>
    <w:rsid w:val="00057B1E"/>
    <w:rsid w:val="00057DC9"/>
    <w:rsid w:val="00060ED3"/>
    <w:rsid w:val="000610E1"/>
    <w:rsid w:val="000616AD"/>
    <w:rsid w:val="000622A6"/>
    <w:rsid w:val="00062EC5"/>
    <w:rsid w:val="00062F22"/>
    <w:rsid w:val="00063975"/>
    <w:rsid w:val="00063CEA"/>
    <w:rsid w:val="0006444D"/>
    <w:rsid w:val="000645FC"/>
    <w:rsid w:val="0006533F"/>
    <w:rsid w:val="00065348"/>
    <w:rsid w:val="00065A75"/>
    <w:rsid w:val="00066558"/>
    <w:rsid w:val="000665D7"/>
    <w:rsid w:val="00066A8F"/>
    <w:rsid w:val="00070A87"/>
    <w:rsid w:val="000712B3"/>
    <w:rsid w:val="00071A7C"/>
    <w:rsid w:val="0007200B"/>
    <w:rsid w:val="000727C7"/>
    <w:rsid w:val="00072FF5"/>
    <w:rsid w:val="00073BA3"/>
    <w:rsid w:val="0007462F"/>
    <w:rsid w:val="0007474E"/>
    <w:rsid w:val="00074988"/>
    <w:rsid w:val="0007512B"/>
    <w:rsid w:val="00075551"/>
    <w:rsid w:val="000767F5"/>
    <w:rsid w:val="0007683E"/>
    <w:rsid w:val="00076D90"/>
    <w:rsid w:val="00077DEE"/>
    <w:rsid w:val="00077FF0"/>
    <w:rsid w:val="000812D3"/>
    <w:rsid w:val="00081A55"/>
    <w:rsid w:val="0008263E"/>
    <w:rsid w:val="00082C19"/>
    <w:rsid w:val="00082F89"/>
    <w:rsid w:val="000837CD"/>
    <w:rsid w:val="000848CA"/>
    <w:rsid w:val="00084BFF"/>
    <w:rsid w:val="00085395"/>
    <w:rsid w:val="00086896"/>
    <w:rsid w:val="00086AC1"/>
    <w:rsid w:val="00086C6F"/>
    <w:rsid w:val="00086D19"/>
    <w:rsid w:val="00087634"/>
    <w:rsid w:val="00087F2B"/>
    <w:rsid w:val="00090694"/>
    <w:rsid w:val="00090EE2"/>
    <w:rsid w:val="00090FC6"/>
    <w:rsid w:val="0009100B"/>
    <w:rsid w:val="000913B1"/>
    <w:rsid w:val="000924B7"/>
    <w:rsid w:val="00092513"/>
    <w:rsid w:val="00092D77"/>
    <w:rsid w:val="00093241"/>
    <w:rsid w:val="00093868"/>
    <w:rsid w:val="00094A84"/>
    <w:rsid w:val="00095025"/>
    <w:rsid w:val="00095135"/>
    <w:rsid w:val="0009626E"/>
    <w:rsid w:val="00097191"/>
    <w:rsid w:val="000972D4"/>
    <w:rsid w:val="000974D1"/>
    <w:rsid w:val="00097784"/>
    <w:rsid w:val="0009799E"/>
    <w:rsid w:val="000A07CB"/>
    <w:rsid w:val="000A0BC0"/>
    <w:rsid w:val="000A1183"/>
    <w:rsid w:val="000A12ED"/>
    <w:rsid w:val="000A1B03"/>
    <w:rsid w:val="000A212B"/>
    <w:rsid w:val="000A242D"/>
    <w:rsid w:val="000A256D"/>
    <w:rsid w:val="000A2D86"/>
    <w:rsid w:val="000A37EF"/>
    <w:rsid w:val="000A3A2C"/>
    <w:rsid w:val="000A3D9E"/>
    <w:rsid w:val="000A4A54"/>
    <w:rsid w:val="000A4ED9"/>
    <w:rsid w:val="000A517B"/>
    <w:rsid w:val="000A54B8"/>
    <w:rsid w:val="000A5DB7"/>
    <w:rsid w:val="000A6D94"/>
    <w:rsid w:val="000A7355"/>
    <w:rsid w:val="000A7377"/>
    <w:rsid w:val="000A7FF4"/>
    <w:rsid w:val="000B03CC"/>
    <w:rsid w:val="000B4212"/>
    <w:rsid w:val="000B4733"/>
    <w:rsid w:val="000B4994"/>
    <w:rsid w:val="000B4EBA"/>
    <w:rsid w:val="000B683E"/>
    <w:rsid w:val="000C0EA8"/>
    <w:rsid w:val="000C12A7"/>
    <w:rsid w:val="000C13A2"/>
    <w:rsid w:val="000C21E7"/>
    <w:rsid w:val="000C23EC"/>
    <w:rsid w:val="000C30C3"/>
    <w:rsid w:val="000C3408"/>
    <w:rsid w:val="000C35AB"/>
    <w:rsid w:val="000C3F7B"/>
    <w:rsid w:val="000C41D9"/>
    <w:rsid w:val="000C4769"/>
    <w:rsid w:val="000C48C0"/>
    <w:rsid w:val="000C4D56"/>
    <w:rsid w:val="000C5DFA"/>
    <w:rsid w:val="000C6AFD"/>
    <w:rsid w:val="000C6C90"/>
    <w:rsid w:val="000D0A26"/>
    <w:rsid w:val="000D3058"/>
    <w:rsid w:val="000D310A"/>
    <w:rsid w:val="000D3EF4"/>
    <w:rsid w:val="000D4DC0"/>
    <w:rsid w:val="000D5637"/>
    <w:rsid w:val="000D6F4E"/>
    <w:rsid w:val="000D73BB"/>
    <w:rsid w:val="000E01D9"/>
    <w:rsid w:val="000E0E32"/>
    <w:rsid w:val="000E0E96"/>
    <w:rsid w:val="000E22FC"/>
    <w:rsid w:val="000E298B"/>
    <w:rsid w:val="000E2C7D"/>
    <w:rsid w:val="000E3CB5"/>
    <w:rsid w:val="000E3E28"/>
    <w:rsid w:val="000E440D"/>
    <w:rsid w:val="000E4AC5"/>
    <w:rsid w:val="000E535F"/>
    <w:rsid w:val="000E6253"/>
    <w:rsid w:val="000E6322"/>
    <w:rsid w:val="000E6E4D"/>
    <w:rsid w:val="000E6FBD"/>
    <w:rsid w:val="000E6FCB"/>
    <w:rsid w:val="000E70F3"/>
    <w:rsid w:val="000F090B"/>
    <w:rsid w:val="000F1041"/>
    <w:rsid w:val="000F3F3B"/>
    <w:rsid w:val="000F4098"/>
    <w:rsid w:val="000F4251"/>
    <w:rsid w:val="000F47E8"/>
    <w:rsid w:val="000F6B24"/>
    <w:rsid w:val="000F70E4"/>
    <w:rsid w:val="000F76EA"/>
    <w:rsid w:val="000F78C3"/>
    <w:rsid w:val="000F7B70"/>
    <w:rsid w:val="00100F5C"/>
    <w:rsid w:val="00101BBE"/>
    <w:rsid w:val="00101CDA"/>
    <w:rsid w:val="00102037"/>
    <w:rsid w:val="00103DCB"/>
    <w:rsid w:val="00104C4C"/>
    <w:rsid w:val="00105015"/>
    <w:rsid w:val="001055D2"/>
    <w:rsid w:val="001057C2"/>
    <w:rsid w:val="00107C96"/>
    <w:rsid w:val="0011038E"/>
    <w:rsid w:val="00110C18"/>
    <w:rsid w:val="001125EF"/>
    <w:rsid w:val="001127EE"/>
    <w:rsid w:val="00112CAB"/>
    <w:rsid w:val="00116A49"/>
    <w:rsid w:val="00116D3F"/>
    <w:rsid w:val="00117474"/>
    <w:rsid w:val="00117623"/>
    <w:rsid w:val="00117FEA"/>
    <w:rsid w:val="001200CF"/>
    <w:rsid w:val="001208E3"/>
    <w:rsid w:val="0012192F"/>
    <w:rsid w:val="00122504"/>
    <w:rsid w:val="00122994"/>
    <w:rsid w:val="00124B46"/>
    <w:rsid w:val="0012530D"/>
    <w:rsid w:val="001257E0"/>
    <w:rsid w:val="00125D69"/>
    <w:rsid w:val="0012799C"/>
    <w:rsid w:val="00127BC2"/>
    <w:rsid w:val="00127E15"/>
    <w:rsid w:val="00130ADC"/>
    <w:rsid w:val="00130D9F"/>
    <w:rsid w:val="00131138"/>
    <w:rsid w:val="00132C4D"/>
    <w:rsid w:val="00133FC1"/>
    <w:rsid w:val="001345B6"/>
    <w:rsid w:val="00134659"/>
    <w:rsid w:val="00136696"/>
    <w:rsid w:val="001405FA"/>
    <w:rsid w:val="00140D1A"/>
    <w:rsid w:val="00141184"/>
    <w:rsid w:val="00141258"/>
    <w:rsid w:val="00141315"/>
    <w:rsid w:val="00141AA0"/>
    <w:rsid w:val="00141ACD"/>
    <w:rsid w:val="001425C3"/>
    <w:rsid w:val="0014262D"/>
    <w:rsid w:val="00143BB2"/>
    <w:rsid w:val="00144588"/>
    <w:rsid w:val="001447DD"/>
    <w:rsid w:val="001459BC"/>
    <w:rsid w:val="001510A2"/>
    <w:rsid w:val="001523D1"/>
    <w:rsid w:val="00152F4F"/>
    <w:rsid w:val="00153E4A"/>
    <w:rsid w:val="001544A1"/>
    <w:rsid w:val="0015495D"/>
    <w:rsid w:val="00154BEE"/>
    <w:rsid w:val="00155158"/>
    <w:rsid w:val="001553B8"/>
    <w:rsid w:val="001554C2"/>
    <w:rsid w:val="0015573B"/>
    <w:rsid w:val="001571C0"/>
    <w:rsid w:val="0015753D"/>
    <w:rsid w:val="00157CC9"/>
    <w:rsid w:val="00160C21"/>
    <w:rsid w:val="001612F4"/>
    <w:rsid w:val="00161553"/>
    <w:rsid w:val="00161A82"/>
    <w:rsid w:val="0016256B"/>
    <w:rsid w:val="00162F81"/>
    <w:rsid w:val="00163793"/>
    <w:rsid w:val="001639E9"/>
    <w:rsid w:val="00165313"/>
    <w:rsid w:val="00166239"/>
    <w:rsid w:val="00167485"/>
    <w:rsid w:val="001679F5"/>
    <w:rsid w:val="00167B92"/>
    <w:rsid w:val="00167CB9"/>
    <w:rsid w:val="00167DD8"/>
    <w:rsid w:val="001705AD"/>
    <w:rsid w:val="001706D6"/>
    <w:rsid w:val="0017129C"/>
    <w:rsid w:val="001714DD"/>
    <w:rsid w:val="001714F2"/>
    <w:rsid w:val="00171FEA"/>
    <w:rsid w:val="00175B9F"/>
    <w:rsid w:val="001762F4"/>
    <w:rsid w:val="001764E2"/>
    <w:rsid w:val="00176DDF"/>
    <w:rsid w:val="00177536"/>
    <w:rsid w:val="00181BBC"/>
    <w:rsid w:val="001832B5"/>
    <w:rsid w:val="0018385F"/>
    <w:rsid w:val="00184017"/>
    <w:rsid w:val="001847BB"/>
    <w:rsid w:val="00184B08"/>
    <w:rsid w:val="00184EC1"/>
    <w:rsid w:val="00185010"/>
    <w:rsid w:val="00185C22"/>
    <w:rsid w:val="00186BA9"/>
    <w:rsid w:val="00190FCE"/>
    <w:rsid w:val="00191468"/>
    <w:rsid w:val="0019196C"/>
    <w:rsid w:val="00192F05"/>
    <w:rsid w:val="00194729"/>
    <w:rsid w:val="00194850"/>
    <w:rsid w:val="00195234"/>
    <w:rsid w:val="00195475"/>
    <w:rsid w:val="00195FA3"/>
    <w:rsid w:val="00196016"/>
    <w:rsid w:val="00196117"/>
    <w:rsid w:val="00196A04"/>
    <w:rsid w:val="001975DD"/>
    <w:rsid w:val="00197A70"/>
    <w:rsid w:val="00197C0F"/>
    <w:rsid w:val="001A0487"/>
    <w:rsid w:val="001A1F68"/>
    <w:rsid w:val="001A21FA"/>
    <w:rsid w:val="001A4CCD"/>
    <w:rsid w:val="001A4EF0"/>
    <w:rsid w:val="001A552F"/>
    <w:rsid w:val="001A70B1"/>
    <w:rsid w:val="001B0606"/>
    <w:rsid w:val="001B0738"/>
    <w:rsid w:val="001B185C"/>
    <w:rsid w:val="001B2822"/>
    <w:rsid w:val="001B2CA9"/>
    <w:rsid w:val="001B3110"/>
    <w:rsid w:val="001B3E38"/>
    <w:rsid w:val="001B40F5"/>
    <w:rsid w:val="001B4729"/>
    <w:rsid w:val="001B4F0E"/>
    <w:rsid w:val="001B626C"/>
    <w:rsid w:val="001B6310"/>
    <w:rsid w:val="001B6C09"/>
    <w:rsid w:val="001B6E12"/>
    <w:rsid w:val="001C05CD"/>
    <w:rsid w:val="001C0F17"/>
    <w:rsid w:val="001C0FB1"/>
    <w:rsid w:val="001C1B24"/>
    <w:rsid w:val="001C1B66"/>
    <w:rsid w:val="001C1BA4"/>
    <w:rsid w:val="001C31A2"/>
    <w:rsid w:val="001C351D"/>
    <w:rsid w:val="001C4BB8"/>
    <w:rsid w:val="001C4FD0"/>
    <w:rsid w:val="001C583D"/>
    <w:rsid w:val="001C5E46"/>
    <w:rsid w:val="001C6AB9"/>
    <w:rsid w:val="001C6B3B"/>
    <w:rsid w:val="001C7E3F"/>
    <w:rsid w:val="001D0EF1"/>
    <w:rsid w:val="001D1240"/>
    <w:rsid w:val="001D22C2"/>
    <w:rsid w:val="001D2C99"/>
    <w:rsid w:val="001D452E"/>
    <w:rsid w:val="001D54C1"/>
    <w:rsid w:val="001D556E"/>
    <w:rsid w:val="001D5DF2"/>
    <w:rsid w:val="001D6464"/>
    <w:rsid w:val="001D68B2"/>
    <w:rsid w:val="001D6F25"/>
    <w:rsid w:val="001D704B"/>
    <w:rsid w:val="001D7EFD"/>
    <w:rsid w:val="001D7F60"/>
    <w:rsid w:val="001E08A7"/>
    <w:rsid w:val="001E1F50"/>
    <w:rsid w:val="001E3306"/>
    <w:rsid w:val="001E504C"/>
    <w:rsid w:val="001E5A17"/>
    <w:rsid w:val="001E74C5"/>
    <w:rsid w:val="001F0AE4"/>
    <w:rsid w:val="001F1236"/>
    <w:rsid w:val="001F2F90"/>
    <w:rsid w:val="001F4597"/>
    <w:rsid w:val="001F4826"/>
    <w:rsid w:val="001F486B"/>
    <w:rsid w:val="001F6CD3"/>
    <w:rsid w:val="001F7CE0"/>
    <w:rsid w:val="00200085"/>
    <w:rsid w:val="002032BE"/>
    <w:rsid w:val="00203332"/>
    <w:rsid w:val="00203CD5"/>
    <w:rsid w:val="00203D8F"/>
    <w:rsid w:val="00203DA4"/>
    <w:rsid w:val="00204EA6"/>
    <w:rsid w:val="00205186"/>
    <w:rsid w:val="00206516"/>
    <w:rsid w:val="002071D5"/>
    <w:rsid w:val="002111E5"/>
    <w:rsid w:val="002118B9"/>
    <w:rsid w:val="002142C0"/>
    <w:rsid w:val="002150B8"/>
    <w:rsid w:val="00217C5B"/>
    <w:rsid w:val="002208AD"/>
    <w:rsid w:val="00220A43"/>
    <w:rsid w:val="0022139E"/>
    <w:rsid w:val="00222729"/>
    <w:rsid w:val="00223185"/>
    <w:rsid w:val="00223214"/>
    <w:rsid w:val="002233D6"/>
    <w:rsid w:val="002238F3"/>
    <w:rsid w:val="0022441D"/>
    <w:rsid w:val="0022448C"/>
    <w:rsid w:val="00224574"/>
    <w:rsid w:val="00224E3F"/>
    <w:rsid w:val="002252E0"/>
    <w:rsid w:val="002255F6"/>
    <w:rsid w:val="00226032"/>
    <w:rsid w:val="00226B29"/>
    <w:rsid w:val="0022738D"/>
    <w:rsid w:val="00227605"/>
    <w:rsid w:val="00227850"/>
    <w:rsid w:val="00227A53"/>
    <w:rsid w:val="00227AB3"/>
    <w:rsid w:val="00227C96"/>
    <w:rsid w:val="00227E2E"/>
    <w:rsid w:val="00227F53"/>
    <w:rsid w:val="00230C6E"/>
    <w:rsid w:val="00230E21"/>
    <w:rsid w:val="00230F48"/>
    <w:rsid w:val="00231066"/>
    <w:rsid w:val="002316A8"/>
    <w:rsid w:val="002320C9"/>
    <w:rsid w:val="0023288F"/>
    <w:rsid w:val="0023359B"/>
    <w:rsid w:val="00233603"/>
    <w:rsid w:val="002340EF"/>
    <w:rsid w:val="00234B82"/>
    <w:rsid w:val="00234C09"/>
    <w:rsid w:val="00236443"/>
    <w:rsid w:val="00236700"/>
    <w:rsid w:val="00236829"/>
    <w:rsid w:val="00240391"/>
    <w:rsid w:val="00240AF3"/>
    <w:rsid w:val="002418D5"/>
    <w:rsid w:val="00241B06"/>
    <w:rsid w:val="002429C8"/>
    <w:rsid w:val="002436BA"/>
    <w:rsid w:val="00244652"/>
    <w:rsid w:val="00244A15"/>
    <w:rsid w:val="002452D9"/>
    <w:rsid w:val="00247319"/>
    <w:rsid w:val="00247905"/>
    <w:rsid w:val="0024799E"/>
    <w:rsid w:val="00247A3D"/>
    <w:rsid w:val="00247A6A"/>
    <w:rsid w:val="00247E60"/>
    <w:rsid w:val="00251B08"/>
    <w:rsid w:val="00251C53"/>
    <w:rsid w:val="00252177"/>
    <w:rsid w:val="002525CC"/>
    <w:rsid w:val="00252AB9"/>
    <w:rsid w:val="00252BFC"/>
    <w:rsid w:val="00253A94"/>
    <w:rsid w:val="00253C0F"/>
    <w:rsid w:val="002558C1"/>
    <w:rsid w:val="00256207"/>
    <w:rsid w:val="002575F3"/>
    <w:rsid w:val="002603E1"/>
    <w:rsid w:val="0026120E"/>
    <w:rsid w:val="002623F0"/>
    <w:rsid w:val="00262582"/>
    <w:rsid w:val="0026291D"/>
    <w:rsid w:val="00262CF3"/>
    <w:rsid w:val="00264309"/>
    <w:rsid w:val="00264752"/>
    <w:rsid w:val="0026564B"/>
    <w:rsid w:val="00265C83"/>
    <w:rsid w:val="00265E85"/>
    <w:rsid w:val="0026736A"/>
    <w:rsid w:val="00267B49"/>
    <w:rsid w:val="002700D9"/>
    <w:rsid w:val="0027025F"/>
    <w:rsid w:val="002709CC"/>
    <w:rsid w:val="00270D25"/>
    <w:rsid w:val="00271022"/>
    <w:rsid w:val="00271465"/>
    <w:rsid w:val="00271C19"/>
    <w:rsid w:val="00271E47"/>
    <w:rsid w:val="002721F5"/>
    <w:rsid w:val="00272DF4"/>
    <w:rsid w:val="00275031"/>
    <w:rsid w:val="002751B5"/>
    <w:rsid w:val="0027583D"/>
    <w:rsid w:val="00275DEF"/>
    <w:rsid w:val="002763A2"/>
    <w:rsid w:val="002765C1"/>
    <w:rsid w:val="00276B33"/>
    <w:rsid w:val="002812E3"/>
    <w:rsid w:val="002828EE"/>
    <w:rsid w:val="0028341F"/>
    <w:rsid w:val="002837AE"/>
    <w:rsid w:val="00283C13"/>
    <w:rsid w:val="00283F7B"/>
    <w:rsid w:val="00283FEB"/>
    <w:rsid w:val="0028431A"/>
    <w:rsid w:val="002853FA"/>
    <w:rsid w:val="00285412"/>
    <w:rsid w:val="00286220"/>
    <w:rsid w:val="00291640"/>
    <w:rsid w:val="00291CFA"/>
    <w:rsid w:val="0029237E"/>
    <w:rsid w:val="00292997"/>
    <w:rsid w:val="00293274"/>
    <w:rsid w:val="00293D24"/>
    <w:rsid w:val="002942D3"/>
    <w:rsid w:val="00294C29"/>
    <w:rsid w:val="0029509B"/>
    <w:rsid w:val="002950EA"/>
    <w:rsid w:val="0029588F"/>
    <w:rsid w:val="00295E96"/>
    <w:rsid w:val="00297256"/>
    <w:rsid w:val="00297A5C"/>
    <w:rsid w:val="00297D51"/>
    <w:rsid w:val="002A0122"/>
    <w:rsid w:val="002A016B"/>
    <w:rsid w:val="002A16D4"/>
    <w:rsid w:val="002A1E4F"/>
    <w:rsid w:val="002A230C"/>
    <w:rsid w:val="002A2AF7"/>
    <w:rsid w:val="002A2D46"/>
    <w:rsid w:val="002A3209"/>
    <w:rsid w:val="002A3EA2"/>
    <w:rsid w:val="002A507C"/>
    <w:rsid w:val="002A51AC"/>
    <w:rsid w:val="002A532A"/>
    <w:rsid w:val="002A5846"/>
    <w:rsid w:val="002A5D97"/>
    <w:rsid w:val="002A603E"/>
    <w:rsid w:val="002A622B"/>
    <w:rsid w:val="002A63B9"/>
    <w:rsid w:val="002A6D77"/>
    <w:rsid w:val="002A7089"/>
    <w:rsid w:val="002B13EE"/>
    <w:rsid w:val="002B1619"/>
    <w:rsid w:val="002B2B8A"/>
    <w:rsid w:val="002B3EF4"/>
    <w:rsid w:val="002B43B3"/>
    <w:rsid w:val="002B4845"/>
    <w:rsid w:val="002B53C9"/>
    <w:rsid w:val="002B5567"/>
    <w:rsid w:val="002B5812"/>
    <w:rsid w:val="002B72AA"/>
    <w:rsid w:val="002B7366"/>
    <w:rsid w:val="002B7678"/>
    <w:rsid w:val="002B7AFA"/>
    <w:rsid w:val="002C1110"/>
    <w:rsid w:val="002C1BC2"/>
    <w:rsid w:val="002C1F09"/>
    <w:rsid w:val="002C22A4"/>
    <w:rsid w:val="002C260B"/>
    <w:rsid w:val="002C27A6"/>
    <w:rsid w:val="002C398D"/>
    <w:rsid w:val="002C40D2"/>
    <w:rsid w:val="002C40DC"/>
    <w:rsid w:val="002C43BD"/>
    <w:rsid w:val="002C51EF"/>
    <w:rsid w:val="002C5245"/>
    <w:rsid w:val="002C59D8"/>
    <w:rsid w:val="002D05CB"/>
    <w:rsid w:val="002D0E59"/>
    <w:rsid w:val="002D2C4F"/>
    <w:rsid w:val="002D3EBB"/>
    <w:rsid w:val="002D455C"/>
    <w:rsid w:val="002D488A"/>
    <w:rsid w:val="002D596E"/>
    <w:rsid w:val="002D6066"/>
    <w:rsid w:val="002D60F6"/>
    <w:rsid w:val="002D6137"/>
    <w:rsid w:val="002E02A1"/>
    <w:rsid w:val="002E196A"/>
    <w:rsid w:val="002E20C7"/>
    <w:rsid w:val="002E20CD"/>
    <w:rsid w:val="002E222E"/>
    <w:rsid w:val="002E28D8"/>
    <w:rsid w:val="002E37D1"/>
    <w:rsid w:val="002E3834"/>
    <w:rsid w:val="002E3BEE"/>
    <w:rsid w:val="002E4E4C"/>
    <w:rsid w:val="002E4EA7"/>
    <w:rsid w:val="002E5846"/>
    <w:rsid w:val="002E792B"/>
    <w:rsid w:val="002F0DA5"/>
    <w:rsid w:val="002F1B09"/>
    <w:rsid w:val="002F1D56"/>
    <w:rsid w:val="002F1DCB"/>
    <w:rsid w:val="002F1DE4"/>
    <w:rsid w:val="002F333D"/>
    <w:rsid w:val="002F351A"/>
    <w:rsid w:val="002F468F"/>
    <w:rsid w:val="002F46D6"/>
    <w:rsid w:val="002F498A"/>
    <w:rsid w:val="002F4AD8"/>
    <w:rsid w:val="002F5285"/>
    <w:rsid w:val="002F5820"/>
    <w:rsid w:val="002F5880"/>
    <w:rsid w:val="002F64BB"/>
    <w:rsid w:val="002F6EEB"/>
    <w:rsid w:val="00300C31"/>
    <w:rsid w:val="003017EC"/>
    <w:rsid w:val="00301F37"/>
    <w:rsid w:val="00302165"/>
    <w:rsid w:val="00304771"/>
    <w:rsid w:val="003050FD"/>
    <w:rsid w:val="003052D4"/>
    <w:rsid w:val="003060E9"/>
    <w:rsid w:val="00306C5B"/>
    <w:rsid w:val="00307529"/>
    <w:rsid w:val="00307DB3"/>
    <w:rsid w:val="00307ED2"/>
    <w:rsid w:val="0031076D"/>
    <w:rsid w:val="00311AA6"/>
    <w:rsid w:val="00311C4D"/>
    <w:rsid w:val="003121AB"/>
    <w:rsid w:val="00312A9B"/>
    <w:rsid w:val="00315169"/>
    <w:rsid w:val="003153C8"/>
    <w:rsid w:val="00315524"/>
    <w:rsid w:val="0032018B"/>
    <w:rsid w:val="0032058C"/>
    <w:rsid w:val="003208D0"/>
    <w:rsid w:val="003209D6"/>
    <w:rsid w:val="003217B9"/>
    <w:rsid w:val="00321924"/>
    <w:rsid w:val="00321EB6"/>
    <w:rsid w:val="003220A5"/>
    <w:rsid w:val="00323A1C"/>
    <w:rsid w:val="00324B59"/>
    <w:rsid w:val="003261F3"/>
    <w:rsid w:val="0032656E"/>
    <w:rsid w:val="003268A0"/>
    <w:rsid w:val="0032788F"/>
    <w:rsid w:val="003306B5"/>
    <w:rsid w:val="00331E46"/>
    <w:rsid w:val="00332190"/>
    <w:rsid w:val="00332A98"/>
    <w:rsid w:val="00333973"/>
    <w:rsid w:val="00333CD0"/>
    <w:rsid w:val="0033448D"/>
    <w:rsid w:val="00334821"/>
    <w:rsid w:val="00334AD2"/>
    <w:rsid w:val="00334CB6"/>
    <w:rsid w:val="0033709C"/>
    <w:rsid w:val="003370C5"/>
    <w:rsid w:val="003373C6"/>
    <w:rsid w:val="00340BF3"/>
    <w:rsid w:val="00341D26"/>
    <w:rsid w:val="00341F05"/>
    <w:rsid w:val="0034335E"/>
    <w:rsid w:val="00344668"/>
    <w:rsid w:val="00344940"/>
    <w:rsid w:val="003458DF"/>
    <w:rsid w:val="00345943"/>
    <w:rsid w:val="00346234"/>
    <w:rsid w:val="003462D9"/>
    <w:rsid w:val="0034723F"/>
    <w:rsid w:val="00347247"/>
    <w:rsid w:val="003473C9"/>
    <w:rsid w:val="003474B6"/>
    <w:rsid w:val="00347DD4"/>
    <w:rsid w:val="00351006"/>
    <w:rsid w:val="00352560"/>
    <w:rsid w:val="00352854"/>
    <w:rsid w:val="00352B43"/>
    <w:rsid w:val="00352C28"/>
    <w:rsid w:val="0035716C"/>
    <w:rsid w:val="0036077F"/>
    <w:rsid w:val="00360C86"/>
    <w:rsid w:val="00360F7A"/>
    <w:rsid w:val="00360FBC"/>
    <w:rsid w:val="00361537"/>
    <w:rsid w:val="0036242A"/>
    <w:rsid w:val="00362C23"/>
    <w:rsid w:val="00362E90"/>
    <w:rsid w:val="003632F0"/>
    <w:rsid w:val="00364FA0"/>
    <w:rsid w:val="003657F3"/>
    <w:rsid w:val="00365844"/>
    <w:rsid w:val="00366692"/>
    <w:rsid w:val="003668CF"/>
    <w:rsid w:val="00367638"/>
    <w:rsid w:val="00367F84"/>
    <w:rsid w:val="003712BC"/>
    <w:rsid w:val="003715FE"/>
    <w:rsid w:val="00372164"/>
    <w:rsid w:val="00372A4C"/>
    <w:rsid w:val="0037323C"/>
    <w:rsid w:val="003738BD"/>
    <w:rsid w:val="00374263"/>
    <w:rsid w:val="00374428"/>
    <w:rsid w:val="003746F0"/>
    <w:rsid w:val="00374A20"/>
    <w:rsid w:val="00374E21"/>
    <w:rsid w:val="00377A50"/>
    <w:rsid w:val="00377B2E"/>
    <w:rsid w:val="0038103D"/>
    <w:rsid w:val="003810F0"/>
    <w:rsid w:val="003818DC"/>
    <w:rsid w:val="00382513"/>
    <w:rsid w:val="00382F3A"/>
    <w:rsid w:val="00383388"/>
    <w:rsid w:val="003834F8"/>
    <w:rsid w:val="003838D0"/>
    <w:rsid w:val="003840C2"/>
    <w:rsid w:val="00384327"/>
    <w:rsid w:val="00384861"/>
    <w:rsid w:val="00384A89"/>
    <w:rsid w:val="00385086"/>
    <w:rsid w:val="00385D98"/>
    <w:rsid w:val="00390306"/>
    <w:rsid w:val="003908A6"/>
    <w:rsid w:val="00390951"/>
    <w:rsid w:val="0039109D"/>
    <w:rsid w:val="00391175"/>
    <w:rsid w:val="00391989"/>
    <w:rsid w:val="00391A6C"/>
    <w:rsid w:val="00392696"/>
    <w:rsid w:val="003927F6"/>
    <w:rsid w:val="0039602D"/>
    <w:rsid w:val="00396739"/>
    <w:rsid w:val="003A04F6"/>
    <w:rsid w:val="003A0837"/>
    <w:rsid w:val="003A2B49"/>
    <w:rsid w:val="003A2B4D"/>
    <w:rsid w:val="003A2D12"/>
    <w:rsid w:val="003A2D68"/>
    <w:rsid w:val="003A2EBA"/>
    <w:rsid w:val="003A4080"/>
    <w:rsid w:val="003A45E3"/>
    <w:rsid w:val="003A478C"/>
    <w:rsid w:val="003A4A38"/>
    <w:rsid w:val="003A5525"/>
    <w:rsid w:val="003A5889"/>
    <w:rsid w:val="003A5949"/>
    <w:rsid w:val="003A6B38"/>
    <w:rsid w:val="003A6B83"/>
    <w:rsid w:val="003A6C97"/>
    <w:rsid w:val="003A722F"/>
    <w:rsid w:val="003A7373"/>
    <w:rsid w:val="003A7D09"/>
    <w:rsid w:val="003B0197"/>
    <w:rsid w:val="003B039F"/>
    <w:rsid w:val="003B05B9"/>
    <w:rsid w:val="003B09BC"/>
    <w:rsid w:val="003B0DF4"/>
    <w:rsid w:val="003B1F9D"/>
    <w:rsid w:val="003B2A8D"/>
    <w:rsid w:val="003B2AD1"/>
    <w:rsid w:val="003B2D2E"/>
    <w:rsid w:val="003B461F"/>
    <w:rsid w:val="003B483F"/>
    <w:rsid w:val="003B4998"/>
    <w:rsid w:val="003B5A32"/>
    <w:rsid w:val="003B6B91"/>
    <w:rsid w:val="003B7B50"/>
    <w:rsid w:val="003C0810"/>
    <w:rsid w:val="003C0B07"/>
    <w:rsid w:val="003C27A5"/>
    <w:rsid w:val="003C2CE7"/>
    <w:rsid w:val="003C3490"/>
    <w:rsid w:val="003C3608"/>
    <w:rsid w:val="003C38C4"/>
    <w:rsid w:val="003C3AE8"/>
    <w:rsid w:val="003C3D2C"/>
    <w:rsid w:val="003C4E13"/>
    <w:rsid w:val="003C6221"/>
    <w:rsid w:val="003C63D7"/>
    <w:rsid w:val="003C68CC"/>
    <w:rsid w:val="003C6D24"/>
    <w:rsid w:val="003C7E62"/>
    <w:rsid w:val="003D12B9"/>
    <w:rsid w:val="003D1E7A"/>
    <w:rsid w:val="003D242B"/>
    <w:rsid w:val="003D2492"/>
    <w:rsid w:val="003D29AA"/>
    <w:rsid w:val="003D2A99"/>
    <w:rsid w:val="003D6920"/>
    <w:rsid w:val="003E0249"/>
    <w:rsid w:val="003E182F"/>
    <w:rsid w:val="003E1EF8"/>
    <w:rsid w:val="003E2089"/>
    <w:rsid w:val="003E2DFB"/>
    <w:rsid w:val="003E3A1D"/>
    <w:rsid w:val="003E4C91"/>
    <w:rsid w:val="003E52D8"/>
    <w:rsid w:val="003E62F1"/>
    <w:rsid w:val="003E6CA1"/>
    <w:rsid w:val="003F04B0"/>
    <w:rsid w:val="003F313C"/>
    <w:rsid w:val="003F3320"/>
    <w:rsid w:val="003F37FC"/>
    <w:rsid w:val="003F416F"/>
    <w:rsid w:val="003F4318"/>
    <w:rsid w:val="003F4B2C"/>
    <w:rsid w:val="003F551C"/>
    <w:rsid w:val="003F6093"/>
    <w:rsid w:val="003F626D"/>
    <w:rsid w:val="003F72ED"/>
    <w:rsid w:val="003F7D23"/>
    <w:rsid w:val="00400050"/>
    <w:rsid w:val="004002C8"/>
    <w:rsid w:val="00400468"/>
    <w:rsid w:val="0040099D"/>
    <w:rsid w:val="004016CB"/>
    <w:rsid w:val="00401B23"/>
    <w:rsid w:val="00402357"/>
    <w:rsid w:val="00402ADB"/>
    <w:rsid w:val="0040368D"/>
    <w:rsid w:val="00403D1D"/>
    <w:rsid w:val="00403F57"/>
    <w:rsid w:val="00405318"/>
    <w:rsid w:val="004053B2"/>
    <w:rsid w:val="004059D2"/>
    <w:rsid w:val="004066D0"/>
    <w:rsid w:val="004068D9"/>
    <w:rsid w:val="00406C2E"/>
    <w:rsid w:val="00406CDA"/>
    <w:rsid w:val="00406EB0"/>
    <w:rsid w:val="00407093"/>
    <w:rsid w:val="00407711"/>
    <w:rsid w:val="00407C13"/>
    <w:rsid w:val="004103F6"/>
    <w:rsid w:val="00410638"/>
    <w:rsid w:val="00411999"/>
    <w:rsid w:val="00412511"/>
    <w:rsid w:val="004125C2"/>
    <w:rsid w:val="00412DFA"/>
    <w:rsid w:val="00413465"/>
    <w:rsid w:val="00413876"/>
    <w:rsid w:val="004149AC"/>
    <w:rsid w:val="0041501E"/>
    <w:rsid w:val="00415452"/>
    <w:rsid w:val="00415489"/>
    <w:rsid w:val="004159C3"/>
    <w:rsid w:val="00415A57"/>
    <w:rsid w:val="00416DAC"/>
    <w:rsid w:val="00417F7D"/>
    <w:rsid w:val="00420880"/>
    <w:rsid w:val="00421179"/>
    <w:rsid w:val="004224C7"/>
    <w:rsid w:val="00423EAD"/>
    <w:rsid w:val="004255B1"/>
    <w:rsid w:val="00430810"/>
    <w:rsid w:val="00430C96"/>
    <w:rsid w:val="00431859"/>
    <w:rsid w:val="00431BFF"/>
    <w:rsid w:val="00432043"/>
    <w:rsid w:val="00432199"/>
    <w:rsid w:val="00432A58"/>
    <w:rsid w:val="004331C3"/>
    <w:rsid w:val="00433C17"/>
    <w:rsid w:val="00434459"/>
    <w:rsid w:val="00434617"/>
    <w:rsid w:val="00435051"/>
    <w:rsid w:val="00435C69"/>
    <w:rsid w:val="004360FB"/>
    <w:rsid w:val="00437CED"/>
    <w:rsid w:val="004407BF"/>
    <w:rsid w:val="00440900"/>
    <w:rsid w:val="0044121D"/>
    <w:rsid w:val="00441A7F"/>
    <w:rsid w:val="00441BF6"/>
    <w:rsid w:val="00441D2B"/>
    <w:rsid w:val="00441F8B"/>
    <w:rsid w:val="0044201B"/>
    <w:rsid w:val="00442085"/>
    <w:rsid w:val="0044279E"/>
    <w:rsid w:val="004441A0"/>
    <w:rsid w:val="0044465B"/>
    <w:rsid w:val="00445861"/>
    <w:rsid w:val="00445A8E"/>
    <w:rsid w:val="00445FBE"/>
    <w:rsid w:val="00446D44"/>
    <w:rsid w:val="0045078A"/>
    <w:rsid w:val="0045086D"/>
    <w:rsid w:val="00450DAB"/>
    <w:rsid w:val="004511F3"/>
    <w:rsid w:val="0045125B"/>
    <w:rsid w:val="00451EF1"/>
    <w:rsid w:val="00452E60"/>
    <w:rsid w:val="0045321B"/>
    <w:rsid w:val="00454515"/>
    <w:rsid w:val="004563A7"/>
    <w:rsid w:val="00456FE5"/>
    <w:rsid w:val="00457490"/>
    <w:rsid w:val="00457953"/>
    <w:rsid w:val="004604D8"/>
    <w:rsid w:val="00460656"/>
    <w:rsid w:val="00460FB3"/>
    <w:rsid w:val="00461549"/>
    <w:rsid w:val="004626A4"/>
    <w:rsid w:val="00463D3C"/>
    <w:rsid w:val="00464851"/>
    <w:rsid w:val="0046746A"/>
    <w:rsid w:val="0046782D"/>
    <w:rsid w:val="00467B14"/>
    <w:rsid w:val="004707FE"/>
    <w:rsid w:val="00470EDC"/>
    <w:rsid w:val="004719DF"/>
    <w:rsid w:val="00471B1B"/>
    <w:rsid w:val="0047276D"/>
    <w:rsid w:val="00472AF6"/>
    <w:rsid w:val="00473482"/>
    <w:rsid w:val="00474A04"/>
    <w:rsid w:val="00475A43"/>
    <w:rsid w:val="00476240"/>
    <w:rsid w:val="00476439"/>
    <w:rsid w:val="00476450"/>
    <w:rsid w:val="004769E1"/>
    <w:rsid w:val="0047735C"/>
    <w:rsid w:val="004776BC"/>
    <w:rsid w:val="00477820"/>
    <w:rsid w:val="00477B96"/>
    <w:rsid w:val="004806E2"/>
    <w:rsid w:val="00480BAE"/>
    <w:rsid w:val="00480D16"/>
    <w:rsid w:val="0048139F"/>
    <w:rsid w:val="00481E40"/>
    <w:rsid w:val="00482405"/>
    <w:rsid w:val="004826A7"/>
    <w:rsid w:val="0048368C"/>
    <w:rsid w:val="0048372F"/>
    <w:rsid w:val="00484ECE"/>
    <w:rsid w:val="00485BF2"/>
    <w:rsid w:val="00485E82"/>
    <w:rsid w:val="00486132"/>
    <w:rsid w:val="0048686D"/>
    <w:rsid w:val="00486A4D"/>
    <w:rsid w:val="00486CF6"/>
    <w:rsid w:val="00491466"/>
    <w:rsid w:val="004915CB"/>
    <w:rsid w:val="004924DC"/>
    <w:rsid w:val="00492879"/>
    <w:rsid w:val="00493D59"/>
    <w:rsid w:val="00493E85"/>
    <w:rsid w:val="00494A49"/>
    <w:rsid w:val="00495145"/>
    <w:rsid w:val="0049620B"/>
    <w:rsid w:val="004973CD"/>
    <w:rsid w:val="004979A5"/>
    <w:rsid w:val="004A0144"/>
    <w:rsid w:val="004A036E"/>
    <w:rsid w:val="004A0498"/>
    <w:rsid w:val="004A0D0E"/>
    <w:rsid w:val="004A14E4"/>
    <w:rsid w:val="004A204E"/>
    <w:rsid w:val="004A26A5"/>
    <w:rsid w:val="004A2794"/>
    <w:rsid w:val="004A27F0"/>
    <w:rsid w:val="004A3212"/>
    <w:rsid w:val="004A37CD"/>
    <w:rsid w:val="004A40D9"/>
    <w:rsid w:val="004A49A5"/>
    <w:rsid w:val="004A4F8A"/>
    <w:rsid w:val="004A5494"/>
    <w:rsid w:val="004A5991"/>
    <w:rsid w:val="004A5D4E"/>
    <w:rsid w:val="004A61C5"/>
    <w:rsid w:val="004A62A0"/>
    <w:rsid w:val="004A6558"/>
    <w:rsid w:val="004A7447"/>
    <w:rsid w:val="004A77DF"/>
    <w:rsid w:val="004B12DD"/>
    <w:rsid w:val="004B1417"/>
    <w:rsid w:val="004B15BA"/>
    <w:rsid w:val="004B17C0"/>
    <w:rsid w:val="004B2BB0"/>
    <w:rsid w:val="004B305C"/>
    <w:rsid w:val="004B31B8"/>
    <w:rsid w:val="004B339A"/>
    <w:rsid w:val="004B473B"/>
    <w:rsid w:val="004B49CB"/>
    <w:rsid w:val="004B4C83"/>
    <w:rsid w:val="004B4DE3"/>
    <w:rsid w:val="004B5570"/>
    <w:rsid w:val="004B55B7"/>
    <w:rsid w:val="004B5BFA"/>
    <w:rsid w:val="004B6468"/>
    <w:rsid w:val="004B6EF8"/>
    <w:rsid w:val="004B7121"/>
    <w:rsid w:val="004B7125"/>
    <w:rsid w:val="004B756A"/>
    <w:rsid w:val="004B7D6D"/>
    <w:rsid w:val="004B7FB1"/>
    <w:rsid w:val="004C0B3F"/>
    <w:rsid w:val="004C2189"/>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69"/>
    <w:rsid w:val="004D0794"/>
    <w:rsid w:val="004D2E03"/>
    <w:rsid w:val="004D3296"/>
    <w:rsid w:val="004D4056"/>
    <w:rsid w:val="004D4CB0"/>
    <w:rsid w:val="004D5B0F"/>
    <w:rsid w:val="004D7626"/>
    <w:rsid w:val="004E00D2"/>
    <w:rsid w:val="004E186A"/>
    <w:rsid w:val="004E1A40"/>
    <w:rsid w:val="004E200A"/>
    <w:rsid w:val="004E23FC"/>
    <w:rsid w:val="004E2409"/>
    <w:rsid w:val="004E261D"/>
    <w:rsid w:val="004E5763"/>
    <w:rsid w:val="004E57BF"/>
    <w:rsid w:val="004E5F41"/>
    <w:rsid w:val="004E6DE6"/>
    <w:rsid w:val="004E6E07"/>
    <w:rsid w:val="004E73AE"/>
    <w:rsid w:val="004E765E"/>
    <w:rsid w:val="004E7815"/>
    <w:rsid w:val="004F06F5"/>
    <w:rsid w:val="004F12A4"/>
    <w:rsid w:val="004F253F"/>
    <w:rsid w:val="004F33A0"/>
    <w:rsid w:val="004F3BD2"/>
    <w:rsid w:val="004F46ED"/>
    <w:rsid w:val="004F4C99"/>
    <w:rsid w:val="004F5358"/>
    <w:rsid w:val="004F6484"/>
    <w:rsid w:val="004F6539"/>
    <w:rsid w:val="00503784"/>
    <w:rsid w:val="00503D54"/>
    <w:rsid w:val="005048E2"/>
    <w:rsid w:val="00505FC8"/>
    <w:rsid w:val="00506603"/>
    <w:rsid w:val="0050689D"/>
    <w:rsid w:val="005077F5"/>
    <w:rsid w:val="005108C0"/>
    <w:rsid w:val="0051094F"/>
    <w:rsid w:val="005109BD"/>
    <w:rsid w:val="00511217"/>
    <w:rsid w:val="00511873"/>
    <w:rsid w:val="00511DFB"/>
    <w:rsid w:val="00512461"/>
    <w:rsid w:val="00512585"/>
    <w:rsid w:val="00512A2F"/>
    <w:rsid w:val="00513B7C"/>
    <w:rsid w:val="00513B7E"/>
    <w:rsid w:val="00513E9D"/>
    <w:rsid w:val="0051475D"/>
    <w:rsid w:val="00514B11"/>
    <w:rsid w:val="00515485"/>
    <w:rsid w:val="00515BE9"/>
    <w:rsid w:val="00515C74"/>
    <w:rsid w:val="0051630F"/>
    <w:rsid w:val="00517113"/>
    <w:rsid w:val="0052007E"/>
    <w:rsid w:val="005215A9"/>
    <w:rsid w:val="00521CAD"/>
    <w:rsid w:val="0052200D"/>
    <w:rsid w:val="00522E01"/>
    <w:rsid w:val="0052337A"/>
    <w:rsid w:val="00524385"/>
    <w:rsid w:val="005246BE"/>
    <w:rsid w:val="00525137"/>
    <w:rsid w:val="005251DD"/>
    <w:rsid w:val="005251E7"/>
    <w:rsid w:val="00526691"/>
    <w:rsid w:val="0053012B"/>
    <w:rsid w:val="005301A6"/>
    <w:rsid w:val="005308A4"/>
    <w:rsid w:val="00530A68"/>
    <w:rsid w:val="00530AD4"/>
    <w:rsid w:val="00530BF8"/>
    <w:rsid w:val="00531859"/>
    <w:rsid w:val="00531BC0"/>
    <w:rsid w:val="00531C5A"/>
    <w:rsid w:val="005320DD"/>
    <w:rsid w:val="00532CE7"/>
    <w:rsid w:val="00532D8B"/>
    <w:rsid w:val="0053324C"/>
    <w:rsid w:val="00533A8D"/>
    <w:rsid w:val="00534A28"/>
    <w:rsid w:val="00534FC7"/>
    <w:rsid w:val="00535018"/>
    <w:rsid w:val="0053595E"/>
    <w:rsid w:val="00536D6F"/>
    <w:rsid w:val="00537571"/>
    <w:rsid w:val="00540056"/>
    <w:rsid w:val="005410E2"/>
    <w:rsid w:val="00541508"/>
    <w:rsid w:val="00541AE3"/>
    <w:rsid w:val="0054347E"/>
    <w:rsid w:val="00543498"/>
    <w:rsid w:val="00543771"/>
    <w:rsid w:val="00544011"/>
    <w:rsid w:val="00544889"/>
    <w:rsid w:val="00544BE5"/>
    <w:rsid w:val="005455F6"/>
    <w:rsid w:val="0054582F"/>
    <w:rsid w:val="00546B17"/>
    <w:rsid w:val="005500F9"/>
    <w:rsid w:val="00550160"/>
    <w:rsid w:val="005514EA"/>
    <w:rsid w:val="00552306"/>
    <w:rsid w:val="005523A8"/>
    <w:rsid w:val="00552F2C"/>
    <w:rsid w:val="0055305F"/>
    <w:rsid w:val="00553A25"/>
    <w:rsid w:val="005547EB"/>
    <w:rsid w:val="005552D3"/>
    <w:rsid w:val="005555E0"/>
    <w:rsid w:val="0055599F"/>
    <w:rsid w:val="00556D68"/>
    <w:rsid w:val="005570D6"/>
    <w:rsid w:val="00557954"/>
    <w:rsid w:val="00557E0E"/>
    <w:rsid w:val="00557E45"/>
    <w:rsid w:val="00560C41"/>
    <w:rsid w:val="00561F44"/>
    <w:rsid w:val="00562699"/>
    <w:rsid w:val="00562B4D"/>
    <w:rsid w:val="00563EB8"/>
    <w:rsid w:val="00564178"/>
    <w:rsid w:val="005647BF"/>
    <w:rsid w:val="00564AF1"/>
    <w:rsid w:val="005655DB"/>
    <w:rsid w:val="00565E88"/>
    <w:rsid w:val="00566CE9"/>
    <w:rsid w:val="00566EFA"/>
    <w:rsid w:val="005678EE"/>
    <w:rsid w:val="00570270"/>
    <w:rsid w:val="00570464"/>
    <w:rsid w:val="00570BC3"/>
    <w:rsid w:val="0057182A"/>
    <w:rsid w:val="00571E59"/>
    <w:rsid w:val="00572079"/>
    <w:rsid w:val="00572900"/>
    <w:rsid w:val="00573602"/>
    <w:rsid w:val="0057364B"/>
    <w:rsid w:val="00573878"/>
    <w:rsid w:val="00574773"/>
    <w:rsid w:val="00575EF7"/>
    <w:rsid w:val="005761EC"/>
    <w:rsid w:val="00576542"/>
    <w:rsid w:val="00577C07"/>
    <w:rsid w:val="00577DB1"/>
    <w:rsid w:val="00580AD3"/>
    <w:rsid w:val="00580DE7"/>
    <w:rsid w:val="005810E1"/>
    <w:rsid w:val="005839C8"/>
    <w:rsid w:val="00583E52"/>
    <w:rsid w:val="00583FFD"/>
    <w:rsid w:val="00584252"/>
    <w:rsid w:val="00584269"/>
    <w:rsid w:val="0058519A"/>
    <w:rsid w:val="005856BD"/>
    <w:rsid w:val="00586BCA"/>
    <w:rsid w:val="00587038"/>
    <w:rsid w:val="00590B28"/>
    <w:rsid w:val="005911BE"/>
    <w:rsid w:val="00591273"/>
    <w:rsid w:val="00591E9E"/>
    <w:rsid w:val="005927A4"/>
    <w:rsid w:val="00593152"/>
    <w:rsid w:val="00593357"/>
    <w:rsid w:val="005956A3"/>
    <w:rsid w:val="00595958"/>
    <w:rsid w:val="00595CAB"/>
    <w:rsid w:val="0059622E"/>
    <w:rsid w:val="00597671"/>
    <w:rsid w:val="00597BBF"/>
    <w:rsid w:val="005A0948"/>
    <w:rsid w:val="005A0A03"/>
    <w:rsid w:val="005A10F2"/>
    <w:rsid w:val="005A14E1"/>
    <w:rsid w:val="005A21E0"/>
    <w:rsid w:val="005A28FF"/>
    <w:rsid w:val="005A2C09"/>
    <w:rsid w:val="005A357B"/>
    <w:rsid w:val="005A3778"/>
    <w:rsid w:val="005A3DF8"/>
    <w:rsid w:val="005A5549"/>
    <w:rsid w:val="005A55E8"/>
    <w:rsid w:val="005A58F7"/>
    <w:rsid w:val="005A7CF8"/>
    <w:rsid w:val="005A7F67"/>
    <w:rsid w:val="005B0EDA"/>
    <w:rsid w:val="005B121D"/>
    <w:rsid w:val="005B26B0"/>
    <w:rsid w:val="005B41C9"/>
    <w:rsid w:val="005B44E6"/>
    <w:rsid w:val="005B4853"/>
    <w:rsid w:val="005B5054"/>
    <w:rsid w:val="005B5F82"/>
    <w:rsid w:val="005B6CA1"/>
    <w:rsid w:val="005B770C"/>
    <w:rsid w:val="005C06ED"/>
    <w:rsid w:val="005C11B8"/>
    <w:rsid w:val="005C216C"/>
    <w:rsid w:val="005C2319"/>
    <w:rsid w:val="005C2609"/>
    <w:rsid w:val="005C263A"/>
    <w:rsid w:val="005C2B30"/>
    <w:rsid w:val="005C401C"/>
    <w:rsid w:val="005C412B"/>
    <w:rsid w:val="005C43EC"/>
    <w:rsid w:val="005C45DD"/>
    <w:rsid w:val="005C4CB1"/>
    <w:rsid w:val="005D3F06"/>
    <w:rsid w:val="005D4AC7"/>
    <w:rsid w:val="005D4B73"/>
    <w:rsid w:val="005D5645"/>
    <w:rsid w:val="005D5802"/>
    <w:rsid w:val="005D5AA9"/>
    <w:rsid w:val="005D66E6"/>
    <w:rsid w:val="005D7119"/>
    <w:rsid w:val="005D76C8"/>
    <w:rsid w:val="005D7890"/>
    <w:rsid w:val="005E0204"/>
    <w:rsid w:val="005E0790"/>
    <w:rsid w:val="005E19C1"/>
    <w:rsid w:val="005E2194"/>
    <w:rsid w:val="005E24F0"/>
    <w:rsid w:val="005E36FE"/>
    <w:rsid w:val="005E391F"/>
    <w:rsid w:val="005E3F66"/>
    <w:rsid w:val="005E490F"/>
    <w:rsid w:val="005E4BC9"/>
    <w:rsid w:val="005E5314"/>
    <w:rsid w:val="005E60E1"/>
    <w:rsid w:val="005E7C78"/>
    <w:rsid w:val="005F04A7"/>
    <w:rsid w:val="005F08F0"/>
    <w:rsid w:val="005F114F"/>
    <w:rsid w:val="005F18C5"/>
    <w:rsid w:val="005F2A08"/>
    <w:rsid w:val="005F2D91"/>
    <w:rsid w:val="005F36CC"/>
    <w:rsid w:val="005F3EB1"/>
    <w:rsid w:val="005F413E"/>
    <w:rsid w:val="005F466B"/>
    <w:rsid w:val="005F46D8"/>
    <w:rsid w:val="005F480F"/>
    <w:rsid w:val="005F4FC3"/>
    <w:rsid w:val="005F5469"/>
    <w:rsid w:val="005F63F3"/>
    <w:rsid w:val="005F66F0"/>
    <w:rsid w:val="005F6D7F"/>
    <w:rsid w:val="005F7174"/>
    <w:rsid w:val="005F7E79"/>
    <w:rsid w:val="00601AA5"/>
    <w:rsid w:val="00601ADE"/>
    <w:rsid w:val="00601EA4"/>
    <w:rsid w:val="00601EEF"/>
    <w:rsid w:val="0060255A"/>
    <w:rsid w:val="00602EB3"/>
    <w:rsid w:val="00603F18"/>
    <w:rsid w:val="00604307"/>
    <w:rsid w:val="0060487F"/>
    <w:rsid w:val="00604EAD"/>
    <w:rsid w:val="0060513F"/>
    <w:rsid w:val="0060694B"/>
    <w:rsid w:val="006104FB"/>
    <w:rsid w:val="00610E7F"/>
    <w:rsid w:val="00611113"/>
    <w:rsid w:val="0061176D"/>
    <w:rsid w:val="0061200F"/>
    <w:rsid w:val="00612756"/>
    <w:rsid w:val="00612A2F"/>
    <w:rsid w:val="00612AAE"/>
    <w:rsid w:val="00612BB0"/>
    <w:rsid w:val="00612FD9"/>
    <w:rsid w:val="006139E0"/>
    <w:rsid w:val="00614D35"/>
    <w:rsid w:val="00614FD6"/>
    <w:rsid w:val="0061541C"/>
    <w:rsid w:val="006156B4"/>
    <w:rsid w:val="00615DAF"/>
    <w:rsid w:val="00616E05"/>
    <w:rsid w:val="00616F73"/>
    <w:rsid w:val="00617985"/>
    <w:rsid w:val="00620B77"/>
    <w:rsid w:val="0062131B"/>
    <w:rsid w:val="00621E26"/>
    <w:rsid w:val="0062263A"/>
    <w:rsid w:val="006227DF"/>
    <w:rsid w:val="006236C8"/>
    <w:rsid w:val="00624093"/>
    <w:rsid w:val="006254AE"/>
    <w:rsid w:val="00625A84"/>
    <w:rsid w:val="00626079"/>
    <w:rsid w:val="00630346"/>
    <w:rsid w:val="00631698"/>
    <w:rsid w:val="00631989"/>
    <w:rsid w:val="00631E44"/>
    <w:rsid w:val="00634C57"/>
    <w:rsid w:val="00634CE7"/>
    <w:rsid w:val="006350D5"/>
    <w:rsid w:val="0063642C"/>
    <w:rsid w:val="00637858"/>
    <w:rsid w:val="006404A7"/>
    <w:rsid w:val="00640A38"/>
    <w:rsid w:val="00640E6B"/>
    <w:rsid w:val="00641787"/>
    <w:rsid w:val="0064179B"/>
    <w:rsid w:val="006417C0"/>
    <w:rsid w:val="00642489"/>
    <w:rsid w:val="00644055"/>
    <w:rsid w:val="00644137"/>
    <w:rsid w:val="0064478C"/>
    <w:rsid w:val="00645160"/>
    <w:rsid w:val="006451E4"/>
    <w:rsid w:val="00645B33"/>
    <w:rsid w:val="006479A4"/>
    <w:rsid w:val="00647BC3"/>
    <w:rsid w:val="006516CB"/>
    <w:rsid w:val="006539DD"/>
    <w:rsid w:val="00653BD0"/>
    <w:rsid w:val="00654110"/>
    <w:rsid w:val="006542AF"/>
    <w:rsid w:val="00656C5D"/>
    <w:rsid w:val="00656CFB"/>
    <w:rsid w:val="00657E87"/>
    <w:rsid w:val="00660B4C"/>
    <w:rsid w:val="00660D2D"/>
    <w:rsid w:val="00661C41"/>
    <w:rsid w:val="00661EC9"/>
    <w:rsid w:val="00662198"/>
    <w:rsid w:val="00662469"/>
    <w:rsid w:val="00662BBA"/>
    <w:rsid w:val="006632F5"/>
    <w:rsid w:val="0066411C"/>
    <w:rsid w:val="00664205"/>
    <w:rsid w:val="00664647"/>
    <w:rsid w:val="00664803"/>
    <w:rsid w:val="006653CC"/>
    <w:rsid w:val="00665678"/>
    <w:rsid w:val="00665982"/>
    <w:rsid w:val="00665BA4"/>
    <w:rsid w:val="00666BF3"/>
    <w:rsid w:val="00667856"/>
    <w:rsid w:val="00667AF2"/>
    <w:rsid w:val="00670489"/>
    <w:rsid w:val="006710C9"/>
    <w:rsid w:val="00672586"/>
    <w:rsid w:val="0067262A"/>
    <w:rsid w:val="006741CD"/>
    <w:rsid w:val="0067483A"/>
    <w:rsid w:val="00674D89"/>
    <w:rsid w:val="00674E3E"/>
    <w:rsid w:val="0067514E"/>
    <w:rsid w:val="00675B3D"/>
    <w:rsid w:val="00675E37"/>
    <w:rsid w:val="00676736"/>
    <w:rsid w:val="006769A4"/>
    <w:rsid w:val="006769C6"/>
    <w:rsid w:val="00676D76"/>
    <w:rsid w:val="00676F9F"/>
    <w:rsid w:val="00677591"/>
    <w:rsid w:val="00677594"/>
    <w:rsid w:val="0068032F"/>
    <w:rsid w:val="00680D37"/>
    <w:rsid w:val="0068135D"/>
    <w:rsid w:val="0068174E"/>
    <w:rsid w:val="00681DCE"/>
    <w:rsid w:val="00682519"/>
    <w:rsid w:val="0068260E"/>
    <w:rsid w:val="006831EE"/>
    <w:rsid w:val="006846B3"/>
    <w:rsid w:val="00684D59"/>
    <w:rsid w:val="00684E25"/>
    <w:rsid w:val="006850E9"/>
    <w:rsid w:val="006858A4"/>
    <w:rsid w:val="00686718"/>
    <w:rsid w:val="00686BFA"/>
    <w:rsid w:val="00686DED"/>
    <w:rsid w:val="006875A0"/>
    <w:rsid w:val="006878C6"/>
    <w:rsid w:val="00687D27"/>
    <w:rsid w:val="00691943"/>
    <w:rsid w:val="00693550"/>
    <w:rsid w:val="0069430A"/>
    <w:rsid w:val="00695065"/>
    <w:rsid w:val="00695BEF"/>
    <w:rsid w:val="00696251"/>
    <w:rsid w:val="006963A7"/>
    <w:rsid w:val="006966C7"/>
    <w:rsid w:val="006968C1"/>
    <w:rsid w:val="006977F6"/>
    <w:rsid w:val="00697A13"/>
    <w:rsid w:val="00697A57"/>
    <w:rsid w:val="006A0A71"/>
    <w:rsid w:val="006A0DD4"/>
    <w:rsid w:val="006A109C"/>
    <w:rsid w:val="006A3C12"/>
    <w:rsid w:val="006A3C29"/>
    <w:rsid w:val="006A48E8"/>
    <w:rsid w:val="006A5F4B"/>
    <w:rsid w:val="006A6565"/>
    <w:rsid w:val="006A7691"/>
    <w:rsid w:val="006A7EE2"/>
    <w:rsid w:val="006B0514"/>
    <w:rsid w:val="006B0F92"/>
    <w:rsid w:val="006B2785"/>
    <w:rsid w:val="006B27C7"/>
    <w:rsid w:val="006B344A"/>
    <w:rsid w:val="006B4197"/>
    <w:rsid w:val="006B4F43"/>
    <w:rsid w:val="006B58C9"/>
    <w:rsid w:val="006B60ED"/>
    <w:rsid w:val="006B6CC5"/>
    <w:rsid w:val="006B74AC"/>
    <w:rsid w:val="006B78D8"/>
    <w:rsid w:val="006B79EA"/>
    <w:rsid w:val="006C0221"/>
    <w:rsid w:val="006C0C5D"/>
    <w:rsid w:val="006C113F"/>
    <w:rsid w:val="006C123E"/>
    <w:rsid w:val="006C12B6"/>
    <w:rsid w:val="006C15A1"/>
    <w:rsid w:val="006C1752"/>
    <w:rsid w:val="006C1DDC"/>
    <w:rsid w:val="006C24F9"/>
    <w:rsid w:val="006C28CA"/>
    <w:rsid w:val="006C2BBF"/>
    <w:rsid w:val="006C2FBD"/>
    <w:rsid w:val="006C358B"/>
    <w:rsid w:val="006C4355"/>
    <w:rsid w:val="006C469D"/>
    <w:rsid w:val="006C46B5"/>
    <w:rsid w:val="006C46F7"/>
    <w:rsid w:val="006C484F"/>
    <w:rsid w:val="006C52EC"/>
    <w:rsid w:val="006C56D4"/>
    <w:rsid w:val="006C6681"/>
    <w:rsid w:val="006C67EC"/>
    <w:rsid w:val="006C683C"/>
    <w:rsid w:val="006C6924"/>
    <w:rsid w:val="006C69D4"/>
    <w:rsid w:val="006C6C1E"/>
    <w:rsid w:val="006C7076"/>
    <w:rsid w:val="006C73D7"/>
    <w:rsid w:val="006C7AEC"/>
    <w:rsid w:val="006C7CA6"/>
    <w:rsid w:val="006D15FC"/>
    <w:rsid w:val="006D18B3"/>
    <w:rsid w:val="006D190F"/>
    <w:rsid w:val="006D1E89"/>
    <w:rsid w:val="006D1F0B"/>
    <w:rsid w:val="006D317E"/>
    <w:rsid w:val="006D3D6B"/>
    <w:rsid w:val="006D3E8A"/>
    <w:rsid w:val="006D5925"/>
    <w:rsid w:val="006D61F6"/>
    <w:rsid w:val="006D6ED0"/>
    <w:rsid w:val="006D7837"/>
    <w:rsid w:val="006E1332"/>
    <w:rsid w:val="006E279A"/>
    <w:rsid w:val="006E313B"/>
    <w:rsid w:val="006E34B2"/>
    <w:rsid w:val="006E3A45"/>
    <w:rsid w:val="006E4078"/>
    <w:rsid w:val="006E53AD"/>
    <w:rsid w:val="006E58CB"/>
    <w:rsid w:val="006E6195"/>
    <w:rsid w:val="006E7227"/>
    <w:rsid w:val="006E761A"/>
    <w:rsid w:val="006F0741"/>
    <w:rsid w:val="006F1C27"/>
    <w:rsid w:val="006F2882"/>
    <w:rsid w:val="006F2A65"/>
    <w:rsid w:val="006F3DD6"/>
    <w:rsid w:val="006F40DF"/>
    <w:rsid w:val="006F42BB"/>
    <w:rsid w:val="006F438E"/>
    <w:rsid w:val="006F440B"/>
    <w:rsid w:val="006F48A3"/>
    <w:rsid w:val="006F5416"/>
    <w:rsid w:val="006F624B"/>
    <w:rsid w:val="006F6D87"/>
    <w:rsid w:val="006F77B7"/>
    <w:rsid w:val="007004F2"/>
    <w:rsid w:val="0070398A"/>
    <w:rsid w:val="00705242"/>
    <w:rsid w:val="007055E0"/>
    <w:rsid w:val="007056ED"/>
    <w:rsid w:val="00705F4E"/>
    <w:rsid w:val="007065C5"/>
    <w:rsid w:val="007068E1"/>
    <w:rsid w:val="00706AA0"/>
    <w:rsid w:val="00706AD4"/>
    <w:rsid w:val="00707150"/>
    <w:rsid w:val="00710AF0"/>
    <w:rsid w:val="007119CB"/>
    <w:rsid w:val="007124D7"/>
    <w:rsid w:val="00712C20"/>
    <w:rsid w:val="00713549"/>
    <w:rsid w:val="007140BE"/>
    <w:rsid w:val="007147AB"/>
    <w:rsid w:val="00715502"/>
    <w:rsid w:val="00715B9E"/>
    <w:rsid w:val="00715E4D"/>
    <w:rsid w:val="0071677A"/>
    <w:rsid w:val="00716F48"/>
    <w:rsid w:val="00717096"/>
    <w:rsid w:val="00717114"/>
    <w:rsid w:val="0071779F"/>
    <w:rsid w:val="00720CB6"/>
    <w:rsid w:val="007211F5"/>
    <w:rsid w:val="00721601"/>
    <w:rsid w:val="00722777"/>
    <w:rsid w:val="007230C9"/>
    <w:rsid w:val="00723435"/>
    <w:rsid w:val="00723436"/>
    <w:rsid w:val="007235C9"/>
    <w:rsid w:val="007240E2"/>
    <w:rsid w:val="0072454C"/>
    <w:rsid w:val="0072531B"/>
    <w:rsid w:val="0072583E"/>
    <w:rsid w:val="00725BB5"/>
    <w:rsid w:val="00727C02"/>
    <w:rsid w:val="0073008E"/>
    <w:rsid w:val="00730AE8"/>
    <w:rsid w:val="00730F1B"/>
    <w:rsid w:val="00731616"/>
    <w:rsid w:val="0073186D"/>
    <w:rsid w:val="00731C73"/>
    <w:rsid w:val="007325BA"/>
    <w:rsid w:val="0073333D"/>
    <w:rsid w:val="007343D9"/>
    <w:rsid w:val="00734451"/>
    <w:rsid w:val="00734E87"/>
    <w:rsid w:val="00734F71"/>
    <w:rsid w:val="00735448"/>
    <w:rsid w:val="00736F07"/>
    <w:rsid w:val="007377BD"/>
    <w:rsid w:val="0073789B"/>
    <w:rsid w:val="00737DEC"/>
    <w:rsid w:val="0074004D"/>
    <w:rsid w:val="00741493"/>
    <w:rsid w:val="0074297B"/>
    <w:rsid w:val="007434E5"/>
    <w:rsid w:val="0074499B"/>
    <w:rsid w:val="007450BF"/>
    <w:rsid w:val="00745E3F"/>
    <w:rsid w:val="007471A1"/>
    <w:rsid w:val="007471EF"/>
    <w:rsid w:val="007477BD"/>
    <w:rsid w:val="00747EE9"/>
    <w:rsid w:val="00752126"/>
    <w:rsid w:val="00752180"/>
    <w:rsid w:val="00752323"/>
    <w:rsid w:val="007532B7"/>
    <w:rsid w:val="00753CAB"/>
    <w:rsid w:val="00754A70"/>
    <w:rsid w:val="00754BC9"/>
    <w:rsid w:val="00755202"/>
    <w:rsid w:val="007558AE"/>
    <w:rsid w:val="00755D3A"/>
    <w:rsid w:val="00757241"/>
    <w:rsid w:val="0075751D"/>
    <w:rsid w:val="0075763E"/>
    <w:rsid w:val="007578D3"/>
    <w:rsid w:val="00757C31"/>
    <w:rsid w:val="00757F49"/>
    <w:rsid w:val="007602CF"/>
    <w:rsid w:val="00760391"/>
    <w:rsid w:val="007609C6"/>
    <w:rsid w:val="007615F3"/>
    <w:rsid w:val="0076175D"/>
    <w:rsid w:val="00761CB5"/>
    <w:rsid w:val="007629D5"/>
    <w:rsid w:val="007635F8"/>
    <w:rsid w:val="00763B85"/>
    <w:rsid w:val="00763C9F"/>
    <w:rsid w:val="0076421A"/>
    <w:rsid w:val="00764974"/>
    <w:rsid w:val="00764D18"/>
    <w:rsid w:val="0076521E"/>
    <w:rsid w:val="00765BCC"/>
    <w:rsid w:val="0076600D"/>
    <w:rsid w:val="007661E9"/>
    <w:rsid w:val="00766460"/>
    <w:rsid w:val="00767062"/>
    <w:rsid w:val="00767777"/>
    <w:rsid w:val="00770CFC"/>
    <w:rsid w:val="00771274"/>
    <w:rsid w:val="0077130E"/>
    <w:rsid w:val="007715EE"/>
    <w:rsid w:val="00771972"/>
    <w:rsid w:val="00772279"/>
    <w:rsid w:val="00772DAB"/>
    <w:rsid w:val="00772FF9"/>
    <w:rsid w:val="00774CEF"/>
    <w:rsid w:val="00774D2C"/>
    <w:rsid w:val="00775204"/>
    <w:rsid w:val="007754B9"/>
    <w:rsid w:val="0077605B"/>
    <w:rsid w:val="00776169"/>
    <w:rsid w:val="00776527"/>
    <w:rsid w:val="00776DD8"/>
    <w:rsid w:val="00777040"/>
    <w:rsid w:val="00777CE6"/>
    <w:rsid w:val="00777D2D"/>
    <w:rsid w:val="00780EF1"/>
    <w:rsid w:val="00781A91"/>
    <w:rsid w:val="00781F36"/>
    <w:rsid w:val="0078236A"/>
    <w:rsid w:val="00785778"/>
    <w:rsid w:val="00785BE1"/>
    <w:rsid w:val="00786C87"/>
    <w:rsid w:val="0078755E"/>
    <w:rsid w:val="007877C9"/>
    <w:rsid w:val="00790764"/>
    <w:rsid w:val="0079085F"/>
    <w:rsid w:val="00790E96"/>
    <w:rsid w:val="00791005"/>
    <w:rsid w:val="0079117A"/>
    <w:rsid w:val="00792E9C"/>
    <w:rsid w:val="00793D78"/>
    <w:rsid w:val="0079420B"/>
    <w:rsid w:val="0079453C"/>
    <w:rsid w:val="00794677"/>
    <w:rsid w:val="00795759"/>
    <w:rsid w:val="00797A76"/>
    <w:rsid w:val="007A170B"/>
    <w:rsid w:val="007A20EB"/>
    <w:rsid w:val="007A282C"/>
    <w:rsid w:val="007A293C"/>
    <w:rsid w:val="007A2A3A"/>
    <w:rsid w:val="007A33E2"/>
    <w:rsid w:val="007A3CAF"/>
    <w:rsid w:val="007A4782"/>
    <w:rsid w:val="007A4CE6"/>
    <w:rsid w:val="007A516D"/>
    <w:rsid w:val="007A5E65"/>
    <w:rsid w:val="007A65E1"/>
    <w:rsid w:val="007A6AAA"/>
    <w:rsid w:val="007A6AC6"/>
    <w:rsid w:val="007A7033"/>
    <w:rsid w:val="007A775D"/>
    <w:rsid w:val="007B0834"/>
    <w:rsid w:val="007B0E83"/>
    <w:rsid w:val="007B11FA"/>
    <w:rsid w:val="007B1396"/>
    <w:rsid w:val="007B16D6"/>
    <w:rsid w:val="007B2011"/>
    <w:rsid w:val="007B2CFE"/>
    <w:rsid w:val="007B309B"/>
    <w:rsid w:val="007B3172"/>
    <w:rsid w:val="007B3D5E"/>
    <w:rsid w:val="007B3DCB"/>
    <w:rsid w:val="007B5725"/>
    <w:rsid w:val="007B5C1F"/>
    <w:rsid w:val="007B5E46"/>
    <w:rsid w:val="007B6689"/>
    <w:rsid w:val="007B6747"/>
    <w:rsid w:val="007B6F72"/>
    <w:rsid w:val="007C05A5"/>
    <w:rsid w:val="007C10BD"/>
    <w:rsid w:val="007C1F0C"/>
    <w:rsid w:val="007C1FFB"/>
    <w:rsid w:val="007C2D94"/>
    <w:rsid w:val="007C3423"/>
    <w:rsid w:val="007C3CFE"/>
    <w:rsid w:val="007C3FBC"/>
    <w:rsid w:val="007C54F1"/>
    <w:rsid w:val="007C5F92"/>
    <w:rsid w:val="007C6227"/>
    <w:rsid w:val="007C6BBD"/>
    <w:rsid w:val="007C6D89"/>
    <w:rsid w:val="007C6F5E"/>
    <w:rsid w:val="007D0382"/>
    <w:rsid w:val="007D0E63"/>
    <w:rsid w:val="007D14FE"/>
    <w:rsid w:val="007D1A1F"/>
    <w:rsid w:val="007D2869"/>
    <w:rsid w:val="007D2E18"/>
    <w:rsid w:val="007D34AE"/>
    <w:rsid w:val="007D40DF"/>
    <w:rsid w:val="007D42E5"/>
    <w:rsid w:val="007D4458"/>
    <w:rsid w:val="007D6AF9"/>
    <w:rsid w:val="007D77FB"/>
    <w:rsid w:val="007E0535"/>
    <w:rsid w:val="007E0D4A"/>
    <w:rsid w:val="007E0F75"/>
    <w:rsid w:val="007E1590"/>
    <w:rsid w:val="007E1788"/>
    <w:rsid w:val="007E1EC5"/>
    <w:rsid w:val="007E1EE3"/>
    <w:rsid w:val="007E29B4"/>
    <w:rsid w:val="007E2F12"/>
    <w:rsid w:val="007E3D86"/>
    <w:rsid w:val="007E435A"/>
    <w:rsid w:val="007E445C"/>
    <w:rsid w:val="007E49F7"/>
    <w:rsid w:val="007E4C70"/>
    <w:rsid w:val="007E580F"/>
    <w:rsid w:val="007E5B5F"/>
    <w:rsid w:val="007E5BA1"/>
    <w:rsid w:val="007E7242"/>
    <w:rsid w:val="007E78B6"/>
    <w:rsid w:val="007E7E61"/>
    <w:rsid w:val="007F0845"/>
    <w:rsid w:val="007F0873"/>
    <w:rsid w:val="007F17D4"/>
    <w:rsid w:val="007F208B"/>
    <w:rsid w:val="007F20F3"/>
    <w:rsid w:val="007F2353"/>
    <w:rsid w:val="007F2390"/>
    <w:rsid w:val="007F2CAC"/>
    <w:rsid w:val="007F4740"/>
    <w:rsid w:val="007F595A"/>
    <w:rsid w:val="007F5C38"/>
    <w:rsid w:val="007F708D"/>
    <w:rsid w:val="008006B3"/>
    <w:rsid w:val="00800B63"/>
    <w:rsid w:val="0080158A"/>
    <w:rsid w:val="00801E13"/>
    <w:rsid w:val="00803008"/>
    <w:rsid w:val="00803069"/>
    <w:rsid w:val="0080346B"/>
    <w:rsid w:val="00804155"/>
    <w:rsid w:val="0080559E"/>
    <w:rsid w:val="00805AF3"/>
    <w:rsid w:val="00807104"/>
    <w:rsid w:val="0080734C"/>
    <w:rsid w:val="00807C82"/>
    <w:rsid w:val="00810E62"/>
    <w:rsid w:val="008117CC"/>
    <w:rsid w:val="00811CEC"/>
    <w:rsid w:val="008128B2"/>
    <w:rsid w:val="00813B27"/>
    <w:rsid w:val="00813D58"/>
    <w:rsid w:val="00813DCA"/>
    <w:rsid w:val="008146F7"/>
    <w:rsid w:val="008161A6"/>
    <w:rsid w:val="008165B8"/>
    <w:rsid w:val="00816905"/>
    <w:rsid w:val="00816BCA"/>
    <w:rsid w:val="00816D98"/>
    <w:rsid w:val="00816E42"/>
    <w:rsid w:val="00817040"/>
    <w:rsid w:val="00817A17"/>
    <w:rsid w:val="00817DF8"/>
    <w:rsid w:val="00817EC1"/>
    <w:rsid w:val="0082112D"/>
    <w:rsid w:val="00821FF6"/>
    <w:rsid w:val="00822574"/>
    <w:rsid w:val="00822980"/>
    <w:rsid w:val="00822E58"/>
    <w:rsid w:val="00822F08"/>
    <w:rsid w:val="00825623"/>
    <w:rsid w:val="00825C4D"/>
    <w:rsid w:val="00826A08"/>
    <w:rsid w:val="00826AC0"/>
    <w:rsid w:val="00827186"/>
    <w:rsid w:val="00827C8E"/>
    <w:rsid w:val="00830569"/>
    <w:rsid w:val="00830AEA"/>
    <w:rsid w:val="00830E86"/>
    <w:rsid w:val="0083143E"/>
    <w:rsid w:val="008315B8"/>
    <w:rsid w:val="008315D5"/>
    <w:rsid w:val="00831793"/>
    <w:rsid w:val="00831CDE"/>
    <w:rsid w:val="00831E88"/>
    <w:rsid w:val="00831F2B"/>
    <w:rsid w:val="00831F7B"/>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2D20"/>
    <w:rsid w:val="008430FD"/>
    <w:rsid w:val="008458BD"/>
    <w:rsid w:val="00846121"/>
    <w:rsid w:val="008461C2"/>
    <w:rsid w:val="008462F1"/>
    <w:rsid w:val="008466C6"/>
    <w:rsid w:val="0084708F"/>
    <w:rsid w:val="008477C8"/>
    <w:rsid w:val="008478A6"/>
    <w:rsid w:val="008502F6"/>
    <w:rsid w:val="0085114D"/>
    <w:rsid w:val="00851A1F"/>
    <w:rsid w:val="00851B1C"/>
    <w:rsid w:val="008520A8"/>
    <w:rsid w:val="00852217"/>
    <w:rsid w:val="00853282"/>
    <w:rsid w:val="0085334C"/>
    <w:rsid w:val="00853FD1"/>
    <w:rsid w:val="008543DC"/>
    <w:rsid w:val="0085533F"/>
    <w:rsid w:val="00855408"/>
    <w:rsid w:val="00855D03"/>
    <w:rsid w:val="00856D65"/>
    <w:rsid w:val="008575AC"/>
    <w:rsid w:val="00860903"/>
    <w:rsid w:val="008611E0"/>
    <w:rsid w:val="00861B41"/>
    <w:rsid w:val="00861B9F"/>
    <w:rsid w:val="00861BE3"/>
    <w:rsid w:val="008625D3"/>
    <w:rsid w:val="00863434"/>
    <w:rsid w:val="0086344F"/>
    <w:rsid w:val="008641AC"/>
    <w:rsid w:val="00864E1F"/>
    <w:rsid w:val="00865E4C"/>
    <w:rsid w:val="00866413"/>
    <w:rsid w:val="00866494"/>
    <w:rsid w:val="00867546"/>
    <w:rsid w:val="0086796D"/>
    <w:rsid w:val="00867DAB"/>
    <w:rsid w:val="0087000B"/>
    <w:rsid w:val="008701E4"/>
    <w:rsid w:val="008704E9"/>
    <w:rsid w:val="00870ECD"/>
    <w:rsid w:val="0087347C"/>
    <w:rsid w:val="008734E7"/>
    <w:rsid w:val="0087368D"/>
    <w:rsid w:val="008740CC"/>
    <w:rsid w:val="00874FE8"/>
    <w:rsid w:val="00875A32"/>
    <w:rsid w:val="00876086"/>
    <w:rsid w:val="00876E83"/>
    <w:rsid w:val="008772BC"/>
    <w:rsid w:val="00880A0E"/>
    <w:rsid w:val="008817FE"/>
    <w:rsid w:val="00881CD7"/>
    <w:rsid w:val="00882911"/>
    <w:rsid w:val="00882F6E"/>
    <w:rsid w:val="00883859"/>
    <w:rsid w:val="00884E02"/>
    <w:rsid w:val="00885451"/>
    <w:rsid w:val="00885D40"/>
    <w:rsid w:val="00886293"/>
    <w:rsid w:val="00886D47"/>
    <w:rsid w:val="00887337"/>
    <w:rsid w:val="008873D4"/>
    <w:rsid w:val="00887780"/>
    <w:rsid w:val="00887E06"/>
    <w:rsid w:val="00891EDF"/>
    <w:rsid w:val="00892872"/>
    <w:rsid w:val="0089296D"/>
    <w:rsid w:val="00892D9E"/>
    <w:rsid w:val="00893E85"/>
    <w:rsid w:val="00893EBE"/>
    <w:rsid w:val="00894031"/>
    <w:rsid w:val="00894C5D"/>
    <w:rsid w:val="00895508"/>
    <w:rsid w:val="008967E9"/>
    <w:rsid w:val="00896A5C"/>
    <w:rsid w:val="008972D2"/>
    <w:rsid w:val="0089754C"/>
    <w:rsid w:val="008A0995"/>
    <w:rsid w:val="008A0ADD"/>
    <w:rsid w:val="008A0D27"/>
    <w:rsid w:val="008A1C59"/>
    <w:rsid w:val="008A37E2"/>
    <w:rsid w:val="008A388E"/>
    <w:rsid w:val="008A394E"/>
    <w:rsid w:val="008A3CBA"/>
    <w:rsid w:val="008A412A"/>
    <w:rsid w:val="008A4B59"/>
    <w:rsid w:val="008A63E1"/>
    <w:rsid w:val="008A66B7"/>
    <w:rsid w:val="008A68BB"/>
    <w:rsid w:val="008A6AA5"/>
    <w:rsid w:val="008A7127"/>
    <w:rsid w:val="008A71DF"/>
    <w:rsid w:val="008B042B"/>
    <w:rsid w:val="008B3537"/>
    <w:rsid w:val="008B3690"/>
    <w:rsid w:val="008B3701"/>
    <w:rsid w:val="008B3A80"/>
    <w:rsid w:val="008B3AEC"/>
    <w:rsid w:val="008B3C07"/>
    <w:rsid w:val="008B3F7B"/>
    <w:rsid w:val="008B5324"/>
    <w:rsid w:val="008B5F78"/>
    <w:rsid w:val="008B6106"/>
    <w:rsid w:val="008B64CC"/>
    <w:rsid w:val="008B7C02"/>
    <w:rsid w:val="008B7D2B"/>
    <w:rsid w:val="008B7EF9"/>
    <w:rsid w:val="008C0049"/>
    <w:rsid w:val="008C0314"/>
    <w:rsid w:val="008C0E88"/>
    <w:rsid w:val="008C1717"/>
    <w:rsid w:val="008C3F3D"/>
    <w:rsid w:val="008C4B50"/>
    <w:rsid w:val="008C5A37"/>
    <w:rsid w:val="008C7569"/>
    <w:rsid w:val="008C79C3"/>
    <w:rsid w:val="008D018F"/>
    <w:rsid w:val="008D033D"/>
    <w:rsid w:val="008D0DBD"/>
    <w:rsid w:val="008D117E"/>
    <w:rsid w:val="008D127E"/>
    <w:rsid w:val="008D18EF"/>
    <w:rsid w:val="008D1CA8"/>
    <w:rsid w:val="008D1E0A"/>
    <w:rsid w:val="008D1E6A"/>
    <w:rsid w:val="008D2A16"/>
    <w:rsid w:val="008D30AF"/>
    <w:rsid w:val="008D33F5"/>
    <w:rsid w:val="008D35E4"/>
    <w:rsid w:val="008D37BF"/>
    <w:rsid w:val="008D6C3A"/>
    <w:rsid w:val="008D6C5F"/>
    <w:rsid w:val="008E0001"/>
    <w:rsid w:val="008E292B"/>
    <w:rsid w:val="008E2C57"/>
    <w:rsid w:val="008E31FF"/>
    <w:rsid w:val="008E3287"/>
    <w:rsid w:val="008E6DCB"/>
    <w:rsid w:val="008E6F06"/>
    <w:rsid w:val="008E7B8E"/>
    <w:rsid w:val="008E7FC9"/>
    <w:rsid w:val="008F0107"/>
    <w:rsid w:val="008F029B"/>
    <w:rsid w:val="008F0589"/>
    <w:rsid w:val="008F26DB"/>
    <w:rsid w:val="008F2A5D"/>
    <w:rsid w:val="008F3636"/>
    <w:rsid w:val="008F3FC9"/>
    <w:rsid w:val="008F509F"/>
    <w:rsid w:val="008F5383"/>
    <w:rsid w:val="008F585B"/>
    <w:rsid w:val="008F7FB0"/>
    <w:rsid w:val="009003A8"/>
    <w:rsid w:val="009005E4"/>
    <w:rsid w:val="00900977"/>
    <w:rsid w:val="009021DA"/>
    <w:rsid w:val="00902500"/>
    <w:rsid w:val="009027F4"/>
    <w:rsid w:val="00902E73"/>
    <w:rsid w:val="00902EFF"/>
    <w:rsid w:val="00903A8E"/>
    <w:rsid w:val="00904010"/>
    <w:rsid w:val="0090432C"/>
    <w:rsid w:val="0090465F"/>
    <w:rsid w:val="00904F96"/>
    <w:rsid w:val="009052A3"/>
    <w:rsid w:val="00905314"/>
    <w:rsid w:val="009053B0"/>
    <w:rsid w:val="009056D7"/>
    <w:rsid w:val="00905B4D"/>
    <w:rsid w:val="00905B8D"/>
    <w:rsid w:val="00906401"/>
    <w:rsid w:val="009065CB"/>
    <w:rsid w:val="009067EA"/>
    <w:rsid w:val="00906B79"/>
    <w:rsid w:val="0090786F"/>
    <w:rsid w:val="0091001E"/>
    <w:rsid w:val="00910C18"/>
    <w:rsid w:val="009110F7"/>
    <w:rsid w:val="0091155E"/>
    <w:rsid w:val="0091239D"/>
    <w:rsid w:val="00912437"/>
    <w:rsid w:val="00912A92"/>
    <w:rsid w:val="00915D07"/>
    <w:rsid w:val="009162AE"/>
    <w:rsid w:val="00917251"/>
    <w:rsid w:val="0091728D"/>
    <w:rsid w:val="009203CC"/>
    <w:rsid w:val="00920EC4"/>
    <w:rsid w:val="0092180B"/>
    <w:rsid w:val="00921F14"/>
    <w:rsid w:val="0092292F"/>
    <w:rsid w:val="00922FF3"/>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1F9B"/>
    <w:rsid w:val="00932443"/>
    <w:rsid w:val="00932B32"/>
    <w:rsid w:val="00933F4A"/>
    <w:rsid w:val="009341F1"/>
    <w:rsid w:val="00934B30"/>
    <w:rsid w:val="00934FF2"/>
    <w:rsid w:val="009358D7"/>
    <w:rsid w:val="00935BD4"/>
    <w:rsid w:val="00935DFE"/>
    <w:rsid w:val="00935F70"/>
    <w:rsid w:val="00936388"/>
    <w:rsid w:val="009373B2"/>
    <w:rsid w:val="00937AE2"/>
    <w:rsid w:val="00937FCA"/>
    <w:rsid w:val="0094061F"/>
    <w:rsid w:val="009407C6"/>
    <w:rsid w:val="00940F0F"/>
    <w:rsid w:val="009428F2"/>
    <w:rsid w:val="00943D5D"/>
    <w:rsid w:val="0094416B"/>
    <w:rsid w:val="0094427A"/>
    <w:rsid w:val="00944C7C"/>
    <w:rsid w:val="00945245"/>
    <w:rsid w:val="00945523"/>
    <w:rsid w:val="009461B1"/>
    <w:rsid w:val="00946431"/>
    <w:rsid w:val="00946CBE"/>
    <w:rsid w:val="009470C6"/>
    <w:rsid w:val="00950921"/>
    <w:rsid w:val="00951D68"/>
    <w:rsid w:val="00951E5B"/>
    <w:rsid w:val="00952B7B"/>
    <w:rsid w:val="00953171"/>
    <w:rsid w:val="00954F39"/>
    <w:rsid w:val="0095510D"/>
    <w:rsid w:val="009555FD"/>
    <w:rsid w:val="0095664B"/>
    <w:rsid w:val="009568DC"/>
    <w:rsid w:val="00957445"/>
    <w:rsid w:val="00957525"/>
    <w:rsid w:val="0095759C"/>
    <w:rsid w:val="009618EE"/>
    <w:rsid w:val="00961DDD"/>
    <w:rsid w:val="009624D2"/>
    <w:rsid w:val="009625B5"/>
    <w:rsid w:val="009628D9"/>
    <w:rsid w:val="009637AE"/>
    <w:rsid w:val="00963A06"/>
    <w:rsid w:val="00964068"/>
    <w:rsid w:val="009640F6"/>
    <w:rsid w:val="0096433C"/>
    <w:rsid w:val="0096469D"/>
    <w:rsid w:val="00964776"/>
    <w:rsid w:val="00964A4E"/>
    <w:rsid w:val="00964B35"/>
    <w:rsid w:val="009651C7"/>
    <w:rsid w:val="00965797"/>
    <w:rsid w:val="00965A10"/>
    <w:rsid w:val="00965E30"/>
    <w:rsid w:val="009670A3"/>
    <w:rsid w:val="009674BE"/>
    <w:rsid w:val="00970026"/>
    <w:rsid w:val="00970FB5"/>
    <w:rsid w:val="00971710"/>
    <w:rsid w:val="00971B87"/>
    <w:rsid w:val="00971C77"/>
    <w:rsid w:val="00972FCD"/>
    <w:rsid w:val="00973324"/>
    <w:rsid w:val="009736DF"/>
    <w:rsid w:val="00973964"/>
    <w:rsid w:val="009741AE"/>
    <w:rsid w:val="009741FC"/>
    <w:rsid w:val="00974782"/>
    <w:rsid w:val="00974923"/>
    <w:rsid w:val="00975909"/>
    <w:rsid w:val="00975E98"/>
    <w:rsid w:val="00977C3D"/>
    <w:rsid w:val="009802F7"/>
    <w:rsid w:val="00980D3D"/>
    <w:rsid w:val="0098103E"/>
    <w:rsid w:val="0098157D"/>
    <w:rsid w:val="00983101"/>
    <w:rsid w:val="00983E41"/>
    <w:rsid w:val="009845E1"/>
    <w:rsid w:val="00984D1B"/>
    <w:rsid w:val="00986246"/>
    <w:rsid w:val="00987A30"/>
    <w:rsid w:val="00990312"/>
    <w:rsid w:val="0099182E"/>
    <w:rsid w:val="00992CF3"/>
    <w:rsid w:val="00993194"/>
    <w:rsid w:val="0099321E"/>
    <w:rsid w:val="00993910"/>
    <w:rsid w:val="00994868"/>
    <w:rsid w:val="00994D28"/>
    <w:rsid w:val="00994F2C"/>
    <w:rsid w:val="009957CC"/>
    <w:rsid w:val="009968D6"/>
    <w:rsid w:val="00997953"/>
    <w:rsid w:val="009A0229"/>
    <w:rsid w:val="009A04D0"/>
    <w:rsid w:val="009A0BFF"/>
    <w:rsid w:val="009A10A0"/>
    <w:rsid w:val="009A1CAB"/>
    <w:rsid w:val="009A2359"/>
    <w:rsid w:val="009A24F1"/>
    <w:rsid w:val="009A27E0"/>
    <w:rsid w:val="009A3851"/>
    <w:rsid w:val="009A405F"/>
    <w:rsid w:val="009A4D57"/>
    <w:rsid w:val="009A51A5"/>
    <w:rsid w:val="009A60D1"/>
    <w:rsid w:val="009A6225"/>
    <w:rsid w:val="009A6395"/>
    <w:rsid w:val="009A64F5"/>
    <w:rsid w:val="009A78D3"/>
    <w:rsid w:val="009B00D2"/>
    <w:rsid w:val="009B05B3"/>
    <w:rsid w:val="009B172F"/>
    <w:rsid w:val="009B196A"/>
    <w:rsid w:val="009B284F"/>
    <w:rsid w:val="009B3764"/>
    <w:rsid w:val="009B47AC"/>
    <w:rsid w:val="009B52AC"/>
    <w:rsid w:val="009B59EA"/>
    <w:rsid w:val="009B66CE"/>
    <w:rsid w:val="009B6FD3"/>
    <w:rsid w:val="009B72BE"/>
    <w:rsid w:val="009B78A4"/>
    <w:rsid w:val="009B7DB2"/>
    <w:rsid w:val="009C01E8"/>
    <w:rsid w:val="009C03DB"/>
    <w:rsid w:val="009C0987"/>
    <w:rsid w:val="009C1750"/>
    <w:rsid w:val="009C175C"/>
    <w:rsid w:val="009C1ACD"/>
    <w:rsid w:val="009C2E29"/>
    <w:rsid w:val="009C3E8F"/>
    <w:rsid w:val="009C554B"/>
    <w:rsid w:val="009C5E83"/>
    <w:rsid w:val="009C7126"/>
    <w:rsid w:val="009C719E"/>
    <w:rsid w:val="009C7799"/>
    <w:rsid w:val="009D07A9"/>
    <w:rsid w:val="009D0AE2"/>
    <w:rsid w:val="009D0D9F"/>
    <w:rsid w:val="009D0EBB"/>
    <w:rsid w:val="009D1108"/>
    <w:rsid w:val="009D15D8"/>
    <w:rsid w:val="009D2C46"/>
    <w:rsid w:val="009D3ACD"/>
    <w:rsid w:val="009D4254"/>
    <w:rsid w:val="009D4738"/>
    <w:rsid w:val="009D4F21"/>
    <w:rsid w:val="009D587D"/>
    <w:rsid w:val="009D7731"/>
    <w:rsid w:val="009E1120"/>
    <w:rsid w:val="009E1393"/>
    <w:rsid w:val="009E1922"/>
    <w:rsid w:val="009E1A3D"/>
    <w:rsid w:val="009E4715"/>
    <w:rsid w:val="009E4A58"/>
    <w:rsid w:val="009E5273"/>
    <w:rsid w:val="009E52F5"/>
    <w:rsid w:val="009E57A8"/>
    <w:rsid w:val="009E5B85"/>
    <w:rsid w:val="009E5DDB"/>
    <w:rsid w:val="009E66E1"/>
    <w:rsid w:val="009E78AC"/>
    <w:rsid w:val="009F2921"/>
    <w:rsid w:val="009F4982"/>
    <w:rsid w:val="009F4CA7"/>
    <w:rsid w:val="009F4F6A"/>
    <w:rsid w:val="009F55BA"/>
    <w:rsid w:val="009F7D36"/>
    <w:rsid w:val="009F7D61"/>
    <w:rsid w:val="00A00686"/>
    <w:rsid w:val="00A00E71"/>
    <w:rsid w:val="00A0306F"/>
    <w:rsid w:val="00A03244"/>
    <w:rsid w:val="00A03545"/>
    <w:rsid w:val="00A03B10"/>
    <w:rsid w:val="00A03E2E"/>
    <w:rsid w:val="00A04616"/>
    <w:rsid w:val="00A04717"/>
    <w:rsid w:val="00A05D8F"/>
    <w:rsid w:val="00A05EE4"/>
    <w:rsid w:val="00A06212"/>
    <w:rsid w:val="00A06F99"/>
    <w:rsid w:val="00A073CB"/>
    <w:rsid w:val="00A07EB8"/>
    <w:rsid w:val="00A1053B"/>
    <w:rsid w:val="00A1092E"/>
    <w:rsid w:val="00A10D66"/>
    <w:rsid w:val="00A113A4"/>
    <w:rsid w:val="00A11891"/>
    <w:rsid w:val="00A11DD4"/>
    <w:rsid w:val="00A11E3F"/>
    <w:rsid w:val="00A14114"/>
    <w:rsid w:val="00A16413"/>
    <w:rsid w:val="00A16545"/>
    <w:rsid w:val="00A16AED"/>
    <w:rsid w:val="00A16C37"/>
    <w:rsid w:val="00A16CA8"/>
    <w:rsid w:val="00A16E1D"/>
    <w:rsid w:val="00A171D5"/>
    <w:rsid w:val="00A17A15"/>
    <w:rsid w:val="00A17D5B"/>
    <w:rsid w:val="00A20127"/>
    <w:rsid w:val="00A201E1"/>
    <w:rsid w:val="00A20AE3"/>
    <w:rsid w:val="00A20FE1"/>
    <w:rsid w:val="00A21B4D"/>
    <w:rsid w:val="00A22073"/>
    <w:rsid w:val="00A223E0"/>
    <w:rsid w:val="00A22B49"/>
    <w:rsid w:val="00A23158"/>
    <w:rsid w:val="00A23E43"/>
    <w:rsid w:val="00A24726"/>
    <w:rsid w:val="00A24DEB"/>
    <w:rsid w:val="00A24ED9"/>
    <w:rsid w:val="00A25216"/>
    <w:rsid w:val="00A2597D"/>
    <w:rsid w:val="00A2628E"/>
    <w:rsid w:val="00A266BF"/>
    <w:rsid w:val="00A26ADF"/>
    <w:rsid w:val="00A26F45"/>
    <w:rsid w:val="00A2731E"/>
    <w:rsid w:val="00A27DA0"/>
    <w:rsid w:val="00A309AC"/>
    <w:rsid w:val="00A30F65"/>
    <w:rsid w:val="00A312F6"/>
    <w:rsid w:val="00A3279E"/>
    <w:rsid w:val="00A3403F"/>
    <w:rsid w:val="00A34818"/>
    <w:rsid w:val="00A35900"/>
    <w:rsid w:val="00A40EAC"/>
    <w:rsid w:val="00A418BC"/>
    <w:rsid w:val="00A41AA8"/>
    <w:rsid w:val="00A41CF6"/>
    <w:rsid w:val="00A41FCF"/>
    <w:rsid w:val="00A42936"/>
    <w:rsid w:val="00A42C38"/>
    <w:rsid w:val="00A43494"/>
    <w:rsid w:val="00A434EB"/>
    <w:rsid w:val="00A438C7"/>
    <w:rsid w:val="00A43CF8"/>
    <w:rsid w:val="00A43DF2"/>
    <w:rsid w:val="00A445A8"/>
    <w:rsid w:val="00A44B0D"/>
    <w:rsid w:val="00A44D21"/>
    <w:rsid w:val="00A45087"/>
    <w:rsid w:val="00A45489"/>
    <w:rsid w:val="00A45CED"/>
    <w:rsid w:val="00A465E9"/>
    <w:rsid w:val="00A468E7"/>
    <w:rsid w:val="00A46DE0"/>
    <w:rsid w:val="00A478BA"/>
    <w:rsid w:val="00A50D73"/>
    <w:rsid w:val="00A518BB"/>
    <w:rsid w:val="00A52A88"/>
    <w:rsid w:val="00A52CAD"/>
    <w:rsid w:val="00A53FC7"/>
    <w:rsid w:val="00A55569"/>
    <w:rsid w:val="00A56580"/>
    <w:rsid w:val="00A566A0"/>
    <w:rsid w:val="00A601E7"/>
    <w:rsid w:val="00A60AC1"/>
    <w:rsid w:val="00A60ED1"/>
    <w:rsid w:val="00A61163"/>
    <w:rsid w:val="00A61806"/>
    <w:rsid w:val="00A618EC"/>
    <w:rsid w:val="00A626FF"/>
    <w:rsid w:val="00A62CE1"/>
    <w:rsid w:val="00A6334E"/>
    <w:rsid w:val="00A651FD"/>
    <w:rsid w:val="00A65469"/>
    <w:rsid w:val="00A65528"/>
    <w:rsid w:val="00A655D3"/>
    <w:rsid w:val="00A65A80"/>
    <w:rsid w:val="00A662D9"/>
    <w:rsid w:val="00A6741E"/>
    <w:rsid w:val="00A67E29"/>
    <w:rsid w:val="00A7016A"/>
    <w:rsid w:val="00A7018D"/>
    <w:rsid w:val="00A71462"/>
    <w:rsid w:val="00A7191D"/>
    <w:rsid w:val="00A71EEF"/>
    <w:rsid w:val="00A722F9"/>
    <w:rsid w:val="00A72D42"/>
    <w:rsid w:val="00A746C9"/>
    <w:rsid w:val="00A74C2A"/>
    <w:rsid w:val="00A75E40"/>
    <w:rsid w:val="00A76818"/>
    <w:rsid w:val="00A77D1D"/>
    <w:rsid w:val="00A80466"/>
    <w:rsid w:val="00A81652"/>
    <w:rsid w:val="00A82C91"/>
    <w:rsid w:val="00A83150"/>
    <w:rsid w:val="00A83398"/>
    <w:rsid w:val="00A83D6E"/>
    <w:rsid w:val="00A83FD5"/>
    <w:rsid w:val="00A8521A"/>
    <w:rsid w:val="00A857C0"/>
    <w:rsid w:val="00A8583B"/>
    <w:rsid w:val="00A85ACB"/>
    <w:rsid w:val="00A87253"/>
    <w:rsid w:val="00A874B0"/>
    <w:rsid w:val="00A90F2C"/>
    <w:rsid w:val="00A90FED"/>
    <w:rsid w:val="00A91482"/>
    <w:rsid w:val="00A91500"/>
    <w:rsid w:val="00A9189D"/>
    <w:rsid w:val="00A91B74"/>
    <w:rsid w:val="00A91E71"/>
    <w:rsid w:val="00A925B1"/>
    <w:rsid w:val="00A92921"/>
    <w:rsid w:val="00A92A3E"/>
    <w:rsid w:val="00A934F9"/>
    <w:rsid w:val="00A940E3"/>
    <w:rsid w:val="00A94983"/>
    <w:rsid w:val="00A94A2D"/>
    <w:rsid w:val="00A95F1A"/>
    <w:rsid w:val="00A96116"/>
    <w:rsid w:val="00A9614E"/>
    <w:rsid w:val="00A96422"/>
    <w:rsid w:val="00A96C0F"/>
    <w:rsid w:val="00A974A6"/>
    <w:rsid w:val="00A97B50"/>
    <w:rsid w:val="00AA0E80"/>
    <w:rsid w:val="00AA17CD"/>
    <w:rsid w:val="00AA1D85"/>
    <w:rsid w:val="00AA212F"/>
    <w:rsid w:val="00AA26A9"/>
    <w:rsid w:val="00AA2996"/>
    <w:rsid w:val="00AA2AF4"/>
    <w:rsid w:val="00AA4282"/>
    <w:rsid w:val="00AA4790"/>
    <w:rsid w:val="00AA51F5"/>
    <w:rsid w:val="00AA52BF"/>
    <w:rsid w:val="00AA559A"/>
    <w:rsid w:val="00AA5D84"/>
    <w:rsid w:val="00AA6C31"/>
    <w:rsid w:val="00AA7046"/>
    <w:rsid w:val="00AA7752"/>
    <w:rsid w:val="00AA7CE8"/>
    <w:rsid w:val="00AB1457"/>
    <w:rsid w:val="00AB2AF1"/>
    <w:rsid w:val="00AB32AF"/>
    <w:rsid w:val="00AB3B20"/>
    <w:rsid w:val="00AB3EC7"/>
    <w:rsid w:val="00AB5A64"/>
    <w:rsid w:val="00AB5CA1"/>
    <w:rsid w:val="00AB5DBC"/>
    <w:rsid w:val="00AB6456"/>
    <w:rsid w:val="00AB75C5"/>
    <w:rsid w:val="00AB7D4B"/>
    <w:rsid w:val="00AC044E"/>
    <w:rsid w:val="00AC0913"/>
    <w:rsid w:val="00AC0B28"/>
    <w:rsid w:val="00AC2118"/>
    <w:rsid w:val="00AC2395"/>
    <w:rsid w:val="00AC2960"/>
    <w:rsid w:val="00AC2AC4"/>
    <w:rsid w:val="00AC4284"/>
    <w:rsid w:val="00AC445B"/>
    <w:rsid w:val="00AC4499"/>
    <w:rsid w:val="00AC45BD"/>
    <w:rsid w:val="00AC50BB"/>
    <w:rsid w:val="00AC5663"/>
    <w:rsid w:val="00AC6FFE"/>
    <w:rsid w:val="00AD0B22"/>
    <w:rsid w:val="00AD0EE7"/>
    <w:rsid w:val="00AD168E"/>
    <w:rsid w:val="00AD1900"/>
    <w:rsid w:val="00AD306C"/>
    <w:rsid w:val="00AD44CD"/>
    <w:rsid w:val="00AD5AD2"/>
    <w:rsid w:val="00AD6462"/>
    <w:rsid w:val="00AD66C5"/>
    <w:rsid w:val="00AD68C4"/>
    <w:rsid w:val="00AD71F9"/>
    <w:rsid w:val="00AE09B3"/>
    <w:rsid w:val="00AE16CB"/>
    <w:rsid w:val="00AE1A83"/>
    <w:rsid w:val="00AE1C48"/>
    <w:rsid w:val="00AE1EA7"/>
    <w:rsid w:val="00AE30BE"/>
    <w:rsid w:val="00AE3E6A"/>
    <w:rsid w:val="00AE3EC2"/>
    <w:rsid w:val="00AE52F6"/>
    <w:rsid w:val="00AE5625"/>
    <w:rsid w:val="00AE6414"/>
    <w:rsid w:val="00AE7269"/>
    <w:rsid w:val="00AE797C"/>
    <w:rsid w:val="00AE7CE7"/>
    <w:rsid w:val="00AE7FAB"/>
    <w:rsid w:val="00AF086A"/>
    <w:rsid w:val="00AF0DE4"/>
    <w:rsid w:val="00AF136B"/>
    <w:rsid w:val="00AF1475"/>
    <w:rsid w:val="00AF1E87"/>
    <w:rsid w:val="00AF2A55"/>
    <w:rsid w:val="00AF436B"/>
    <w:rsid w:val="00AF5179"/>
    <w:rsid w:val="00AF5CC2"/>
    <w:rsid w:val="00AF6776"/>
    <w:rsid w:val="00AF6F98"/>
    <w:rsid w:val="00B00913"/>
    <w:rsid w:val="00B01593"/>
    <w:rsid w:val="00B01FF9"/>
    <w:rsid w:val="00B023F2"/>
    <w:rsid w:val="00B038CA"/>
    <w:rsid w:val="00B0656A"/>
    <w:rsid w:val="00B06DB4"/>
    <w:rsid w:val="00B0750D"/>
    <w:rsid w:val="00B0799C"/>
    <w:rsid w:val="00B07EF7"/>
    <w:rsid w:val="00B102CE"/>
    <w:rsid w:val="00B10A4D"/>
    <w:rsid w:val="00B10C90"/>
    <w:rsid w:val="00B11002"/>
    <w:rsid w:val="00B1114F"/>
    <w:rsid w:val="00B121B2"/>
    <w:rsid w:val="00B141B6"/>
    <w:rsid w:val="00B14BC1"/>
    <w:rsid w:val="00B15104"/>
    <w:rsid w:val="00B1576B"/>
    <w:rsid w:val="00B16DD1"/>
    <w:rsid w:val="00B16EB8"/>
    <w:rsid w:val="00B17E71"/>
    <w:rsid w:val="00B17FDE"/>
    <w:rsid w:val="00B20632"/>
    <w:rsid w:val="00B2379C"/>
    <w:rsid w:val="00B23D5D"/>
    <w:rsid w:val="00B250B5"/>
    <w:rsid w:val="00B2687D"/>
    <w:rsid w:val="00B27789"/>
    <w:rsid w:val="00B27BF6"/>
    <w:rsid w:val="00B3045A"/>
    <w:rsid w:val="00B3108D"/>
    <w:rsid w:val="00B32DDB"/>
    <w:rsid w:val="00B32F57"/>
    <w:rsid w:val="00B3345C"/>
    <w:rsid w:val="00B34528"/>
    <w:rsid w:val="00B34CC9"/>
    <w:rsid w:val="00B3563B"/>
    <w:rsid w:val="00B36295"/>
    <w:rsid w:val="00B36BDC"/>
    <w:rsid w:val="00B37D3A"/>
    <w:rsid w:val="00B37D96"/>
    <w:rsid w:val="00B402FC"/>
    <w:rsid w:val="00B41ACD"/>
    <w:rsid w:val="00B422E2"/>
    <w:rsid w:val="00B42BA9"/>
    <w:rsid w:val="00B42D5F"/>
    <w:rsid w:val="00B43216"/>
    <w:rsid w:val="00B439DA"/>
    <w:rsid w:val="00B4411A"/>
    <w:rsid w:val="00B449BE"/>
    <w:rsid w:val="00B454C0"/>
    <w:rsid w:val="00B45FE8"/>
    <w:rsid w:val="00B46604"/>
    <w:rsid w:val="00B47089"/>
    <w:rsid w:val="00B471A7"/>
    <w:rsid w:val="00B47587"/>
    <w:rsid w:val="00B47EE4"/>
    <w:rsid w:val="00B51BF7"/>
    <w:rsid w:val="00B51E3B"/>
    <w:rsid w:val="00B52151"/>
    <w:rsid w:val="00B521D9"/>
    <w:rsid w:val="00B530CD"/>
    <w:rsid w:val="00B53C7D"/>
    <w:rsid w:val="00B53E56"/>
    <w:rsid w:val="00B55489"/>
    <w:rsid w:val="00B55A97"/>
    <w:rsid w:val="00B55F5E"/>
    <w:rsid w:val="00B5642C"/>
    <w:rsid w:val="00B5658D"/>
    <w:rsid w:val="00B56634"/>
    <w:rsid w:val="00B56B6F"/>
    <w:rsid w:val="00B5752E"/>
    <w:rsid w:val="00B60AC1"/>
    <w:rsid w:val="00B61C7A"/>
    <w:rsid w:val="00B61FF6"/>
    <w:rsid w:val="00B62316"/>
    <w:rsid w:val="00B63A11"/>
    <w:rsid w:val="00B64425"/>
    <w:rsid w:val="00B64C24"/>
    <w:rsid w:val="00B65CEF"/>
    <w:rsid w:val="00B6608F"/>
    <w:rsid w:val="00B67749"/>
    <w:rsid w:val="00B679FB"/>
    <w:rsid w:val="00B707CD"/>
    <w:rsid w:val="00B70BC0"/>
    <w:rsid w:val="00B71FBF"/>
    <w:rsid w:val="00B734A0"/>
    <w:rsid w:val="00B73A14"/>
    <w:rsid w:val="00B748BD"/>
    <w:rsid w:val="00B75D32"/>
    <w:rsid w:val="00B75E68"/>
    <w:rsid w:val="00B7680F"/>
    <w:rsid w:val="00B76B48"/>
    <w:rsid w:val="00B76D1E"/>
    <w:rsid w:val="00B77543"/>
    <w:rsid w:val="00B77584"/>
    <w:rsid w:val="00B77EE9"/>
    <w:rsid w:val="00B80EC6"/>
    <w:rsid w:val="00B81288"/>
    <w:rsid w:val="00B81D70"/>
    <w:rsid w:val="00B833B9"/>
    <w:rsid w:val="00B83E07"/>
    <w:rsid w:val="00B84CF6"/>
    <w:rsid w:val="00B85016"/>
    <w:rsid w:val="00B8561A"/>
    <w:rsid w:val="00B86643"/>
    <w:rsid w:val="00B868F7"/>
    <w:rsid w:val="00B87CD4"/>
    <w:rsid w:val="00B90131"/>
    <w:rsid w:val="00B92951"/>
    <w:rsid w:val="00B92D1D"/>
    <w:rsid w:val="00B92D7E"/>
    <w:rsid w:val="00B930CE"/>
    <w:rsid w:val="00B936FD"/>
    <w:rsid w:val="00B938C5"/>
    <w:rsid w:val="00B940A8"/>
    <w:rsid w:val="00B9554A"/>
    <w:rsid w:val="00B95940"/>
    <w:rsid w:val="00B95ACA"/>
    <w:rsid w:val="00B96C06"/>
    <w:rsid w:val="00B97281"/>
    <w:rsid w:val="00B97ACC"/>
    <w:rsid w:val="00B97FE2"/>
    <w:rsid w:val="00BA0E0B"/>
    <w:rsid w:val="00BA201A"/>
    <w:rsid w:val="00BA3787"/>
    <w:rsid w:val="00BA4633"/>
    <w:rsid w:val="00BA46E8"/>
    <w:rsid w:val="00BA4E19"/>
    <w:rsid w:val="00BA6436"/>
    <w:rsid w:val="00BA64F2"/>
    <w:rsid w:val="00BA684E"/>
    <w:rsid w:val="00BA6C2B"/>
    <w:rsid w:val="00BA7B64"/>
    <w:rsid w:val="00BB02A3"/>
    <w:rsid w:val="00BB0351"/>
    <w:rsid w:val="00BB15C3"/>
    <w:rsid w:val="00BB1AF4"/>
    <w:rsid w:val="00BB2202"/>
    <w:rsid w:val="00BB366D"/>
    <w:rsid w:val="00BB3C6B"/>
    <w:rsid w:val="00BB3FD6"/>
    <w:rsid w:val="00BB453F"/>
    <w:rsid w:val="00BB46F3"/>
    <w:rsid w:val="00BB4A71"/>
    <w:rsid w:val="00BB4CB1"/>
    <w:rsid w:val="00BB4F98"/>
    <w:rsid w:val="00BB50E6"/>
    <w:rsid w:val="00BB5AB2"/>
    <w:rsid w:val="00BB5ABF"/>
    <w:rsid w:val="00BB6EA2"/>
    <w:rsid w:val="00BB7B5B"/>
    <w:rsid w:val="00BB7C58"/>
    <w:rsid w:val="00BB7EB1"/>
    <w:rsid w:val="00BC003F"/>
    <w:rsid w:val="00BC01C6"/>
    <w:rsid w:val="00BC0930"/>
    <w:rsid w:val="00BC327F"/>
    <w:rsid w:val="00BC3512"/>
    <w:rsid w:val="00BC50BE"/>
    <w:rsid w:val="00BC5332"/>
    <w:rsid w:val="00BC5715"/>
    <w:rsid w:val="00BC5C12"/>
    <w:rsid w:val="00BC66E7"/>
    <w:rsid w:val="00BC7154"/>
    <w:rsid w:val="00BC731E"/>
    <w:rsid w:val="00BC7614"/>
    <w:rsid w:val="00BC7675"/>
    <w:rsid w:val="00BD25BB"/>
    <w:rsid w:val="00BD2AF8"/>
    <w:rsid w:val="00BD366B"/>
    <w:rsid w:val="00BD3C09"/>
    <w:rsid w:val="00BD3F9C"/>
    <w:rsid w:val="00BD410B"/>
    <w:rsid w:val="00BD4A73"/>
    <w:rsid w:val="00BD690C"/>
    <w:rsid w:val="00BD6C75"/>
    <w:rsid w:val="00BD6D50"/>
    <w:rsid w:val="00BD6EF4"/>
    <w:rsid w:val="00BD73D2"/>
    <w:rsid w:val="00BD7D42"/>
    <w:rsid w:val="00BE0AD1"/>
    <w:rsid w:val="00BE0EF9"/>
    <w:rsid w:val="00BE10A1"/>
    <w:rsid w:val="00BE18B9"/>
    <w:rsid w:val="00BE190A"/>
    <w:rsid w:val="00BE1E6C"/>
    <w:rsid w:val="00BE2495"/>
    <w:rsid w:val="00BE24DD"/>
    <w:rsid w:val="00BE386D"/>
    <w:rsid w:val="00BE49D8"/>
    <w:rsid w:val="00BE557B"/>
    <w:rsid w:val="00BE66A8"/>
    <w:rsid w:val="00BE7305"/>
    <w:rsid w:val="00BE74D1"/>
    <w:rsid w:val="00BE7F5F"/>
    <w:rsid w:val="00BF02C8"/>
    <w:rsid w:val="00BF1578"/>
    <w:rsid w:val="00BF15CA"/>
    <w:rsid w:val="00BF1D12"/>
    <w:rsid w:val="00BF1D3A"/>
    <w:rsid w:val="00BF26AA"/>
    <w:rsid w:val="00BF2B5B"/>
    <w:rsid w:val="00BF2D41"/>
    <w:rsid w:val="00BF3274"/>
    <w:rsid w:val="00BF32DC"/>
    <w:rsid w:val="00BF4329"/>
    <w:rsid w:val="00BF4870"/>
    <w:rsid w:val="00BF4E43"/>
    <w:rsid w:val="00BF5C4C"/>
    <w:rsid w:val="00BF72AC"/>
    <w:rsid w:val="00BF77FC"/>
    <w:rsid w:val="00C0015C"/>
    <w:rsid w:val="00C006D6"/>
    <w:rsid w:val="00C00BD7"/>
    <w:rsid w:val="00C00C4D"/>
    <w:rsid w:val="00C01410"/>
    <w:rsid w:val="00C0171C"/>
    <w:rsid w:val="00C037B3"/>
    <w:rsid w:val="00C0475A"/>
    <w:rsid w:val="00C04B78"/>
    <w:rsid w:val="00C052AA"/>
    <w:rsid w:val="00C06EE3"/>
    <w:rsid w:val="00C07749"/>
    <w:rsid w:val="00C111AE"/>
    <w:rsid w:val="00C11244"/>
    <w:rsid w:val="00C11D48"/>
    <w:rsid w:val="00C1229A"/>
    <w:rsid w:val="00C1493E"/>
    <w:rsid w:val="00C158AD"/>
    <w:rsid w:val="00C15DBD"/>
    <w:rsid w:val="00C17F7D"/>
    <w:rsid w:val="00C2010D"/>
    <w:rsid w:val="00C20CB5"/>
    <w:rsid w:val="00C21430"/>
    <w:rsid w:val="00C216DF"/>
    <w:rsid w:val="00C21E61"/>
    <w:rsid w:val="00C21F94"/>
    <w:rsid w:val="00C2211E"/>
    <w:rsid w:val="00C22389"/>
    <w:rsid w:val="00C227D7"/>
    <w:rsid w:val="00C234DB"/>
    <w:rsid w:val="00C24348"/>
    <w:rsid w:val="00C2479A"/>
    <w:rsid w:val="00C24903"/>
    <w:rsid w:val="00C2590D"/>
    <w:rsid w:val="00C25C47"/>
    <w:rsid w:val="00C25D9C"/>
    <w:rsid w:val="00C27913"/>
    <w:rsid w:val="00C300E2"/>
    <w:rsid w:val="00C31F21"/>
    <w:rsid w:val="00C32631"/>
    <w:rsid w:val="00C33301"/>
    <w:rsid w:val="00C33311"/>
    <w:rsid w:val="00C33B68"/>
    <w:rsid w:val="00C33E38"/>
    <w:rsid w:val="00C33F11"/>
    <w:rsid w:val="00C3526D"/>
    <w:rsid w:val="00C35570"/>
    <w:rsid w:val="00C35A2A"/>
    <w:rsid w:val="00C36A79"/>
    <w:rsid w:val="00C401A9"/>
    <w:rsid w:val="00C401D2"/>
    <w:rsid w:val="00C4031A"/>
    <w:rsid w:val="00C405D4"/>
    <w:rsid w:val="00C41285"/>
    <w:rsid w:val="00C41843"/>
    <w:rsid w:val="00C419D5"/>
    <w:rsid w:val="00C41D54"/>
    <w:rsid w:val="00C42EBB"/>
    <w:rsid w:val="00C4513B"/>
    <w:rsid w:val="00C459C6"/>
    <w:rsid w:val="00C46B65"/>
    <w:rsid w:val="00C4738E"/>
    <w:rsid w:val="00C475E8"/>
    <w:rsid w:val="00C50E79"/>
    <w:rsid w:val="00C5197D"/>
    <w:rsid w:val="00C525FB"/>
    <w:rsid w:val="00C52A14"/>
    <w:rsid w:val="00C52F21"/>
    <w:rsid w:val="00C5390B"/>
    <w:rsid w:val="00C54257"/>
    <w:rsid w:val="00C54697"/>
    <w:rsid w:val="00C550CE"/>
    <w:rsid w:val="00C553A5"/>
    <w:rsid w:val="00C55402"/>
    <w:rsid w:val="00C55FC5"/>
    <w:rsid w:val="00C5603B"/>
    <w:rsid w:val="00C600F0"/>
    <w:rsid w:val="00C61D09"/>
    <w:rsid w:val="00C61F47"/>
    <w:rsid w:val="00C62423"/>
    <w:rsid w:val="00C62828"/>
    <w:rsid w:val="00C642DC"/>
    <w:rsid w:val="00C670E5"/>
    <w:rsid w:val="00C715CC"/>
    <w:rsid w:val="00C719A3"/>
    <w:rsid w:val="00C71D2F"/>
    <w:rsid w:val="00C72984"/>
    <w:rsid w:val="00C72FA6"/>
    <w:rsid w:val="00C73885"/>
    <w:rsid w:val="00C73C93"/>
    <w:rsid w:val="00C73CA9"/>
    <w:rsid w:val="00C7435A"/>
    <w:rsid w:val="00C747B1"/>
    <w:rsid w:val="00C74A57"/>
    <w:rsid w:val="00C75510"/>
    <w:rsid w:val="00C755F9"/>
    <w:rsid w:val="00C75752"/>
    <w:rsid w:val="00C770C9"/>
    <w:rsid w:val="00C77B27"/>
    <w:rsid w:val="00C81070"/>
    <w:rsid w:val="00C8174E"/>
    <w:rsid w:val="00C82191"/>
    <w:rsid w:val="00C82E69"/>
    <w:rsid w:val="00C83134"/>
    <w:rsid w:val="00C831E7"/>
    <w:rsid w:val="00C832F3"/>
    <w:rsid w:val="00C845A4"/>
    <w:rsid w:val="00C85545"/>
    <w:rsid w:val="00C855B5"/>
    <w:rsid w:val="00C85F0E"/>
    <w:rsid w:val="00C8753B"/>
    <w:rsid w:val="00C90570"/>
    <w:rsid w:val="00C90CF4"/>
    <w:rsid w:val="00C91C20"/>
    <w:rsid w:val="00C922DE"/>
    <w:rsid w:val="00C92843"/>
    <w:rsid w:val="00C92EB6"/>
    <w:rsid w:val="00C93389"/>
    <w:rsid w:val="00C948E6"/>
    <w:rsid w:val="00C94CDD"/>
    <w:rsid w:val="00C96268"/>
    <w:rsid w:val="00C97588"/>
    <w:rsid w:val="00CA0346"/>
    <w:rsid w:val="00CA1BD6"/>
    <w:rsid w:val="00CA240C"/>
    <w:rsid w:val="00CA2A97"/>
    <w:rsid w:val="00CA37FF"/>
    <w:rsid w:val="00CA4008"/>
    <w:rsid w:val="00CA423A"/>
    <w:rsid w:val="00CA47BC"/>
    <w:rsid w:val="00CA561A"/>
    <w:rsid w:val="00CA5EAD"/>
    <w:rsid w:val="00CA6AB4"/>
    <w:rsid w:val="00CA7255"/>
    <w:rsid w:val="00CB1BEE"/>
    <w:rsid w:val="00CB2351"/>
    <w:rsid w:val="00CB4930"/>
    <w:rsid w:val="00CB4BA9"/>
    <w:rsid w:val="00CB4C63"/>
    <w:rsid w:val="00CB5A48"/>
    <w:rsid w:val="00CB5E10"/>
    <w:rsid w:val="00CB613B"/>
    <w:rsid w:val="00CB6152"/>
    <w:rsid w:val="00CB64E1"/>
    <w:rsid w:val="00CB6E4D"/>
    <w:rsid w:val="00CC057E"/>
    <w:rsid w:val="00CC0834"/>
    <w:rsid w:val="00CC0F4E"/>
    <w:rsid w:val="00CC20FE"/>
    <w:rsid w:val="00CC2E7D"/>
    <w:rsid w:val="00CC4FD0"/>
    <w:rsid w:val="00CC612B"/>
    <w:rsid w:val="00CC655F"/>
    <w:rsid w:val="00CC66F9"/>
    <w:rsid w:val="00CC6C2A"/>
    <w:rsid w:val="00CC6F0F"/>
    <w:rsid w:val="00CC6FE5"/>
    <w:rsid w:val="00CC7458"/>
    <w:rsid w:val="00CC76BD"/>
    <w:rsid w:val="00CC7A87"/>
    <w:rsid w:val="00CD074C"/>
    <w:rsid w:val="00CD10A5"/>
    <w:rsid w:val="00CD1129"/>
    <w:rsid w:val="00CD1A80"/>
    <w:rsid w:val="00CD1CB5"/>
    <w:rsid w:val="00CD2076"/>
    <w:rsid w:val="00CD24CE"/>
    <w:rsid w:val="00CD29B5"/>
    <w:rsid w:val="00CD2B78"/>
    <w:rsid w:val="00CD3FAB"/>
    <w:rsid w:val="00CD5456"/>
    <w:rsid w:val="00CD5C3E"/>
    <w:rsid w:val="00CD6331"/>
    <w:rsid w:val="00CE06B5"/>
    <w:rsid w:val="00CE14BE"/>
    <w:rsid w:val="00CE17A4"/>
    <w:rsid w:val="00CE1BA9"/>
    <w:rsid w:val="00CE2D8F"/>
    <w:rsid w:val="00CE3E48"/>
    <w:rsid w:val="00CE470E"/>
    <w:rsid w:val="00CE47B8"/>
    <w:rsid w:val="00CE54C3"/>
    <w:rsid w:val="00CE62FA"/>
    <w:rsid w:val="00CE670B"/>
    <w:rsid w:val="00CE6833"/>
    <w:rsid w:val="00CE6AAA"/>
    <w:rsid w:val="00CE739F"/>
    <w:rsid w:val="00CF020B"/>
    <w:rsid w:val="00CF16CF"/>
    <w:rsid w:val="00CF2E4D"/>
    <w:rsid w:val="00CF4205"/>
    <w:rsid w:val="00CF4908"/>
    <w:rsid w:val="00CF51EC"/>
    <w:rsid w:val="00CF545D"/>
    <w:rsid w:val="00CF5873"/>
    <w:rsid w:val="00CF6F9C"/>
    <w:rsid w:val="00CF73AE"/>
    <w:rsid w:val="00CF7777"/>
    <w:rsid w:val="00D00052"/>
    <w:rsid w:val="00D0085A"/>
    <w:rsid w:val="00D0197F"/>
    <w:rsid w:val="00D01B31"/>
    <w:rsid w:val="00D0242D"/>
    <w:rsid w:val="00D02716"/>
    <w:rsid w:val="00D03A72"/>
    <w:rsid w:val="00D040DD"/>
    <w:rsid w:val="00D04134"/>
    <w:rsid w:val="00D05C65"/>
    <w:rsid w:val="00D0639F"/>
    <w:rsid w:val="00D063BE"/>
    <w:rsid w:val="00D06B56"/>
    <w:rsid w:val="00D06D68"/>
    <w:rsid w:val="00D075BE"/>
    <w:rsid w:val="00D07AFF"/>
    <w:rsid w:val="00D10A75"/>
    <w:rsid w:val="00D10C15"/>
    <w:rsid w:val="00D10F2A"/>
    <w:rsid w:val="00D11476"/>
    <w:rsid w:val="00D12949"/>
    <w:rsid w:val="00D12C25"/>
    <w:rsid w:val="00D133B4"/>
    <w:rsid w:val="00D13986"/>
    <w:rsid w:val="00D14C12"/>
    <w:rsid w:val="00D14C5B"/>
    <w:rsid w:val="00D15B29"/>
    <w:rsid w:val="00D15FED"/>
    <w:rsid w:val="00D16712"/>
    <w:rsid w:val="00D20078"/>
    <w:rsid w:val="00D20A3B"/>
    <w:rsid w:val="00D214EF"/>
    <w:rsid w:val="00D215B0"/>
    <w:rsid w:val="00D21D6D"/>
    <w:rsid w:val="00D21D83"/>
    <w:rsid w:val="00D2223F"/>
    <w:rsid w:val="00D235B7"/>
    <w:rsid w:val="00D23B76"/>
    <w:rsid w:val="00D23FAE"/>
    <w:rsid w:val="00D25F28"/>
    <w:rsid w:val="00D26071"/>
    <w:rsid w:val="00D269B9"/>
    <w:rsid w:val="00D27973"/>
    <w:rsid w:val="00D27F3A"/>
    <w:rsid w:val="00D31537"/>
    <w:rsid w:val="00D31E1E"/>
    <w:rsid w:val="00D322A0"/>
    <w:rsid w:val="00D32377"/>
    <w:rsid w:val="00D32824"/>
    <w:rsid w:val="00D33478"/>
    <w:rsid w:val="00D334E2"/>
    <w:rsid w:val="00D350B1"/>
    <w:rsid w:val="00D35AD6"/>
    <w:rsid w:val="00D35BBB"/>
    <w:rsid w:val="00D35E1A"/>
    <w:rsid w:val="00D36308"/>
    <w:rsid w:val="00D368ED"/>
    <w:rsid w:val="00D36B0A"/>
    <w:rsid w:val="00D36DFB"/>
    <w:rsid w:val="00D36E1C"/>
    <w:rsid w:val="00D37149"/>
    <w:rsid w:val="00D373AF"/>
    <w:rsid w:val="00D40556"/>
    <w:rsid w:val="00D41F74"/>
    <w:rsid w:val="00D428C8"/>
    <w:rsid w:val="00D43034"/>
    <w:rsid w:val="00D43ED2"/>
    <w:rsid w:val="00D50F46"/>
    <w:rsid w:val="00D51518"/>
    <w:rsid w:val="00D5384E"/>
    <w:rsid w:val="00D53DCB"/>
    <w:rsid w:val="00D544E7"/>
    <w:rsid w:val="00D5499F"/>
    <w:rsid w:val="00D5560A"/>
    <w:rsid w:val="00D569AA"/>
    <w:rsid w:val="00D56FBF"/>
    <w:rsid w:val="00D57677"/>
    <w:rsid w:val="00D5781F"/>
    <w:rsid w:val="00D57CF3"/>
    <w:rsid w:val="00D60415"/>
    <w:rsid w:val="00D60DDA"/>
    <w:rsid w:val="00D60E3C"/>
    <w:rsid w:val="00D60E76"/>
    <w:rsid w:val="00D61FAB"/>
    <w:rsid w:val="00D63BE5"/>
    <w:rsid w:val="00D6475F"/>
    <w:rsid w:val="00D661F3"/>
    <w:rsid w:val="00D66223"/>
    <w:rsid w:val="00D667B8"/>
    <w:rsid w:val="00D70289"/>
    <w:rsid w:val="00D70822"/>
    <w:rsid w:val="00D709DF"/>
    <w:rsid w:val="00D72076"/>
    <w:rsid w:val="00D726A9"/>
    <w:rsid w:val="00D72DBA"/>
    <w:rsid w:val="00D73307"/>
    <w:rsid w:val="00D743E0"/>
    <w:rsid w:val="00D74560"/>
    <w:rsid w:val="00D7490C"/>
    <w:rsid w:val="00D75AC1"/>
    <w:rsid w:val="00D76F0E"/>
    <w:rsid w:val="00D77252"/>
    <w:rsid w:val="00D8084C"/>
    <w:rsid w:val="00D81809"/>
    <w:rsid w:val="00D82D14"/>
    <w:rsid w:val="00D82EF1"/>
    <w:rsid w:val="00D84F43"/>
    <w:rsid w:val="00D85114"/>
    <w:rsid w:val="00D85196"/>
    <w:rsid w:val="00D85821"/>
    <w:rsid w:val="00D8598C"/>
    <w:rsid w:val="00D87C06"/>
    <w:rsid w:val="00D9149C"/>
    <w:rsid w:val="00D915EA"/>
    <w:rsid w:val="00D919ED"/>
    <w:rsid w:val="00D922A1"/>
    <w:rsid w:val="00D923EA"/>
    <w:rsid w:val="00D927D2"/>
    <w:rsid w:val="00D928BE"/>
    <w:rsid w:val="00D93D3C"/>
    <w:rsid w:val="00D94CA2"/>
    <w:rsid w:val="00D95302"/>
    <w:rsid w:val="00D953A3"/>
    <w:rsid w:val="00D95C5D"/>
    <w:rsid w:val="00D970F7"/>
    <w:rsid w:val="00D97D00"/>
    <w:rsid w:val="00DA0385"/>
    <w:rsid w:val="00DA096C"/>
    <w:rsid w:val="00DA1AB6"/>
    <w:rsid w:val="00DA232D"/>
    <w:rsid w:val="00DA2E65"/>
    <w:rsid w:val="00DA3ADF"/>
    <w:rsid w:val="00DA4174"/>
    <w:rsid w:val="00DA544C"/>
    <w:rsid w:val="00DA5F8E"/>
    <w:rsid w:val="00DA6364"/>
    <w:rsid w:val="00DA7114"/>
    <w:rsid w:val="00DA74F0"/>
    <w:rsid w:val="00DA7C0C"/>
    <w:rsid w:val="00DB03DD"/>
    <w:rsid w:val="00DB08A9"/>
    <w:rsid w:val="00DB0B87"/>
    <w:rsid w:val="00DB20A1"/>
    <w:rsid w:val="00DB2DFA"/>
    <w:rsid w:val="00DB2EC8"/>
    <w:rsid w:val="00DB321D"/>
    <w:rsid w:val="00DB459B"/>
    <w:rsid w:val="00DB47FD"/>
    <w:rsid w:val="00DB5E3A"/>
    <w:rsid w:val="00DB5E9A"/>
    <w:rsid w:val="00DB613B"/>
    <w:rsid w:val="00DB657E"/>
    <w:rsid w:val="00DB7342"/>
    <w:rsid w:val="00DB7489"/>
    <w:rsid w:val="00DC17D0"/>
    <w:rsid w:val="00DC1E31"/>
    <w:rsid w:val="00DC2B41"/>
    <w:rsid w:val="00DC3128"/>
    <w:rsid w:val="00DC435B"/>
    <w:rsid w:val="00DC4BE9"/>
    <w:rsid w:val="00DC53D8"/>
    <w:rsid w:val="00DC56FE"/>
    <w:rsid w:val="00DC5B3B"/>
    <w:rsid w:val="00DC690D"/>
    <w:rsid w:val="00DC6C2D"/>
    <w:rsid w:val="00DC7B1A"/>
    <w:rsid w:val="00DD02F3"/>
    <w:rsid w:val="00DD04B0"/>
    <w:rsid w:val="00DD129F"/>
    <w:rsid w:val="00DD12E4"/>
    <w:rsid w:val="00DD13FC"/>
    <w:rsid w:val="00DD1A3F"/>
    <w:rsid w:val="00DD1CA2"/>
    <w:rsid w:val="00DD2984"/>
    <w:rsid w:val="00DD29B5"/>
    <w:rsid w:val="00DD2BC9"/>
    <w:rsid w:val="00DD32DD"/>
    <w:rsid w:val="00DD33E8"/>
    <w:rsid w:val="00DD48CB"/>
    <w:rsid w:val="00DD5287"/>
    <w:rsid w:val="00DD5B36"/>
    <w:rsid w:val="00DD6621"/>
    <w:rsid w:val="00DD7849"/>
    <w:rsid w:val="00DE0D8B"/>
    <w:rsid w:val="00DE1237"/>
    <w:rsid w:val="00DE140F"/>
    <w:rsid w:val="00DE2491"/>
    <w:rsid w:val="00DE3CA3"/>
    <w:rsid w:val="00DE4DEE"/>
    <w:rsid w:val="00DE5CA6"/>
    <w:rsid w:val="00DE7AC8"/>
    <w:rsid w:val="00DF2C5D"/>
    <w:rsid w:val="00DF3643"/>
    <w:rsid w:val="00DF3770"/>
    <w:rsid w:val="00DF3845"/>
    <w:rsid w:val="00DF42FF"/>
    <w:rsid w:val="00DF4369"/>
    <w:rsid w:val="00DF4423"/>
    <w:rsid w:val="00DF448E"/>
    <w:rsid w:val="00DF4ADF"/>
    <w:rsid w:val="00DF566E"/>
    <w:rsid w:val="00DF5D1E"/>
    <w:rsid w:val="00DF724C"/>
    <w:rsid w:val="00DF77E4"/>
    <w:rsid w:val="00DF7F88"/>
    <w:rsid w:val="00E01965"/>
    <w:rsid w:val="00E01C0E"/>
    <w:rsid w:val="00E02E1F"/>
    <w:rsid w:val="00E0368F"/>
    <w:rsid w:val="00E037E9"/>
    <w:rsid w:val="00E03D73"/>
    <w:rsid w:val="00E03F9A"/>
    <w:rsid w:val="00E040DA"/>
    <w:rsid w:val="00E04694"/>
    <w:rsid w:val="00E1168B"/>
    <w:rsid w:val="00E12191"/>
    <w:rsid w:val="00E129E7"/>
    <w:rsid w:val="00E12ABE"/>
    <w:rsid w:val="00E12B1E"/>
    <w:rsid w:val="00E1444C"/>
    <w:rsid w:val="00E15DEE"/>
    <w:rsid w:val="00E17262"/>
    <w:rsid w:val="00E20016"/>
    <w:rsid w:val="00E2009B"/>
    <w:rsid w:val="00E20BB9"/>
    <w:rsid w:val="00E20BCC"/>
    <w:rsid w:val="00E2251C"/>
    <w:rsid w:val="00E2363D"/>
    <w:rsid w:val="00E23C6A"/>
    <w:rsid w:val="00E24694"/>
    <w:rsid w:val="00E2484B"/>
    <w:rsid w:val="00E25124"/>
    <w:rsid w:val="00E253A2"/>
    <w:rsid w:val="00E260F6"/>
    <w:rsid w:val="00E27127"/>
    <w:rsid w:val="00E27233"/>
    <w:rsid w:val="00E30F15"/>
    <w:rsid w:val="00E31771"/>
    <w:rsid w:val="00E3186D"/>
    <w:rsid w:val="00E31A3E"/>
    <w:rsid w:val="00E32080"/>
    <w:rsid w:val="00E3309D"/>
    <w:rsid w:val="00E350B1"/>
    <w:rsid w:val="00E35576"/>
    <w:rsid w:val="00E35A53"/>
    <w:rsid w:val="00E35EFD"/>
    <w:rsid w:val="00E3656B"/>
    <w:rsid w:val="00E3724A"/>
    <w:rsid w:val="00E37460"/>
    <w:rsid w:val="00E378B1"/>
    <w:rsid w:val="00E41066"/>
    <w:rsid w:val="00E417BE"/>
    <w:rsid w:val="00E41CD5"/>
    <w:rsid w:val="00E42054"/>
    <w:rsid w:val="00E4372D"/>
    <w:rsid w:val="00E43A9E"/>
    <w:rsid w:val="00E44243"/>
    <w:rsid w:val="00E4483B"/>
    <w:rsid w:val="00E44BA7"/>
    <w:rsid w:val="00E453F9"/>
    <w:rsid w:val="00E45D7D"/>
    <w:rsid w:val="00E4623F"/>
    <w:rsid w:val="00E4665D"/>
    <w:rsid w:val="00E47854"/>
    <w:rsid w:val="00E47EBA"/>
    <w:rsid w:val="00E50156"/>
    <w:rsid w:val="00E504EB"/>
    <w:rsid w:val="00E5076C"/>
    <w:rsid w:val="00E50D2E"/>
    <w:rsid w:val="00E50D7D"/>
    <w:rsid w:val="00E533F2"/>
    <w:rsid w:val="00E53470"/>
    <w:rsid w:val="00E539F6"/>
    <w:rsid w:val="00E545E3"/>
    <w:rsid w:val="00E54698"/>
    <w:rsid w:val="00E54FB4"/>
    <w:rsid w:val="00E5539A"/>
    <w:rsid w:val="00E55791"/>
    <w:rsid w:val="00E55E1A"/>
    <w:rsid w:val="00E574D2"/>
    <w:rsid w:val="00E575F9"/>
    <w:rsid w:val="00E578A2"/>
    <w:rsid w:val="00E60043"/>
    <w:rsid w:val="00E60BB1"/>
    <w:rsid w:val="00E6130F"/>
    <w:rsid w:val="00E61740"/>
    <w:rsid w:val="00E61EB5"/>
    <w:rsid w:val="00E6324D"/>
    <w:rsid w:val="00E65084"/>
    <w:rsid w:val="00E6519D"/>
    <w:rsid w:val="00E66062"/>
    <w:rsid w:val="00E6660E"/>
    <w:rsid w:val="00E66768"/>
    <w:rsid w:val="00E67305"/>
    <w:rsid w:val="00E67696"/>
    <w:rsid w:val="00E67EDD"/>
    <w:rsid w:val="00E70C5F"/>
    <w:rsid w:val="00E71A58"/>
    <w:rsid w:val="00E72A26"/>
    <w:rsid w:val="00E72A7A"/>
    <w:rsid w:val="00E7335A"/>
    <w:rsid w:val="00E7467D"/>
    <w:rsid w:val="00E747DC"/>
    <w:rsid w:val="00E74A2D"/>
    <w:rsid w:val="00E74ACE"/>
    <w:rsid w:val="00E74C39"/>
    <w:rsid w:val="00E75C94"/>
    <w:rsid w:val="00E75EC8"/>
    <w:rsid w:val="00E76A08"/>
    <w:rsid w:val="00E76B9B"/>
    <w:rsid w:val="00E76E61"/>
    <w:rsid w:val="00E77CC0"/>
    <w:rsid w:val="00E8086E"/>
    <w:rsid w:val="00E80B3D"/>
    <w:rsid w:val="00E80CA3"/>
    <w:rsid w:val="00E82618"/>
    <w:rsid w:val="00E84DD0"/>
    <w:rsid w:val="00E84E09"/>
    <w:rsid w:val="00E90CA8"/>
    <w:rsid w:val="00E930A1"/>
    <w:rsid w:val="00E93820"/>
    <w:rsid w:val="00E94A86"/>
    <w:rsid w:val="00E953F6"/>
    <w:rsid w:val="00E96143"/>
    <w:rsid w:val="00E96833"/>
    <w:rsid w:val="00E97506"/>
    <w:rsid w:val="00E97BB5"/>
    <w:rsid w:val="00EA0C68"/>
    <w:rsid w:val="00EA1D0E"/>
    <w:rsid w:val="00EA2072"/>
    <w:rsid w:val="00EA2841"/>
    <w:rsid w:val="00EA312A"/>
    <w:rsid w:val="00EA32BC"/>
    <w:rsid w:val="00EA33F0"/>
    <w:rsid w:val="00EA35A7"/>
    <w:rsid w:val="00EA3B32"/>
    <w:rsid w:val="00EA3D05"/>
    <w:rsid w:val="00EA4402"/>
    <w:rsid w:val="00EA4B8D"/>
    <w:rsid w:val="00EA513E"/>
    <w:rsid w:val="00EA53D8"/>
    <w:rsid w:val="00EA7419"/>
    <w:rsid w:val="00EA77F1"/>
    <w:rsid w:val="00EB0E32"/>
    <w:rsid w:val="00EB1F3E"/>
    <w:rsid w:val="00EB2F3C"/>
    <w:rsid w:val="00EB2F55"/>
    <w:rsid w:val="00EB3B7B"/>
    <w:rsid w:val="00EB3E60"/>
    <w:rsid w:val="00EB4511"/>
    <w:rsid w:val="00EB48D7"/>
    <w:rsid w:val="00EB4A8E"/>
    <w:rsid w:val="00EB4BC5"/>
    <w:rsid w:val="00EB5BF7"/>
    <w:rsid w:val="00EB5E79"/>
    <w:rsid w:val="00EB6FAC"/>
    <w:rsid w:val="00EB7BAC"/>
    <w:rsid w:val="00EC03D7"/>
    <w:rsid w:val="00EC13A7"/>
    <w:rsid w:val="00EC2B75"/>
    <w:rsid w:val="00EC2EB6"/>
    <w:rsid w:val="00EC3C95"/>
    <w:rsid w:val="00EC5028"/>
    <w:rsid w:val="00EC6232"/>
    <w:rsid w:val="00ED0AB7"/>
    <w:rsid w:val="00ED0EF0"/>
    <w:rsid w:val="00ED12B9"/>
    <w:rsid w:val="00ED142F"/>
    <w:rsid w:val="00ED16B8"/>
    <w:rsid w:val="00ED1DF0"/>
    <w:rsid w:val="00ED2386"/>
    <w:rsid w:val="00ED2EA1"/>
    <w:rsid w:val="00ED3851"/>
    <w:rsid w:val="00ED3F10"/>
    <w:rsid w:val="00ED462A"/>
    <w:rsid w:val="00ED4D04"/>
    <w:rsid w:val="00ED566D"/>
    <w:rsid w:val="00ED5907"/>
    <w:rsid w:val="00ED5F5B"/>
    <w:rsid w:val="00ED62C6"/>
    <w:rsid w:val="00ED64C1"/>
    <w:rsid w:val="00ED6967"/>
    <w:rsid w:val="00ED7705"/>
    <w:rsid w:val="00ED781F"/>
    <w:rsid w:val="00EE2EB4"/>
    <w:rsid w:val="00EE3446"/>
    <w:rsid w:val="00EE3E78"/>
    <w:rsid w:val="00EE41FD"/>
    <w:rsid w:val="00EE460E"/>
    <w:rsid w:val="00EE4B1B"/>
    <w:rsid w:val="00EE5FBA"/>
    <w:rsid w:val="00EE6E06"/>
    <w:rsid w:val="00EE7179"/>
    <w:rsid w:val="00EE7A0B"/>
    <w:rsid w:val="00EF0B27"/>
    <w:rsid w:val="00EF0D90"/>
    <w:rsid w:val="00EF150D"/>
    <w:rsid w:val="00EF1F5A"/>
    <w:rsid w:val="00EF23B5"/>
    <w:rsid w:val="00EF25AD"/>
    <w:rsid w:val="00EF35EC"/>
    <w:rsid w:val="00EF3FCF"/>
    <w:rsid w:val="00EF406A"/>
    <w:rsid w:val="00EF47BF"/>
    <w:rsid w:val="00EF59B1"/>
    <w:rsid w:val="00EF5A13"/>
    <w:rsid w:val="00EF5FF9"/>
    <w:rsid w:val="00EF77D4"/>
    <w:rsid w:val="00EF7CC7"/>
    <w:rsid w:val="00F00853"/>
    <w:rsid w:val="00F00866"/>
    <w:rsid w:val="00F00EC8"/>
    <w:rsid w:val="00F013F0"/>
    <w:rsid w:val="00F0160B"/>
    <w:rsid w:val="00F0193E"/>
    <w:rsid w:val="00F03904"/>
    <w:rsid w:val="00F03E2F"/>
    <w:rsid w:val="00F03F8D"/>
    <w:rsid w:val="00F04181"/>
    <w:rsid w:val="00F04811"/>
    <w:rsid w:val="00F0488C"/>
    <w:rsid w:val="00F055B0"/>
    <w:rsid w:val="00F073ED"/>
    <w:rsid w:val="00F07C4C"/>
    <w:rsid w:val="00F10F11"/>
    <w:rsid w:val="00F11159"/>
    <w:rsid w:val="00F11574"/>
    <w:rsid w:val="00F115E4"/>
    <w:rsid w:val="00F12CFB"/>
    <w:rsid w:val="00F13E60"/>
    <w:rsid w:val="00F13FDB"/>
    <w:rsid w:val="00F15AAA"/>
    <w:rsid w:val="00F15BEF"/>
    <w:rsid w:val="00F17898"/>
    <w:rsid w:val="00F207C2"/>
    <w:rsid w:val="00F21337"/>
    <w:rsid w:val="00F219A1"/>
    <w:rsid w:val="00F23E20"/>
    <w:rsid w:val="00F24407"/>
    <w:rsid w:val="00F246B8"/>
    <w:rsid w:val="00F24FAA"/>
    <w:rsid w:val="00F25040"/>
    <w:rsid w:val="00F27071"/>
    <w:rsid w:val="00F27331"/>
    <w:rsid w:val="00F27EE5"/>
    <w:rsid w:val="00F27FB1"/>
    <w:rsid w:val="00F27FD6"/>
    <w:rsid w:val="00F307CB"/>
    <w:rsid w:val="00F30C65"/>
    <w:rsid w:val="00F31A7E"/>
    <w:rsid w:val="00F321D2"/>
    <w:rsid w:val="00F32649"/>
    <w:rsid w:val="00F32BC4"/>
    <w:rsid w:val="00F33523"/>
    <w:rsid w:val="00F3364D"/>
    <w:rsid w:val="00F33914"/>
    <w:rsid w:val="00F3394D"/>
    <w:rsid w:val="00F349BF"/>
    <w:rsid w:val="00F34DDC"/>
    <w:rsid w:val="00F35DD3"/>
    <w:rsid w:val="00F36191"/>
    <w:rsid w:val="00F3629F"/>
    <w:rsid w:val="00F36DF3"/>
    <w:rsid w:val="00F3729C"/>
    <w:rsid w:val="00F37C85"/>
    <w:rsid w:val="00F37EDC"/>
    <w:rsid w:val="00F405FD"/>
    <w:rsid w:val="00F437CC"/>
    <w:rsid w:val="00F44537"/>
    <w:rsid w:val="00F46185"/>
    <w:rsid w:val="00F46423"/>
    <w:rsid w:val="00F4696A"/>
    <w:rsid w:val="00F47067"/>
    <w:rsid w:val="00F47234"/>
    <w:rsid w:val="00F525AB"/>
    <w:rsid w:val="00F525EB"/>
    <w:rsid w:val="00F52CB5"/>
    <w:rsid w:val="00F53378"/>
    <w:rsid w:val="00F53A68"/>
    <w:rsid w:val="00F53ADD"/>
    <w:rsid w:val="00F54934"/>
    <w:rsid w:val="00F55A92"/>
    <w:rsid w:val="00F55E8F"/>
    <w:rsid w:val="00F609E0"/>
    <w:rsid w:val="00F6200A"/>
    <w:rsid w:val="00F623D6"/>
    <w:rsid w:val="00F62BFF"/>
    <w:rsid w:val="00F63AAE"/>
    <w:rsid w:val="00F63DDE"/>
    <w:rsid w:val="00F63FB7"/>
    <w:rsid w:val="00F6421B"/>
    <w:rsid w:val="00F647F1"/>
    <w:rsid w:val="00F649D2"/>
    <w:rsid w:val="00F64E62"/>
    <w:rsid w:val="00F6503C"/>
    <w:rsid w:val="00F6602B"/>
    <w:rsid w:val="00F7150B"/>
    <w:rsid w:val="00F717E4"/>
    <w:rsid w:val="00F71DE6"/>
    <w:rsid w:val="00F727F1"/>
    <w:rsid w:val="00F72D71"/>
    <w:rsid w:val="00F7381C"/>
    <w:rsid w:val="00F73A0C"/>
    <w:rsid w:val="00F7549F"/>
    <w:rsid w:val="00F756DB"/>
    <w:rsid w:val="00F75922"/>
    <w:rsid w:val="00F75CFE"/>
    <w:rsid w:val="00F767A8"/>
    <w:rsid w:val="00F82D14"/>
    <w:rsid w:val="00F83681"/>
    <w:rsid w:val="00F84E7D"/>
    <w:rsid w:val="00F85066"/>
    <w:rsid w:val="00F8508F"/>
    <w:rsid w:val="00F8628A"/>
    <w:rsid w:val="00F87A4D"/>
    <w:rsid w:val="00F93688"/>
    <w:rsid w:val="00F939F3"/>
    <w:rsid w:val="00F93C6E"/>
    <w:rsid w:val="00F93F2C"/>
    <w:rsid w:val="00F94F43"/>
    <w:rsid w:val="00F9644E"/>
    <w:rsid w:val="00F96FBA"/>
    <w:rsid w:val="00FA0105"/>
    <w:rsid w:val="00FA028A"/>
    <w:rsid w:val="00FA05A0"/>
    <w:rsid w:val="00FA08CD"/>
    <w:rsid w:val="00FA0AEF"/>
    <w:rsid w:val="00FA17CC"/>
    <w:rsid w:val="00FA1F01"/>
    <w:rsid w:val="00FA26DF"/>
    <w:rsid w:val="00FA2F80"/>
    <w:rsid w:val="00FA32BC"/>
    <w:rsid w:val="00FA4533"/>
    <w:rsid w:val="00FA48A4"/>
    <w:rsid w:val="00FA4CB7"/>
    <w:rsid w:val="00FA5112"/>
    <w:rsid w:val="00FA5526"/>
    <w:rsid w:val="00FA5D4D"/>
    <w:rsid w:val="00FA5F40"/>
    <w:rsid w:val="00FA6C9B"/>
    <w:rsid w:val="00FA6CB6"/>
    <w:rsid w:val="00FA70D3"/>
    <w:rsid w:val="00FA7AEC"/>
    <w:rsid w:val="00FB0AEA"/>
    <w:rsid w:val="00FB0EE2"/>
    <w:rsid w:val="00FB1A79"/>
    <w:rsid w:val="00FB1E86"/>
    <w:rsid w:val="00FB208B"/>
    <w:rsid w:val="00FB2B2D"/>
    <w:rsid w:val="00FB45E3"/>
    <w:rsid w:val="00FB4F7E"/>
    <w:rsid w:val="00FB542E"/>
    <w:rsid w:val="00FB564F"/>
    <w:rsid w:val="00FB5686"/>
    <w:rsid w:val="00FB7DBB"/>
    <w:rsid w:val="00FC05F8"/>
    <w:rsid w:val="00FC0E5F"/>
    <w:rsid w:val="00FC1266"/>
    <w:rsid w:val="00FC1A95"/>
    <w:rsid w:val="00FC1ED4"/>
    <w:rsid w:val="00FC2B38"/>
    <w:rsid w:val="00FC3BEC"/>
    <w:rsid w:val="00FC3E69"/>
    <w:rsid w:val="00FC4213"/>
    <w:rsid w:val="00FC440B"/>
    <w:rsid w:val="00FC56DE"/>
    <w:rsid w:val="00FC63D9"/>
    <w:rsid w:val="00FC64DE"/>
    <w:rsid w:val="00FC684B"/>
    <w:rsid w:val="00FC7D98"/>
    <w:rsid w:val="00FD1013"/>
    <w:rsid w:val="00FD1135"/>
    <w:rsid w:val="00FD1173"/>
    <w:rsid w:val="00FD3265"/>
    <w:rsid w:val="00FD3CF7"/>
    <w:rsid w:val="00FD4916"/>
    <w:rsid w:val="00FD4D12"/>
    <w:rsid w:val="00FD4F73"/>
    <w:rsid w:val="00FD595E"/>
    <w:rsid w:val="00FD6B56"/>
    <w:rsid w:val="00FD7802"/>
    <w:rsid w:val="00FE0A8A"/>
    <w:rsid w:val="00FE1F4B"/>
    <w:rsid w:val="00FE2537"/>
    <w:rsid w:val="00FE27C7"/>
    <w:rsid w:val="00FE2C7E"/>
    <w:rsid w:val="00FE2F78"/>
    <w:rsid w:val="00FE3137"/>
    <w:rsid w:val="00FE346B"/>
    <w:rsid w:val="00FE346F"/>
    <w:rsid w:val="00FE48E4"/>
    <w:rsid w:val="00FE5EC0"/>
    <w:rsid w:val="00FE634C"/>
    <w:rsid w:val="00FE6E69"/>
    <w:rsid w:val="00FE6F59"/>
    <w:rsid w:val="00FE7473"/>
    <w:rsid w:val="00FF01B6"/>
    <w:rsid w:val="00FF1136"/>
    <w:rsid w:val="00FF1532"/>
    <w:rsid w:val="00FF23BA"/>
    <w:rsid w:val="00FF29D8"/>
    <w:rsid w:val="00FF2C2C"/>
    <w:rsid w:val="00FF326A"/>
    <w:rsid w:val="00FF36E2"/>
    <w:rsid w:val="00FF3D76"/>
    <w:rsid w:val="00FF464B"/>
    <w:rsid w:val="00FF51B0"/>
    <w:rsid w:val="00FF5B8C"/>
    <w:rsid w:val="00FF63E6"/>
    <w:rsid w:val="00FF7632"/>
    <w:rsid w:val="00FF7B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2A67D8E9-8FBF-4C12-89B2-1C890D69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zabojnikova31519\Documents\Anal&#253;za\Q\2020Q2\eng\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557159743329959E-2"/>
          <c:y val="2.1711264016309892E-2"/>
          <c:w val="0.93757303275920301"/>
          <c:h val="0.73130361364404473"/>
        </c:manualLayout>
      </c:layout>
      <c:barChart>
        <c:barDir val="col"/>
        <c:grouping val="clustered"/>
        <c:varyColors val="0"/>
        <c:ser>
          <c:idx val="0"/>
          <c:order val="0"/>
          <c:tx>
            <c:strRef>
              <c:f>'Měnové podmínky 1'!$C$5</c:f>
              <c:strCache>
                <c:ptCount val="1"/>
                <c:pt idx="0">
                  <c:v>2W repo rate</c:v>
                </c:pt>
              </c:strCache>
            </c:strRef>
          </c:tx>
          <c:spPr>
            <a:solidFill>
              <a:schemeClr val="bg1">
                <a:lumMod val="65000"/>
              </a:schemeClr>
            </a:solidFill>
          </c:spPr>
          <c:invertIfNegative val="0"/>
          <c:cat>
            <c:multiLvlStrRef>
              <c:f>'Měnové podmínky 1'!$A$42:$B$108</c:f>
              <c:multiLvlStrCache>
                <c:ptCount val="6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lvl>
                <c:lvl>
                  <c:pt idx="0">
                    <c:v>2015</c:v>
                  </c:pt>
                  <c:pt idx="12">
                    <c:v>2016</c:v>
                  </c:pt>
                  <c:pt idx="24">
                    <c:v>2017</c:v>
                  </c:pt>
                  <c:pt idx="36">
                    <c:v>2018</c:v>
                  </c:pt>
                  <c:pt idx="48">
                    <c:v>2019</c:v>
                  </c:pt>
                  <c:pt idx="60">
                    <c:v>2020</c:v>
                  </c:pt>
                </c:lvl>
              </c:multiLvlStrCache>
            </c:multiLvlStrRef>
          </c:cat>
          <c:val>
            <c:numRef>
              <c:f>'Měnové podmínky 1'!$C$42:$C$108</c:f>
              <c:numCache>
                <c:formatCode>0.00</c:formatCode>
                <c:ptCount val="67"/>
                <c:pt idx="0">
                  <c:v>0.05</c:v>
                </c:pt>
                <c:pt idx="1">
                  <c:v>0.05</c:v>
                </c:pt>
                <c:pt idx="2">
                  <c:v>0.05</c:v>
                </c:pt>
                <c:pt idx="3">
                  <c:v>0.05</c:v>
                </c:pt>
                <c:pt idx="4">
                  <c:v>0.05</c:v>
                </c:pt>
                <c:pt idx="5">
                  <c:v>0.05</c:v>
                </c:pt>
                <c:pt idx="6">
                  <c:v>0.05</c:v>
                </c:pt>
                <c:pt idx="7">
                  <c:v>0.05</c:v>
                </c:pt>
                <c:pt idx="8">
                  <c:v>0.05</c:v>
                </c:pt>
                <c:pt idx="9">
                  <c:v>0.05</c:v>
                </c:pt>
                <c:pt idx="10">
                  <c:v>0.05</c:v>
                </c:pt>
                <c:pt idx="11">
                  <c:v>0.05</c:v>
                </c:pt>
                <c:pt idx="12" formatCode="General">
                  <c:v>0.05</c:v>
                </c:pt>
                <c:pt idx="13" formatCode="General">
                  <c:v>0.05</c:v>
                </c:pt>
                <c:pt idx="14" formatCode="General">
                  <c:v>0.05</c:v>
                </c:pt>
                <c:pt idx="15" formatCode="General">
                  <c:v>0.05</c:v>
                </c:pt>
                <c:pt idx="16" formatCode="General">
                  <c:v>0.05</c:v>
                </c:pt>
                <c:pt idx="17" formatCode="General">
                  <c:v>0.05</c:v>
                </c:pt>
                <c:pt idx="18" formatCode="General">
                  <c:v>0.05</c:v>
                </c:pt>
                <c:pt idx="19" formatCode="General">
                  <c:v>0.05</c:v>
                </c:pt>
                <c:pt idx="20" formatCode="General">
                  <c:v>0.05</c:v>
                </c:pt>
                <c:pt idx="21" formatCode="General">
                  <c:v>0.05</c:v>
                </c:pt>
                <c:pt idx="22" formatCode="General">
                  <c:v>0.05</c:v>
                </c:pt>
                <c:pt idx="23" formatCode="General">
                  <c:v>0.05</c:v>
                </c:pt>
                <c:pt idx="24" formatCode="General">
                  <c:v>0.05</c:v>
                </c:pt>
                <c:pt idx="25" formatCode="General">
                  <c:v>0.05</c:v>
                </c:pt>
                <c:pt idx="26" formatCode="General">
                  <c:v>0.05</c:v>
                </c:pt>
                <c:pt idx="27" formatCode="General">
                  <c:v>0.05</c:v>
                </c:pt>
                <c:pt idx="28" formatCode="General">
                  <c:v>0.05</c:v>
                </c:pt>
                <c:pt idx="29" formatCode="General">
                  <c:v>0.05</c:v>
                </c:pt>
                <c:pt idx="30" formatCode="General">
                  <c:v>0.05</c:v>
                </c:pt>
                <c:pt idx="31" formatCode="General">
                  <c:v>0.25</c:v>
                </c:pt>
                <c:pt idx="32" formatCode="General">
                  <c:v>0.25</c:v>
                </c:pt>
                <c:pt idx="33" formatCode="General">
                  <c:v>0.25</c:v>
                </c:pt>
                <c:pt idx="34" formatCode="General">
                  <c:v>0.5</c:v>
                </c:pt>
                <c:pt idx="35" formatCode="General">
                  <c:v>0.5</c:v>
                </c:pt>
                <c:pt idx="36" formatCode="General">
                  <c:v>0.5</c:v>
                </c:pt>
                <c:pt idx="37" formatCode="General">
                  <c:v>0.75</c:v>
                </c:pt>
                <c:pt idx="38" formatCode="General">
                  <c:v>0.75</c:v>
                </c:pt>
                <c:pt idx="39" formatCode="General">
                  <c:v>0.75</c:v>
                </c:pt>
                <c:pt idx="40" formatCode="General">
                  <c:v>0.75</c:v>
                </c:pt>
                <c:pt idx="41" formatCode="General">
                  <c:v>1</c:v>
                </c:pt>
                <c:pt idx="42" formatCode="General">
                  <c:v>1</c:v>
                </c:pt>
                <c:pt idx="43" formatCode="General">
                  <c:v>1.25</c:v>
                </c:pt>
                <c:pt idx="44" formatCode="General">
                  <c:v>1.5</c:v>
                </c:pt>
                <c:pt idx="45" formatCode="General">
                  <c:v>1.5</c:v>
                </c:pt>
                <c:pt idx="46" formatCode="General">
                  <c:v>1.75</c:v>
                </c:pt>
                <c:pt idx="47" formatCode="General">
                  <c:v>1.75</c:v>
                </c:pt>
                <c:pt idx="48" formatCode="General">
                  <c:v>1.75</c:v>
                </c:pt>
                <c:pt idx="49" formatCode="General">
                  <c:v>1.75</c:v>
                </c:pt>
                <c:pt idx="50" formatCode="General">
                  <c:v>1.75</c:v>
                </c:pt>
                <c:pt idx="51" formatCode="General">
                  <c:v>1.75</c:v>
                </c:pt>
                <c:pt idx="52" formatCode="General">
                  <c:v>2</c:v>
                </c:pt>
                <c:pt idx="53" formatCode="General">
                  <c:v>2</c:v>
                </c:pt>
                <c:pt idx="54" formatCode="General">
                  <c:v>2</c:v>
                </c:pt>
                <c:pt idx="55" formatCode="General">
                  <c:v>2</c:v>
                </c:pt>
                <c:pt idx="56" formatCode="General">
                  <c:v>2</c:v>
                </c:pt>
                <c:pt idx="57" formatCode="General">
                  <c:v>2</c:v>
                </c:pt>
                <c:pt idx="58" formatCode="General">
                  <c:v>2</c:v>
                </c:pt>
                <c:pt idx="59" formatCode="General">
                  <c:v>2</c:v>
                </c:pt>
                <c:pt idx="60" formatCode="General">
                  <c:v>2</c:v>
                </c:pt>
                <c:pt idx="61" formatCode="General">
                  <c:v>2.25</c:v>
                </c:pt>
                <c:pt idx="62" formatCode="General">
                  <c:v>1</c:v>
                </c:pt>
                <c:pt idx="63" formatCode="General">
                  <c:v>1</c:v>
                </c:pt>
                <c:pt idx="64" formatCode="General">
                  <c:v>0.25</c:v>
                </c:pt>
                <c:pt idx="65" formatCode="General">
                  <c:v>0.25</c:v>
                </c:pt>
                <c:pt idx="66" formatCode="General">
                  <c:v>0.25</c:v>
                </c:pt>
              </c:numCache>
            </c:numRef>
          </c:val>
          <c:extLst>
            <c:ext xmlns:c16="http://schemas.microsoft.com/office/drawing/2014/chart" uri="{C3380CC4-5D6E-409C-BE32-E72D297353CC}">
              <c16:uniqueId val="{00000000-526E-4743-94F5-EFF6B5C86702}"/>
            </c:ext>
          </c:extLst>
        </c:ser>
        <c:dLbls>
          <c:showLegendKey val="0"/>
          <c:showVal val="0"/>
          <c:showCatName val="0"/>
          <c:showSerName val="0"/>
          <c:showPercent val="0"/>
          <c:showBubbleSize val="0"/>
        </c:dLbls>
        <c:gapWidth val="31"/>
        <c:axId val="131001344"/>
        <c:axId val="131027712"/>
      </c:barChart>
      <c:lineChart>
        <c:grouping val="standard"/>
        <c:varyColors val="0"/>
        <c:ser>
          <c:idx val="3"/>
          <c:order val="1"/>
          <c:tx>
            <c:strRef>
              <c:f>'Měnové podmínky 1'!$F$5</c:f>
              <c:strCache>
                <c:ptCount val="1"/>
                <c:pt idx="0">
                  <c:v>Average yield of government bonds (2Y)</c:v>
                </c:pt>
              </c:strCache>
            </c:strRef>
          </c:tx>
          <c:spPr>
            <a:ln w="19050">
              <a:solidFill>
                <a:srgbClr val="7DBB2D"/>
              </a:solidFill>
            </a:ln>
          </c:spPr>
          <c:marker>
            <c:symbol val="none"/>
          </c:marker>
          <c:cat>
            <c:multiLvlStrRef>
              <c:f>'Měnové podmínky 1'!$A$42:$B$108</c:f>
              <c:multiLvlStrCache>
                <c:ptCount val="6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lvl>
                <c:lvl>
                  <c:pt idx="0">
                    <c:v>2015</c:v>
                  </c:pt>
                  <c:pt idx="12">
                    <c:v>2016</c:v>
                  </c:pt>
                  <c:pt idx="24">
                    <c:v>2017</c:v>
                  </c:pt>
                  <c:pt idx="36">
                    <c:v>2018</c:v>
                  </c:pt>
                  <c:pt idx="48">
                    <c:v>2019</c:v>
                  </c:pt>
                  <c:pt idx="60">
                    <c:v>2020</c:v>
                  </c:pt>
                </c:lvl>
              </c:multiLvlStrCache>
            </c:multiLvlStrRef>
          </c:cat>
          <c:val>
            <c:numRef>
              <c:f>'Měnové podmínky 1'!$F$42:$F$108</c:f>
              <c:numCache>
                <c:formatCode>General</c:formatCode>
                <c:ptCount val="67"/>
                <c:pt idx="0">
                  <c:v>0.09</c:v>
                </c:pt>
                <c:pt idx="1">
                  <c:v>0.06</c:v>
                </c:pt>
                <c:pt idx="2">
                  <c:v>0.04</c:v>
                </c:pt>
                <c:pt idx="3">
                  <c:v>-0.03</c:v>
                </c:pt>
                <c:pt idx="4">
                  <c:v>0.04</c:v>
                </c:pt>
                <c:pt idx="5">
                  <c:v>0.11</c:v>
                </c:pt>
                <c:pt idx="6">
                  <c:v>0.02</c:v>
                </c:pt>
                <c:pt idx="7">
                  <c:v>-7.0000000000000007E-2</c:v>
                </c:pt>
                <c:pt idx="8">
                  <c:v>-0.3</c:v>
                </c:pt>
                <c:pt idx="9">
                  <c:v>-0.28000000000000003</c:v>
                </c:pt>
                <c:pt idx="10">
                  <c:v>-0.33</c:v>
                </c:pt>
                <c:pt idx="11">
                  <c:v>-0.38</c:v>
                </c:pt>
                <c:pt idx="12">
                  <c:v>-0.21</c:v>
                </c:pt>
                <c:pt idx="13">
                  <c:v>-0.18</c:v>
                </c:pt>
                <c:pt idx="14">
                  <c:v>-0.17</c:v>
                </c:pt>
                <c:pt idx="15">
                  <c:v>-0.08</c:v>
                </c:pt>
                <c:pt idx="16">
                  <c:v>-0.04</c:v>
                </c:pt>
                <c:pt idx="17">
                  <c:v>-0.05</c:v>
                </c:pt>
                <c:pt idx="18">
                  <c:v>-0.13</c:v>
                </c:pt>
                <c:pt idx="19">
                  <c:v>-0.22</c:v>
                </c:pt>
                <c:pt idx="20">
                  <c:v>-0.5</c:v>
                </c:pt>
                <c:pt idx="21">
                  <c:v>-0.74</c:v>
                </c:pt>
                <c:pt idx="22">
                  <c:v>-0.73</c:v>
                </c:pt>
                <c:pt idx="23">
                  <c:v>-0.81</c:v>
                </c:pt>
                <c:pt idx="24">
                  <c:v>-0.88</c:v>
                </c:pt>
                <c:pt idx="25">
                  <c:v>-0.53</c:v>
                </c:pt>
                <c:pt idx="26">
                  <c:v>-0.44</c:v>
                </c:pt>
                <c:pt idx="27">
                  <c:v>-0.23</c:v>
                </c:pt>
                <c:pt idx="28">
                  <c:v>-0.24</c:v>
                </c:pt>
                <c:pt idx="29">
                  <c:v>-0.25</c:v>
                </c:pt>
                <c:pt idx="30">
                  <c:v>-0.28999999999999998</c:v>
                </c:pt>
                <c:pt idx="31">
                  <c:v>-0.33</c:v>
                </c:pt>
                <c:pt idx="32">
                  <c:v>-0.28999999999999998</c:v>
                </c:pt>
                <c:pt idx="33">
                  <c:v>0.12</c:v>
                </c:pt>
                <c:pt idx="34">
                  <c:v>0.31</c:v>
                </c:pt>
                <c:pt idx="35">
                  <c:v>0.19</c:v>
                </c:pt>
                <c:pt idx="36">
                  <c:v>0.46</c:v>
                </c:pt>
                <c:pt idx="37">
                  <c:v>0.55000000000000004</c:v>
                </c:pt>
                <c:pt idx="38">
                  <c:v>0.62</c:v>
                </c:pt>
                <c:pt idx="39">
                  <c:v>0.6</c:v>
                </c:pt>
                <c:pt idx="40">
                  <c:v>0.7</c:v>
                </c:pt>
                <c:pt idx="41">
                  <c:v>0.89</c:v>
                </c:pt>
                <c:pt idx="42">
                  <c:v>1.0900000000000001</c:v>
                </c:pt>
                <c:pt idx="43">
                  <c:v>1.26</c:v>
                </c:pt>
                <c:pt idx="44">
                  <c:v>1.34</c:v>
                </c:pt>
                <c:pt idx="45">
                  <c:v>1.44</c:v>
                </c:pt>
                <c:pt idx="46">
                  <c:v>1.49</c:v>
                </c:pt>
                <c:pt idx="47">
                  <c:v>1.52</c:v>
                </c:pt>
                <c:pt idx="48">
                  <c:v>1.66</c:v>
                </c:pt>
                <c:pt idx="49">
                  <c:v>1.74</c:v>
                </c:pt>
                <c:pt idx="50">
                  <c:v>1.71</c:v>
                </c:pt>
                <c:pt idx="51">
                  <c:v>1.63</c:v>
                </c:pt>
                <c:pt idx="52">
                  <c:v>1.62</c:v>
                </c:pt>
                <c:pt idx="53">
                  <c:v>1.52</c:v>
                </c:pt>
                <c:pt idx="54">
                  <c:v>1.35</c:v>
                </c:pt>
                <c:pt idx="55">
                  <c:v>0.85</c:v>
                </c:pt>
                <c:pt idx="56">
                  <c:v>1.07</c:v>
                </c:pt>
                <c:pt idx="57">
                  <c:v>1.17</c:v>
                </c:pt>
                <c:pt idx="58">
                  <c:v>1.33</c:v>
                </c:pt>
                <c:pt idx="59">
                  <c:v>1.36</c:v>
                </c:pt>
                <c:pt idx="60">
                  <c:v>1.55</c:v>
                </c:pt>
                <c:pt idx="61">
                  <c:v>1.57</c:v>
                </c:pt>
                <c:pt idx="62">
                  <c:v>1.27</c:v>
                </c:pt>
                <c:pt idx="63">
                  <c:v>0.71</c:v>
                </c:pt>
                <c:pt idx="64">
                  <c:v>0.13</c:v>
                </c:pt>
                <c:pt idx="65">
                  <c:v>0.08</c:v>
                </c:pt>
                <c:pt idx="66">
                  <c:v>0.02</c:v>
                </c:pt>
              </c:numCache>
            </c:numRef>
          </c:val>
          <c:smooth val="0"/>
          <c:extLst>
            <c:ext xmlns:c16="http://schemas.microsoft.com/office/drawing/2014/chart" uri="{C3380CC4-5D6E-409C-BE32-E72D297353CC}">
              <c16:uniqueId val="{00000001-526E-4743-94F5-EFF6B5C86702}"/>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1'!$A$42:$B$108</c:f>
              <c:multiLvlStrCache>
                <c:ptCount val="6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lvl>
                <c:lvl>
                  <c:pt idx="0">
                    <c:v>2015</c:v>
                  </c:pt>
                  <c:pt idx="12">
                    <c:v>2016</c:v>
                  </c:pt>
                  <c:pt idx="24">
                    <c:v>2017</c:v>
                  </c:pt>
                  <c:pt idx="36">
                    <c:v>2018</c:v>
                  </c:pt>
                  <c:pt idx="48">
                    <c:v>2019</c:v>
                  </c:pt>
                  <c:pt idx="60">
                    <c:v>2020</c:v>
                  </c:pt>
                </c:lvl>
              </c:multiLvlStrCache>
            </c:multiLvlStrRef>
          </c:cat>
          <c:val>
            <c:numRef>
              <c:f>'Měnové podmínky 1'!$D$42:$D$108</c:f>
              <c:numCache>
                <c:formatCode>General</c:formatCode>
                <c:ptCount val="67"/>
                <c:pt idx="0">
                  <c:v>0.33</c:v>
                </c:pt>
                <c:pt idx="1">
                  <c:v>0.33</c:v>
                </c:pt>
                <c:pt idx="2">
                  <c:v>0.32</c:v>
                </c:pt>
                <c:pt idx="3">
                  <c:v>0.31</c:v>
                </c:pt>
                <c:pt idx="4">
                  <c:v>0.31</c:v>
                </c:pt>
                <c:pt idx="5">
                  <c:v>0.31</c:v>
                </c:pt>
                <c:pt idx="6">
                  <c:v>0.31</c:v>
                </c:pt>
                <c:pt idx="7">
                  <c:v>0.31</c:v>
                </c:pt>
                <c:pt idx="8">
                  <c:v>0.3</c:v>
                </c:pt>
                <c:pt idx="9">
                  <c:v>0.28999999999999998</c:v>
                </c:pt>
                <c:pt idx="10">
                  <c:v>0.28999999999999998</c:v>
                </c:pt>
                <c:pt idx="11">
                  <c:v>0.28999999999999998</c:v>
                </c:pt>
                <c:pt idx="12">
                  <c:v>0.28999999999999998</c:v>
                </c:pt>
                <c:pt idx="13">
                  <c:v>0.28000000000000003</c:v>
                </c:pt>
                <c:pt idx="14">
                  <c:v>0.28999999999999998</c:v>
                </c:pt>
                <c:pt idx="15">
                  <c:v>0.28999999999999998</c:v>
                </c:pt>
                <c:pt idx="16">
                  <c:v>0.28999999999999998</c:v>
                </c:pt>
                <c:pt idx="17">
                  <c:v>0.28999999999999998</c:v>
                </c:pt>
                <c:pt idx="18">
                  <c:v>0.28999999999999998</c:v>
                </c:pt>
                <c:pt idx="19">
                  <c:v>0.28999999999999998</c:v>
                </c:pt>
                <c:pt idx="20">
                  <c:v>0.28999999999999998</c:v>
                </c:pt>
                <c:pt idx="21">
                  <c:v>0.28999999999999998</c:v>
                </c:pt>
                <c:pt idx="22">
                  <c:v>0.28999999999999998</c:v>
                </c:pt>
                <c:pt idx="23">
                  <c:v>0.28999999999999998</c:v>
                </c:pt>
                <c:pt idx="24">
                  <c:v>0.28000000000000003</c:v>
                </c:pt>
                <c:pt idx="25">
                  <c:v>0.28000000000000003</c:v>
                </c:pt>
                <c:pt idx="26">
                  <c:v>0.28000000000000003</c:v>
                </c:pt>
                <c:pt idx="27">
                  <c:v>0.28999999999999998</c:v>
                </c:pt>
                <c:pt idx="28">
                  <c:v>0.3</c:v>
                </c:pt>
                <c:pt idx="29">
                  <c:v>0.3</c:v>
                </c:pt>
                <c:pt idx="30">
                  <c:v>0.3</c:v>
                </c:pt>
                <c:pt idx="31">
                  <c:v>0.43</c:v>
                </c:pt>
                <c:pt idx="32">
                  <c:v>0.46</c:v>
                </c:pt>
                <c:pt idx="33">
                  <c:v>0.51</c:v>
                </c:pt>
                <c:pt idx="34">
                  <c:v>0.71</c:v>
                </c:pt>
                <c:pt idx="35">
                  <c:v>0.75</c:v>
                </c:pt>
                <c:pt idx="36">
                  <c:v>0.77</c:v>
                </c:pt>
                <c:pt idx="37">
                  <c:v>0.9</c:v>
                </c:pt>
                <c:pt idx="38">
                  <c:v>0.9</c:v>
                </c:pt>
                <c:pt idx="39">
                  <c:v>0.9</c:v>
                </c:pt>
                <c:pt idx="40">
                  <c:v>0.9</c:v>
                </c:pt>
                <c:pt idx="41">
                  <c:v>0.93</c:v>
                </c:pt>
                <c:pt idx="42">
                  <c:v>1.18</c:v>
                </c:pt>
                <c:pt idx="43">
                  <c:v>1.45</c:v>
                </c:pt>
                <c:pt idx="44">
                  <c:v>1.54</c:v>
                </c:pt>
                <c:pt idx="45">
                  <c:v>1.76</c:v>
                </c:pt>
                <c:pt idx="46">
                  <c:v>1.99</c:v>
                </c:pt>
                <c:pt idx="47">
                  <c:v>2.0099999999999998</c:v>
                </c:pt>
                <c:pt idx="48">
                  <c:v>2.0099999999999998</c:v>
                </c:pt>
                <c:pt idx="49">
                  <c:v>2.0099999999999998</c:v>
                </c:pt>
                <c:pt idx="50">
                  <c:v>2.0299999999999998</c:v>
                </c:pt>
                <c:pt idx="51">
                  <c:v>2.02</c:v>
                </c:pt>
                <c:pt idx="52">
                  <c:v>2.19</c:v>
                </c:pt>
                <c:pt idx="53">
                  <c:v>2.17</c:v>
                </c:pt>
                <c:pt idx="54">
                  <c:v>2.16</c:v>
                </c:pt>
                <c:pt idx="55">
                  <c:v>2.14</c:v>
                </c:pt>
                <c:pt idx="56">
                  <c:v>2.14</c:v>
                </c:pt>
                <c:pt idx="57">
                  <c:v>2.17</c:v>
                </c:pt>
                <c:pt idx="58">
                  <c:v>2.1800000000000002</c:v>
                </c:pt>
                <c:pt idx="59">
                  <c:v>2.1800000000000002</c:v>
                </c:pt>
                <c:pt idx="60">
                  <c:v>2.17</c:v>
                </c:pt>
                <c:pt idx="61">
                  <c:v>2.34</c:v>
                </c:pt>
                <c:pt idx="62">
                  <c:v>2</c:v>
                </c:pt>
                <c:pt idx="63">
                  <c:v>0.97</c:v>
                </c:pt>
                <c:pt idx="64">
                  <c:v>0.46</c:v>
                </c:pt>
                <c:pt idx="65">
                  <c:v>0.34</c:v>
                </c:pt>
                <c:pt idx="66">
                  <c:v>0.34</c:v>
                </c:pt>
              </c:numCache>
            </c:numRef>
          </c:val>
          <c:smooth val="0"/>
          <c:extLst>
            <c:ext xmlns:c16="http://schemas.microsoft.com/office/drawing/2014/chart" uri="{C3380CC4-5D6E-409C-BE32-E72D297353CC}">
              <c16:uniqueId val="{00000002-526E-4743-94F5-EFF6B5C86702}"/>
            </c:ext>
          </c:extLst>
        </c:ser>
        <c:ser>
          <c:idx val="4"/>
          <c:order val="3"/>
          <c:tx>
            <c:strRef>
              <c:f>'Měnové podmínky 1'!$G$5</c:f>
              <c:strCache>
                <c:ptCount val="1"/>
                <c:pt idx="0">
                  <c:v>Average yield of government bonds (5Y)</c:v>
                </c:pt>
              </c:strCache>
            </c:strRef>
          </c:tx>
          <c:spPr>
            <a:ln w="19050">
              <a:solidFill>
                <a:srgbClr val="F8A124"/>
              </a:solidFill>
            </a:ln>
          </c:spPr>
          <c:marker>
            <c:symbol val="none"/>
          </c:marker>
          <c:cat>
            <c:multiLvlStrRef>
              <c:f>'Měnové podmínky 1'!$A$42:$B$108</c:f>
              <c:multiLvlStrCache>
                <c:ptCount val="6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lvl>
                <c:lvl>
                  <c:pt idx="0">
                    <c:v>2015</c:v>
                  </c:pt>
                  <c:pt idx="12">
                    <c:v>2016</c:v>
                  </c:pt>
                  <c:pt idx="24">
                    <c:v>2017</c:v>
                  </c:pt>
                  <c:pt idx="36">
                    <c:v>2018</c:v>
                  </c:pt>
                  <c:pt idx="48">
                    <c:v>2019</c:v>
                  </c:pt>
                  <c:pt idx="60">
                    <c:v>2020</c:v>
                  </c:pt>
                </c:lvl>
              </c:multiLvlStrCache>
            </c:multiLvlStrRef>
          </c:cat>
          <c:val>
            <c:numRef>
              <c:f>'Měnové podmínky 1'!$G$42:$G$108</c:f>
              <c:numCache>
                <c:formatCode>General</c:formatCode>
                <c:ptCount val="67"/>
                <c:pt idx="0">
                  <c:v>0.13</c:v>
                </c:pt>
                <c:pt idx="1">
                  <c:v>0.17</c:v>
                </c:pt>
                <c:pt idx="2">
                  <c:v>0.14000000000000001</c:v>
                </c:pt>
                <c:pt idx="3">
                  <c:v>0.05</c:v>
                </c:pt>
                <c:pt idx="4">
                  <c:v>0.22</c:v>
                </c:pt>
                <c:pt idx="5">
                  <c:v>0.43</c:v>
                </c:pt>
                <c:pt idx="6">
                  <c:v>0.35</c:v>
                </c:pt>
                <c:pt idx="7">
                  <c:v>0.2</c:v>
                </c:pt>
                <c:pt idx="8">
                  <c:v>0.06</c:v>
                </c:pt>
                <c:pt idx="9">
                  <c:v>-0.05</c:v>
                </c:pt>
                <c:pt idx="10">
                  <c:v>-0.05</c:v>
                </c:pt>
                <c:pt idx="11">
                  <c:v>-0.11</c:v>
                </c:pt>
                <c:pt idx="12">
                  <c:v>0.04</c:v>
                </c:pt>
                <c:pt idx="13">
                  <c:v>-0.08</c:v>
                </c:pt>
                <c:pt idx="14">
                  <c:v>-0.1</c:v>
                </c:pt>
                <c:pt idx="15">
                  <c:v>0.04</c:v>
                </c:pt>
                <c:pt idx="16">
                  <c:v>7.0000000000000007E-2</c:v>
                </c:pt>
                <c:pt idx="17">
                  <c:v>0.05</c:v>
                </c:pt>
                <c:pt idx="18">
                  <c:v>-0.02</c:v>
                </c:pt>
                <c:pt idx="19">
                  <c:v>-0.09</c:v>
                </c:pt>
                <c:pt idx="20">
                  <c:v>-0.19</c:v>
                </c:pt>
                <c:pt idx="21">
                  <c:v>-0.17</c:v>
                </c:pt>
                <c:pt idx="22">
                  <c:v>-0.17</c:v>
                </c:pt>
                <c:pt idx="23">
                  <c:v>-0.21</c:v>
                </c:pt>
                <c:pt idx="24">
                  <c:v>-0.22</c:v>
                </c:pt>
                <c:pt idx="25">
                  <c:v>0.09</c:v>
                </c:pt>
                <c:pt idx="26">
                  <c:v>0.1</c:v>
                </c:pt>
                <c:pt idx="27">
                  <c:v>0.16</c:v>
                </c:pt>
                <c:pt idx="28">
                  <c:v>0.04</c:v>
                </c:pt>
                <c:pt idx="29">
                  <c:v>-0.03</c:v>
                </c:pt>
                <c:pt idx="30">
                  <c:v>0.14000000000000001</c:v>
                </c:pt>
                <c:pt idx="31">
                  <c:v>0.09</c:v>
                </c:pt>
                <c:pt idx="32">
                  <c:v>0.1</c:v>
                </c:pt>
                <c:pt idx="33">
                  <c:v>0.63</c:v>
                </c:pt>
                <c:pt idx="34">
                  <c:v>0.87</c:v>
                </c:pt>
                <c:pt idx="35">
                  <c:v>0.68</c:v>
                </c:pt>
                <c:pt idx="36">
                  <c:v>0.99</c:v>
                </c:pt>
                <c:pt idx="37">
                  <c:v>1.07</c:v>
                </c:pt>
                <c:pt idx="38">
                  <c:v>1.0900000000000001</c:v>
                </c:pt>
                <c:pt idx="39">
                  <c:v>1.05</c:v>
                </c:pt>
                <c:pt idx="40">
                  <c:v>1.21</c:v>
                </c:pt>
                <c:pt idx="41">
                  <c:v>1.41</c:v>
                </c:pt>
                <c:pt idx="42">
                  <c:v>1.44</c:v>
                </c:pt>
                <c:pt idx="43">
                  <c:v>1.55</c:v>
                </c:pt>
                <c:pt idx="44">
                  <c:v>1.7</c:v>
                </c:pt>
                <c:pt idx="45">
                  <c:v>1.81</c:v>
                </c:pt>
                <c:pt idx="46">
                  <c:v>1.79</c:v>
                </c:pt>
                <c:pt idx="47">
                  <c:v>1.71</c:v>
                </c:pt>
                <c:pt idx="48">
                  <c:v>1.6</c:v>
                </c:pt>
                <c:pt idx="49">
                  <c:v>1.61</c:v>
                </c:pt>
                <c:pt idx="50">
                  <c:v>1.7</c:v>
                </c:pt>
                <c:pt idx="51">
                  <c:v>1.63</c:v>
                </c:pt>
                <c:pt idx="52">
                  <c:v>1.57</c:v>
                </c:pt>
                <c:pt idx="53">
                  <c:v>1.43</c:v>
                </c:pt>
                <c:pt idx="54">
                  <c:v>1.31</c:v>
                </c:pt>
                <c:pt idx="55">
                  <c:v>0.89</c:v>
                </c:pt>
                <c:pt idx="56">
                  <c:v>1.1299999999999999</c:v>
                </c:pt>
                <c:pt idx="57">
                  <c:v>1.23</c:v>
                </c:pt>
                <c:pt idx="58">
                  <c:v>1.32</c:v>
                </c:pt>
                <c:pt idx="59">
                  <c:v>1.31</c:v>
                </c:pt>
                <c:pt idx="60">
                  <c:v>1.51</c:v>
                </c:pt>
                <c:pt idx="61">
                  <c:v>1.52</c:v>
                </c:pt>
                <c:pt idx="62">
                  <c:v>1.23</c:v>
                </c:pt>
                <c:pt idx="63">
                  <c:v>1.06</c:v>
                </c:pt>
                <c:pt idx="64">
                  <c:v>0.56999999999999995</c:v>
                </c:pt>
                <c:pt idx="65">
                  <c:v>0.52</c:v>
                </c:pt>
                <c:pt idx="66">
                  <c:v>0.52</c:v>
                </c:pt>
              </c:numCache>
            </c:numRef>
          </c:val>
          <c:smooth val="0"/>
          <c:extLst>
            <c:ext xmlns:c16="http://schemas.microsoft.com/office/drawing/2014/chart" uri="{C3380CC4-5D6E-409C-BE32-E72D297353CC}">
              <c16:uniqueId val="{00000003-526E-4743-94F5-EFF6B5C86702}"/>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1'!$A$42:$B$108</c:f>
              <c:multiLvlStrCache>
                <c:ptCount val="6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lvl>
                <c:lvl>
                  <c:pt idx="0">
                    <c:v>2015</c:v>
                  </c:pt>
                  <c:pt idx="12">
                    <c:v>2016</c:v>
                  </c:pt>
                  <c:pt idx="24">
                    <c:v>2017</c:v>
                  </c:pt>
                  <c:pt idx="36">
                    <c:v>2018</c:v>
                  </c:pt>
                  <c:pt idx="48">
                    <c:v>2019</c:v>
                  </c:pt>
                  <c:pt idx="60">
                    <c:v>2020</c:v>
                  </c:pt>
                </c:lvl>
              </c:multiLvlStrCache>
            </c:multiLvlStrRef>
          </c:cat>
          <c:val>
            <c:numRef>
              <c:f>'Měnové podmínky 1'!$E$42:$E$108</c:f>
              <c:numCache>
                <c:formatCode>General</c:formatCode>
                <c:ptCount val="67"/>
                <c:pt idx="0">
                  <c:v>0.51</c:v>
                </c:pt>
                <c:pt idx="1">
                  <c:v>0.51</c:v>
                </c:pt>
                <c:pt idx="2">
                  <c:v>0.49</c:v>
                </c:pt>
                <c:pt idx="3">
                  <c:v>0.48</c:v>
                </c:pt>
                <c:pt idx="4">
                  <c:v>0.48</c:v>
                </c:pt>
                <c:pt idx="5">
                  <c:v>0.48</c:v>
                </c:pt>
                <c:pt idx="6">
                  <c:v>0.48</c:v>
                </c:pt>
                <c:pt idx="7">
                  <c:v>0.48</c:v>
                </c:pt>
                <c:pt idx="8">
                  <c:v>0.47</c:v>
                </c:pt>
                <c:pt idx="9">
                  <c:v>0.46</c:v>
                </c:pt>
                <c:pt idx="10">
                  <c:v>0.46</c:v>
                </c:pt>
                <c:pt idx="11">
                  <c:v>0.46</c:v>
                </c:pt>
                <c:pt idx="12">
                  <c:v>0.45</c:v>
                </c:pt>
                <c:pt idx="13">
                  <c:v>0.45</c:v>
                </c:pt>
                <c:pt idx="14">
                  <c:v>0.45</c:v>
                </c:pt>
                <c:pt idx="15">
                  <c:v>0.45</c:v>
                </c:pt>
                <c:pt idx="16">
                  <c:v>0.45</c:v>
                </c:pt>
                <c:pt idx="17">
                  <c:v>0.45</c:v>
                </c:pt>
                <c:pt idx="18">
                  <c:v>0.45</c:v>
                </c:pt>
                <c:pt idx="19">
                  <c:v>0.45</c:v>
                </c:pt>
                <c:pt idx="20">
                  <c:v>0.45</c:v>
                </c:pt>
                <c:pt idx="21">
                  <c:v>0.45</c:v>
                </c:pt>
                <c:pt idx="22">
                  <c:v>0.45</c:v>
                </c:pt>
                <c:pt idx="23">
                  <c:v>0.45</c:v>
                </c:pt>
                <c:pt idx="24">
                  <c:v>0.44</c:v>
                </c:pt>
                <c:pt idx="25">
                  <c:v>0.44</c:v>
                </c:pt>
                <c:pt idx="26">
                  <c:v>0.44</c:v>
                </c:pt>
                <c:pt idx="27">
                  <c:v>0.45</c:v>
                </c:pt>
                <c:pt idx="28">
                  <c:v>0.46</c:v>
                </c:pt>
                <c:pt idx="29">
                  <c:v>0.46</c:v>
                </c:pt>
                <c:pt idx="30">
                  <c:v>0.47</c:v>
                </c:pt>
                <c:pt idx="31">
                  <c:v>0.6</c:v>
                </c:pt>
                <c:pt idx="32">
                  <c:v>0.64</c:v>
                </c:pt>
                <c:pt idx="33">
                  <c:v>0.69</c:v>
                </c:pt>
                <c:pt idx="34">
                  <c:v>0.91</c:v>
                </c:pt>
                <c:pt idx="35">
                  <c:v>0.96</c:v>
                </c:pt>
                <c:pt idx="36">
                  <c:v>0.98</c:v>
                </c:pt>
                <c:pt idx="37">
                  <c:v>1.1100000000000001</c:v>
                </c:pt>
                <c:pt idx="38">
                  <c:v>1.1200000000000001</c:v>
                </c:pt>
                <c:pt idx="39">
                  <c:v>1.1200000000000001</c:v>
                </c:pt>
                <c:pt idx="40">
                  <c:v>1.1200000000000001</c:v>
                </c:pt>
                <c:pt idx="41">
                  <c:v>1.1499999999999999</c:v>
                </c:pt>
                <c:pt idx="42">
                  <c:v>1.39</c:v>
                </c:pt>
                <c:pt idx="43">
                  <c:v>1.67</c:v>
                </c:pt>
                <c:pt idx="44">
                  <c:v>1.79</c:v>
                </c:pt>
                <c:pt idx="45">
                  <c:v>1.95</c:v>
                </c:pt>
                <c:pt idx="46">
                  <c:v>2.1800000000000002</c:v>
                </c:pt>
                <c:pt idx="47">
                  <c:v>2.21</c:v>
                </c:pt>
                <c:pt idx="48">
                  <c:v>2.21</c:v>
                </c:pt>
                <c:pt idx="49">
                  <c:v>2.2000000000000002</c:v>
                </c:pt>
                <c:pt idx="50">
                  <c:v>2.2000000000000002</c:v>
                </c:pt>
                <c:pt idx="51">
                  <c:v>2.21</c:v>
                </c:pt>
                <c:pt idx="52">
                  <c:v>2.3199999999999998</c:v>
                </c:pt>
                <c:pt idx="53">
                  <c:v>2.29</c:v>
                </c:pt>
                <c:pt idx="54">
                  <c:v>2.2799999999999998</c:v>
                </c:pt>
                <c:pt idx="55">
                  <c:v>2.2200000000000002</c:v>
                </c:pt>
                <c:pt idx="56">
                  <c:v>2.2000000000000002</c:v>
                </c:pt>
                <c:pt idx="57">
                  <c:v>2.2799999999999998</c:v>
                </c:pt>
                <c:pt idx="58">
                  <c:v>2.2799999999999998</c:v>
                </c:pt>
                <c:pt idx="59">
                  <c:v>2.27</c:v>
                </c:pt>
                <c:pt idx="60">
                  <c:v>2.27</c:v>
                </c:pt>
                <c:pt idx="61">
                  <c:v>2.42</c:v>
                </c:pt>
                <c:pt idx="62">
                  <c:v>2.0099999999999998</c:v>
                </c:pt>
                <c:pt idx="63">
                  <c:v>0.92</c:v>
                </c:pt>
                <c:pt idx="64">
                  <c:v>0.51</c:v>
                </c:pt>
                <c:pt idx="65">
                  <c:v>0.43</c:v>
                </c:pt>
                <c:pt idx="66">
                  <c:v>0.43</c:v>
                </c:pt>
              </c:numCache>
            </c:numRef>
          </c:val>
          <c:smooth val="0"/>
          <c:extLst>
            <c:ext xmlns:c16="http://schemas.microsoft.com/office/drawing/2014/chart" uri="{C3380CC4-5D6E-409C-BE32-E72D297353CC}">
              <c16:uniqueId val="{00000004-526E-4743-94F5-EFF6B5C86702}"/>
            </c:ext>
          </c:extLst>
        </c:ser>
        <c:ser>
          <c:idx val="5"/>
          <c:order val="5"/>
          <c:tx>
            <c:strRef>
              <c:f>'Měnové podmínky 1'!$H$5</c:f>
              <c:strCache>
                <c:ptCount val="1"/>
                <c:pt idx="0">
                  <c:v>Average yield of government bonds (10Y)</c:v>
                </c:pt>
              </c:strCache>
            </c:strRef>
          </c:tx>
          <c:spPr>
            <a:ln w="19050">
              <a:solidFill>
                <a:srgbClr val="48AEE7"/>
              </a:solidFill>
            </a:ln>
          </c:spPr>
          <c:marker>
            <c:symbol val="none"/>
          </c:marker>
          <c:cat>
            <c:multiLvlStrRef>
              <c:f>'Měnové podmínky 1'!$A$42:$B$108</c:f>
              <c:multiLvlStrCache>
                <c:ptCount val="67"/>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lvl>
                <c:lvl>
                  <c:pt idx="0">
                    <c:v>2015</c:v>
                  </c:pt>
                  <c:pt idx="12">
                    <c:v>2016</c:v>
                  </c:pt>
                  <c:pt idx="24">
                    <c:v>2017</c:v>
                  </c:pt>
                  <c:pt idx="36">
                    <c:v>2018</c:v>
                  </c:pt>
                  <c:pt idx="48">
                    <c:v>2019</c:v>
                  </c:pt>
                  <c:pt idx="60">
                    <c:v>2020</c:v>
                  </c:pt>
                </c:lvl>
              </c:multiLvlStrCache>
            </c:multiLvlStrRef>
          </c:cat>
          <c:val>
            <c:numRef>
              <c:f>'Měnové podmínky 1'!$H$42:$H$108</c:f>
              <c:numCache>
                <c:formatCode>General</c:formatCode>
                <c:ptCount val="67"/>
                <c:pt idx="0">
                  <c:v>0.35</c:v>
                </c:pt>
                <c:pt idx="1">
                  <c:v>0.4</c:v>
                </c:pt>
                <c:pt idx="2">
                  <c:v>0.35</c:v>
                </c:pt>
                <c:pt idx="3">
                  <c:v>0.26</c:v>
                </c:pt>
                <c:pt idx="4">
                  <c:v>0.6</c:v>
                </c:pt>
                <c:pt idx="5">
                  <c:v>1.01</c:v>
                </c:pt>
                <c:pt idx="6">
                  <c:v>0.97</c:v>
                </c:pt>
                <c:pt idx="7">
                  <c:v>0.74</c:v>
                </c:pt>
                <c:pt idx="8">
                  <c:v>0.68</c:v>
                </c:pt>
                <c:pt idx="9">
                  <c:v>0.56000000000000005</c:v>
                </c:pt>
                <c:pt idx="10">
                  <c:v>0.49</c:v>
                </c:pt>
                <c:pt idx="11">
                  <c:v>0.49</c:v>
                </c:pt>
                <c:pt idx="12">
                  <c:v>0.62</c:v>
                </c:pt>
                <c:pt idx="13">
                  <c:v>0.46</c:v>
                </c:pt>
                <c:pt idx="14">
                  <c:v>0.35</c:v>
                </c:pt>
                <c:pt idx="15">
                  <c:v>0.43</c:v>
                </c:pt>
                <c:pt idx="16">
                  <c:v>0.46</c:v>
                </c:pt>
                <c:pt idx="17">
                  <c:v>0.45</c:v>
                </c:pt>
                <c:pt idx="18">
                  <c:v>0.37</c:v>
                </c:pt>
                <c:pt idx="19">
                  <c:v>0.28999999999999998</c:v>
                </c:pt>
                <c:pt idx="20">
                  <c:v>0.25</c:v>
                </c:pt>
                <c:pt idx="21">
                  <c:v>0.37</c:v>
                </c:pt>
                <c:pt idx="22">
                  <c:v>0.55000000000000004</c:v>
                </c:pt>
                <c:pt idx="23">
                  <c:v>0.53</c:v>
                </c:pt>
                <c:pt idx="24">
                  <c:v>0.47</c:v>
                </c:pt>
                <c:pt idx="25">
                  <c:v>0.63</c:v>
                </c:pt>
                <c:pt idx="26">
                  <c:v>0.87</c:v>
                </c:pt>
                <c:pt idx="27">
                  <c:v>0.96</c:v>
                </c:pt>
                <c:pt idx="28">
                  <c:v>0.74</c:v>
                </c:pt>
                <c:pt idx="29">
                  <c:v>0.77</c:v>
                </c:pt>
                <c:pt idx="30">
                  <c:v>0.9</c:v>
                </c:pt>
                <c:pt idx="31">
                  <c:v>0.83</c:v>
                </c:pt>
                <c:pt idx="32">
                  <c:v>0.97</c:v>
                </c:pt>
                <c:pt idx="33">
                  <c:v>1.45</c:v>
                </c:pt>
                <c:pt idx="34">
                  <c:v>1.68</c:v>
                </c:pt>
                <c:pt idx="35">
                  <c:v>1.5</c:v>
                </c:pt>
                <c:pt idx="36">
                  <c:v>1.77</c:v>
                </c:pt>
                <c:pt idx="37">
                  <c:v>1.82</c:v>
                </c:pt>
                <c:pt idx="38">
                  <c:v>1.81</c:v>
                </c:pt>
                <c:pt idx="39">
                  <c:v>1.74</c:v>
                </c:pt>
                <c:pt idx="40">
                  <c:v>1.89</c:v>
                </c:pt>
                <c:pt idx="41">
                  <c:v>2.14</c:v>
                </c:pt>
                <c:pt idx="42">
                  <c:v>2.11</c:v>
                </c:pt>
                <c:pt idx="43">
                  <c:v>2.14</c:v>
                </c:pt>
                <c:pt idx="44">
                  <c:v>2.14</c:v>
                </c:pt>
                <c:pt idx="45">
                  <c:v>2.14</c:v>
                </c:pt>
                <c:pt idx="46">
                  <c:v>2.0699999999999998</c:v>
                </c:pt>
                <c:pt idx="47">
                  <c:v>2.0099999999999998</c:v>
                </c:pt>
                <c:pt idx="48">
                  <c:v>1.85</c:v>
                </c:pt>
                <c:pt idx="49">
                  <c:v>1.76</c:v>
                </c:pt>
                <c:pt idx="50">
                  <c:v>1.82</c:v>
                </c:pt>
                <c:pt idx="51">
                  <c:v>1.82</c:v>
                </c:pt>
                <c:pt idx="52">
                  <c:v>1.86</c:v>
                </c:pt>
                <c:pt idx="53">
                  <c:v>1.58</c:v>
                </c:pt>
                <c:pt idx="54">
                  <c:v>1.36</c:v>
                </c:pt>
                <c:pt idx="55">
                  <c:v>0.99</c:v>
                </c:pt>
                <c:pt idx="56">
                  <c:v>1.24</c:v>
                </c:pt>
                <c:pt idx="57">
                  <c:v>1.32</c:v>
                </c:pt>
                <c:pt idx="58">
                  <c:v>1.47</c:v>
                </c:pt>
                <c:pt idx="59">
                  <c:v>1.51</c:v>
                </c:pt>
                <c:pt idx="60">
                  <c:v>1.62</c:v>
                </c:pt>
                <c:pt idx="61">
                  <c:v>1.47</c:v>
                </c:pt>
                <c:pt idx="62">
                  <c:v>1.28</c:v>
                </c:pt>
                <c:pt idx="63">
                  <c:v>1.28</c:v>
                </c:pt>
                <c:pt idx="64">
                  <c:v>0.92</c:v>
                </c:pt>
                <c:pt idx="65">
                  <c:v>0.86</c:v>
                </c:pt>
                <c:pt idx="66">
                  <c:v>0.86</c:v>
                </c:pt>
              </c:numCache>
            </c:numRef>
          </c:val>
          <c:smooth val="0"/>
          <c:extLst>
            <c:ext xmlns:c16="http://schemas.microsoft.com/office/drawing/2014/chart" uri="{C3380CC4-5D6E-409C-BE32-E72D297353CC}">
              <c16:uniqueId val="{00000005-526E-4743-94F5-EFF6B5C86702}"/>
            </c:ext>
          </c:extLst>
        </c:ser>
        <c:dLbls>
          <c:showLegendKey val="0"/>
          <c:showVal val="0"/>
          <c:showCatName val="0"/>
          <c:showSerName val="0"/>
          <c:showPercent val="0"/>
          <c:showBubbleSize val="0"/>
        </c:dLbls>
        <c:marker val="1"/>
        <c:smooth val="0"/>
        <c:axId val="131001344"/>
        <c:axId val="131027712"/>
      </c:lineChart>
      <c:catAx>
        <c:axId val="131001344"/>
        <c:scaling>
          <c:orientation val="minMax"/>
        </c:scaling>
        <c:delete val="0"/>
        <c:axPos val="b"/>
        <c:numFmt formatCode="General" sourceLinked="0"/>
        <c:majorTickMark val="out"/>
        <c:minorTickMark val="none"/>
        <c:tickLblPos val="low"/>
        <c:spPr>
          <a:ln>
            <a:solidFill>
              <a:schemeClr val="tx1"/>
            </a:solidFill>
          </a:ln>
        </c:spPr>
        <c:crossAx val="131027712"/>
        <c:crosses val="autoZero"/>
        <c:auto val="1"/>
        <c:lblAlgn val="ctr"/>
        <c:lblOffset val="100"/>
        <c:noMultiLvlLbl val="0"/>
      </c:catAx>
      <c:valAx>
        <c:axId val="131027712"/>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1001344"/>
        <c:crosses val="autoZero"/>
        <c:crossBetween val="between"/>
        <c:majorUnit val="1"/>
      </c:valAx>
      <c:spPr>
        <a:ln>
          <a:solidFill>
            <a:schemeClr val="tx1"/>
          </a:solidFill>
        </a:ln>
      </c:spPr>
    </c:plotArea>
    <c:legend>
      <c:legendPos val="b"/>
      <c:layout>
        <c:manualLayout>
          <c:xMode val="edge"/>
          <c:yMode val="edge"/>
          <c:x val="4.2139690982776527E-2"/>
          <c:y val="0.87558269120103249"/>
          <c:w val="0.93886651469098281"/>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923A8-E727-400E-A3EA-2220CB4CC579}">
  <ds:schemaRefs>
    <ds:schemaRef ds:uri="http://schemas.openxmlformats.org/officeDocument/2006/bibliography"/>
  </ds:schemaRefs>
</ds:datastoreItem>
</file>

<file path=customXml/itemProps2.xml><?xml version="1.0" encoding="utf-8"?>
<ds:datastoreItem xmlns:ds="http://schemas.openxmlformats.org/officeDocument/2006/customXml" ds:itemID="{521AA537-3A19-4234-A6A5-B49ACAC87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1</TotalTime>
  <Pages>2</Pages>
  <Words>1021</Words>
  <Characters>6029</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7036</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Karolína Súkupová</dc:creator>
  <cp:keywords/>
  <dc:description/>
  <cp:lastModifiedBy>Mgr. Karolína Zábojníková</cp:lastModifiedBy>
  <cp:revision>3</cp:revision>
  <cp:lastPrinted>2019-04-08T10:52:00Z</cp:lastPrinted>
  <dcterms:created xsi:type="dcterms:W3CDTF">2020-10-13T05:41:00Z</dcterms:created>
  <dcterms:modified xsi:type="dcterms:W3CDTF">2020-10-13T05:54:00Z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a92781-1fcb-4da3-a1a2-e534c28a25f3_Enabled">
    <vt:lpwstr>true</vt:lpwstr>
  </property>
  <property fmtid="{D5CDD505-2E9C-101B-9397-08002B2CF9AE}" pid="3" name="MSIP_Label_faa92781-1fcb-4da3-a1a2-e534c28a25f3_SetDate">
    <vt:lpwstr>2020-09-18T12:31:27Z</vt:lpwstr>
  </property>
  <property fmtid="{D5CDD505-2E9C-101B-9397-08002B2CF9AE}" pid="4" name="MSIP_Label_faa92781-1fcb-4da3-a1a2-e534c28a25f3_Method">
    <vt:lpwstr>Standard</vt:lpwstr>
  </property>
  <property fmtid="{D5CDD505-2E9C-101B-9397-08002B2CF9AE}" pid="5" name="MSIP_Label_faa92781-1fcb-4da3-a1a2-e534c28a25f3_Name">
    <vt:lpwstr>in UniCredit Group - no visual markings2</vt:lpwstr>
  </property>
  <property fmtid="{D5CDD505-2E9C-101B-9397-08002B2CF9AE}" pid="6" name="MSIP_Label_faa92781-1fcb-4da3-a1a2-e534c28a25f3_SiteId">
    <vt:lpwstr>2cc49ce9-66a1-41ac-a96b-bdc54247696a</vt:lpwstr>
  </property>
  <property fmtid="{D5CDD505-2E9C-101B-9397-08002B2CF9AE}" pid="7" name="MSIP_Label_faa92781-1fcb-4da3-a1a2-e534c28a25f3_ActionId">
    <vt:lpwstr>54eb53c3-c85e-4f75-ab17-f26ab2ee0a14</vt:lpwstr>
  </property>
  <property fmtid="{D5CDD505-2E9C-101B-9397-08002B2CF9AE}" pid="8" name="MSIP_Label_faa92781-1fcb-4da3-a1a2-e534c28a25f3_ContentBits">
    <vt:lpwstr>0</vt:lpwstr>
  </property>
</Properties>
</file>