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5029" w14:textId="77777777" w:rsidR="008F509F" w:rsidRPr="00D970F7" w:rsidRDefault="008F509F" w:rsidP="008F509F">
      <w:pPr>
        <w:pStyle w:val="Nadpis11"/>
        <w:rPr>
          <w:b w:val="0"/>
          <w:sz w:val="2"/>
          <w:szCs w:val="2"/>
          <w:highlight w:val="yellow"/>
          <w:lang w:val="en-GB"/>
        </w:rPr>
      </w:pPr>
      <w:bookmarkStart w:id="0" w:name="_Toc532558284"/>
      <w:bookmarkStart w:id="1" w:name="_Toc26539341"/>
      <w:bookmarkStart w:id="2" w:name="_Toc11237634"/>
    </w:p>
    <w:p w14:paraId="5C2789AF" w14:textId="01A4B059" w:rsidR="00295E96" w:rsidRPr="00D970F7" w:rsidRDefault="00295E96" w:rsidP="00295E96">
      <w:pPr>
        <w:pStyle w:val="Nadpis11"/>
        <w:rPr>
          <w:lang w:val="en-GB"/>
        </w:rPr>
      </w:pPr>
      <w:bookmarkStart w:id="3" w:name="_Toc511215218"/>
      <w:bookmarkStart w:id="4" w:name="_Toc37403644"/>
      <w:bookmarkStart w:id="5" w:name="_Toc19090678"/>
      <w:bookmarkStart w:id="6" w:name="_Toc50712129"/>
      <w:bookmarkStart w:id="7" w:name="_Toc26539342"/>
      <w:bookmarkStart w:id="8" w:name="_Toc532558287"/>
      <w:bookmarkEnd w:id="0"/>
      <w:bookmarkEnd w:id="1"/>
      <w:bookmarkEnd w:id="2"/>
      <w:bookmarkEnd w:id="3"/>
      <w:r w:rsidRPr="00D970F7">
        <w:rPr>
          <w:lang w:val="en-GB"/>
        </w:rPr>
        <w:t>5. </w:t>
      </w:r>
      <w:r w:rsidR="00934B30" w:rsidRPr="00D970F7">
        <w:rPr>
          <w:lang w:val="en-GB"/>
        </w:rPr>
        <w:t>Prices</w:t>
      </w:r>
      <w:bookmarkEnd w:id="4"/>
      <w:bookmarkEnd w:id="5"/>
      <w:bookmarkEnd w:id="6"/>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295E96" w:rsidRPr="00D970F7" w14:paraId="1849DB63" w14:textId="77777777" w:rsidTr="00CF6F9C">
        <w:trPr>
          <w:trHeight w:val="145"/>
        </w:trPr>
        <w:tc>
          <w:tcPr>
            <w:tcW w:w="1805" w:type="dxa"/>
            <w:hideMark/>
          </w:tcPr>
          <w:p w14:paraId="73D9F82E" w14:textId="76FD4CA1" w:rsidR="00295E96" w:rsidRPr="00D970F7" w:rsidRDefault="00934B30" w:rsidP="00CF6F9C">
            <w:pPr>
              <w:pStyle w:val="Marginlie"/>
              <w:rPr>
                <w:spacing w:val="0"/>
                <w:lang w:val="en-GB" w:eastAsia="en-US"/>
              </w:rPr>
            </w:pPr>
            <w:r w:rsidRPr="00D970F7">
              <w:rPr>
                <w:spacing w:val="0"/>
                <w:lang w:val="en-GB" w:eastAsia="en-US"/>
              </w:rPr>
              <w:t>Year-on-year growth of the price level strengthened in Q2</w:t>
            </w:r>
            <w:r w:rsidR="00295E96" w:rsidRPr="00D970F7">
              <w:rPr>
                <w:spacing w:val="0"/>
                <w:lang w:val="en-GB" w:eastAsia="en-US"/>
              </w:rPr>
              <w:t>.</w:t>
            </w:r>
          </w:p>
        </w:tc>
        <w:tc>
          <w:tcPr>
            <w:tcW w:w="224" w:type="dxa"/>
          </w:tcPr>
          <w:p w14:paraId="0C12F559" w14:textId="77777777" w:rsidR="00295E96" w:rsidRPr="00D970F7" w:rsidRDefault="00295E96" w:rsidP="00CF6F9C">
            <w:pPr>
              <w:pStyle w:val="Textpoznpodarou1"/>
              <w:jc w:val="both"/>
              <w:rPr>
                <w:lang w:val="en-GB" w:eastAsia="en-US"/>
              </w:rPr>
            </w:pPr>
          </w:p>
        </w:tc>
        <w:tc>
          <w:tcPr>
            <w:tcW w:w="7610" w:type="dxa"/>
            <w:hideMark/>
          </w:tcPr>
          <w:p w14:paraId="4E5B1BE4" w14:textId="465BA30F" w:rsidR="00295E96" w:rsidRPr="00D970F7" w:rsidRDefault="00C77B27" w:rsidP="00CF6F9C">
            <w:pPr>
              <w:rPr>
                <w:szCs w:val="20"/>
                <w:lang w:val="en-GB" w:eastAsia="en-US"/>
              </w:rPr>
            </w:pPr>
            <w:r w:rsidRPr="00D970F7">
              <w:rPr>
                <w:szCs w:val="20"/>
                <w:lang w:val="en-GB" w:eastAsia="en-US"/>
              </w:rPr>
              <w:t>Year-on-year growth of the price level</w:t>
            </w:r>
            <w:r w:rsidR="00295E96" w:rsidRPr="00D970F7">
              <w:rPr>
                <w:rStyle w:val="Znakapoznpodarou"/>
                <w:szCs w:val="20"/>
                <w:lang w:val="en-GB" w:eastAsia="en-US"/>
              </w:rPr>
              <w:footnoteReference w:id="1"/>
            </w:r>
            <w:r w:rsidR="00295E96" w:rsidRPr="00D970F7">
              <w:rPr>
                <w:szCs w:val="20"/>
                <w:lang w:val="en-GB" w:eastAsia="en-US"/>
              </w:rPr>
              <w:t xml:space="preserve"> </w:t>
            </w:r>
            <w:r w:rsidRPr="00D970F7">
              <w:rPr>
                <w:szCs w:val="20"/>
                <w:lang w:val="en-GB" w:eastAsia="en-US"/>
              </w:rPr>
              <w:t xml:space="preserve">accelerated to </w:t>
            </w:r>
            <w:r w:rsidR="00295E96" w:rsidRPr="00D970F7">
              <w:rPr>
                <w:szCs w:val="20"/>
                <w:lang w:val="en-GB" w:eastAsia="en-US"/>
              </w:rPr>
              <w:t>4</w:t>
            </w:r>
            <w:r w:rsidRPr="00D970F7">
              <w:rPr>
                <w:szCs w:val="20"/>
                <w:lang w:val="en-GB" w:eastAsia="en-US"/>
              </w:rPr>
              <w:t>.</w:t>
            </w:r>
            <w:r w:rsidR="00295E96" w:rsidRPr="00D970F7">
              <w:rPr>
                <w:szCs w:val="20"/>
                <w:lang w:val="en-GB" w:eastAsia="en-US"/>
              </w:rPr>
              <w:t>2%</w:t>
            </w:r>
            <w:r w:rsidRPr="00D970F7">
              <w:rPr>
                <w:szCs w:val="20"/>
                <w:lang w:val="en-GB" w:eastAsia="en-US"/>
              </w:rPr>
              <w:t xml:space="preserve"> in Q2</w:t>
            </w:r>
            <w:r w:rsidR="00295E96" w:rsidRPr="00D970F7">
              <w:rPr>
                <w:szCs w:val="20"/>
                <w:lang w:val="en-GB" w:eastAsia="en-US"/>
              </w:rPr>
              <w:t xml:space="preserve">. </w:t>
            </w:r>
            <w:r w:rsidRPr="00D970F7">
              <w:rPr>
                <w:szCs w:val="20"/>
                <w:lang w:val="en-GB" w:eastAsia="en-US"/>
              </w:rPr>
              <w:t>It presents the highest addition since Q</w:t>
            </w:r>
            <w:r w:rsidR="00295E96" w:rsidRPr="00D970F7">
              <w:rPr>
                <w:szCs w:val="20"/>
                <w:lang w:val="en-GB" w:eastAsia="en-US"/>
              </w:rPr>
              <w:t>1</w:t>
            </w:r>
            <w:r w:rsidRPr="00D970F7">
              <w:rPr>
                <w:szCs w:val="20"/>
                <w:lang w:val="en-GB" w:eastAsia="en-US"/>
              </w:rPr>
              <w:t xml:space="preserve"> </w:t>
            </w:r>
            <w:r w:rsidR="00295E96" w:rsidRPr="00D970F7">
              <w:rPr>
                <w:szCs w:val="20"/>
                <w:lang w:val="en-GB" w:eastAsia="en-US"/>
              </w:rPr>
              <w:t xml:space="preserve">2009. </w:t>
            </w:r>
            <w:r w:rsidRPr="00D970F7">
              <w:rPr>
                <w:szCs w:val="20"/>
                <w:lang w:val="en-GB" w:eastAsia="en-US"/>
              </w:rPr>
              <w:t>Compared to Q</w:t>
            </w:r>
            <w:r w:rsidR="00295E96" w:rsidRPr="00D970F7">
              <w:rPr>
                <w:szCs w:val="20"/>
                <w:lang w:val="en-GB" w:eastAsia="en-US"/>
              </w:rPr>
              <w:t>1</w:t>
            </w:r>
            <w:r w:rsidRPr="00D970F7">
              <w:rPr>
                <w:szCs w:val="20"/>
                <w:lang w:val="en-GB" w:eastAsia="en-US"/>
              </w:rPr>
              <w:t xml:space="preserve">, the year-on-year dynamics strengthened. Price level for consumption goods was raised by </w:t>
            </w:r>
            <w:r w:rsidR="00295E96" w:rsidRPr="00D970F7">
              <w:rPr>
                <w:szCs w:val="20"/>
                <w:lang w:val="en-GB" w:eastAsia="en-US"/>
              </w:rPr>
              <w:t>3</w:t>
            </w:r>
            <w:r w:rsidRPr="00D970F7">
              <w:rPr>
                <w:szCs w:val="20"/>
                <w:lang w:val="en-GB" w:eastAsia="en-US"/>
              </w:rPr>
              <w:t>.</w:t>
            </w:r>
            <w:r w:rsidR="00295E96" w:rsidRPr="00D970F7">
              <w:rPr>
                <w:szCs w:val="20"/>
                <w:lang w:val="en-GB" w:eastAsia="en-US"/>
              </w:rPr>
              <w:t xml:space="preserve">3%, </w:t>
            </w:r>
            <w:r w:rsidRPr="00D970F7">
              <w:rPr>
                <w:szCs w:val="20"/>
                <w:lang w:val="en-GB" w:eastAsia="en-US"/>
              </w:rPr>
              <w:t>which is less than in Q</w:t>
            </w:r>
            <w:r w:rsidR="00295E96" w:rsidRPr="00D970F7">
              <w:rPr>
                <w:szCs w:val="20"/>
                <w:lang w:val="en-GB" w:eastAsia="en-US"/>
              </w:rPr>
              <w:t>1.</w:t>
            </w:r>
            <w:r w:rsidRPr="00D970F7">
              <w:rPr>
                <w:szCs w:val="20"/>
                <w:lang w:val="en-GB" w:eastAsia="en-US"/>
              </w:rPr>
              <w:t xml:space="preserve"> </w:t>
            </w:r>
            <w:r w:rsidR="006C358B" w:rsidRPr="00D970F7">
              <w:rPr>
                <w:szCs w:val="20"/>
                <w:lang w:val="en-GB" w:eastAsia="en-US"/>
              </w:rPr>
              <w:t xml:space="preserve">Pace of consumption of goods by both households and the government sector slowed down. </w:t>
            </w:r>
            <w:r w:rsidR="003F416F" w:rsidRPr="00D970F7">
              <w:rPr>
                <w:szCs w:val="20"/>
                <w:lang w:val="en-GB" w:eastAsia="en-US"/>
              </w:rPr>
              <w:t xml:space="preserve">Prices of capital goods grew by </w:t>
            </w:r>
            <w:r w:rsidR="00295E96" w:rsidRPr="00D970F7">
              <w:rPr>
                <w:szCs w:val="20"/>
                <w:lang w:val="en-GB" w:eastAsia="en-US"/>
              </w:rPr>
              <w:t>1</w:t>
            </w:r>
            <w:r w:rsidR="003F416F" w:rsidRPr="00D970F7">
              <w:rPr>
                <w:szCs w:val="20"/>
                <w:lang w:val="en-GB" w:eastAsia="en-US"/>
              </w:rPr>
              <w:t>.</w:t>
            </w:r>
            <w:r w:rsidR="00F75922" w:rsidRPr="00D970F7">
              <w:rPr>
                <w:szCs w:val="20"/>
                <w:lang w:val="en-GB" w:eastAsia="en-US"/>
              </w:rPr>
              <w:t>9</w:t>
            </w:r>
            <w:r w:rsidR="00295E96" w:rsidRPr="00D970F7">
              <w:rPr>
                <w:szCs w:val="20"/>
                <w:lang w:val="en-GB" w:eastAsia="en-US"/>
              </w:rPr>
              <w:t>%</w:t>
            </w:r>
            <w:r w:rsidR="003F416F" w:rsidRPr="00D970F7">
              <w:rPr>
                <w:szCs w:val="20"/>
                <w:lang w:val="en-GB" w:eastAsia="en-US"/>
              </w:rPr>
              <w:t xml:space="preserve"> year-on-year in Q2</w:t>
            </w:r>
            <w:r w:rsidR="00295E96" w:rsidRPr="00D970F7">
              <w:rPr>
                <w:szCs w:val="20"/>
                <w:lang w:val="en-GB" w:eastAsia="en-US"/>
              </w:rPr>
              <w:t xml:space="preserve"> a</w:t>
            </w:r>
            <w:r w:rsidR="003F416F" w:rsidRPr="00D970F7">
              <w:rPr>
                <w:szCs w:val="20"/>
                <w:lang w:val="en-GB" w:eastAsia="en-US"/>
              </w:rPr>
              <w:t>nd thus the descent of the rate of growth apparent alread</w:t>
            </w:r>
            <w:r w:rsidR="006C358B" w:rsidRPr="00D970F7">
              <w:rPr>
                <w:szCs w:val="20"/>
                <w:lang w:val="en-GB" w:eastAsia="en-US"/>
              </w:rPr>
              <w:t>y</w:t>
            </w:r>
            <w:r w:rsidR="003F416F" w:rsidRPr="00D970F7">
              <w:rPr>
                <w:szCs w:val="20"/>
                <w:lang w:val="en-GB" w:eastAsia="en-US"/>
              </w:rPr>
              <w:t xml:space="preserve"> in the previous quarter continued. </w:t>
            </w:r>
            <w:r w:rsidR="00EB3B7B" w:rsidRPr="00D970F7">
              <w:rPr>
                <w:szCs w:val="20"/>
                <w:lang w:val="en-GB" w:eastAsia="en-US"/>
              </w:rPr>
              <w:t xml:space="preserve">Weakening of the price growth for domestic expenditure items was offset by notable increase of the terms of trade. </w:t>
            </w:r>
            <w:r w:rsidR="00295E96" w:rsidRPr="00D970F7">
              <w:rPr>
                <w:szCs w:val="20"/>
                <w:lang w:val="en-GB" w:eastAsia="en-US"/>
              </w:rPr>
              <w:t>T</w:t>
            </w:r>
            <w:r w:rsidR="00EB3B7B" w:rsidRPr="00D970F7">
              <w:rPr>
                <w:szCs w:val="20"/>
                <w:lang w:val="en-GB" w:eastAsia="en-US"/>
              </w:rPr>
              <w:t xml:space="preserve">hey amounted to </w:t>
            </w:r>
            <w:r w:rsidR="00295E96" w:rsidRPr="00D970F7">
              <w:rPr>
                <w:szCs w:val="20"/>
                <w:lang w:val="en-GB" w:eastAsia="en-US"/>
              </w:rPr>
              <w:t>102</w:t>
            </w:r>
            <w:r w:rsidR="00EB3B7B" w:rsidRPr="00D970F7">
              <w:rPr>
                <w:szCs w:val="20"/>
                <w:lang w:val="en-GB" w:eastAsia="en-US"/>
              </w:rPr>
              <w:t>.</w:t>
            </w:r>
            <w:r w:rsidR="00295E96" w:rsidRPr="00D970F7">
              <w:rPr>
                <w:szCs w:val="20"/>
                <w:lang w:val="en-GB" w:eastAsia="en-US"/>
              </w:rPr>
              <w:t>1%</w:t>
            </w:r>
            <w:r w:rsidR="00EB3B7B" w:rsidRPr="00D970F7">
              <w:rPr>
                <w:szCs w:val="20"/>
                <w:lang w:val="en-GB" w:eastAsia="en-US"/>
              </w:rPr>
              <w:t xml:space="preserve"> in Q2</w:t>
            </w:r>
            <w:r w:rsidR="00295E96" w:rsidRPr="00D970F7">
              <w:rPr>
                <w:szCs w:val="20"/>
                <w:lang w:val="en-GB" w:eastAsia="en-US"/>
              </w:rPr>
              <w:t xml:space="preserve">, </w:t>
            </w:r>
            <w:r w:rsidR="0026736A" w:rsidRPr="00D970F7">
              <w:rPr>
                <w:szCs w:val="20"/>
                <w:lang w:val="en-GB" w:eastAsia="en-US"/>
              </w:rPr>
              <w:t>the most since Q</w:t>
            </w:r>
            <w:r w:rsidR="00295E96" w:rsidRPr="00D970F7">
              <w:rPr>
                <w:szCs w:val="20"/>
                <w:lang w:val="en-GB" w:eastAsia="en-US"/>
              </w:rPr>
              <w:t>4</w:t>
            </w:r>
            <w:r w:rsidR="0026736A" w:rsidRPr="00D970F7">
              <w:rPr>
                <w:szCs w:val="20"/>
                <w:lang w:val="en-GB" w:eastAsia="en-US"/>
              </w:rPr>
              <w:t xml:space="preserve"> </w:t>
            </w:r>
            <w:r w:rsidR="00295E96" w:rsidRPr="00D970F7">
              <w:rPr>
                <w:szCs w:val="20"/>
                <w:lang w:val="en-GB" w:eastAsia="en-US"/>
              </w:rPr>
              <w:t xml:space="preserve">2009. </w:t>
            </w:r>
            <w:r w:rsidR="0026736A" w:rsidRPr="00D970F7">
              <w:rPr>
                <w:szCs w:val="20"/>
                <w:lang w:val="en-GB" w:eastAsia="en-US"/>
              </w:rPr>
              <w:t xml:space="preserve">The terms of trade were positive for both trade with goods </w:t>
            </w:r>
            <w:r w:rsidR="00295E96" w:rsidRPr="00D970F7">
              <w:rPr>
                <w:szCs w:val="20"/>
                <w:lang w:val="en-GB" w:eastAsia="en-US"/>
              </w:rPr>
              <w:t>(102</w:t>
            </w:r>
            <w:r w:rsidR="0026736A" w:rsidRPr="00D970F7">
              <w:rPr>
                <w:szCs w:val="20"/>
                <w:lang w:val="en-GB" w:eastAsia="en-US"/>
              </w:rPr>
              <w:t>.</w:t>
            </w:r>
            <w:r w:rsidR="00295E96" w:rsidRPr="00D970F7">
              <w:rPr>
                <w:szCs w:val="20"/>
                <w:lang w:val="en-GB" w:eastAsia="en-US"/>
              </w:rPr>
              <w:t>1%)</w:t>
            </w:r>
            <w:r w:rsidR="0026736A" w:rsidRPr="00D970F7">
              <w:rPr>
                <w:szCs w:val="20"/>
                <w:lang w:val="en-GB" w:eastAsia="en-US"/>
              </w:rPr>
              <w:t xml:space="preserve"> and </w:t>
            </w:r>
            <w:r w:rsidR="008C3F3D" w:rsidRPr="00D970F7">
              <w:rPr>
                <w:szCs w:val="20"/>
                <w:lang w:val="en-GB" w:eastAsia="en-US"/>
              </w:rPr>
              <w:t>s</w:t>
            </w:r>
            <w:r w:rsidR="0026736A" w:rsidRPr="00D970F7">
              <w:rPr>
                <w:szCs w:val="20"/>
                <w:lang w:val="en-GB" w:eastAsia="en-US"/>
              </w:rPr>
              <w:t xml:space="preserve">ervices </w:t>
            </w:r>
            <w:r w:rsidR="00295E96" w:rsidRPr="00D970F7">
              <w:rPr>
                <w:szCs w:val="20"/>
                <w:lang w:val="en-GB" w:eastAsia="en-US"/>
              </w:rPr>
              <w:t>(101</w:t>
            </w:r>
            <w:r w:rsidR="0026736A" w:rsidRPr="00D970F7">
              <w:rPr>
                <w:szCs w:val="20"/>
                <w:lang w:val="en-GB" w:eastAsia="en-US"/>
              </w:rPr>
              <w:t>.</w:t>
            </w:r>
            <w:r w:rsidR="00295E96" w:rsidRPr="00D970F7">
              <w:rPr>
                <w:szCs w:val="20"/>
                <w:lang w:val="en-GB" w:eastAsia="en-US"/>
              </w:rPr>
              <w:t>8%).</w:t>
            </w:r>
          </w:p>
        </w:tc>
      </w:tr>
      <w:tr w:rsidR="00295E96" w:rsidRPr="00D970F7" w14:paraId="265A9150" w14:textId="77777777" w:rsidTr="00CF6F9C">
        <w:trPr>
          <w:trHeight w:val="145"/>
        </w:trPr>
        <w:tc>
          <w:tcPr>
            <w:tcW w:w="1805" w:type="dxa"/>
            <w:hideMark/>
          </w:tcPr>
          <w:p w14:paraId="64722B78" w14:textId="053F2DEA" w:rsidR="00295E96" w:rsidRPr="00D970F7" w:rsidRDefault="000B4733" w:rsidP="00CF6F9C">
            <w:pPr>
              <w:pStyle w:val="Marginlie"/>
              <w:rPr>
                <w:spacing w:val="0"/>
                <w:lang w:val="en-GB" w:eastAsia="en-US"/>
              </w:rPr>
            </w:pPr>
            <w:r w:rsidRPr="00D970F7">
              <w:rPr>
                <w:spacing w:val="0"/>
                <w:lang w:val="en-GB" w:eastAsia="en-US"/>
              </w:rPr>
              <w:t>Year-on-year growth of consumer prices mildly slowed down in Q2</w:t>
            </w:r>
            <w:r w:rsidR="00295E96" w:rsidRPr="00D970F7">
              <w:rPr>
                <w:spacing w:val="0"/>
                <w:lang w:val="en-GB" w:eastAsia="en-US"/>
              </w:rPr>
              <w:t>.</w:t>
            </w:r>
            <w:r w:rsidRPr="00D970F7">
              <w:rPr>
                <w:spacing w:val="0"/>
                <w:lang w:val="en-GB" w:eastAsia="en-US"/>
              </w:rPr>
              <w:t xml:space="preserve"> </w:t>
            </w:r>
          </w:p>
        </w:tc>
        <w:tc>
          <w:tcPr>
            <w:tcW w:w="224" w:type="dxa"/>
          </w:tcPr>
          <w:p w14:paraId="0AFA97E1" w14:textId="77777777" w:rsidR="00295E96" w:rsidRPr="00D970F7" w:rsidRDefault="00295E96" w:rsidP="00CF6F9C">
            <w:pPr>
              <w:pStyle w:val="Textpoznpodarou1"/>
              <w:jc w:val="both"/>
              <w:rPr>
                <w:highlight w:val="yellow"/>
                <w:lang w:val="en-GB" w:eastAsia="en-US"/>
              </w:rPr>
            </w:pPr>
          </w:p>
        </w:tc>
        <w:tc>
          <w:tcPr>
            <w:tcW w:w="7610" w:type="dxa"/>
            <w:hideMark/>
          </w:tcPr>
          <w:p w14:paraId="4AA13AD3" w14:textId="05F03B92" w:rsidR="00295E96" w:rsidRPr="00227AB3" w:rsidRDefault="000B4733" w:rsidP="00CF6F9C">
            <w:pPr>
              <w:rPr>
                <w:spacing w:val="-2"/>
                <w:lang w:val="en-GB" w:eastAsia="en-US"/>
              </w:rPr>
            </w:pPr>
            <w:r w:rsidRPr="00227AB3">
              <w:rPr>
                <w:spacing w:val="-2"/>
                <w:lang w:val="en-GB" w:eastAsia="en-US"/>
              </w:rPr>
              <w:t>Total year-on-year increase of cons</w:t>
            </w:r>
            <w:r w:rsidR="004A5991" w:rsidRPr="00227AB3">
              <w:rPr>
                <w:spacing w:val="-2"/>
                <w:lang w:val="en-GB" w:eastAsia="en-US"/>
              </w:rPr>
              <w:t>u</w:t>
            </w:r>
            <w:r w:rsidRPr="00227AB3">
              <w:rPr>
                <w:spacing w:val="-2"/>
                <w:lang w:val="en-GB" w:eastAsia="en-US"/>
              </w:rPr>
              <w:t xml:space="preserve">mer prices rose by </w:t>
            </w:r>
            <w:r w:rsidR="00295E96" w:rsidRPr="00227AB3">
              <w:rPr>
                <w:spacing w:val="-2"/>
                <w:lang w:val="en-GB" w:eastAsia="en-US"/>
              </w:rPr>
              <w:t>3</w:t>
            </w:r>
            <w:r w:rsidRPr="00227AB3">
              <w:rPr>
                <w:spacing w:val="-2"/>
                <w:lang w:val="en-GB" w:eastAsia="en-US"/>
              </w:rPr>
              <w:t>.</w:t>
            </w:r>
            <w:r w:rsidR="00295E96" w:rsidRPr="00227AB3">
              <w:rPr>
                <w:spacing w:val="-2"/>
                <w:lang w:val="en-GB" w:eastAsia="en-US"/>
              </w:rPr>
              <w:t>4%</w:t>
            </w:r>
            <w:r w:rsidRPr="00227AB3">
              <w:rPr>
                <w:spacing w:val="-2"/>
                <w:lang w:val="en-GB" w:eastAsia="en-US"/>
              </w:rPr>
              <w:t xml:space="preserve"> in H</w:t>
            </w:r>
            <w:r w:rsidR="009A04D0" w:rsidRPr="00227AB3">
              <w:rPr>
                <w:spacing w:val="-2"/>
                <w:lang w:val="en-GB" w:eastAsia="en-US"/>
              </w:rPr>
              <w:t>1. The</w:t>
            </w:r>
            <w:r w:rsidRPr="00227AB3">
              <w:rPr>
                <w:spacing w:val="-2"/>
                <w:lang w:val="en-GB" w:eastAsia="en-US"/>
              </w:rPr>
              <w:t xml:space="preserve"> year-on-year dynamics of the consumer price index </w:t>
            </w:r>
            <w:r w:rsidR="004A5991" w:rsidRPr="00227AB3">
              <w:rPr>
                <w:spacing w:val="-2"/>
                <w:lang w:val="en-GB" w:eastAsia="en-US"/>
              </w:rPr>
              <w:t xml:space="preserve">slightly slackened in Q2 and attained </w:t>
            </w:r>
            <w:r w:rsidR="00295E96" w:rsidRPr="00227AB3">
              <w:rPr>
                <w:spacing w:val="-2"/>
                <w:lang w:val="en-GB" w:eastAsia="en-US"/>
              </w:rPr>
              <w:t>3</w:t>
            </w:r>
            <w:r w:rsidR="004A5991" w:rsidRPr="00227AB3">
              <w:rPr>
                <w:spacing w:val="-2"/>
                <w:lang w:val="en-GB" w:eastAsia="en-US"/>
              </w:rPr>
              <w:t>.</w:t>
            </w:r>
            <w:r w:rsidR="00295E96" w:rsidRPr="00227AB3">
              <w:rPr>
                <w:spacing w:val="-2"/>
                <w:lang w:val="en-GB" w:eastAsia="en-US"/>
              </w:rPr>
              <w:t xml:space="preserve">1%. </w:t>
            </w:r>
            <w:r w:rsidR="008D30AF" w:rsidRPr="00227AB3">
              <w:rPr>
                <w:spacing w:val="-2"/>
                <w:lang w:val="en-GB" w:eastAsia="en-US"/>
              </w:rPr>
              <w:t xml:space="preserve">Especially the strong January month-on-month addition </w:t>
            </w:r>
            <w:r w:rsidR="00295E96" w:rsidRPr="00227AB3">
              <w:rPr>
                <w:spacing w:val="-2"/>
                <w:lang w:val="en-GB" w:eastAsia="en-US"/>
              </w:rPr>
              <w:t>(1</w:t>
            </w:r>
            <w:r w:rsidR="008D30AF" w:rsidRPr="00227AB3">
              <w:rPr>
                <w:spacing w:val="-2"/>
                <w:lang w:val="en-GB" w:eastAsia="en-US"/>
              </w:rPr>
              <w:t>.</w:t>
            </w:r>
            <w:r w:rsidR="00295E96" w:rsidRPr="00227AB3">
              <w:rPr>
                <w:spacing w:val="-2"/>
                <w:lang w:val="en-GB" w:eastAsia="en-US"/>
              </w:rPr>
              <w:t>5%)</w:t>
            </w:r>
            <w:r w:rsidR="008D30AF" w:rsidRPr="00227AB3">
              <w:rPr>
                <w:spacing w:val="-2"/>
                <w:lang w:val="en-GB" w:eastAsia="en-US"/>
              </w:rPr>
              <w:t xml:space="preserve"> affected the year-on-year comparison the most</w:t>
            </w:r>
            <w:r w:rsidR="00295E96" w:rsidRPr="00227AB3">
              <w:rPr>
                <w:spacing w:val="-2"/>
                <w:lang w:val="en-GB" w:eastAsia="en-US"/>
              </w:rPr>
              <w:t xml:space="preserve">. </w:t>
            </w:r>
            <w:r w:rsidR="008D30AF" w:rsidRPr="00227AB3">
              <w:rPr>
                <w:spacing w:val="-2"/>
                <w:lang w:val="en-GB" w:eastAsia="en-US"/>
              </w:rPr>
              <w:t>The month-on-month dynamics subsequently slowed down</w:t>
            </w:r>
            <w:r w:rsidR="00295E96" w:rsidRPr="00227AB3">
              <w:rPr>
                <w:spacing w:val="-2"/>
                <w:lang w:val="en-GB" w:eastAsia="en-US"/>
              </w:rPr>
              <w:t xml:space="preserve">, </w:t>
            </w:r>
            <w:r w:rsidR="009A04D0" w:rsidRPr="00227AB3">
              <w:rPr>
                <w:spacing w:val="-2"/>
                <w:lang w:val="en-GB" w:eastAsia="en-US"/>
              </w:rPr>
              <w:t xml:space="preserve">but year-on-year additions </w:t>
            </w:r>
            <w:r w:rsidR="008D30AF" w:rsidRPr="00227AB3">
              <w:rPr>
                <w:spacing w:val="-2"/>
                <w:lang w:val="en-GB" w:eastAsia="en-US"/>
              </w:rPr>
              <w:t>remained</w:t>
            </w:r>
            <w:r w:rsidR="009A04D0" w:rsidRPr="00227AB3">
              <w:rPr>
                <w:spacing w:val="-2"/>
                <w:lang w:val="en-GB" w:eastAsia="en-US"/>
              </w:rPr>
              <w:t xml:space="preserve"> above the </w:t>
            </w:r>
            <w:r w:rsidR="00295E96" w:rsidRPr="00227AB3">
              <w:rPr>
                <w:spacing w:val="-2"/>
                <w:lang w:val="en-GB" w:eastAsia="en-US"/>
              </w:rPr>
              <w:t xml:space="preserve">3% </w:t>
            </w:r>
            <w:r w:rsidR="009A04D0" w:rsidRPr="00227AB3">
              <w:rPr>
                <w:spacing w:val="-2"/>
                <w:lang w:val="en-GB" w:eastAsia="en-US"/>
              </w:rPr>
              <w:t>level</w:t>
            </w:r>
            <w:r w:rsidR="00295E96" w:rsidRPr="00227AB3">
              <w:rPr>
                <w:spacing w:val="-2"/>
                <w:lang w:val="en-GB" w:eastAsia="en-US"/>
              </w:rPr>
              <w:t xml:space="preserve">. </w:t>
            </w:r>
            <w:r w:rsidR="008D30AF" w:rsidRPr="00227AB3">
              <w:rPr>
                <w:spacing w:val="-2"/>
                <w:lang w:val="en-GB" w:eastAsia="en-US"/>
              </w:rPr>
              <w:t>March as well as April saw a mild month-on-month decrease</w:t>
            </w:r>
            <w:r w:rsidR="00295E96" w:rsidRPr="00227AB3">
              <w:rPr>
                <w:spacing w:val="-2"/>
                <w:lang w:val="en-GB" w:eastAsia="en-US"/>
              </w:rPr>
              <w:t xml:space="preserve">, </w:t>
            </w:r>
            <w:r w:rsidR="008D30AF" w:rsidRPr="00227AB3">
              <w:rPr>
                <w:spacing w:val="-2"/>
                <w:lang w:val="en-GB" w:eastAsia="en-US"/>
              </w:rPr>
              <w:t>but May and June brought an acceleration</w:t>
            </w:r>
            <w:r w:rsidR="00295E96" w:rsidRPr="00227AB3">
              <w:rPr>
                <w:spacing w:val="-2"/>
                <w:lang w:val="en-GB" w:eastAsia="en-US"/>
              </w:rPr>
              <w:t xml:space="preserve">. </w:t>
            </w:r>
            <w:r w:rsidR="008D30AF" w:rsidRPr="00227AB3">
              <w:rPr>
                <w:spacing w:val="-2"/>
                <w:lang w:val="en-GB" w:eastAsia="en-US"/>
              </w:rPr>
              <w:t>Food and non-alcoholic beverages and further housing and energies pushed the year-on-year growth of prices the most in Q</w:t>
            </w:r>
            <w:r w:rsidR="00295E96" w:rsidRPr="00227AB3">
              <w:rPr>
                <w:spacing w:val="-2"/>
                <w:lang w:val="en-GB" w:eastAsia="en-US"/>
              </w:rPr>
              <w:t>2. </w:t>
            </w:r>
            <w:r w:rsidR="009A04D0" w:rsidRPr="00227AB3">
              <w:rPr>
                <w:spacing w:val="-2"/>
                <w:lang w:val="en-GB" w:eastAsia="en-US"/>
              </w:rPr>
              <w:t xml:space="preserve">Contribution of alcoholic beverages and tobacco notably </w:t>
            </w:r>
            <w:r w:rsidR="008D30AF" w:rsidRPr="00227AB3">
              <w:rPr>
                <w:spacing w:val="-2"/>
                <w:lang w:val="en-GB" w:eastAsia="en-US"/>
              </w:rPr>
              <w:t xml:space="preserve">strengthened </w:t>
            </w:r>
            <w:r w:rsidR="009A04D0" w:rsidRPr="00227AB3">
              <w:rPr>
                <w:spacing w:val="-2"/>
                <w:lang w:val="en-GB" w:eastAsia="en-US"/>
              </w:rPr>
              <w:t>(</w:t>
            </w:r>
            <w:r w:rsidR="00F727F1" w:rsidRPr="00227AB3">
              <w:rPr>
                <w:spacing w:val="-2"/>
                <w:lang w:val="en-GB" w:eastAsia="en-US"/>
              </w:rPr>
              <w:t>their sharp month-on-month as well as year-on-year increase occurred in May and June</w:t>
            </w:r>
            <w:r w:rsidR="00295E96" w:rsidRPr="00227AB3">
              <w:rPr>
                <w:spacing w:val="-2"/>
                <w:lang w:val="en-GB" w:eastAsia="en-US"/>
              </w:rPr>
              <w:t xml:space="preserve">). </w:t>
            </w:r>
            <w:r w:rsidR="009A04D0" w:rsidRPr="00227AB3">
              <w:rPr>
                <w:spacing w:val="-2"/>
                <w:lang w:val="en-GB" w:eastAsia="en-US"/>
              </w:rPr>
              <w:t>On the contrar</w:t>
            </w:r>
            <w:r w:rsidR="008D30AF" w:rsidRPr="00227AB3">
              <w:rPr>
                <w:spacing w:val="-2"/>
                <w:lang w:val="en-GB" w:eastAsia="en-US"/>
              </w:rPr>
              <w:t>y</w:t>
            </w:r>
            <w:r w:rsidR="009A04D0" w:rsidRPr="00227AB3">
              <w:rPr>
                <w:spacing w:val="-2"/>
                <w:lang w:val="en-GB" w:eastAsia="en-US"/>
              </w:rPr>
              <w:t xml:space="preserve">, the prices of transportation had a downward effect. </w:t>
            </w:r>
          </w:p>
        </w:tc>
      </w:tr>
      <w:tr w:rsidR="00295E96" w:rsidRPr="00D970F7" w14:paraId="17E4A025" w14:textId="77777777" w:rsidTr="00CF6F9C">
        <w:trPr>
          <w:trHeight w:val="145"/>
        </w:trPr>
        <w:tc>
          <w:tcPr>
            <w:tcW w:w="1805" w:type="dxa"/>
            <w:hideMark/>
          </w:tcPr>
          <w:p w14:paraId="7B8569AC" w14:textId="43CFBC21" w:rsidR="00295E96" w:rsidRPr="00D970F7" w:rsidRDefault="000B4733" w:rsidP="00CF6F9C">
            <w:pPr>
              <w:pStyle w:val="Marginlie"/>
              <w:rPr>
                <w:spacing w:val="0"/>
                <w:lang w:val="en-GB" w:eastAsia="en-US"/>
              </w:rPr>
            </w:pPr>
            <w:r w:rsidRPr="00D970F7">
              <w:rPr>
                <w:spacing w:val="0"/>
                <w:lang w:val="en-GB" w:eastAsia="en-US"/>
              </w:rPr>
              <w:t xml:space="preserve">Food and non-alcoholic beverages contributed to the growth the most. </w:t>
            </w:r>
          </w:p>
        </w:tc>
        <w:tc>
          <w:tcPr>
            <w:tcW w:w="224" w:type="dxa"/>
          </w:tcPr>
          <w:p w14:paraId="4833F3DB" w14:textId="77777777" w:rsidR="00295E96" w:rsidRPr="00D970F7" w:rsidRDefault="00295E96" w:rsidP="00CF6F9C">
            <w:pPr>
              <w:pStyle w:val="Textpoznpodarou1"/>
              <w:jc w:val="both"/>
              <w:rPr>
                <w:highlight w:val="yellow"/>
                <w:lang w:val="en-GB" w:eastAsia="en-US"/>
              </w:rPr>
            </w:pPr>
          </w:p>
        </w:tc>
        <w:tc>
          <w:tcPr>
            <w:tcW w:w="7610" w:type="dxa"/>
            <w:hideMark/>
          </w:tcPr>
          <w:p w14:paraId="0C1EE284" w14:textId="4E14E49F" w:rsidR="00295E96" w:rsidRPr="00D970F7" w:rsidRDefault="00720CB6" w:rsidP="00CF6F9C">
            <w:pPr>
              <w:rPr>
                <w:lang w:val="en-GB" w:eastAsia="en-US"/>
              </w:rPr>
            </w:pPr>
            <w:r w:rsidRPr="00D970F7">
              <w:rPr>
                <w:lang w:val="en-GB" w:eastAsia="en-US"/>
              </w:rPr>
              <w:t xml:space="preserve">Food and non-alcoholic beverages </w:t>
            </w:r>
            <w:r w:rsidR="004224C7" w:rsidRPr="00D970F7">
              <w:rPr>
                <w:lang w:val="en-GB" w:eastAsia="en-US"/>
              </w:rPr>
              <w:t>the most affected the growth of the total index in Q</w:t>
            </w:r>
            <w:r w:rsidR="00295E96" w:rsidRPr="00D970F7">
              <w:rPr>
                <w:lang w:val="en-GB" w:eastAsia="en-US"/>
              </w:rPr>
              <w:t>2.</w:t>
            </w:r>
            <w:r w:rsidR="004224C7" w:rsidRPr="00D970F7">
              <w:rPr>
                <w:lang w:val="en-GB" w:eastAsia="en-US"/>
              </w:rPr>
              <w:t xml:space="preserve"> Year-on-year addition to their prices further accelerated to 6.5% compared to Q</w:t>
            </w:r>
            <w:r w:rsidR="00295E96" w:rsidRPr="00D970F7">
              <w:rPr>
                <w:lang w:val="en-GB" w:eastAsia="en-US"/>
              </w:rPr>
              <w:t>1.</w:t>
            </w:r>
            <w:r w:rsidR="004224C7" w:rsidRPr="00D970F7">
              <w:rPr>
                <w:lang w:val="en-GB" w:eastAsia="en-US"/>
              </w:rPr>
              <w:t xml:space="preserve"> </w:t>
            </w:r>
            <w:r w:rsidR="00B96C06" w:rsidRPr="00D970F7">
              <w:rPr>
                <w:lang w:val="en-GB" w:eastAsia="en-US"/>
              </w:rPr>
              <w:t xml:space="preserve">Price of majority of types of food were raised apart from oils and fats </w:t>
            </w:r>
            <w:r w:rsidR="00295E96" w:rsidRPr="00D970F7">
              <w:rPr>
                <w:lang w:val="en-GB" w:eastAsia="en-US"/>
              </w:rPr>
              <w:t>(–2</w:t>
            </w:r>
            <w:r w:rsidR="00B96C06" w:rsidRPr="00D970F7">
              <w:rPr>
                <w:lang w:val="en-GB" w:eastAsia="en-US"/>
              </w:rPr>
              <w:t>.</w:t>
            </w:r>
            <w:r w:rsidR="00295E96" w:rsidRPr="00D970F7">
              <w:rPr>
                <w:lang w:val="en-GB" w:eastAsia="en-US"/>
              </w:rPr>
              <w:t>8%).</w:t>
            </w:r>
            <w:r w:rsidR="00B96C06" w:rsidRPr="00D970F7">
              <w:rPr>
                <w:lang w:val="en-GB" w:eastAsia="en-US"/>
              </w:rPr>
              <w:t xml:space="preserve"> Prices of fruit achieved the highest increase </w:t>
            </w:r>
            <w:r w:rsidR="00295E96" w:rsidRPr="00D970F7">
              <w:rPr>
                <w:lang w:val="en-GB" w:eastAsia="en-US"/>
              </w:rPr>
              <w:t>(25</w:t>
            </w:r>
            <w:r w:rsidR="00B96C06" w:rsidRPr="00D970F7">
              <w:rPr>
                <w:lang w:val="en-GB" w:eastAsia="en-US"/>
              </w:rPr>
              <w:t>.</w:t>
            </w:r>
            <w:r w:rsidR="00295E96" w:rsidRPr="00D970F7">
              <w:rPr>
                <w:lang w:val="en-GB" w:eastAsia="en-US"/>
              </w:rPr>
              <w:t xml:space="preserve">8%), </w:t>
            </w:r>
            <w:r w:rsidR="00B96C06" w:rsidRPr="00D970F7">
              <w:rPr>
                <w:lang w:val="en-GB" w:eastAsia="en-US"/>
              </w:rPr>
              <w:t>where the pace gained speed</w:t>
            </w:r>
            <w:r w:rsidR="00295E96" w:rsidRPr="00D970F7">
              <w:rPr>
                <w:lang w:val="en-GB" w:eastAsia="en-US"/>
              </w:rPr>
              <w:t xml:space="preserve">. </w:t>
            </w:r>
            <w:r w:rsidR="00B96C06" w:rsidRPr="00D970F7">
              <w:rPr>
                <w:lang w:val="en-GB" w:eastAsia="en-US"/>
              </w:rPr>
              <w:t xml:space="preserve">Addition to prices of meat </w:t>
            </w:r>
            <w:r w:rsidR="00295E96" w:rsidRPr="00D970F7">
              <w:rPr>
                <w:lang w:val="en-GB" w:eastAsia="en-US"/>
              </w:rPr>
              <w:t>(10</w:t>
            </w:r>
            <w:r w:rsidR="00B96C06" w:rsidRPr="00D970F7">
              <w:rPr>
                <w:lang w:val="en-GB" w:eastAsia="en-US"/>
              </w:rPr>
              <w:t>.</w:t>
            </w:r>
            <w:r w:rsidR="00295E96" w:rsidRPr="00D970F7">
              <w:rPr>
                <w:lang w:val="en-GB" w:eastAsia="en-US"/>
              </w:rPr>
              <w:t>8%) a</w:t>
            </w:r>
            <w:r w:rsidR="00B96C06" w:rsidRPr="00D970F7">
              <w:rPr>
                <w:lang w:val="en-GB" w:eastAsia="en-US"/>
              </w:rPr>
              <w:t xml:space="preserve">nd also other food products </w:t>
            </w:r>
            <w:r w:rsidR="00295E96" w:rsidRPr="00D970F7">
              <w:rPr>
                <w:lang w:val="en-GB" w:eastAsia="en-US"/>
              </w:rPr>
              <w:t>(10</w:t>
            </w:r>
            <w:r w:rsidR="00B96C06" w:rsidRPr="00D970F7">
              <w:rPr>
                <w:lang w:val="en-GB" w:eastAsia="en-US"/>
              </w:rPr>
              <w:t>.</w:t>
            </w:r>
            <w:r w:rsidR="00295E96" w:rsidRPr="00D970F7">
              <w:rPr>
                <w:lang w:val="en-GB" w:eastAsia="en-US"/>
              </w:rPr>
              <w:t>5%)</w:t>
            </w:r>
            <w:r w:rsidR="00B96C06" w:rsidRPr="00D970F7">
              <w:rPr>
                <w:lang w:val="en-GB" w:eastAsia="en-US"/>
              </w:rPr>
              <w:t xml:space="preserve"> remained very strong</w:t>
            </w:r>
            <w:r w:rsidR="00295E96" w:rsidRPr="00D970F7">
              <w:rPr>
                <w:lang w:val="en-GB" w:eastAsia="en-US"/>
              </w:rPr>
              <w:t>.</w:t>
            </w:r>
            <w:r w:rsidR="00B96C06" w:rsidRPr="00D970F7">
              <w:rPr>
                <w:lang w:val="en-GB" w:eastAsia="en-US"/>
              </w:rPr>
              <w:t xml:space="preserve"> Prices of vegetables </w:t>
            </w:r>
            <w:r w:rsidR="00295E96" w:rsidRPr="00D970F7">
              <w:rPr>
                <w:lang w:val="en-GB" w:eastAsia="en-US"/>
              </w:rPr>
              <w:t>(6</w:t>
            </w:r>
            <w:r w:rsidR="00B96C06" w:rsidRPr="00D970F7">
              <w:rPr>
                <w:lang w:val="en-GB" w:eastAsia="en-US"/>
              </w:rPr>
              <w:t>.</w:t>
            </w:r>
            <w:r w:rsidR="00295E96" w:rsidRPr="00D970F7">
              <w:rPr>
                <w:lang w:val="en-GB" w:eastAsia="en-US"/>
              </w:rPr>
              <w:t xml:space="preserve">5%), </w:t>
            </w:r>
            <w:r w:rsidR="00B96C06" w:rsidRPr="00D970F7">
              <w:rPr>
                <w:lang w:val="en-GB" w:eastAsia="en-US"/>
              </w:rPr>
              <w:t>sugar, jam, honey, chocolate and sweets</w:t>
            </w:r>
            <w:r w:rsidR="00295E96" w:rsidRPr="00D970F7">
              <w:rPr>
                <w:lang w:val="en-GB" w:eastAsia="en-US"/>
              </w:rPr>
              <w:t xml:space="preserve"> (5</w:t>
            </w:r>
            <w:r w:rsidR="00B96C06" w:rsidRPr="00D970F7">
              <w:rPr>
                <w:lang w:val="en-GB" w:eastAsia="en-US"/>
              </w:rPr>
              <w:t>.</w:t>
            </w:r>
            <w:r w:rsidR="00295E96" w:rsidRPr="00D970F7">
              <w:rPr>
                <w:lang w:val="en-GB" w:eastAsia="en-US"/>
              </w:rPr>
              <w:t>4%)</w:t>
            </w:r>
            <w:r w:rsidR="00B96C06" w:rsidRPr="00D970F7">
              <w:rPr>
                <w:lang w:val="en-GB" w:eastAsia="en-US"/>
              </w:rPr>
              <w:t xml:space="preserve"> also hiked up</w:t>
            </w:r>
            <w:r w:rsidR="00295E96" w:rsidRPr="00D970F7">
              <w:rPr>
                <w:lang w:val="en-GB" w:eastAsia="en-US"/>
              </w:rPr>
              <w:t xml:space="preserve">. </w:t>
            </w:r>
            <w:r w:rsidR="00B96C06" w:rsidRPr="00D970F7">
              <w:rPr>
                <w:lang w:val="en-GB" w:eastAsia="en-US"/>
              </w:rPr>
              <w:t xml:space="preserve">The year-on-year dynamics of prices of baking products and cereals </w:t>
            </w:r>
            <w:r w:rsidR="00295E96" w:rsidRPr="00D970F7">
              <w:rPr>
                <w:lang w:val="en-GB" w:eastAsia="en-US"/>
              </w:rPr>
              <w:t>(3</w:t>
            </w:r>
            <w:r w:rsidR="00B96C06" w:rsidRPr="00D970F7">
              <w:rPr>
                <w:lang w:val="en-GB" w:eastAsia="en-US"/>
              </w:rPr>
              <w:t>.</w:t>
            </w:r>
            <w:r w:rsidR="00295E96" w:rsidRPr="00D970F7">
              <w:rPr>
                <w:lang w:val="en-GB" w:eastAsia="en-US"/>
              </w:rPr>
              <w:t>2%)</w:t>
            </w:r>
            <w:r w:rsidR="00B96C06" w:rsidRPr="00D970F7">
              <w:rPr>
                <w:lang w:val="en-GB" w:eastAsia="en-US"/>
              </w:rPr>
              <w:t xml:space="preserve"> as well as milk, cheese and eggs </w:t>
            </w:r>
            <w:r w:rsidR="00295E96" w:rsidRPr="00D970F7">
              <w:rPr>
                <w:lang w:val="en-GB" w:eastAsia="en-US"/>
              </w:rPr>
              <w:t>(2</w:t>
            </w:r>
            <w:r w:rsidR="00B96C06" w:rsidRPr="00D970F7">
              <w:rPr>
                <w:lang w:val="en-GB" w:eastAsia="en-US"/>
              </w:rPr>
              <w:t>.</w:t>
            </w:r>
            <w:r w:rsidR="00295E96" w:rsidRPr="00D970F7">
              <w:rPr>
                <w:lang w:val="en-GB" w:eastAsia="en-US"/>
              </w:rPr>
              <w:t>2%)</w:t>
            </w:r>
            <w:r w:rsidR="00B96C06" w:rsidRPr="00D970F7">
              <w:rPr>
                <w:lang w:val="en-GB" w:eastAsia="en-US"/>
              </w:rPr>
              <w:t xml:space="preserve"> accelerated</w:t>
            </w:r>
            <w:r w:rsidR="00295E96" w:rsidRPr="00D970F7">
              <w:rPr>
                <w:lang w:val="en-GB" w:eastAsia="en-US"/>
              </w:rPr>
              <w:t>.</w:t>
            </w:r>
          </w:p>
        </w:tc>
      </w:tr>
      <w:tr w:rsidR="00295E96" w:rsidRPr="00D970F7" w14:paraId="02A9DD46" w14:textId="77777777" w:rsidTr="00CF6F9C">
        <w:trPr>
          <w:trHeight w:val="145"/>
        </w:trPr>
        <w:tc>
          <w:tcPr>
            <w:tcW w:w="1805" w:type="dxa"/>
            <w:hideMark/>
          </w:tcPr>
          <w:p w14:paraId="38E07C24" w14:textId="17D2FE95" w:rsidR="00295E96" w:rsidRPr="00D970F7" w:rsidRDefault="00247A6A" w:rsidP="00CF6F9C">
            <w:pPr>
              <w:pStyle w:val="Marginlie"/>
              <w:rPr>
                <w:spacing w:val="0"/>
                <w:lang w:val="en-GB" w:eastAsia="en-US"/>
              </w:rPr>
            </w:pPr>
            <w:r w:rsidRPr="00D970F7">
              <w:rPr>
                <w:spacing w:val="0"/>
                <w:lang w:val="en-GB" w:eastAsia="en-US"/>
              </w:rPr>
              <w:t xml:space="preserve">Growth of prices of housing and energies slowed down. </w:t>
            </w:r>
          </w:p>
        </w:tc>
        <w:tc>
          <w:tcPr>
            <w:tcW w:w="224" w:type="dxa"/>
          </w:tcPr>
          <w:p w14:paraId="17073C9C" w14:textId="77777777" w:rsidR="00295E96" w:rsidRPr="00D970F7" w:rsidRDefault="00295E96" w:rsidP="00CF6F9C">
            <w:pPr>
              <w:pStyle w:val="Textpoznpodarou1"/>
              <w:jc w:val="both"/>
              <w:rPr>
                <w:highlight w:val="yellow"/>
                <w:lang w:val="en-GB" w:eastAsia="en-US"/>
              </w:rPr>
            </w:pPr>
          </w:p>
        </w:tc>
        <w:tc>
          <w:tcPr>
            <w:tcW w:w="7610" w:type="dxa"/>
            <w:hideMark/>
          </w:tcPr>
          <w:p w14:paraId="0BACE3BF" w14:textId="10E75492" w:rsidR="00295E96" w:rsidRPr="00D970F7" w:rsidRDefault="00366692" w:rsidP="00CF6F9C">
            <w:pPr>
              <w:rPr>
                <w:lang w:val="en-GB" w:eastAsia="en-US"/>
              </w:rPr>
            </w:pPr>
            <w:r w:rsidRPr="00D970F7">
              <w:rPr>
                <w:lang w:val="en-GB" w:eastAsia="en-US"/>
              </w:rPr>
              <w:t>Housing and energies descended from the position of item contributing the most to the year-on-year increase of consumer prices in Q</w:t>
            </w:r>
            <w:r w:rsidR="00295E96" w:rsidRPr="00D970F7">
              <w:rPr>
                <w:lang w:val="en-GB" w:eastAsia="en-US"/>
              </w:rPr>
              <w:t>2.</w:t>
            </w:r>
            <w:r w:rsidRPr="00D970F7">
              <w:rPr>
                <w:lang w:val="en-GB" w:eastAsia="en-US"/>
              </w:rPr>
              <w:t xml:space="preserve"> </w:t>
            </w:r>
            <w:r w:rsidR="00D15B29" w:rsidRPr="00D970F7">
              <w:rPr>
                <w:lang w:val="en-GB" w:eastAsia="en-US"/>
              </w:rPr>
              <w:t xml:space="preserve">Prices of housing and energies increased by </w:t>
            </w:r>
            <w:r w:rsidR="00295E96" w:rsidRPr="00D970F7">
              <w:rPr>
                <w:lang w:val="en-GB" w:eastAsia="en-US"/>
              </w:rPr>
              <w:t>3</w:t>
            </w:r>
            <w:r w:rsidR="00D15B29" w:rsidRPr="00D970F7">
              <w:rPr>
                <w:lang w:val="en-GB" w:eastAsia="en-US"/>
              </w:rPr>
              <w:t>.</w:t>
            </w:r>
            <w:r w:rsidR="00295E96" w:rsidRPr="00D970F7">
              <w:rPr>
                <w:lang w:val="en-GB" w:eastAsia="en-US"/>
              </w:rPr>
              <w:t>2%</w:t>
            </w:r>
            <w:r w:rsidR="00D15B29" w:rsidRPr="00D970F7">
              <w:rPr>
                <w:lang w:val="en-GB" w:eastAsia="en-US"/>
              </w:rPr>
              <w:t xml:space="preserve"> year-on-year</w:t>
            </w:r>
            <w:r w:rsidR="00295E96" w:rsidRPr="00D970F7">
              <w:rPr>
                <w:lang w:val="en-GB" w:eastAsia="en-US"/>
              </w:rPr>
              <w:t xml:space="preserve">, </w:t>
            </w:r>
            <w:r w:rsidR="00D15B29" w:rsidRPr="00D970F7">
              <w:rPr>
                <w:lang w:val="en-GB" w:eastAsia="en-US"/>
              </w:rPr>
              <w:t>which is the least since Q</w:t>
            </w:r>
            <w:r w:rsidR="00295E96" w:rsidRPr="00D970F7">
              <w:rPr>
                <w:lang w:val="en-GB" w:eastAsia="en-US"/>
              </w:rPr>
              <w:t>2</w:t>
            </w:r>
            <w:r w:rsidR="00D15B29" w:rsidRPr="00D970F7">
              <w:rPr>
                <w:lang w:val="en-GB" w:eastAsia="en-US"/>
              </w:rPr>
              <w:t xml:space="preserve"> </w:t>
            </w:r>
            <w:r w:rsidR="00295E96" w:rsidRPr="00D970F7">
              <w:rPr>
                <w:lang w:val="en-GB" w:eastAsia="en-US"/>
              </w:rPr>
              <w:t>2018.</w:t>
            </w:r>
            <w:r w:rsidR="00D15B29" w:rsidRPr="00D970F7">
              <w:rPr>
                <w:lang w:val="en-GB" w:eastAsia="en-US"/>
              </w:rPr>
              <w:t xml:space="preserve"> Slowdown was observed across the whole division of the consumer basket. </w:t>
            </w:r>
            <w:r w:rsidR="00252177" w:rsidRPr="00D970F7">
              <w:rPr>
                <w:lang w:val="en-GB" w:eastAsia="en-US"/>
              </w:rPr>
              <w:t xml:space="preserve">Rate of growth of residential rents </w:t>
            </w:r>
            <w:r w:rsidR="00295E96" w:rsidRPr="00D970F7">
              <w:rPr>
                <w:lang w:val="en-GB" w:eastAsia="en-US"/>
              </w:rPr>
              <w:t>(3</w:t>
            </w:r>
            <w:r w:rsidR="00252177" w:rsidRPr="00D970F7">
              <w:rPr>
                <w:lang w:val="en-GB" w:eastAsia="en-US"/>
              </w:rPr>
              <w:t>.</w:t>
            </w:r>
            <w:r w:rsidR="00295E96" w:rsidRPr="00D970F7">
              <w:rPr>
                <w:lang w:val="en-GB" w:eastAsia="en-US"/>
              </w:rPr>
              <w:t>7%)</w:t>
            </w:r>
            <w:r w:rsidR="00252177" w:rsidRPr="00D970F7">
              <w:rPr>
                <w:lang w:val="en-GB" w:eastAsia="en-US"/>
              </w:rPr>
              <w:t xml:space="preserve"> as well as imputed rent </w:t>
            </w:r>
            <w:r w:rsidR="00295E96" w:rsidRPr="00D970F7">
              <w:rPr>
                <w:lang w:val="en-GB" w:eastAsia="en-US"/>
              </w:rPr>
              <w:t>(2</w:t>
            </w:r>
            <w:r w:rsidR="00252177" w:rsidRPr="00D970F7">
              <w:rPr>
                <w:lang w:val="en-GB" w:eastAsia="en-US"/>
              </w:rPr>
              <w:t>.</w:t>
            </w:r>
            <w:r w:rsidR="00295E96" w:rsidRPr="00D970F7">
              <w:rPr>
                <w:lang w:val="en-GB" w:eastAsia="en-US"/>
              </w:rPr>
              <w:t>6%)</w:t>
            </w:r>
            <w:r w:rsidR="00252177" w:rsidRPr="00D970F7">
              <w:rPr>
                <w:lang w:val="en-GB" w:eastAsia="en-US"/>
              </w:rPr>
              <w:t xml:space="preserve"> eased its pace</w:t>
            </w:r>
            <w:r w:rsidR="00295E96" w:rsidRPr="00D970F7">
              <w:rPr>
                <w:lang w:val="en-GB" w:eastAsia="en-US"/>
              </w:rPr>
              <w:t xml:space="preserve">. </w:t>
            </w:r>
            <w:r w:rsidR="00D15B29" w:rsidRPr="00D970F7">
              <w:rPr>
                <w:lang w:val="en-GB" w:eastAsia="en-US"/>
              </w:rPr>
              <w:t xml:space="preserve">Slowdown of prices for electricity and heat, gas and other fuels </w:t>
            </w:r>
            <w:r w:rsidR="00295E96" w:rsidRPr="00D970F7">
              <w:rPr>
                <w:lang w:val="en-GB" w:eastAsia="en-US"/>
              </w:rPr>
              <w:t>(3</w:t>
            </w:r>
            <w:r w:rsidR="00D15B29" w:rsidRPr="00D970F7">
              <w:rPr>
                <w:lang w:val="en-GB" w:eastAsia="en-US"/>
              </w:rPr>
              <w:t>.</w:t>
            </w:r>
            <w:r w:rsidR="00295E96" w:rsidRPr="00D970F7">
              <w:rPr>
                <w:lang w:val="en-GB" w:eastAsia="en-US"/>
              </w:rPr>
              <w:t>7%)</w:t>
            </w:r>
            <w:r w:rsidR="00D15B29" w:rsidRPr="00D970F7">
              <w:rPr>
                <w:lang w:val="en-GB" w:eastAsia="en-US"/>
              </w:rPr>
              <w:t xml:space="preserve"> was also an important factor</w:t>
            </w:r>
            <w:r w:rsidR="00295E96" w:rsidRPr="00D970F7">
              <w:rPr>
                <w:lang w:val="en-GB" w:eastAsia="en-US"/>
              </w:rPr>
              <w:t xml:space="preserve">. </w:t>
            </w:r>
            <w:r w:rsidR="00D15B29" w:rsidRPr="00D970F7">
              <w:rPr>
                <w:lang w:val="en-GB" w:eastAsia="en-US"/>
              </w:rPr>
              <w:t xml:space="preserve">Prices of regular maintenance </w:t>
            </w:r>
            <w:r w:rsidR="00295E96" w:rsidRPr="00D970F7">
              <w:rPr>
                <w:lang w:val="en-GB" w:eastAsia="en-US"/>
              </w:rPr>
              <w:t>(3</w:t>
            </w:r>
            <w:r w:rsidR="00D15B29" w:rsidRPr="00D970F7">
              <w:rPr>
                <w:lang w:val="en-GB" w:eastAsia="en-US"/>
              </w:rPr>
              <w:t>.</w:t>
            </w:r>
            <w:r w:rsidR="00295E96" w:rsidRPr="00D970F7">
              <w:rPr>
                <w:lang w:val="en-GB" w:eastAsia="en-US"/>
              </w:rPr>
              <w:t>3%) a</w:t>
            </w:r>
            <w:r w:rsidR="00D15B29" w:rsidRPr="00D970F7">
              <w:rPr>
                <w:lang w:val="en-GB" w:eastAsia="en-US"/>
              </w:rPr>
              <w:t xml:space="preserve">nd other services associated with housing </w:t>
            </w:r>
            <w:r w:rsidR="00295E96" w:rsidRPr="00D970F7">
              <w:rPr>
                <w:lang w:val="en-GB" w:eastAsia="en-US"/>
              </w:rPr>
              <w:t>(4</w:t>
            </w:r>
            <w:r w:rsidR="00D15B29" w:rsidRPr="00D970F7">
              <w:rPr>
                <w:lang w:val="en-GB" w:eastAsia="en-US"/>
              </w:rPr>
              <w:t>.</w:t>
            </w:r>
            <w:r w:rsidR="00295E96" w:rsidRPr="00D970F7">
              <w:rPr>
                <w:lang w:val="en-GB" w:eastAsia="en-US"/>
              </w:rPr>
              <w:t>3%)</w:t>
            </w:r>
            <w:r w:rsidR="00D15B29" w:rsidRPr="00D970F7">
              <w:rPr>
                <w:lang w:val="en-GB" w:eastAsia="en-US"/>
              </w:rPr>
              <w:t xml:space="preserve"> also grew slo</w:t>
            </w:r>
            <w:r w:rsidR="00710AF0" w:rsidRPr="00D970F7">
              <w:rPr>
                <w:lang w:val="en-GB" w:eastAsia="en-US"/>
              </w:rPr>
              <w:t>w</w:t>
            </w:r>
            <w:r w:rsidR="00D15B29" w:rsidRPr="00D970F7">
              <w:rPr>
                <w:lang w:val="en-GB" w:eastAsia="en-US"/>
              </w:rPr>
              <w:t>e</w:t>
            </w:r>
            <w:r w:rsidR="00710AF0" w:rsidRPr="00D970F7">
              <w:rPr>
                <w:lang w:val="en-GB" w:eastAsia="en-US"/>
              </w:rPr>
              <w:t>r</w:t>
            </w:r>
            <w:r w:rsidR="00D15B29" w:rsidRPr="00D970F7">
              <w:rPr>
                <w:lang w:val="en-GB" w:eastAsia="en-US"/>
              </w:rPr>
              <w:t xml:space="preserve"> than in the previous quarter. </w:t>
            </w:r>
          </w:p>
        </w:tc>
      </w:tr>
      <w:tr w:rsidR="00295E96" w:rsidRPr="00D970F7" w14:paraId="377663FE" w14:textId="77777777" w:rsidTr="00CF6F9C">
        <w:trPr>
          <w:trHeight w:val="145"/>
        </w:trPr>
        <w:tc>
          <w:tcPr>
            <w:tcW w:w="1805" w:type="dxa"/>
            <w:hideMark/>
          </w:tcPr>
          <w:p w14:paraId="499A7376" w14:textId="4E6C4559" w:rsidR="00295E96" w:rsidRPr="00D970F7" w:rsidRDefault="008B3701" w:rsidP="00CF6F9C">
            <w:pPr>
              <w:pStyle w:val="Marginlie"/>
              <w:rPr>
                <w:spacing w:val="0"/>
                <w:lang w:val="en-GB" w:eastAsia="en-US"/>
              </w:rPr>
            </w:pPr>
            <w:r w:rsidRPr="00D970F7">
              <w:rPr>
                <w:spacing w:val="0"/>
                <w:lang w:val="en-GB" w:eastAsia="en-US"/>
              </w:rPr>
              <w:t xml:space="preserve">Alcoholic beverages and tobacco also relatively strongly contributed to the growth of consumer prices. </w:t>
            </w:r>
          </w:p>
        </w:tc>
        <w:tc>
          <w:tcPr>
            <w:tcW w:w="224" w:type="dxa"/>
          </w:tcPr>
          <w:p w14:paraId="454C5614" w14:textId="77777777" w:rsidR="00295E96" w:rsidRPr="00D970F7" w:rsidRDefault="00295E96" w:rsidP="00CF6F9C">
            <w:pPr>
              <w:pStyle w:val="Textpoznpodarou1"/>
              <w:jc w:val="both"/>
              <w:rPr>
                <w:highlight w:val="yellow"/>
                <w:lang w:val="en-GB" w:eastAsia="en-US"/>
              </w:rPr>
            </w:pPr>
          </w:p>
        </w:tc>
        <w:tc>
          <w:tcPr>
            <w:tcW w:w="7610" w:type="dxa"/>
            <w:hideMark/>
          </w:tcPr>
          <w:p w14:paraId="1C8F1070" w14:textId="5AAF8BA5" w:rsidR="00295E96" w:rsidRPr="00D970F7" w:rsidRDefault="00745E3F" w:rsidP="00DD2984">
            <w:pPr>
              <w:spacing w:after="0"/>
              <w:rPr>
                <w:lang w:val="en-GB" w:eastAsia="en-US"/>
              </w:rPr>
            </w:pPr>
            <w:r w:rsidRPr="00D970F7">
              <w:rPr>
                <w:lang w:val="en-GB" w:eastAsia="en-US"/>
              </w:rPr>
              <w:t>Prices of alcoholic beverages and tobacco also significantly influenced the development of consumer prices. They climbed up by 6.6% year-on-year in Q2</w:t>
            </w:r>
            <w:r w:rsidR="00295E96" w:rsidRPr="00D970F7">
              <w:rPr>
                <w:lang w:val="en-GB" w:eastAsia="en-US"/>
              </w:rPr>
              <w:t>.</w:t>
            </w:r>
            <w:r w:rsidRPr="00D970F7">
              <w:rPr>
                <w:lang w:val="en-GB" w:eastAsia="en-US"/>
              </w:rPr>
              <w:t xml:space="preserve"> </w:t>
            </w:r>
            <w:r w:rsidR="00C158AD" w:rsidRPr="00D970F7">
              <w:rPr>
                <w:lang w:val="en-GB" w:eastAsia="en-US"/>
              </w:rPr>
              <w:t>This division featured relatively strong growth already in Q</w:t>
            </w:r>
            <w:r w:rsidR="00295E96" w:rsidRPr="00D970F7">
              <w:rPr>
                <w:lang w:val="en-GB" w:eastAsia="en-US"/>
              </w:rPr>
              <w:t>1</w:t>
            </w:r>
            <w:r w:rsidR="00C158AD" w:rsidRPr="00D970F7">
              <w:rPr>
                <w:lang w:val="en-GB" w:eastAsia="en-US"/>
              </w:rPr>
              <w:t xml:space="preserve"> </w:t>
            </w:r>
            <w:r w:rsidR="00295E96" w:rsidRPr="00D970F7">
              <w:rPr>
                <w:lang w:val="en-GB" w:eastAsia="en-US"/>
              </w:rPr>
              <w:t>(3</w:t>
            </w:r>
            <w:r w:rsidR="00C158AD" w:rsidRPr="00D970F7">
              <w:rPr>
                <w:lang w:val="en-GB" w:eastAsia="en-US"/>
              </w:rPr>
              <w:t>.</w:t>
            </w:r>
            <w:r w:rsidR="00295E96" w:rsidRPr="00D970F7">
              <w:rPr>
                <w:lang w:val="en-GB" w:eastAsia="en-US"/>
              </w:rPr>
              <w:t xml:space="preserve">5%), </w:t>
            </w:r>
            <w:r w:rsidR="00C158AD" w:rsidRPr="00D970F7">
              <w:rPr>
                <w:lang w:val="en-GB" w:eastAsia="en-US"/>
              </w:rPr>
              <w:t xml:space="preserve">for the reason of increase of the excise tax. It influences the alcoholic beverages as well as tobacco. While prices of alcohol went up immediately at the beginning of the year </w:t>
            </w:r>
            <w:r w:rsidR="00295E96" w:rsidRPr="00D970F7">
              <w:rPr>
                <w:lang w:val="en-GB" w:eastAsia="en-US"/>
              </w:rPr>
              <w:t>(4</w:t>
            </w:r>
            <w:r w:rsidR="00C158AD" w:rsidRPr="00D970F7">
              <w:rPr>
                <w:lang w:val="en-GB" w:eastAsia="en-US"/>
              </w:rPr>
              <w:t>.</w:t>
            </w:r>
            <w:r w:rsidR="00295E96" w:rsidRPr="00D970F7">
              <w:rPr>
                <w:lang w:val="en-GB" w:eastAsia="en-US"/>
              </w:rPr>
              <w:t xml:space="preserve">5%), </w:t>
            </w:r>
            <w:r w:rsidR="00C158AD" w:rsidRPr="00D970F7">
              <w:rPr>
                <w:lang w:val="en-GB" w:eastAsia="en-US"/>
              </w:rPr>
              <w:t>the development for tobacco was affected by pre</w:t>
            </w:r>
            <w:r w:rsidR="00C90570">
              <w:rPr>
                <w:lang w:val="en-GB" w:eastAsia="en-US"/>
              </w:rPr>
              <w:t>-</w:t>
            </w:r>
            <w:r w:rsidR="00C158AD" w:rsidRPr="00D970F7">
              <w:rPr>
                <w:lang w:val="en-GB" w:eastAsia="en-US"/>
              </w:rPr>
              <w:t xml:space="preserve">stocking with products with older tax stamps </w:t>
            </w:r>
            <w:r w:rsidR="00295E96" w:rsidRPr="00D970F7">
              <w:rPr>
                <w:lang w:val="en-GB" w:eastAsia="en-US"/>
              </w:rPr>
              <w:t>(2</w:t>
            </w:r>
            <w:r w:rsidR="00C158AD" w:rsidRPr="00D970F7">
              <w:rPr>
                <w:lang w:val="en-GB" w:eastAsia="en-US"/>
              </w:rPr>
              <w:t>.</w:t>
            </w:r>
            <w:r w:rsidR="00295E96" w:rsidRPr="00D970F7">
              <w:rPr>
                <w:lang w:val="en-GB" w:eastAsia="en-US"/>
              </w:rPr>
              <w:t>6%). T</w:t>
            </w:r>
            <w:r w:rsidR="00C158AD" w:rsidRPr="00D970F7">
              <w:rPr>
                <w:lang w:val="en-GB" w:eastAsia="en-US"/>
              </w:rPr>
              <w:t xml:space="preserve">his effect however evaporated and sharp hike of tobacco prices occurred since May </w:t>
            </w:r>
            <w:r w:rsidR="00295E96" w:rsidRPr="00D970F7">
              <w:rPr>
                <w:lang w:val="en-GB" w:eastAsia="en-US"/>
              </w:rPr>
              <w:t>(7</w:t>
            </w:r>
            <w:r w:rsidR="00C158AD" w:rsidRPr="00D970F7">
              <w:rPr>
                <w:lang w:val="en-GB" w:eastAsia="en-US"/>
              </w:rPr>
              <w:t>.</w:t>
            </w:r>
            <w:r w:rsidR="00295E96" w:rsidRPr="00D970F7">
              <w:rPr>
                <w:lang w:val="en-GB" w:eastAsia="en-US"/>
              </w:rPr>
              <w:t>5%</w:t>
            </w:r>
            <w:r w:rsidR="00C158AD" w:rsidRPr="00D970F7">
              <w:rPr>
                <w:lang w:val="en-GB" w:eastAsia="en-US"/>
              </w:rPr>
              <w:t xml:space="preserve"> for the whole Q</w:t>
            </w:r>
            <w:r w:rsidR="00295E96" w:rsidRPr="00D970F7">
              <w:rPr>
                <w:lang w:val="en-GB" w:eastAsia="en-US"/>
              </w:rPr>
              <w:t xml:space="preserve">2). </w:t>
            </w:r>
            <w:r w:rsidR="00C158AD" w:rsidRPr="00D970F7">
              <w:rPr>
                <w:lang w:val="en-GB" w:eastAsia="en-US"/>
              </w:rPr>
              <w:t xml:space="preserve">Prices of alcoholic beverages also mildly accelerated </w:t>
            </w:r>
            <w:r w:rsidR="00295E96" w:rsidRPr="00D970F7">
              <w:rPr>
                <w:lang w:val="en-GB" w:eastAsia="en-US"/>
              </w:rPr>
              <w:t>(5</w:t>
            </w:r>
            <w:r w:rsidR="00C158AD" w:rsidRPr="00D970F7">
              <w:rPr>
                <w:lang w:val="en-GB" w:eastAsia="en-US"/>
              </w:rPr>
              <w:t>.</w:t>
            </w:r>
            <w:r w:rsidR="00295E96" w:rsidRPr="00D970F7">
              <w:rPr>
                <w:lang w:val="en-GB" w:eastAsia="en-US"/>
              </w:rPr>
              <w:t>5%).</w:t>
            </w:r>
          </w:p>
        </w:tc>
      </w:tr>
      <w:tr w:rsidR="00295E96" w:rsidRPr="00D970F7" w14:paraId="4698EA54" w14:textId="77777777" w:rsidTr="00CF6F9C">
        <w:trPr>
          <w:trHeight w:val="145"/>
        </w:trPr>
        <w:tc>
          <w:tcPr>
            <w:tcW w:w="1805" w:type="dxa"/>
            <w:hideMark/>
          </w:tcPr>
          <w:p w14:paraId="53E6CFCE" w14:textId="2F9BA8A4" w:rsidR="00295E96" w:rsidRPr="00D970F7" w:rsidRDefault="0044201B" w:rsidP="00CF6F9C">
            <w:pPr>
              <w:pStyle w:val="Marginlie"/>
              <w:rPr>
                <w:spacing w:val="0"/>
                <w:lang w:val="en-GB" w:eastAsia="en-US"/>
              </w:rPr>
            </w:pPr>
            <w:r w:rsidRPr="00D970F7">
              <w:rPr>
                <w:spacing w:val="0"/>
                <w:lang w:val="en-GB" w:eastAsia="en-US"/>
              </w:rPr>
              <w:lastRenderedPageBreak/>
              <w:t xml:space="preserve">Prices of transportation pushed the level down. </w:t>
            </w:r>
          </w:p>
        </w:tc>
        <w:tc>
          <w:tcPr>
            <w:tcW w:w="224" w:type="dxa"/>
          </w:tcPr>
          <w:p w14:paraId="58BEE515" w14:textId="77777777" w:rsidR="00295E96" w:rsidRPr="00D970F7" w:rsidRDefault="00295E96" w:rsidP="00CF6F9C">
            <w:pPr>
              <w:pStyle w:val="Textpoznpodarou1"/>
              <w:jc w:val="both"/>
              <w:rPr>
                <w:highlight w:val="yellow"/>
                <w:lang w:val="en-GB" w:eastAsia="en-US"/>
              </w:rPr>
            </w:pPr>
          </w:p>
        </w:tc>
        <w:tc>
          <w:tcPr>
            <w:tcW w:w="7610" w:type="dxa"/>
            <w:hideMark/>
          </w:tcPr>
          <w:p w14:paraId="2E6728E7" w14:textId="747F046D" w:rsidR="00295E96" w:rsidRPr="00D970F7" w:rsidRDefault="0044201B" w:rsidP="00CF6F9C">
            <w:pPr>
              <w:rPr>
                <w:lang w:val="en-GB" w:eastAsia="en-US"/>
              </w:rPr>
            </w:pPr>
            <w:r w:rsidRPr="00D970F7">
              <w:rPr>
                <w:lang w:val="en-GB" w:eastAsia="en-US"/>
              </w:rPr>
              <w:t xml:space="preserve">Among other divisions, which exerted significant influence on the growth of consumer prices, prices of food service and accommodation can be mentioned. They increased by </w:t>
            </w:r>
            <w:r w:rsidR="00295E96" w:rsidRPr="00D970F7">
              <w:rPr>
                <w:lang w:val="en-GB" w:eastAsia="en-US"/>
              </w:rPr>
              <w:t>5</w:t>
            </w:r>
            <w:r w:rsidRPr="00D970F7">
              <w:rPr>
                <w:lang w:val="en-GB" w:eastAsia="en-US"/>
              </w:rPr>
              <w:t>.</w:t>
            </w:r>
            <w:r w:rsidR="00295E96" w:rsidRPr="00D970F7">
              <w:rPr>
                <w:lang w:val="en-GB" w:eastAsia="en-US"/>
              </w:rPr>
              <w:t>1%</w:t>
            </w:r>
            <w:r w:rsidRPr="00D970F7">
              <w:rPr>
                <w:lang w:val="en-GB" w:eastAsia="en-US"/>
              </w:rPr>
              <w:t xml:space="preserve"> in Q2</w:t>
            </w:r>
            <w:r w:rsidR="00295E96" w:rsidRPr="00D970F7">
              <w:rPr>
                <w:lang w:val="en-GB" w:eastAsia="en-US"/>
              </w:rPr>
              <w:t xml:space="preserve">. </w:t>
            </w:r>
            <w:r w:rsidR="004255B1" w:rsidRPr="00D970F7">
              <w:rPr>
                <w:lang w:val="en-GB" w:eastAsia="en-US"/>
              </w:rPr>
              <w:t>Price</w:t>
            </w:r>
            <w:r w:rsidR="000129C2" w:rsidRPr="00D970F7">
              <w:rPr>
                <w:lang w:val="en-GB" w:eastAsia="en-US"/>
              </w:rPr>
              <w:t>s</w:t>
            </w:r>
            <w:r w:rsidR="004255B1" w:rsidRPr="00D970F7">
              <w:rPr>
                <w:lang w:val="en-GB" w:eastAsia="en-US"/>
              </w:rPr>
              <w:t xml:space="preserve"> </w:t>
            </w:r>
            <w:r w:rsidR="006D6ED0" w:rsidRPr="00D970F7">
              <w:rPr>
                <w:lang w:val="en-GB" w:eastAsia="en-US"/>
              </w:rPr>
              <w:t xml:space="preserve">have </w:t>
            </w:r>
            <w:r w:rsidR="004255B1" w:rsidRPr="00D970F7">
              <w:rPr>
                <w:lang w:val="en-GB" w:eastAsia="en-US"/>
              </w:rPr>
              <w:t>reach</w:t>
            </w:r>
            <w:r w:rsidR="006D6ED0" w:rsidRPr="00D970F7">
              <w:rPr>
                <w:lang w:val="en-GB" w:eastAsia="en-US"/>
              </w:rPr>
              <w:t>ed</w:t>
            </w:r>
            <w:r w:rsidR="004255B1" w:rsidRPr="00D970F7">
              <w:rPr>
                <w:lang w:val="en-GB" w:eastAsia="en-US"/>
              </w:rPr>
              <w:t xml:space="preserve"> relatively high year-on-year rate of growth here already since the end of year </w:t>
            </w:r>
            <w:r w:rsidR="00295E96" w:rsidRPr="00D970F7">
              <w:rPr>
                <w:lang w:val="en-GB" w:eastAsia="en-US"/>
              </w:rPr>
              <w:t>2016</w:t>
            </w:r>
            <w:r w:rsidR="004255B1" w:rsidRPr="00D970F7">
              <w:rPr>
                <w:lang w:val="en-GB" w:eastAsia="en-US"/>
              </w:rPr>
              <w:t xml:space="preserve"> and</w:t>
            </w:r>
            <w:r w:rsidR="006D6ED0" w:rsidRPr="00D970F7">
              <w:rPr>
                <w:lang w:val="en-GB" w:eastAsia="en-US"/>
              </w:rPr>
              <w:t xml:space="preserve"> further increase manifested since the beginning of this year. </w:t>
            </w:r>
            <w:r w:rsidR="00F55E8F" w:rsidRPr="00D970F7">
              <w:rPr>
                <w:lang w:val="en-GB" w:eastAsia="en-US"/>
              </w:rPr>
              <w:t xml:space="preserve">The prices of food service however grew faster </w:t>
            </w:r>
            <w:r w:rsidR="00295E96" w:rsidRPr="00D970F7">
              <w:rPr>
                <w:lang w:val="en-GB" w:eastAsia="en-US"/>
              </w:rPr>
              <w:t>(5</w:t>
            </w:r>
            <w:r w:rsidR="00F55E8F" w:rsidRPr="00D970F7">
              <w:rPr>
                <w:lang w:val="en-GB" w:eastAsia="en-US"/>
              </w:rPr>
              <w:t>.</w:t>
            </w:r>
            <w:r w:rsidR="00295E96" w:rsidRPr="00D970F7">
              <w:rPr>
                <w:lang w:val="en-GB" w:eastAsia="en-US"/>
              </w:rPr>
              <w:t xml:space="preserve">5%), </w:t>
            </w:r>
            <w:r w:rsidR="00F55E8F" w:rsidRPr="00D970F7">
              <w:rPr>
                <w:lang w:val="en-GB" w:eastAsia="en-US"/>
              </w:rPr>
              <w:t>pace of prices in accommodation notably slowed down in Q</w:t>
            </w:r>
            <w:r w:rsidR="00295E96" w:rsidRPr="00D970F7">
              <w:rPr>
                <w:lang w:val="en-GB" w:eastAsia="en-US"/>
              </w:rPr>
              <w:t>2</w:t>
            </w:r>
            <w:r w:rsidR="00F55E8F" w:rsidRPr="00D970F7">
              <w:rPr>
                <w:lang w:val="en-GB" w:eastAsia="en-US"/>
              </w:rPr>
              <w:t xml:space="preserve"> </w:t>
            </w:r>
            <w:r w:rsidR="00295E96" w:rsidRPr="00D970F7">
              <w:rPr>
                <w:lang w:val="en-GB" w:eastAsia="en-US"/>
              </w:rPr>
              <w:t>(2</w:t>
            </w:r>
            <w:r w:rsidR="00F55E8F" w:rsidRPr="00D970F7">
              <w:rPr>
                <w:lang w:val="en-GB" w:eastAsia="en-US"/>
              </w:rPr>
              <w:t>.</w:t>
            </w:r>
            <w:r w:rsidR="00295E96" w:rsidRPr="00D970F7">
              <w:rPr>
                <w:lang w:val="en-GB" w:eastAsia="en-US"/>
              </w:rPr>
              <w:t xml:space="preserve">5%). </w:t>
            </w:r>
            <w:r w:rsidR="00A8583B" w:rsidRPr="00D970F7">
              <w:rPr>
                <w:lang w:val="en-GB" w:eastAsia="en-US"/>
              </w:rPr>
              <w:t xml:space="preserve">Recreation and culture also contributed to the growth of consumer prices </w:t>
            </w:r>
            <w:r w:rsidR="00295E96" w:rsidRPr="00D970F7">
              <w:rPr>
                <w:lang w:val="en-GB" w:eastAsia="en-US"/>
              </w:rPr>
              <w:t>(</w:t>
            </w:r>
            <w:r w:rsidR="00A8583B" w:rsidRPr="00D970F7">
              <w:rPr>
                <w:lang w:val="en-GB" w:eastAsia="en-US"/>
              </w:rPr>
              <w:t xml:space="preserve">increase </w:t>
            </w:r>
            <w:r w:rsidR="00295E96" w:rsidRPr="00D970F7">
              <w:rPr>
                <w:lang w:val="en-GB" w:eastAsia="en-US"/>
              </w:rPr>
              <w:t>2</w:t>
            </w:r>
            <w:r w:rsidR="00A8583B" w:rsidRPr="00D970F7">
              <w:rPr>
                <w:lang w:val="en-GB" w:eastAsia="en-US"/>
              </w:rPr>
              <w:t>.</w:t>
            </w:r>
            <w:r w:rsidR="00295E96" w:rsidRPr="00D970F7">
              <w:rPr>
                <w:lang w:val="en-GB" w:eastAsia="en-US"/>
              </w:rPr>
              <w:t>0%).</w:t>
            </w:r>
            <w:r w:rsidR="00A8583B" w:rsidRPr="00D970F7">
              <w:rPr>
                <w:lang w:val="en-GB" w:eastAsia="en-US"/>
              </w:rPr>
              <w:t xml:space="preserve"> Mostly holidays with complex services stood behind it </w:t>
            </w:r>
            <w:r w:rsidR="00295E96" w:rsidRPr="00D970F7">
              <w:rPr>
                <w:lang w:val="en-GB" w:eastAsia="en-US"/>
              </w:rPr>
              <w:t>(5</w:t>
            </w:r>
            <w:r w:rsidR="00A8583B" w:rsidRPr="00D970F7">
              <w:rPr>
                <w:lang w:val="en-GB" w:eastAsia="en-US"/>
              </w:rPr>
              <w:t>.</w:t>
            </w:r>
            <w:r w:rsidR="00295E96" w:rsidRPr="00D970F7">
              <w:rPr>
                <w:lang w:val="en-GB" w:eastAsia="en-US"/>
              </w:rPr>
              <w:t xml:space="preserve">1%), </w:t>
            </w:r>
            <w:r w:rsidR="00A8583B" w:rsidRPr="00D970F7">
              <w:rPr>
                <w:lang w:val="en-GB" w:eastAsia="en-US"/>
              </w:rPr>
              <w:t>which raised prices markedly at the beginning of the year</w:t>
            </w:r>
            <w:r w:rsidR="00295E96" w:rsidRPr="00D970F7">
              <w:rPr>
                <w:lang w:val="en-GB" w:eastAsia="en-US"/>
              </w:rPr>
              <w:t xml:space="preserve">. </w:t>
            </w:r>
            <w:r w:rsidR="00D10F2A" w:rsidRPr="00D970F7">
              <w:rPr>
                <w:lang w:val="en-GB" w:eastAsia="en-US"/>
              </w:rPr>
              <w:t xml:space="preserve">Growth of prices of household equipment accelerated compared to Q1 </w:t>
            </w:r>
            <w:r w:rsidR="00295E96" w:rsidRPr="00D970F7">
              <w:rPr>
                <w:lang w:val="en-GB" w:eastAsia="en-US"/>
              </w:rPr>
              <w:t>(3</w:t>
            </w:r>
            <w:r w:rsidR="00D10F2A" w:rsidRPr="00D970F7">
              <w:rPr>
                <w:lang w:val="en-GB" w:eastAsia="en-US"/>
              </w:rPr>
              <w:t>.</w:t>
            </w:r>
            <w:r w:rsidR="00295E96" w:rsidRPr="00D970F7">
              <w:rPr>
                <w:lang w:val="en-GB" w:eastAsia="en-US"/>
              </w:rPr>
              <w:t xml:space="preserve">3%). </w:t>
            </w:r>
            <w:r w:rsidR="00D10F2A" w:rsidRPr="00D970F7">
              <w:rPr>
                <w:lang w:val="en-GB" w:eastAsia="en-US"/>
              </w:rPr>
              <w:t xml:space="preserve">Prices of transportation </w:t>
            </w:r>
            <w:r w:rsidR="00295E96" w:rsidRPr="00D970F7">
              <w:rPr>
                <w:lang w:val="en-GB" w:eastAsia="en-US"/>
              </w:rPr>
              <w:t>(–3</w:t>
            </w:r>
            <w:r w:rsidR="00D10F2A" w:rsidRPr="00D970F7">
              <w:rPr>
                <w:lang w:val="en-GB" w:eastAsia="en-US"/>
              </w:rPr>
              <w:t>.</w:t>
            </w:r>
            <w:r w:rsidR="00295E96" w:rsidRPr="00D970F7">
              <w:rPr>
                <w:lang w:val="en-GB" w:eastAsia="en-US"/>
              </w:rPr>
              <w:t>4%)</w:t>
            </w:r>
            <w:r w:rsidR="00D10F2A" w:rsidRPr="00D970F7">
              <w:rPr>
                <w:lang w:val="en-GB" w:eastAsia="en-US"/>
              </w:rPr>
              <w:t xml:space="preserve"> had a marked counter inflationary effect</w:t>
            </w:r>
            <w:r w:rsidR="00295E96" w:rsidRPr="00D970F7">
              <w:rPr>
                <w:lang w:val="en-GB" w:eastAsia="en-US"/>
              </w:rPr>
              <w:t xml:space="preserve">. </w:t>
            </w:r>
            <w:r w:rsidR="00D10F2A" w:rsidRPr="00D970F7">
              <w:rPr>
                <w:lang w:val="en-GB" w:eastAsia="en-US"/>
              </w:rPr>
              <w:t xml:space="preserve">The reason was plunge of prices of </w:t>
            </w:r>
            <w:r w:rsidR="00B1576B" w:rsidRPr="00D970F7">
              <w:rPr>
                <w:lang w:val="en-GB" w:eastAsia="en-US"/>
              </w:rPr>
              <w:t>p</w:t>
            </w:r>
            <w:r w:rsidR="00AF136B" w:rsidRPr="00D970F7">
              <w:rPr>
                <w:lang w:val="en-GB" w:eastAsia="en-US"/>
              </w:rPr>
              <w:t xml:space="preserve">assenger transport equipment </w:t>
            </w:r>
            <w:r w:rsidR="00B1576B" w:rsidRPr="00D970F7">
              <w:rPr>
                <w:lang w:val="en-GB" w:eastAsia="en-US"/>
              </w:rPr>
              <w:t xml:space="preserve">operation by </w:t>
            </w:r>
            <w:r w:rsidR="00295E96" w:rsidRPr="00D970F7">
              <w:rPr>
                <w:lang w:val="en-GB" w:eastAsia="en-US"/>
              </w:rPr>
              <w:t>11</w:t>
            </w:r>
            <w:r w:rsidR="00B1576B" w:rsidRPr="00D970F7">
              <w:rPr>
                <w:lang w:val="en-GB" w:eastAsia="en-US"/>
              </w:rPr>
              <w:t>.</w:t>
            </w:r>
            <w:r w:rsidR="00295E96" w:rsidRPr="00D970F7">
              <w:rPr>
                <w:lang w:val="en-GB" w:eastAsia="en-US"/>
              </w:rPr>
              <w:t>1%</w:t>
            </w:r>
            <w:r w:rsidR="00AF136B" w:rsidRPr="00D970F7">
              <w:rPr>
                <w:lang w:val="en-GB" w:eastAsia="en-US"/>
              </w:rPr>
              <w:t xml:space="preserve"> </w:t>
            </w:r>
            <w:r w:rsidR="00295E96" w:rsidRPr="00D970F7">
              <w:rPr>
                <w:lang w:val="en-GB" w:eastAsia="en-US"/>
              </w:rPr>
              <w:t>(</w:t>
            </w:r>
            <w:r w:rsidR="00AF136B" w:rsidRPr="00D970F7">
              <w:rPr>
                <w:lang w:val="en-GB" w:eastAsia="en-US"/>
              </w:rPr>
              <w:t xml:space="preserve">remainder </w:t>
            </w:r>
            <w:r w:rsidR="00016269" w:rsidRPr="00D970F7">
              <w:rPr>
                <w:lang w:val="en-GB" w:eastAsia="en-US"/>
              </w:rPr>
              <w:t>of the March downturn of prices of oil to the historically low values</w:t>
            </w:r>
            <w:r w:rsidR="00295E96" w:rsidRPr="00D970F7">
              <w:rPr>
                <w:lang w:val="en-GB" w:eastAsia="en-US"/>
              </w:rPr>
              <w:t xml:space="preserve">). </w:t>
            </w:r>
            <w:r w:rsidR="00016269" w:rsidRPr="00D970F7">
              <w:rPr>
                <w:lang w:val="en-GB" w:eastAsia="en-US"/>
              </w:rPr>
              <w:t xml:space="preserve">In contrast, the prices of purchase of motor vehicles, motorcycle and bicycles went up by </w:t>
            </w:r>
            <w:r w:rsidR="00295E96" w:rsidRPr="00D970F7">
              <w:rPr>
                <w:lang w:val="en-GB" w:eastAsia="en-US"/>
              </w:rPr>
              <w:t>3</w:t>
            </w:r>
            <w:r w:rsidR="00016269" w:rsidRPr="00D970F7">
              <w:rPr>
                <w:lang w:val="en-GB" w:eastAsia="en-US"/>
              </w:rPr>
              <w:t>.</w:t>
            </w:r>
            <w:r w:rsidR="00295E96" w:rsidRPr="00D970F7">
              <w:rPr>
                <w:lang w:val="en-GB" w:eastAsia="en-US"/>
              </w:rPr>
              <w:t xml:space="preserve">1%. </w:t>
            </w:r>
            <w:r w:rsidR="00016269" w:rsidRPr="00D970F7">
              <w:rPr>
                <w:lang w:val="en-GB" w:eastAsia="en-US"/>
              </w:rPr>
              <w:t xml:space="preserve">Prices of transportation services rose by </w:t>
            </w:r>
            <w:r w:rsidR="00295E96" w:rsidRPr="00D970F7">
              <w:rPr>
                <w:lang w:val="en-GB" w:eastAsia="en-US"/>
              </w:rPr>
              <w:t>2</w:t>
            </w:r>
            <w:r w:rsidR="00016269" w:rsidRPr="00D970F7">
              <w:rPr>
                <w:lang w:val="en-GB" w:eastAsia="en-US"/>
              </w:rPr>
              <w:t>.</w:t>
            </w:r>
            <w:r w:rsidR="00295E96" w:rsidRPr="00D970F7">
              <w:rPr>
                <w:lang w:val="en-GB" w:eastAsia="en-US"/>
              </w:rPr>
              <w:t>0%.</w:t>
            </w:r>
          </w:p>
        </w:tc>
      </w:tr>
      <w:tr w:rsidR="00295E96" w:rsidRPr="00D970F7" w14:paraId="73B66E6A" w14:textId="77777777" w:rsidTr="00CF6F9C">
        <w:trPr>
          <w:trHeight w:val="170"/>
        </w:trPr>
        <w:tc>
          <w:tcPr>
            <w:tcW w:w="1805" w:type="dxa"/>
            <w:vMerge w:val="restart"/>
          </w:tcPr>
          <w:p w14:paraId="73626C22" w14:textId="77777777" w:rsidR="00295E96" w:rsidRPr="00D970F7" w:rsidRDefault="00295E96" w:rsidP="00CF6F9C">
            <w:pPr>
              <w:pStyle w:val="Marginlie"/>
              <w:rPr>
                <w:spacing w:val="0"/>
                <w:lang w:val="en-GB" w:eastAsia="en-US"/>
              </w:rPr>
            </w:pPr>
          </w:p>
        </w:tc>
        <w:tc>
          <w:tcPr>
            <w:tcW w:w="224" w:type="dxa"/>
            <w:vMerge w:val="restart"/>
          </w:tcPr>
          <w:p w14:paraId="21DB4977" w14:textId="77777777" w:rsidR="00295E96" w:rsidRPr="00D970F7" w:rsidRDefault="00295E96" w:rsidP="00CF6F9C">
            <w:pPr>
              <w:pStyle w:val="Textpoznpodarou1"/>
              <w:jc w:val="both"/>
              <w:rPr>
                <w:highlight w:val="yellow"/>
                <w:lang w:val="en-GB" w:eastAsia="en-US"/>
              </w:rPr>
            </w:pPr>
          </w:p>
        </w:tc>
        <w:tc>
          <w:tcPr>
            <w:tcW w:w="7610" w:type="dxa"/>
            <w:hideMark/>
          </w:tcPr>
          <w:p w14:paraId="749E3078" w14:textId="7BF9FBAB" w:rsidR="00295E96" w:rsidRPr="00D970F7" w:rsidRDefault="00391175" w:rsidP="00CF6F9C">
            <w:pPr>
              <w:spacing w:after="0"/>
              <w:rPr>
                <w:b/>
                <w:szCs w:val="20"/>
                <w:lang w:val="en-GB" w:eastAsia="en-US"/>
              </w:rPr>
            </w:pPr>
            <w:r w:rsidRPr="00D970F7">
              <w:rPr>
                <w:rFonts w:cs="Arial"/>
                <w:b/>
                <w:bCs/>
                <w:color w:val="000000"/>
                <w:sz w:val="18"/>
                <w:szCs w:val="18"/>
                <w:lang w:val="en-GB" w:eastAsia="en-US"/>
              </w:rPr>
              <w:t xml:space="preserve">Chart </w:t>
            </w:r>
            <w:r w:rsidR="00295E96" w:rsidRPr="00D970F7">
              <w:rPr>
                <w:rFonts w:cs="Arial"/>
                <w:b/>
                <w:bCs/>
                <w:color w:val="000000"/>
                <w:sz w:val="18"/>
                <w:szCs w:val="18"/>
                <w:lang w:val="en-GB" w:eastAsia="en-US"/>
              </w:rPr>
              <w:t xml:space="preserve">9  </w:t>
            </w:r>
            <w:r w:rsidR="000129C2" w:rsidRPr="00D970F7">
              <w:rPr>
                <w:rFonts w:cs="Arial"/>
                <w:b/>
                <w:bCs/>
                <w:color w:val="000000"/>
                <w:sz w:val="18"/>
                <w:szCs w:val="18"/>
                <w:lang w:val="en-GB"/>
              </w:rPr>
              <w:t xml:space="preserve">Prices in the selected divisions of the consumer price index </w:t>
            </w:r>
            <w:r w:rsidR="000129C2" w:rsidRPr="00D970F7">
              <w:rPr>
                <w:rFonts w:cs="Arial"/>
                <w:color w:val="000000"/>
                <w:sz w:val="18"/>
                <w:szCs w:val="18"/>
                <w:lang w:val="en-GB"/>
              </w:rPr>
              <w:t>(year-on-year in %)</w:t>
            </w:r>
          </w:p>
        </w:tc>
      </w:tr>
      <w:tr w:rsidR="00295E96" w:rsidRPr="00D970F7" w14:paraId="59FDE074" w14:textId="77777777" w:rsidTr="00DD2984">
        <w:tblPrEx>
          <w:tblCellMar>
            <w:left w:w="70" w:type="dxa"/>
            <w:right w:w="70" w:type="dxa"/>
          </w:tblCellMar>
        </w:tblPrEx>
        <w:trPr>
          <w:trHeight w:val="170"/>
        </w:trPr>
        <w:tc>
          <w:tcPr>
            <w:tcW w:w="1805" w:type="dxa"/>
            <w:vMerge/>
            <w:vAlign w:val="center"/>
            <w:hideMark/>
          </w:tcPr>
          <w:p w14:paraId="38B6DE68" w14:textId="77777777" w:rsidR="00295E96" w:rsidRPr="00D970F7" w:rsidRDefault="00295E96" w:rsidP="00CF6F9C">
            <w:pPr>
              <w:spacing w:after="0" w:line="240" w:lineRule="auto"/>
              <w:jc w:val="left"/>
              <w:rPr>
                <w:sz w:val="16"/>
                <w:szCs w:val="16"/>
                <w:lang w:val="en-GB" w:eastAsia="en-US"/>
              </w:rPr>
            </w:pPr>
          </w:p>
        </w:tc>
        <w:tc>
          <w:tcPr>
            <w:tcW w:w="224" w:type="dxa"/>
            <w:vMerge/>
            <w:vAlign w:val="center"/>
            <w:hideMark/>
          </w:tcPr>
          <w:p w14:paraId="5A7F0609" w14:textId="77777777" w:rsidR="00295E96" w:rsidRPr="00D970F7" w:rsidRDefault="00295E96" w:rsidP="00CF6F9C">
            <w:pPr>
              <w:spacing w:after="0" w:line="240" w:lineRule="auto"/>
              <w:jc w:val="left"/>
              <w:rPr>
                <w:rFonts w:eastAsia="Calibri"/>
                <w:szCs w:val="20"/>
                <w:highlight w:val="yellow"/>
                <w:lang w:val="en-GB" w:eastAsia="en-US"/>
              </w:rPr>
            </w:pPr>
          </w:p>
        </w:tc>
        <w:tc>
          <w:tcPr>
            <w:tcW w:w="7610" w:type="dxa"/>
            <w:hideMark/>
          </w:tcPr>
          <w:p w14:paraId="56176155" w14:textId="08A7BA56" w:rsidR="00295E96" w:rsidRPr="00D970F7" w:rsidRDefault="00DD2984" w:rsidP="00CF6F9C">
            <w:pPr>
              <w:spacing w:after="0"/>
              <w:rPr>
                <w:lang w:val="en-GB" w:eastAsia="en-US"/>
              </w:rPr>
            </w:pPr>
            <w:r>
              <w:rPr>
                <w:noProof/>
              </w:rPr>
              <w:drawing>
                <wp:inline distT="0" distB="0" distL="0" distR="0" wp14:anchorId="25A41E01" wp14:editId="6FAF4E1D">
                  <wp:extent cx="4737600" cy="3553200"/>
                  <wp:effectExtent l="0" t="0" r="6350" b="0"/>
                  <wp:docPr id="10" name="Graf 10">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5E96" w:rsidRPr="00D970F7" w14:paraId="328F1485" w14:textId="77777777" w:rsidTr="00CF6F9C">
        <w:trPr>
          <w:trHeight w:val="170"/>
        </w:trPr>
        <w:tc>
          <w:tcPr>
            <w:tcW w:w="0" w:type="auto"/>
            <w:vMerge/>
            <w:vAlign w:val="center"/>
            <w:hideMark/>
          </w:tcPr>
          <w:p w14:paraId="7B98B587" w14:textId="77777777" w:rsidR="00295E96" w:rsidRPr="00D970F7" w:rsidRDefault="00295E96" w:rsidP="00CF6F9C">
            <w:pPr>
              <w:spacing w:after="0" w:line="240" w:lineRule="auto"/>
              <w:jc w:val="left"/>
              <w:rPr>
                <w:sz w:val="16"/>
                <w:szCs w:val="16"/>
                <w:lang w:val="en-GB" w:eastAsia="en-US"/>
              </w:rPr>
            </w:pPr>
          </w:p>
        </w:tc>
        <w:tc>
          <w:tcPr>
            <w:tcW w:w="0" w:type="auto"/>
            <w:vMerge/>
            <w:vAlign w:val="center"/>
            <w:hideMark/>
          </w:tcPr>
          <w:p w14:paraId="2C78F1C2" w14:textId="77777777" w:rsidR="00295E96" w:rsidRPr="00D970F7" w:rsidRDefault="00295E96" w:rsidP="00CF6F9C">
            <w:pPr>
              <w:spacing w:after="0" w:line="240" w:lineRule="auto"/>
              <w:jc w:val="left"/>
              <w:rPr>
                <w:rFonts w:eastAsia="Calibri"/>
                <w:szCs w:val="20"/>
                <w:highlight w:val="yellow"/>
                <w:lang w:val="en-GB" w:eastAsia="en-US"/>
              </w:rPr>
            </w:pPr>
          </w:p>
        </w:tc>
        <w:tc>
          <w:tcPr>
            <w:tcW w:w="7610" w:type="dxa"/>
            <w:hideMark/>
          </w:tcPr>
          <w:p w14:paraId="36DF60BD" w14:textId="4CED280C" w:rsidR="000129C2" w:rsidRPr="00D970F7" w:rsidRDefault="00391175" w:rsidP="00DD2984">
            <w:pPr>
              <w:rPr>
                <w:b/>
                <w:bCs/>
                <w:sz w:val="18"/>
                <w:szCs w:val="18"/>
                <w:lang w:val="en-GB" w:eastAsia="en-US"/>
              </w:rPr>
            </w:pPr>
            <w:r w:rsidRPr="00D970F7">
              <w:rPr>
                <w:sz w:val="14"/>
                <w:szCs w:val="14"/>
                <w:lang w:val="en-GB" w:eastAsia="en-US"/>
              </w:rPr>
              <w:t>Source</w:t>
            </w:r>
            <w:r w:rsidR="00295E96" w:rsidRPr="00D970F7">
              <w:rPr>
                <w:sz w:val="14"/>
                <w:szCs w:val="14"/>
                <w:lang w:val="en-GB" w:eastAsia="en-US"/>
              </w:rPr>
              <w:t xml:space="preserve">: </w:t>
            </w:r>
            <w:r w:rsidRPr="00D970F7">
              <w:rPr>
                <w:sz w:val="14"/>
                <w:szCs w:val="14"/>
                <w:lang w:val="en-GB" w:eastAsia="en-US"/>
              </w:rPr>
              <w:t>CZSO</w:t>
            </w:r>
          </w:p>
        </w:tc>
      </w:tr>
      <w:tr w:rsidR="00295E96" w:rsidRPr="00D970F7" w14:paraId="0A5F07AF" w14:textId="77777777" w:rsidTr="00CF6F9C">
        <w:trPr>
          <w:trHeight w:val="145"/>
        </w:trPr>
        <w:tc>
          <w:tcPr>
            <w:tcW w:w="1805" w:type="dxa"/>
            <w:hideMark/>
          </w:tcPr>
          <w:p w14:paraId="3612EE56" w14:textId="63ACDA2C" w:rsidR="00295E96" w:rsidRPr="00D970F7" w:rsidRDefault="00F055B0" w:rsidP="00CF6F9C">
            <w:pPr>
              <w:pStyle w:val="Marginlie"/>
              <w:rPr>
                <w:spacing w:val="0"/>
                <w:lang w:val="en-GB" w:eastAsia="en-US"/>
              </w:rPr>
            </w:pPr>
            <w:r w:rsidRPr="00D970F7">
              <w:rPr>
                <w:spacing w:val="0"/>
                <w:lang w:val="en-GB" w:eastAsia="en-US"/>
              </w:rPr>
              <w:t>Mainly prices of transportation subdued the year-on-year growth of consumer prices in Q</w:t>
            </w:r>
            <w:r w:rsidR="00295E96" w:rsidRPr="00D970F7">
              <w:rPr>
                <w:spacing w:val="0"/>
                <w:lang w:val="en-GB" w:eastAsia="en-US"/>
              </w:rPr>
              <w:t>2.</w:t>
            </w:r>
          </w:p>
        </w:tc>
        <w:tc>
          <w:tcPr>
            <w:tcW w:w="224" w:type="dxa"/>
          </w:tcPr>
          <w:p w14:paraId="0F4E1FAE" w14:textId="77777777" w:rsidR="00295E96" w:rsidRPr="00D970F7" w:rsidRDefault="00295E96" w:rsidP="00CF6F9C">
            <w:pPr>
              <w:pStyle w:val="Textpoznpodarou1"/>
              <w:jc w:val="both"/>
              <w:rPr>
                <w:lang w:val="en-GB" w:eastAsia="en-US"/>
              </w:rPr>
            </w:pPr>
          </w:p>
        </w:tc>
        <w:tc>
          <w:tcPr>
            <w:tcW w:w="7610" w:type="dxa"/>
            <w:hideMark/>
          </w:tcPr>
          <w:p w14:paraId="4321FFCC" w14:textId="29601B18" w:rsidR="00295E96" w:rsidRPr="00D970F7" w:rsidRDefault="00391175" w:rsidP="00CF6F9C">
            <w:pPr>
              <w:rPr>
                <w:lang w:val="en-GB" w:eastAsia="en-US"/>
              </w:rPr>
            </w:pPr>
            <w:r w:rsidRPr="00D970F7">
              <w:rPr>
                <w:lang w:val="en-GB" w:eastAsia="en-US"/>
              </w:rPr>
              <w:t>Year-on-year growth of consumer prices in the EU</w:t>
            </w:r>
            <w:r w:rsidR="00295E96" w:rsidRPr="00D970F7">
              <w:rPr>
                <w:rStyle w:val="Znakapoznpodarou"/>
                <w:lang w:val="en-GB" w:eastAsia="en-US"/>
              </w:rPr>
              <w:footnoteReference w:id="2"/>
            </w:r>
            <w:r w:rsidR="00295E96" w:rsidRPr="00D970F7">
              <w:rPr>
                <w:lang w:val="en-GB" w:eastAsia="en-US"/>
              </w:rPr>
              <w:t xml:space="preserve"> </w:t>
            </w:r>
            <w:r w:rsidRPr="00D970F7">
              <w:rPr>
                <w:lang w:val="en-GB" w:eastAsia="en-US"/>
              </w:rPr>
              <w:t>markedly slowed down in Q2</w:t>
            </w:r>
            <w:r w:rsidR="00FF51B0" w:rsidRPr="00D970F7">
              <w:rPr>
                <w:lang w:val="en-GB" w:eastAsia="en-US"/>
              </w:rPr>
              <w:t xml:space="preserve"> </w:t>
            </w:r>
            <w:r w:rsidRPr="00D970F7">
              <w:rPr>
                <w:lang w:val="en-GB" w:eastAsia="en-US"/>
              </w:rPr>
              <w:t>compared to Q</w:t>
            </w:r>
            <w:r w:rsidR="00295E96" w:rsidRPr="00D970F7">
              <w:rPr>
                <w:lang w:val="en-GB" w:eastAsia="en-US"/>
              </w:rPr>
              <w:t>1</w:t>
            </w:r>
            <w:r w:rsidRPr="00D970F7">
              <w:rPr>
                <w:lang w:val="en-GB" w:eastAsia="en-US"/>
              </w:rPr>
              <w:t xml:space="preserve"> and reached </w:t>
            </w:r>
            <w:r w:rsidR="00295E96" w:rsidRPr="00D970F7">
              <w:rPr>
                <w:lang w:val="en-GB" w:eastAsia="en-US"/>
              </w:rPr>
              <w:t>0</w:t>
            </w:r>
            <w:r w:rsidRPr="00D970F7">
              <w:rPr>
                <w:lang w:val="en-GB" w:eastAsia="en-US"/>
              </w:rPr>
              <w:t>.</w:t>
            </w:r>
            <w:r w:rsidR="00295E96" w:rsidRPr="00D970F7">
              <w:rPr>
                <w:lang w:val="en-GB" w:eastAsia="en-US"/>
              </w:rPr>
              <w:t xml:space="preserve">6%. </w:t>
            </w:r>
            <w:r w:rsidR="00116A49" w:rsidRPr="00D970F7">
              <w:rPr>
                <w:lang w:val="en-GB" w:eastAsia="en-US"/>
              </w:rPr>
              <w:t xml:space="preserve">While the total addition to prices in the EU was </w:t>
            </w:r>
            <w:r w:rsidR="00295E96" w:rsidRPr="00D970F7">
              <w:rPr>
                <w:lang w:val="en-GB" w:eastAsia="en-US"/>
              </w:rPr>
              <w:t>1</w:t>
            </w:r>
            <w:r w:rsidR="00116A49" w:rsidRPr="00D970F7">
              <w:rPr>
                <w:lang w:val="en-GB" w:eastAsia="en-US"/>
              </w:rPr>
              <w:t>.</w:t>
            </w:r>
            <w:r w:rsidR="00295E96" w:rsidRPr="00D970F7">
              <w:rPr>
                <w:lang w:val="en-GB" w:eastAsia="en-US"/>
              </w:rPr>
              <w:t>5%</w:t>
            </w:r>
            <w:r w:rsidR="00116A49" w:rsidRPr="00D970F7">
              <w:rPr>
                <w:lang w:val="en-GB" w:eastAsia="en-US"/>
              </w:rPr>
              <w:t xml:space="preserve"> in Q1 and prices rose in all countries year-on-year, </w:t>
            </w:r>
            <w:r w:rsidR="00F055B0" w:rsidRPr="00D970F7">
              <w:rPr>
                <w:lang w:val="en-GB" w:eastAsia="en-US"/>
              </w:rPr>
              <w:t>prices grew only in 13 states year-on-year in Q</w:t>
            </w:r>
            <w:r w:rsidR="00295E96" w:rsidRPr="00D970F7">
              <w:rPr>
                <w:lang w:val="en-GB" w:eastAsia="en-US"/>
              </w:rPr>
              <w:t>2.</w:t>
            </w:r>
            <w:r w:rsidR="00F055B0" w:rsidRPr="00D970F7">
              <w:rPr>
                <w:lang w:val="en-GB" w:eastAsia="en-US"/>
              </w:rPr>
              <w:t xml:space="preserve"> </w:t>
            </w:r>
            <w:r w:rsidR="00FF51B0" w:rsidRPr="00D970F7">
              <w:rPr>
                <w:lang w:val="en-GB" w:eastAsia="en-US"/>
              </w:rPr>
              <w:t>Slowdown</w:t>
            </w:r>
            <w:r w:rsidR="00F055B0" w:rsidRPr="00D970F7">
              <w:rPr>
                <w:lang w:val="en-GB" w:eastAsia="en-US"/>
              </w:rPr>
              <w:t xml:space="preserve"> of pace concerned all Union countries compared to Q</w:t>
            </w:r>
            <w:r w:rsidR="00295E96" w:rsidRPr="00D970F7">
              <w:rPr>
                <w:lang w:val="en-GB" w:eastAsia="en-US"/>
              </w:rPr>
              <w:t>1.</w:t>
            </w:r>
            <w:r w:rsidR="00F055B0" w:rsidRPr="00D970F7">
              <w:rPr>
                <w:lang w:val="en-GB" w:eastAsia="en-US"/>
              </w:rPr>
              <w:t xml:space="preserve"> </w:t>
            </w:r>
            <w:r w:rsidR="00C41285" w:rsidRPr="00D970F7">
              <w:rPr>
                <w:lang w:val="en-GB" w:eastAsia="en-US"/>
              </w:rPr>
              <w:t xml:space="preserve">Plunge of prices of transportation, in connection to the record slump of prices of oil stood behind it. </w:t>
            </w:r>
            <w:r w:rsidR="000E3CB5" w:rsidRPr="00D970F7">
              <w:rPr>
                <w:lang w:val="en-GB" w:eastAsia="en-US"/>
              </w:rPr>
              <w:t xml:space="preserve">Total prices of housing and energies decreased in Q2 as well. The prices grew the most in Poland </w:t>
            </w:r>
            <w:r w:rsidR="00295E96" w:rsidRPr="00D970F7">
              <w:rPr>
                <w:lang w:val="en-GB" w:eastAsia="en-US"/>
              </w:rPr>
              <w:t>(3</w:t>
            </w:r>
            <w:r w:rsidR="000E3CB5" w:rsidRPr="00D970F7">
              <w:rPr>
                <w:lang w:val="en-GB" w:eastAsia="en-US"/>
              </w:rPr>
              <w:t>.</w:t>
            </w:r>
            <w:r w:rsidR="00295E96" w:rsidRPr="00D970F7">
              <w:rPr>
                <w:lang w:val="en-GB" w:eastAsia="en-US"/>
              </w:rPr>
              <w:t xml:space="preserve">4%), </w:t>
            </w:r>
            <w:r w:rsidR="000E3CB5" w:rsidRPr="00D970F7">
              <w:rPr>
                <w:lang w:val="en-GB" w:eastAsia="en-US"/>
              </w:rPr>
              <w:t xml:space="preserve">the CR </w:t>
            </w:r>
            <w:r w:rsidR="00295E96" w:rsidRPr="00D970F7">
              <w:rPr>
                <w:lang w:val="en-GB" w:eastAsia="en-US"/>
              </w:rPr>
              <w:t>(3</w:t>
            </w:r>
            <w:r w:rsidR="000E3CB5" w:rsidRPr="00D970F7">
              <w:rPr>
                <w:lang w:val="en-GB" w:eastAsia="en-US"/>
              </w:rPr>
              <w:t>.</w:t>
            </w:r>
            <w:r w:rsidR="00295E96" w:rsidRPr="00D970F7">
              <w:rPr>
                <w:lang w:val="en-GB" w:eastAsia="en-US"/>
              </w:rPr>
              <w:t>3%) a</w:t>
            </w:r>
            <w:r w:rsidR="000E3CB5" w:rsidRPr="00D970F7">
              <w:rPr>
                <w:lang w:val="en-GB" w:eastAsia="en-US"/>
              </w:rPr>
              <w:t xml:space="preserve">nd Hungary </w:t>
            </w:r>
            <w:r w:rsidR="00295E96" w:rsidRPr="00D970F7">
              <w:rPr>
                <w:lang w:val="en-GB" w:eastAsia="en-US"/>
              </w:rPr>
              <w:t>(2</w:t>
            </w:r>
            <w:r w:rsidR="000E3CB5" w:rsidRPr="00D970F7">
              <w:rPr>
                <w:lang w:val="en-GB" w:eastAsia="en-US"/>
              </w:rPr>
              <w:t>.</w:t>
            </w:r>
            <w:r w:rsidR="00295E96" w:rsidRPr="00D970F7">
              <w:rPr>
                <w:lang w:val="en-GB" w:eastAsia="en-US"/>
              </w:rPr>
              <w:t>5%)</w:t>
            </w:r>
            <w:r w:rsidR="000E3CB5" w:rsidRPr="00D970F7">
              <w:rPr>
                <w:lang w:val="en-GB" w:eastAsia="en-US"/>
              </w:rPr>
              <w:t xml:space="preserve"> in Q2</w:t>
            </w:r>
            <w:r w:rsidR="00295E96" w:rsidRPr="00D970F7">
              <w:rPr>
                <w:lang w:val="en-GB" w:eastAsia="en-US"/>
              </w:rPr>
              <w:t xml:space="preserve">. </w:t>
            </w:r>
            <w:r w:rsidR="006B4197" w:rsidRPr="00D970F7">
              <w:rPr>
                <w:lang w:val="en-GB" w:eastAsia="en-US"/>
              </w:rPr>
              <w:t xml:space="preserve">Consumer prices in </w:t>
            </w:r>
            <w:r w:rsidR="00110C18" w:rsidRPr="00D970F7">
              <w:rPr>
                <w:lang w:val="en-GB" w:eastAsia="en-US"/>
              </w:rPr>
              <w:t xml:space="preserve">Rumania (2.1%) and in Slovakia (2.0%) </w:t>
            </w:r>
            <w:r w:rsidR="006B4197" w:rsidRPr="00D970F7">
              <w:rPr>
                <w:lang w:val="en-GB" w:eastAsia="en-US"/>
              </w:rPr>
              <w:t>also featured notable increase</w:t>
            </w:r>
            <w:r w:rsidR="00295E96" w:rsidRPr="00D970F7">
              <w:rPr>
                <w:lang w:val="en-GB" w:eastAsia="en-US"/>
              </w:rPr>
              <w:t>.</w:t>
            </w:r>
            <w:r w:rsidR="006B4197" w:rsidRPr="00D970F7">
              <w:rPr>
                <w:lang w:val="en-GB" w:eastAsia="en-US"/>
              </w:rPr>
              <w:t xml:space="preserve"> It represented a group of countries, who</w:t>
            </w:r>
            <w:r w:rsidR="00331E46" w:rsidRPr="00D970F7">
              <w:rPr>
                <w:lang w:val="en-GB" w:eastAsia="en-US"/>
              </w:rPr>
              <w:t xml:space="preserve"> deviated from the rest of Europe with their price dynamics. </w:t>
            </w:r>
            <w:r w:rsidR="00D14C12" w:rsidRPr="00D970F7">
              <w:rPr>
                <w:lang w:val="en-GB" w:eastAsia="en-US"/>
              </w:rPr>
              <w:t xml:space="preserve">They had common especially the high growth of prices of food and non-alcoholic beverages, but also alcoholic beverages and tobacco or housing and </w:t>
            </w:r>
            <w:r w:rsidR="00D14C12" w:rsidRPr="00D970F7">
              <w:rPr>
                <w:lang w:val="en-GB" w:eastAsia="en-US"/>
              </w:rPr>
              <w:lastRenderedPageBreak/>
              <w:t xml:space="preserve">energies. </w:t>
            </w:r>
            <w:r w:rsidR="00953171" w:rsidRPr="00D970F7">
              <w:rPr>
                <w:lang w:val="en-GB" w:eastAsia="en-US"/>
              </w:rPr>
              <w:t xml:space="preserve">The largest year-on-year reduction of prices was recorded in Cyprus </w:t>
            </w:r>
            <w:r w:rsidR="00295E96" w:rsidRPr="00D970F7">
              <w:rPr>
                <w:lang w:val="en-GB" w:eastAsia="en-US"/>
              </w:rPr>
              <w:t>(–1</w:t>
            </w:r>
            <w:r w:rsidR="00953171" w:rsidRPr="00D970F7">
              <w:rPr>
                <w:lang w:val="en-GB" w:eastAsia="en-US"/>
              </w:rPr>
              <w:t>.</w:t>
            </w:r>
            <w:r w:rsidR="00295E96" w:rsidRPr="00D970F7">
              <w:rPr>
                <w:lang w:val="en-GB" w:eastAsia="en-US"/>
              </w:rPr>
              <w:t xml:space="preserve">6%), </w:t>
            </w:r>
            <w:r w:rsidR="00953171" w:rsidRPr="00D970F7">
              <w:rPr>
                <w:lang w:val="en-GB" w:eastAsia="en-US"/>
              </w:rPr>
              <w:t xml:space="preserve">in Estonia </w:t>
            </w:r>
            <w:r w:rsidR="00295E96" w:rsidRPr="00D970F7">
              <w:rPr>
                <w:lang w:val="en-GB" w:eastAsia="en-US"/>
              </w:rPr>
              <w:t>(–1</w:t>
            </w:r>
            <w:r w:rsidR="00953171" w:rsidRPr="00D970F7">
              <w:rPr>
                <w:lang w:val="en-GB" w:eastAsia="en-US"/>
              </w:rPr>
              <w:t>.</w:t>
            </w:r>
            <w:r w:rsidR="00295E96" w:rsidRPr="00D970F7">
              <w:rPr>
                <w:lang w:val="en-GB" w:eastAsia="en-US"/>
              </w:rPr>
              <w:t>4%)</w:t>
            </w:r>
            <w:r w:rsidR="00953171" w:rsidRPr="00D970F7">
              <w:rPr>
                <w:lang w:val="en-GB" w:eastAsia="en-US"/>
              </w:rPr>
              <w:t xml:space="preserve"> and Slovenia and Greece </w:t>
            </w:r>
            <w:r w:rsidR="00295E96" w:rsidRPr="00D970F7">
              <w:rPr>
                <w:lang w:val="en-GB" w:eastAsia="en-US"/>
              </w:rPr>
              <w:t>(</w:t>
            </w:r>
            <w:r w:rsidR="00953171" w:rsidRPr="00D970F7">
              <w:rPr>
                <w:lang w:val="en-GB" w:eastAsia="en-US"/>
              </w:rPr>
              <w:t xml:space="preserve">similarly </w:t>
            </w:r>
            <w:r w:rsidR="00295E96" w:rsidRPr="00D970F7">
              <w:rPr>
                <w:lang w:val="en-GB" w:eastAsia="en-US"/>
              </w:rPr>
              <w:t>–1</w:t>
            </w:r>
            <w:r w:rsidR="00953171" w:rsidRPr="00D970F7">
              <w:rPr>
                <w:lang w:val="en-GB" w:eastAsia="en-US"/>
              </w:rPr>
              <w:t>.</w:t>
            </w:r>
            <w:r w:rsidR="00295E96" w:rsidRPr="00D970F7">
              <w:rPr>
                <w:lang w:val="en-GB" w:eastAsia="en-US"/>
              </w:rPr>
              <w:t>2%)</w:t>
            </w:r>
            <w:r w:rsidR="00953171" w:rsidRPr="00D970F7">
              <w:rPr>
                <w:lang w:val="en-GB" w:eastAsia="en-US"/>
              </w:rPr>
              <w:t xml:space="preserve"> in Q2</w:t>
            </w:r>
            <w:r w:rsidR="00295E96" w:rsidRPr="00D970F7">
              <w:rPr>
                <w:lang w:val="en-GB" w:eastAsia="en-US"/>
              </w:rPr>
              <w:t>.</w:t>
            </w:r>
          </w:p>
        </w:tc>
      </w:tr>
      <w:tr w:rsidR="00295E96" w:rsidRPr="00D970F7" w14:paraId="73E1AD4A" w14:textId="77777777" w:rsidTr="00CF6F9C">
        <w:trPr>
          <w:trHeight w:val="145"/>
        </w:trPr>
        <w:tc>
          <w:tcPr>
            <w:tcW w:w="1805" w:type="dxa"/>
            <w:hideMark/>
          </w:tcPr>
          <w:p w14:paraId="7AB67E7E" w14:textId="255C4FDD" w:rsidR="00295E96" w:rsidRPr="00D970F7" w:rsidRDefault="00775204" w:rsidP="00CF6F9C">
            <w:pPr>
              <w:pStyle w:val="Marginlie"/>
              <w:rPr>
                <w:spacing w:val="0"/>
                <w:lang w:val="en-GB" w:eastAsia="en-US"/>
              </w:rPr>
            </w:pPr>
            <w:r w:rsidRPr="00D970F7">
              <w:rPr>
                <w:spacing w:val="0"/>
                <w:lang w:val="en-GB" w:eastAsia="en-US"/>
              </w:rPr>
              <w:lastRenderedPageBreak/>
              <w:t>Prices of flats grew by strong pace in Q</w:t>
            </w:r>
            <w:r w:rsidR="00295E96" w:rsidRPr="00D970F7">
              <w:rPr>
                <w:spacing w:val="0"/>
                <w:lang w:val="en-GB" w:eastAsia="en-US"/>
              </w:rPr>
              <w:t>2.</w:t>
            </w:r>
          </w:p>
        </w:tc>
        <w:tc>
          <w:tcPr>
            <w:tcW w:w="224" w:type="dxa"/>
          </w:tcPr>
          <w:p w14:paraId="461F9146" w14:textId="77777777" w:rsidR="00295E96" w:rsidRPr="00D970F7" w:rsidRDefault="00295E96" w:rsidP="00CF6F9C">
            <w:pPr>
              <w:pStyle w:val="Textpoznpodarou1"/>
              <w:jc w:val="both"/>
              <w:rPr>
                <w:lang w:val="en-GB" w:eastAsia="en-US"/>
              </w:rPr>
            </w:pPr>
          </w:p>
        </w:tc>
        <w:tc>
          <w:tcPr>
            <w:tcW w:w="7610" w:type="dxa"/>
            <w:hideMark/>
          </w:tcPr>
          <w:p w14:paraId="4414FAAE" w14:textId="096482E3" w:rsidR="00295E96" w:rsidRPr="00D970F7" w:rsidRDefault="00AE3EC2" w:rsidP="00CF6F9C">
            <w:pPr>
              <w:rPr>
                <w:lang w:val="en-GB" w:eastAsia="en-US"/>
              </w:rPr>
            </w:pPr>
            <w:r w:rsidRPr="00D970F7">
              <w:rPr>
                <w:lang w:val="en-GB"/>
              </w:rPr>
              <w:t xml:space="preserve">Economic crisis did not cause any turn in the development of supply prices of flats. Prices were raised by </w:t>
            </w:r>
            <w:r w:rsidR="00835FF1" w:rsidRPr="00D970F7">
              <w:rPr>
                <w:lang w:val="en-GB"/>
              </w:rPr>
              <w:t>1</w:t>
            </w:r>
            <w:r w:rsidRPr="00D970F7">
              <w:rPr>
                <w:lang w:val="en-GB"/>
              </w:rPr>
              <w:t>.</w:t>
            </w:r>
            <w:r w:rsidR="00835FF1" w:rsidRPr="00D970F7">
              <w:rPr>
                <w:lang w:val="en-GB"/>
              </w:rPr>
              <w:t>6%</w:t>
            </w:r>
            <w:r w:rsidRPr="00D970F7">
              <w:rPr>
                <w:lang w:val="en-GB"/>
              </w:rPr>
              <w:t xml:space="preserve"> in comparison to the preceding quarter</w:t>
            </w:r>
            <w:r w:rsidR="00835FF1" w:rsidRPr="00D970F7">
              <w:rPr>
                <w:lang w:val="en-GB"/>
              </w:rPr>
              <w:t xml:space="preserve">. </w:t>
            </w:r>
            <w:r w:rsidRPr="00D970F7">
              <w:rPr>
                <w:lang w:val="en-GB"/>
              </w:rPr>
              <w:t xml:space="preserve">Year-on-year addition to supply prices of flats achieved </w:t>
            </w:r>
            <w:r w:rsidR="00835FF1" w:rsidRPr="00D970F7">
              <w:rPr>
                <w:lang w:val="en-GB"/>
              </w:rPr>
              <w:t>7</w:t>
            </w:r>
            <w:r w:rsidRPr="00D970F7">
              <w:rPr>
                <w:lang w:val="en-GB"/>
              </w:rPr>
              <w:t>.</w:t>
            </w:r>
            <w:r w:rsidR="00835FF1" w:rsidRPr="00D970F7">
              <w:rPr>
                <w:lang w:val="en-GB"/>
              </w:rPr>
              <w:t>1%</w:t>
            </w:r>
            <w:r w:rsidRPr="00D970F7">
              <w:rPr>
                <w:lang w:val="en-GB"/>
              </w:rPr>
              <w:t xml:space="preserve"> in Q2</w:t>
            </w:r>
            <w:r w:rsidR="00835FF1" w:rsidRPr="00D970F7">
              <w:rPr>
                <w:lang w:val="en-GB"/>
              </w:rPr>
              <w:t xml:space="preserve">. </w:t>
            </w:r>
            <w:r w:rsidR="00CC6F0F" w:rsidRPr="00D970F7">
              <w:rPr>
                <w:lang w:val="en-GB"/>
              </w:rPr>
              <w:t xml:space="preserve">Simultaneously, the very high year-on-year rate of growth for flats outside Prague was maintained </w:t>
            </w:r>
            <w:r w:rsidR="00835FF1" w:rsidRPr="00D970F7">
              <w:rPr>
                <w:lang w:val="en-GB"/>
              </w:rPr>
              <w:t>(9</w:t>
            </w:r>
            <w:r w:rsidR="00CC6F0F" w:rsidRPr="00D970F7">
              <w:rPr>
                <w:lang w:val="en-GB"/>
              </w:rPr>
              <w:t>.</w:t>
            </w:r>
            <w:r w:rsidR="00835FF1" w:rsidRPr="00D970F7">
              <w:rPr>
                <w:lang w:val="en-GB"/>
              </w:rPr>
              <w:t xml:space="preserve">7%). </w:t>
            </w:r>
            <w:r w:rsidR="00810E62" w:rsidRPr="00D970F7">
              <w:rPr>
                <w:lang w:val="en-GB"/>
              </w:rPr>
              <w:t xml:space="preserve">Supply prices of flats in Prague increased by </w:t>
            </w:r>
            <w:r w:rsidR="00835FF1" w:rsidRPr="00D970F7">
              <w:rPr>
                <w:lang w:val="en-GB"/>
              </w:rPr>
              <w:t>5</w:t>
            </w:r>
            <w:r w:rsidR="00810E62" w:rsidRPr="00D970F7">
              <w:rPr>
                <w:lang w:val="en-GB"/>
              </w:rPr>
              <w:t>.</w:t>
            </w:r>
            <w:r w:rsidR="00835FF1" w:rsidRPr="00D970F7">
              <w:rPr>
                <w:lang w:val="en-GB"/>
              </w:rPr>
              <w:t>3%</w:t>
            </w:r>
            <w:r w:rsidR="00810E62" w:rsidRPr="00D970F7">
              <w:rPr>
                <w:lang w:val="en-GB"/>
              </w:rPr>
              <w:t xml:space="preserve"> year-on-year</w:t>
            </w:r>
            <w:r w:rsidR="00835FF1" w:rsidRPr="00D970F7">
              <w:rPr>
                <w:lang w:val="en-GB"/>
              </w:rPr>
              <w:t>,</w:t>
            </w:r>
            <w:r w:rsidR="00810E62" w:rsidRPr="00D970F7">
              <w:rPr>
                <w:lang w:val="en-GB"/>
              </w:rPr>
              <w:t xml:space="preserve"> which is the most since Q</w:t>
            </w:r>
            <w:r w:rsidR="00835FF1" w:rsidRPr="00D970F7">
              <w:rPr>
                <w:lang w:val="en-GB"/>
              </w:rPr>
              <w:t>1</w:t>
            </w:r>
            <w:r w:rsidR="00810E62" w:rsidRPr="00D970F7">
              <w:rPr>
                <w:lang w:val="en-GB"/>
              </w:rPr>
              <w:t xml:space="preserve"> </w:t>
            </w:r>
            <w:r w:rsidR="00835FF1" w:rsidRPr="00D970F7">
              <w:rPr>
                <w:lang w:val="en-GB"/>
              </w:rPr>
              <w:t>2019. Reali</w:t>
            </w:r>
            <w:r w:rsidR="005F7E79" w:rsidRPr="00D970F7">
              <w:rPr>
                <w:lang w:val="en-GB"/>
              </w:rPr>
              <w:t xml:space="preserve">sed prices of older flats also kept relatively fast pace. </w:t>
            </w:r>
            <w:r w:rsidR="002525CC" w:rsidRPr="00D970F7">
              <w:rPr>
                <w:lang w:val="en-GB"/>
              </w:rPr>
              <w:t xml:space="preserve">They thus increased by </w:t>
            </w:r>
            <w:r w:rsidR="00835FF1" w:rsidRPr="00D970F7">
              <w:rPr>
                <w:lang w:val="en-GB"/>
              </w:rPr>
              <w:t>2</w:t>
            </w:r>
            <w:r w:rsidR="002525CC" w:rsidRPr="00D970F7">
              <w:rPr>
                <w:lang w:val="en-GB"/>
              </w:rPr>
              <w:t>.</w:t>
            </w:r>
            <w:r w:rsidR="00835FF1" w:rsidRPr="00D970F7">
              <w:rPr>
                <w:lang w:val="en-GB"/>
              </w:rPr>
              <w:t>6%</w:t>
            </w:r>
            <w:r w:rsidR="002525CC" w:rsidRPr="00D970F7">
              <w:rPr>
                <w:lang w:val="en-GB"/>
              </w:rPr>
              <w:t xml:space="preserve"> compared to Q1</w:t>
            </w:r>
            <w:r w:rsidR="00835FF1" w:rsidRPr="00D970F7">
              <w:rPr>
                <w:lang w:val="en-GB"/>
              </w:rPr>
              <w:t xml:space="preserve">. </w:t>
            </w:r>
            <w:r w:rsidR="002525CC" w:rsidRPr="00D970F7">
              <w:rPr>
                <w:lang w:val="en-GB"/>
              </w:rPr>
              <w:t xml:space="preserve">Year-on-year addition was again more than one tenth in the whole CR </w:t>
            </w:r>
            <w:r w:rsidR="00835FF1" w:rsidRPr="00D970F7">
              <w:rPr>
                <w:lang w:val="en-GB"/>
              </w:rPr>
              <w:t>(10</w:t>
            </w:r>
            <w:r w:rsidR="002525CC" w:rsidRPr="00D970F7">
              <w:rPr>
                <w:lang w:val="en-GB"/>
              </w:rPr>
              <w:t>.</w:t>
            </w:r>
            <w:r w:rsidR="00835FF1" w:rsidRPr="00D970F7">
              <w:rPr>
                <w:lang w:val="en-GB"/>
              </w:rPr>
              <w:t>2%) a</w:t>
            </w:r>
            <w:r w:rsidR="002525CC" w:rsidRPr="00D970F7">
              <w:rPr>
                <w:lang w:val="en-GB"/>
              </w:rPr>
              <w:t xml:space="preserve">nd mainly the development outside of Prague stood behind it </w:t>
            </w:r>
            <w:r w:rsidR="00835FF1" w:rsidRPr="00D970F7">
              <w:rPr>
                <w:lang w:val="en-GB"/>
              </w:rPr>
              <w:t>(10</w:t>
            </w:r>
            <w:r w:rsidR="002525CC" w:rsidRPr="00D970F7">
              <w:rPr>
                <w:lang w:val="en-GB"/>
              </w:rPr>
              <w:t>.</w:t>
            </w:r>
            <w:r w:rsidR="00835FF1" w:rsidRPr="00D970F7">
              <w:rPr>
                <w:lang w:val="en-GB"/>
              </w:rPr>
              <w:t>8%). Realiz</w:t>
            </w:r>
            <w:r w:rsidR="002525CC" w:rsidRPr="00D970F7">
              <w:rPr>
                <w:lang w:val="en-GB"/>
              </w:rPr>
              <w:t>ed price</w:t>
            </w:r>
            <w:r w:rsidR="00777D2D" w:rsidRPr="00D970F7">
              <w:rPr>
                <w:lang w:val="en-GB"/>
              </w:rPr>
              <w:t>s</w:t>
            </w:r>
            <w:r w:rsidR="002525CC" w:rsidRPr="00D970F7">
              <w:rPr>
                <w:lang w:val="en-GB"/>
              </w:rPr>
              <w:t xml:space="preserve"> of older flats in Prague increased by 8.0% year-on-year in Q</w:t>
            </w:r>
            <w:r w:rsidR="00835FF1" w:rsidRPr="00D970F7">
              <w:rPr>
                <w:lang w:val="en-GB"/>
              </w:rPr>
              <w:t>2</w:t>
            </w:r>
            <w:r w:rsidR="002525CC" w:rsidRPr="00D970F7">
              <w:rPr>
                <w:lang w:val="en-GB"/>
              </w:rPr>
              <w:t xml:space="preserve"> and the </w:t>
            </w:r>
            <w:r w:rsidR="00777D2D" w:rsidRPr="00D970F7">
              <w:rPr>
                <w:lang w:val="en-GB"/>
              </w:rPr>
              <w:t xml:space="preserve">growth rate </w:t>
            </w:r>
            <w:r w:rsidR="002525CC" w:rsidRPr="00D970F7">
              <w:rPr>
                <w:lang w:val="en-GB"/>
              </w:rPr>
              <w:t xml:space="preserve">slightly gained pace compared to the previous three quarters. </w:t>
            </w:r>
            <w:r w:rsidR="0074297B" w:rsidRPr="00D970F7">
              <w:rPr>
                <w:lang w:val="en-GB"/>
              </w:rPr>
              <w:t>The dynamics of realised prices of new flats in Prague g</w:t>
            </w:r>
            <w:r w:rsidR="00F04181">
              <w:rPr>
                <w:lang w:val="en-GB"/>
              </w:rPr>
              <w:t>ained new momentum. Following a</w:t>
            </w:r>
            <w:r w:rsidR="00F04181" w:rsidRPr="000E756D">
              <w:rPr>
                <w:spacing w:val="-4"/>
              </w:rPr>
              <w:t> </w:t>
            </w:r>
            <w:r w:rsidR="0074297B" w:rsidRPr="00D970F7">
              <w:rPr>
                <w:lang w:val="en-GB"/>
              </w:rPr>
              <w:t>small slowdown in Q</w:t>
            </w:r>
            <w:r w:rsidR="00835FF1" w:rsidRPr="00D970F7">
              <w:rPr>
                <w:lang w:val="en-GB"/>
              </w:rPr>
              <w:t>2</w:t>
            </w:r>
            <w:r w:rsidR="0074297B" w:rsidRPr="00D970F7">
              <w:rPr>
                <w:lang w:val="en-GB"/>
              </w:rPr>
              <w:t xml:space="preserve"> </w:t>
            </w:r>
            <w:r w:rsidR="00835FF1" w:rsidRPr="00D970F7">
              <w:rPr>
                <w:lang w:val="en-GB"/>
              </w:rPr>
              <w:t>2019</w:t>
            </w:r>
            <w:r w:rsidR="0074297B" w:rsidRPr="00D970F7">
              <w:rPr>
                <w:lang w:val="en-GB"/>
              </w:rPr>
              <w:t>, the year-on-year additions again oscillate around 10%</w:t>
            </w:r>
            <w:r w:rsidR="00CC0F4E" w:rsidRPr="00D970F7">
              <w:rPr>
                <w:lang w:val="en-GB"/>
              </w:rPr>
              <w:t xml:space="preserve"> this year. </w:t>
            </w:r>
            <w:r w:rsidR="00CA240C" w:rsidRPr="00D970F7">
              <w:rPr>
                <w:lang w:val="en-GB"/>
              </w:rPr>
              <w:t xml:space="preserve">The increase reached </w:t>
            </w:r>
            <w:r w:rsidR="00835FF1" w:rsidRPr="00D970F7">
              <w:rPr>
                <w:lang w:val="en-GB"/>
              </w:rPr>
              <w:t>9</w:t>
            </w:r>
            <w:r w:rsidR="00CA240C" w:rsidRPr="00D970F7">
              <w:rPr>
                <w:lang w:val="en-GB"/>
              </w:rPr>
              <w:t>.</w:t>
            </w:r>
            <w:r w:rsidR="00835FF1" w:rsidRPr="00D970F7">
              <w:rPr>
                <w:lang w:val="en-GB"/>
              </w:rPr>
              <w:t>5%</w:t>
            </w:r>
            <w:r w:rsidR="00CA240C" w:rsidRPr="00D970F7">
              <w:rPr>
                <w:lang w:val="en-GB"/>
              </w:rPr>
              <w:t xml:space="preserve"> in Q2</w:t>
            </w:r>
            <w:r w:rsidR="00835FF1" w:rsidRPr="00D970F7">
              <w:rPr>
                <w:lang w:val="en-GB"/>
              </w:rPr>
              <w:t>.</w:t>
            </w:r>
          </w:p>
        </w:tc>
      </w:tr>
      <w:tr w:rsidR="00295E96" w:rsidRPr="00D970F7" w14:paraId="7AFE8ABF" w14:textId="77777777" w:rsidTr="00CF6F9C">
        <w:trPr>
          <w:trHeight w:val="170"/>
        </w:trPr>
        <w:tc>
          <w:tcPr>
            <w:tcW w:w="1805" w:type="dxa"/>
            <w:vMerge w:val="restart"/>
          </w:tcPr>
          <w:p w14:paraId="33C1E60C" w14:textId="77777777" w:rsidR="00295E96" w:rsidRPr="00D970F7" w:rsidRDefault="00295E96" w:rsidP="00CF6F9C">
            <w:pPr>
              <w:pStyle w:val="Marginlie"/>
              <w:rPr>
                <w:spacing w:val="0"/>
                <w:lang w:val="en-GB" w:eastAsia="en-US"/>
              </w:rPr>
            </w:pPr>
          </w:p>
        </w:tc>
        <w:tc>
          <w:tcPr>
            <w:tcW w:w="224" w:type="dxa"/>
            <w:vMerge w:val="restart"/>
          </w:tcPr>
          <w:p w14:paraId="30A31F12" w14:textId="77777777" w:rsidR="00295E96" w:rsidRPr="00D970F7" w:rsidRDefault="00295E96" w:rsidP="00CF6F9C">
            <w:pPr>
              <w:pStyle w:val="Textpoznpodarou1"/>
              <w:jc w:val="both"/>
              <w:rPr>
                <w:lang w:val="en-GB" w:eastAsia="en-US"/>
              </w:rPr>
            </w:pPr>
          </w:p>
        </w:tc>
        <w:tc>
          <w:tcPr>
            <w:tcW w:w="7610" w:type="dxa"/>
            <w:hideMark/>
          </w:tcPr>
          <w:p w14:paraId="7CEBBEAA" w14:textId="27DC1CE2" w:rsidR="00295E96" w:rsidRPr="00D970F7" w:rsidRDefault="00391175" w:rsidP="00CF6F9C">
            <w:pPr>
              <w:spacing w:after="0"/>
              <w:rPr>
                <w:lang w:val="en-GB" w:eastAsia="en-US"/>
              </w:rPr>
            </w:pPr>
            <w:r w:rsidRPr="00D970F7">
              <w:rPr>
                <w:b/>
                <w:sz w:val="18"/>
                <w:szCs w:val="18"/>
                <w:lang w:val="en-GB" w:eastAsia="en-US"/>
              </w:rPr>
              <w:t xml:space="preserve">Chart </w:t>
            </w:r>
            <w:r w:rsidR="00295E96" w:rsidRPr="00D970F7">
              <w:rPr>
                <w:b/>
                <w:sz w:val="18"/>
                <w:szCs w:val="18"/>
                <w:lang w:val="en-GB" w:eastAsia="en-US"/>
              </w:rPr>
              <w:t xml:space="preserve">10  </w:t>
            </w:r>
            <w:r w:rsidR="00777D2D" w:rsidRPr="00D970F7">
              <w:rPr>
                <w:b/>
                <w:sz w:val="18"/>
                <w:szCs w:val="18"/>
                <w:lang w:val="en-GB" w:eastAsia="en-US"/>
              </w:rPr>
              <w:t xml:space="preserve">Prices of real estate </w:t>
            </w:r>
            <w:r w:rsidR="00777D2D" w:rsidRPr="00D970F7">
              <w:rPr>
                <w:sz w:val="18"/>
                <w:szCs w:val="18"/>
                <w:lang w:val="en-GB" w:eastAsia="en-US"/>
              </w:rPr>
              <w:t>(year-on-year change, in %)</w:t>
            </w:r>
          </w:p>
        </w:tc>
      </w:tr>
      <w:tr w:rsidR="00295E96" w:rsidRPr="00D970F7" w14:paraId="25629FC4" w14:textId="77777777" w:rsidTr="00DD2984">
        <w:tblPrEx>
          <w:tblCellMar>
            <w:left w:w="70" w:type="dxa"/>
            <w:right w:w="70" w:type="dxa"/>
          </w:tblCellMar>
        </w:tblPrEx>
        <w:trPr>
          <w:trHeight w:val="170"/>
        </w:trPr>
        <w:tc>
          <w:tcPr>
            <w:tcW w:w="1805" w:type="dxa"/>
            <w:vMerge/>
            <w:vAlign w:val="center"/>
            <w:hideMark/>
          </w:tcPr>
          <w:p w14:paraId="121DBF7F" w14:textId="77777777" w:rsidR="00295E96" w:rsidRPr="00D970F7" w:rsidRDefault="00295E96" w:rsidP="00CF6F9C">
            <w:pPr>
              <w:spacing w:after="0" w:line="240" w:lineRule="auto"/>
              <w:jc w:val="left"/>
              <w:rPr>
                <w:sz w:val="16"/>
                <w:szCs w:val="16"/>
                <w:lang w:val="en-GB" w:eastAsia="en-US"/>
              </w:rPr>
            </w:pPr>
          </w:p>
        </w:tc>
        <w:tc>
          <w:tcPr>
            <w:tcW w:w="224" w:type="dxa"/>
            <w:vMerge/>
            <w:vAlign w:val="center"/>
            <w:hideMark/>
          </w:tcPr>
          <w:p w14:paraId="1A48133A" w14:textId="77777777" w:rsidR="00295E96" w:rsidRPr="00D970F7" w:rsidRDefault="00295E96" w:rsidP="00CF6F9C">
            <w:pPr>
              <w:spacing w:after="0" w:line="240" w:lineRule="auto"/>
              <w:jc w:val="left"/>
              <w:rPr>
                <w:rFonts w:eastAsia="Calibri"/>
                <w:szCs w:val="20"/>
                <w:lang w:val="en-GB" w:eastAsia="en-US"/>
              </w:rPr>
            </w:pPr>
          </w:p>
        </w:tc>
        <w:tc>
          <w:tcPr>
            <w:tcW w:w="7610" w:type="dxa"/>
            <w:hideMark/>
          </w:tcPr>
          <w:p w14:paraId="5A16525D" w14:textId="5DEBA512" w:rsidR="00295E96" w:rsidRPr="00D970F7" w:rsidRDefault="00DD2984" w:rsidP="00CF6F9C">
            <w:pPr>
              <w:rPr>
                <w:lang w:val="en-GB" w:eastAsia="en-US"/>
              </w:rPr>
            </w:pPr>
            <w:r>
              <w:rPr>
                <w:noProof/>
              </w:rPr>
              <w:drawing>
                <wp:inline distT="0" distB="0" distL="0" distR="0" wp14:anchorId="34289030" wp14:editId="11E278CA">
                  <wp:extent cx="4737600" cy="3553200"/>
                  <wp:effectExtent l="0" t="0" r="6350" b="0"/>
                  <wp:docPr id="16" name="Graf 1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95E96" w:rsidRPr="00D970F7" w14:paraId="44FC7E1A" w14:textId="77777777" w:rsidTr="00CF6F9C">
        <w:trPr>
          <w:trHeight w:val="170"/>
        </w:trPr>
        <w:tc>
          <w:tcPr>
            <w:tcW w:w="0" w:type="auto"/>
            <w:vMerge/>
            <w:vAlign w:val="center"/>
            <w:hideMark/>
          </w:tcPr>
          <w:p w14:paraId="5397DDD8" w14:textId="77777777" w:rsidR="00295E96" w:rsidRPr="00D970F7" w:rsidRDefault="00295E96" w:rsidP="00CF6F9C">
            <w:pPr>
              <w:spacing w:after="0" w:line="240" w:lineRule="auto"/>
              <w:jc w:val="left"/>
              <w:rPr>
                <w:sz w:val="16"/>
                <w:szCs w:val="16"/>
                <w:lang w:val="en-GB" w:eastAsia="en-US"/>
              </w:rPr>
            </w:pPr>
          </w:p>
        </w:tc>
        <w:tc>
          <w:tcPr>
            <w:tcW w:w="0" w:type="auto"/>
            <w:vMerge/>
            <w:vAlign w:val="center"/>
            <w:hideMark/>
          </w:tcPr>
          <w:p w14:paraId="042697CA" w14:textId="77777777" w:rsidR="00295E96" w:rsidRPr="00D970F7" w:rsidRDefault="00295E96" w:rsidP="00CF6F9C">
            <w:pPr>
              <w:spacing w:after="0" w:line="240" w:lineRule="auto"/>
              <w:jc w:val="left"/>
              <w:rPr>
                <w:rFonts w:eastAsia="Calibri"/>
                <w:szCs w:val="20"/>
                <w:lang w:val="en-GB" w:eastAsia="en-US"/>
              </w:rPr>
            </w:pPr>
          </w:p>
        </w:tc>
        <w:tc>
          <w:tcPr>
            <w:tcW w:w="7610" w:type="dxa"/>
            <w:hideMark/>
          </w:tcPr>
          <w:p w14:paraId="5799DE92" w14:textId="0FCAF1C5" w:rsidR="00CA240C" w:rsidRPr="00D970F7" w:rsidRDefault="007E580F" w:rsidP="00DD2984">
            <w:pPr>
              <w:rPr>
                <w:lang w:val="en-GB" w:eastAsia="en-US"/>
              </w:rPr>
            </w:pPr>
            <w:r w:rsidRPr="00D970F7">
              <w:rPr>
                <w:sz w:val="14"/>
                <w:szCs w:val="14"/>
                <w:lang w:val="en-GB" w:eastAsia="en-US"/>
              </w:rPr>
              <w:t>Source</w:t>
            </w:r>
            <w:r w:rsidR="00295E96" w:rsidRPr="00D970F7">
              <w:rPr>
                <w:sz w:val="14"/>
                <w:szCs w:val="14"/>
                <w:lang w:val="en-GB" w:eastAsia="en-US"/>
              </w:rPr>
              <w:t xml:space="preserve">: </w:t>
            </w:r>
            <w:r w:rsidRPr="00D970F7">
              <w:rPr>
                <w:sz w:val="14"/>
                <w:szCs w:val="14"/>
                <w:lang w:val="en-GB" w:eastAsia="en-US"/>
              </w:rPr>
              <w:t>CZSO</w:t>
            </w:r>
          </w:p>
        </w:tc>
      </w:tr>
      <w:tr w:rsidR="00295E96" w:rsidRPr="00D970F7" w14:paraId="3B020773" w14:textId="77777777" w:rsidTr="00CF6F9C">
        <w:trPr>
          <w:trHeight w:val="145"/>
        </w:trPr>
        <w:tc>
          <w:tcPr>
            <w:tcW w:w="1805" w:type="dxa"/>
            <w:hideMark/>
          </w:tcPr>
          <w:p w14:paraId="257E76FA" w14:textId="513F59D0" w:rsidR="00295E96" w:rsidRPr="00D970F7" w:rsidRDefault="00066A8F" w:rsidP="00CF6F9C">
            <w:pPr>
              <w:pStyle w:val="Marginlie"/>
              <w:rPr>
                <w:spacing w:val="0"/>
                <w:lang w:val="en-GB" w:eastAsia="en-US"/>
              </w:rPr>
            </w:pPr>
            <w:r w:rsidRPr="00D970F7">
              <w:rPr>
                <w:spacing w:val="0"/>
                <w:lang w:val="en-GB" w:eastAsia="en-US"/>
              </w:rPr>
              <w:t>Industrial producer prices fell in Q</w:t>
            </w:r>
            <w:r w:rsidR="00295E96" w:rsidRPr="00D970F7">
              <w:rPr>
                <w:spacing w:val="0"/>
                <w:lang w:val="en-GB" w:eastAsia="en-US"/>
              </w:rPr>
              <w:t>2</w:t>
            </w:r>
            <w:r w:rsidRPr="00D970F7">
              <w:rPr>
                <w:spacing w:val="0"/>
                <w:lang w:val="en-GB" w:eastAsia="en-US"/>
              </w:rPr>
              <w:t xml:space="preserve">, especially due to the plunge of prices of coke and refined oil products. </w:t>
            </w:r>
          </w:p>
        </w:tc>
        <w:tc>
          <w:tcPr>
            <w:tcW w:w="224" w:type="dxa"/>
          </w:tcPr>
          <w:p w14:paraId="7FA70BE4" w14:textId="77777777" w:rsidR="00295E96" w:rsidRPr="00D970F7" w:rsidRDefault="00295E96" w:rsidP="00CF6F9C">
            <w:pPr>
              <w:pStyle w:val="Textpoznpodarou1"/>
              <w:jc w:val="both"/>
              <w:rPr>
                <w:lang w:val="en-GB" w:eastAsia="en-US"/>
              </w:rPr>
            </w:pPr>
          </w:p>
        </w:tc>
        <w:tc>
          <w:tcPr>
            <w:tcW w:w="7610" w:type="dxa"/>
            <w:hideMark/>
          </w:tcPr>
          <w:p w14:paraId="46801713" w14:textId="613579F7" w:rsidR="00295E96" w:rsidRPr="00D970F7" w:rsidRDefault="00066A8F" w:rsidP="00853FD1">
            <w:pPr>
              <w:rPr>
                <w:lang w:val="en-GB" w:eastAsia="en-US"/>
              </w:rPr>
            </w:pPr>
            <w:r w:rsidRPr="00D970F7">
              <w:rPr>
                <w:lang w:val="en-GB" w:eastAsia="en-US"/>
              </w:rPr>
              <w:t xml:space="preserve">Industrial producer prices decreased by </w:t>
            </w:r>
            <w:r w:rsidR="00295E96" w:rsidRPr="00D970F7">
              <w:rPr>
                <w:lang w:val="en-GB" w:eastAsia="en-US"/>
              </w:rPr>
              <w:t>0</w:t>
            </w:r>
            <w:r w:rsidRPr="00D970F7">
              <w:rPr>
                <w:lang w:val="en-GB" w:eastAsia="en-US"/>
              </w:rPr>
              <w:t>.</w:t>
            </w:r>
            <w:r w:rsidR="00295E96" w:rsidRPr="00D970F7">
              <w:rPr>
                <w:lang w:val="en-GB" w:eastAsia="en-US"/>
              </w:rPr>
              <w:t>6%</w:t>
            </w:r>
            <w:r w:rsidRPr="00D970F7">
              <w:rPr>
                <w:lang w:val="en-GB" w:eastAsia="en-US"/>
              </w:rPr>
              <w:t xml:space="preserve"> in Q2</w:t>
            </w:r>
            <w:r w:rsidR="00295E96" w:rsidRPr="00D970F7">
              <w:rPr>
                <w:lang w:val="en-GB" w:eastAsia="en-US"/>
              </w:rPr>
              <w:t>.</w:t>
            </w:r>
            <w:r w:rsidRPr="00D970F7">
              <w:rPr>
                <w:lang w:val="en-GB" w:eastAsia="en-US"/>
              </w:rPr>
              <w:t xml:space="preserve"> The price grew by </w:t>
            </w:r>
            <w:r w:rsidR="00295E96" w:rsidRPr="00D970F7">
              <w:rPr>
                <w:lang w:val="en-GB" w:eastAsia="en-US"/>
              </w:rPr>
              <w:t>1</w:t>
            </w:r>
            <w:r w:rsidRPr="00D970F7">
              <w:rPr>
                <w:lang w:val="en-GB" w:eastAsia="en-US"/>
              </w:rPr>
              <w:t>.</w:t>
            </w:r>
            <w:r w:rsidR="00295E96" w:rsidRPr="00D970F7">
              <w:rPr>
                <w:lang w:val="en-GB" w:eastAsia="en-US"/>
              </w:rPr>
              <w:t>4%</w:t>
            </w:r>
            <w:r w:rsidRPr="00D970F7">
              <w:rPr>
                <w:lang w:val="en-GB" w:eastAsia="en-US"/>
              </w:rPr>
              <w:t xml:space="preserve"> still in Q1</w:t>
            </w:r>
            <w:r w:rsidR="00295E96" w:rsidRPr="00D970F7">
              <w:rPr>
                <w:lang w:val="en-GB" w:eastAsia="en-US"/>
              </w:rPr>
              <w:t xml:space="preserve">. </w:t>
            </w:r>
            <w:r w:rsidR="006539DD" w:rsidRPr="00D970F7">
              <w:rPr>
                <w:lang w:val="en-GB" w:eastAsia="en-US"/>
              </w:rPr>
              <w:t xml:space="preserve">Turning point in the dynamics was observed already in March. The reason was especially the development for products and services of manufacturing. These recorded decrease by </w:t>
            </w:r>
            <w:r w:rsidR="00295E96" w:rsidRPr="00D970F7">
              <w:rPr>
                <w:lang w:val="en-GB" w:eastAsia="en-US"/>
              </w:rPr>
              <w:t>2</w:t>
            </w:r>
            <w:r w:rsidR="006539DD" w:rsidRPr="00D970F7">
              <w:rPr>
                <w:lang w:val="en-GB" w:eastAsia="en-US"/>
              </w:rPr>
              <w:t>.</w:t>
            </w:r>
            <w:r w:rsidR="00295E96" w:rsidRPr="00D970F7">
              <w:rPr>
                <w:lang w:val="en-GB" w:eastAsia="en-US"/>
              </w:rPr>
              <w:t>3%,</w:t>
            </w:r>
            <w:r w:rsidR="006539DD" w:rsidRPr="00D970F7">
              <w:rPr>
                <w:lang w:val="en-GB" w:eastAsia="en-US"/>
              </w:rPr>
              <w:t xml:space="preserve"> </w:t>
            </w:r>
            <w:r w:rsidR="000E535F" w:rsidRPr="00D970F7">
              <w:rPr>
                <w:lang w:val="en-GB" w:eastAsia="en-US"/>
              </w:rPr>
              <w:t>mainly because of coke and refined oil products</w:t>
            </w:r>
            <w:r w:rsidR="00295E96" w:rsidRPr="00D970F7">
              <w:rPr>
                <w:rStyle w:val="Znakapoznpodarou"/>
                <w:lang w:val="en-GB" w:eastAsia="en-US"/>
              </w:rPr>
              <w:footnoteReference w:id="3"/>
            </w:r>
            <w:r w:rsidR="00295E96" w:rsidRPr="00D970F7">
              <w:rPr>
                <w:lang w:val="en-GB" w:eastAsia="en-US"/>
              </w:rPr>
              <w:t>.</w:t>
            </w:r>
            <w:r w:rsidR="000E535F" w:rsidRPr="00D970F7">
              <w:rPr>
                <w:lang w:val="en-GB" w:eastAsia="en-US"/>
              </w:rPr>
              <w:t xml:space="preserve"> </w:t>
            </w:r>
            <w:r w:rsidR="00295E96" w:rsidRPr="00D970F7">
              <w:rPr>
                <w:lang w:val="en-GB" w:eastAsia="en-US"/>
              </w:rPr>
              <w:t xml:space="preserve"> </w:t>
            </w:r>
            <w:r w:rsidR="000E535F" w:rsidRPr="00D970F7">
              <w:rPr>
                <w:lang w:val="en-GB" w:eastAsia="en-US"/>
              </w:rPr>
              <w:t xml:space="preserve">Tied to the prices of oil, the prices of chemical substances and products were also falling </w:t>
            </w:r>
            <w:r w:rsidR="00295E96" w:rsidRPr="00D970F7">
              <w:rPr>
                <w:lang w:val="en-GB" w:eastAsia="en-US"/>
              </w:rPr>
              <w:t>(</w:t>
            </w:r>
            <w:r w:rsidR="00853FD1">
              <w:rPr>
                <w:lang w:val="en-GB" w:eastAsia="en-US"/>
              </w:rPr>
              <w:noBreakHyphen/>
            </w:r>
            <w:r w:rsidR="00295E96" w:rsidRPr="00D970F7">
              <w:rPr>
                <w:lang w:val="en-GB" w:eastAsia="en-US"/>
              </w:rPr>
              <w:t>14</w:t>
            </w:r>
            <w:r w:rsidR="000E535F" w:rsidRPr="00D970F7">
              <w:rPr>
                <w:lang w:val="en-GB" w:eastAsia="en-US"/>
              </w:rPr>
              <w:t>.</w:t>
            </w:r>
            <w:r w:rsidR="00295E96" w:rsidRPr="00D970F7">
              <w:rPr>
                <w:lang w:val="en-GB" w:eastAsia="en-US"/>
              </w:rPr>
              <w:t xml:space="preserve">6%). </w:t>
            </w:r>
            <w:r w:rsidR="005552D3" w:rsidRPr="00D970F7">
              <w:rPr>
                <w:lang w:val="en-GB" w:eastAsia="en-US"/>
              </w:rPr>
              <w:t xml:space="preserve">Basic metals and metal products </w:t>
            </w:r>
            <w:r w:rsidR="00295E96" w:rsidRPr="00D970F7">
              <w:rPr>
                <w:lang w:val="en-GB" w:eastAsia="en-US"/>
              </w:rPr>
              <w:t>(–1</w:t>
            </w:r>
            <w:r w:rsidR="005552D3" w:rsidRPr="00D970F7">
              <w:rPr>
                <w:lang w:val="en-GB" w:eastAsia="en-US"/>
              </w:rPr>
              <w:t>.</w:t>
            </w:r>
            <w:r w:rsidR="00295E96" w:rsidRPr="00D970F7">
              <w:rPr>
                <w:lang w:val="en-GB" w:eastAsia="en-US"/>
              </w:rPr>
              <w:t>3%) a</w:t>
            </w:r>
            <w:r w:rsidR="005552D3" w:rsidRPr="00D970F7">
              <w:rPr>
                <w:lang w:val="en-GB" w:eastAsia="en-US"/>
              </w:rPr>
              <w:t xml:space="preserve">nd wood, paper and printing </w:t>
            </w:r>
            <w:r w:rsidR="00295E96" w:rsidRPr="00D970F7">
              <w:rPr>
                <w:lang w:val="en-GB" w:eastAsia="en-US"/>
              </w:rPr>
              <w:t>(</w:t>
            </w:r>
            <w:r w:rsidR="00853FD1">
              <w:rPr>
                <w:lang w:val="en-GB" w:eastAsia="en-US"/>
              </w:rPr>
              <w:noBreakHyphen/>
            </w:r>
            <w:r w:rsidR="00295E96" w:rsidRPr="00D970F7">
              <w:rPr>
                <w:lang w:val="en-GB" w:eastAsia="en-US"/>
              </w:rPr>
              <w:t>2</w:t>
            </w:r>
            <w:r w:rsidR="005552D3" w:rsidRPr="00D970F7">
              <w:rPr>
                <w:lang w:val="en-GB" w:eastAsia="en-US"/>
              </w:rPr>
              <w:t>.</w:t>
            </w:r>
            <w:r w:rsidR="00295E96" w:rsidRPr="00D970F7">
              <w:rPr>
                <w:lang w:val="en-GB" w:eastAsia="en-US"/>
              </w:rPr>
              <w:t>1%)</w:t>
            </w:r>
            <w:r w:rsidR="005552D3" w:rsidRPr="00D970F7">
              <w:rPr>
                <w:lang w:val="en-GB" w:eastAsia="en-US"/>
              </w:rPr>
              <w:t xml:space="preserve"> also pressed the prices down</w:t>
            </w:r>
            <w:r w:rsidR="00295E96" w:rsidRPr="00D970F7">
              <w:rPr>
                <w:lang w:val="en-GB" w:eastAsia="en-US"/>
              </w:rPr>
              <w:t xml:space="preserve">. </w:t>
            </w:r>
            <w:r w:rsidR="005552D3" w:rsidRPr="00D970F7">
              <w:rPr>
                <w:lang w:val="en-GB" w:eastAsia="en-US"/>
              </w:rPr>
              <w:t xml:space="preserve">In contrast, </w:t>
            </w:r>
            <w:r w:rsidR="00195FA3" w:rsidRPr="00D970F7">
              <w:rPr>
                <w:lang w:val="en-GB" w:eastAsia="en-US"/>
              </w:rPr>
              <w:t xml:space="preserve">prices of food products, beverages and tobacco </w:t>
            </w:r>
            <w:r w:rsidR="00295E96" w:rsidRPr="00D970F7">
              <w:rPr>
                <w:lang w:val="en-GB" w:eastAsia="en-US"/>
              </w:rPr>
              <w:t>(3</w:t>
            </w:r>
            <w:r w:rsidR="00195FA3" w:rsidRPr="00D970F7">
              <w:rPr>
                <w:lang w:val="en-GB" w:eastAsia="en-US"/>
              </w:rPr>
              <w:t>.</w:t>
            </w:r>
            <w:r w:rsidR="00295E96" w:rsidRPr="00D970F7">
              <w:rPr>
                <w:lang w:val="en-GB" w:eastAsia="en-US"/>
              </w:rPr>
              <w:t>0%)</w:t>
            </w:r>
            <w:r w:rsidR="00195FA3" w:rsidRPr="00D970F7">
              <w:rPr>
                <w:lang w:val="en-GB" w:eastAsia="en-US"/>
              </w:rPr>
              <w:t xml:space="preserve"> contributed to growth</w:t>
            </w:r>
            <w:r w:rsidR="00295E96" w:rsidRPr="00D970F7">
              <w:rPr>
                <w:lang w:val="en-GB" w:eastAsia="en-US"/>
              </w:rPr>
              <w:t xml:space="preserve">. </w:t>
            </w:r>
            <w:r w:rsidR="00195FA3" w:rsidRPr="00D970F7">
              <w:rPr>
                <w:lang w:val="en-GB" w:eastAsia="en-US"/>
              </w:rPr>
              <w:t>Here however, the dynamics gradually l</w:t>
            </w:r>
            <w:r w:rsidR="000F6B24" w:rsidRPr="00D970F7">
              <w:rPr>
                <w:lang w:val="en-GB" w:eastAsia="en-US"/>
              </w:rPr>
              <w:t>os</w:t>
            </w:r>
            <w:r w:rsidR="00195FA3" w:rsidRPr="00D970F7">
              <w:rPr>
                <w:lang w:val="en-GB" w:eastAsia="en-US"/>
              </w:rPr>
              <w:t>t pace during the quarter. Mainly the wage growth</w:t>
            </w:r>
            <w:r w:rsidR="000F6B24" w:rsidRPr="00D970F7">
              <w:rPr>
                <w:lang w:val="en-GB" w:eastAsia="en-US"/>
              </w:rPr>
              <w:t xml:space="preserve"> even pushed up the prices of furniture and other manufacturing products </w:t>
            </w:r>
            <w:r w:rsidR="00295E96" w:rsidRPr="00D970F7">
              <w:rPr>
                <w:lang w:val="en-GB" w:eastAsia="en-US"/>
              </w:rPr>
              <w:t>(4</w:t>
            </w:r>
            <w:r w:rsidR="00195FA3" w:rsidRPr="00D970F7">
              <w:rPr>
                <w:lang w:val="en-GB" w:eastAsia="en-US"/>
              </w:rPr>
              <w:t>.</w:t>
            </w:r>
            <w:r w:rsidR="00295E96" w:rsidRPr="00D970F7">
              <w:rPr>
                <w:lang w:val="en-GB" w:eastAsia="en-US"/>
              </w:rPr>
              <w:t xml:space="preserve">8%, </w:t>
            </w:r>
            <w:r w:rsidR="00195FA3" w:rsidRPr="00D970F7">
              <w:rPr>
                <w:lang w:val="en-GB" w:eastAsia="en-US"/>
              </w:rPr>
              <w:t xml:space="preserve">especially repairs, maintenance and </w:t>
            </w:r>
            <w:r w:rsidR="00195FA3" w:rsidRPr="00D970F7">
              <w:rPr>
                <w:lang w:val="en-GB" w:eastAsia="en-US"/>
              </w:rPr>
              <w:lastRenderedPageBreak/>
              <w:t>installation of machinery and equipment</w:t>
            </w:r>
            <w:r w:rsidR="00295E96" w:rsidRPr="00D970F7">
              <w:rPr>
                <w:lang w:val="en-GB" w:eastAsia="en-US"/>
              </w:rPr>
              <w:t xml:space="preserve">). </w:t>
            </w:r>
            <w:r w:rsidR="00195FA3" w:rsidRPr="00D970F7">
              <w:rPr>
                <w:lang w:val="en-GB" w:eastAsia="en-US"/>
              </w:rPr>
              <w:t>Prices of computers, electronic and optical equipment notably increased</w:t>
            </w:r>
            <w:r w:rsidR="000F6B24" w:rsidRPr="00D970F7">
              <w:rPr>
                <w:lang w:val="en-GB" w:eastAsia="en-US"/>
              </w:rPr>
              <w:t xml:space="preserve"> </w:t>
            </w:r>
            <w:r w:rsidR="00295E96" w:rsidRPr="00D970F7">
              <w:rPr>
                <w:lang w:val="en-GB" w:eastAsia="en-US"/>
              </w:rPr>
              <w:t>(3</w:t>
            </w:r>
            <w:r w:rsidR="000F6B24" w:rsidRPr="00D970F7">
              <w:rPr>
                <w:lang w:val="en-GB" w:eastAsia="en-US"/>
              </w:rPr>
              <w:t>.</w:t>
            </w:r>
            <w:r w:rsidR="00295E96" w:rsidRPr="00D970F7">
              <w:rPr>
                <w:lang w:val="en-GB" w:eastAsia="en-US"/>
              </w:rPr>
              <w:t>7%).</w:t>
            </w:r>
            <w:r w:rsidR="000F6B24" w:rsidRPr="00D970F7">
              <w:rPr>
                <w:lang w:val="en-GB" w:eastAsia="en-US"/>
              </w:rPr>
              <w:t xml:space="preserve"> </w:t>
            </w:r>
            <w:r w:rsidR="001764E2" w:rsidRPr="00D970F7">
              <w:rPr>
                <w:lang w:val="en-GB" w:eastAsia="en-US"/>
              </w:rPr>
              <w:t>Transport</w:t>
            </w:r>
            <w:r w:rsidR="00F04181">
              <w:rPr>
                <w:lang w:val="en-GB" w:eastAsia="en-US"/>
              </w:rPr>
              <w:t>ation equipment also recorded a</w:t>
            </w:r>
            <w:r w:rsidR="00F04181" w:rsidRPr="000E756D">
              <w:rPr>
                <w:spacing w:val="-4"/>
              </w:rPr>
              <w:t> </w:t>
            </w:r>
            <w:r w:rsidR="001764E2" w:rsidRPr="00D970F7">
              <w:rPr>
                <w:lang w:val="en-GB" w:eastAsia="en-US"/>
              </w:rPr>
              <w:t xml:space="preserve">relatively strong addition </w:t>
            </w:r>
            <w:r w:rsidR="00295E96" w:rsidRPr="00D970F7">
              <w:rPr>
                <w:lang w:val="en-GB" w:eastAsia="en-US"/>
              </w:rPr>
              <w:t>(3</w:t>
            </w:r>
            <w:r w:rsidR="001764E2" w:rsidRPr="00D970F7">
              <w:rPr>
                <w:lang w:val="en-GB" w:eastAsia="en-US"/>
              </w:rPr>
              <w:t>.</w:t>
            </w:r>
            <w:r w:rsidR="00295E96" w:rsidRPr="00D970F7">
              <w:rPr>
                <w:lang w:val="en-GB" w:eastAsia="en-US"/>
              </w:rPr>
              <w:t xml:space="preserve">5%). </w:t>
            </w:r>
            <w:r w:rsidR="001764E2" w:rsidRPr="00D970F7">
              <w:rPr>
                <w:lang w:val="en-GB" w:eastAsia="en-US"/>
              </w:rPr>
              <w:t xml:space="preserve">Growth of prices of machinery and equipment (2.6%) and electrical equipment (1.7%) accelerated. </w:t>
            </w:r>
          </w:p>
        </w:tc>
      </w:tr>
      <w:tr w:rsidR="00295E96" w:rsidRPr="00D970F7" w14:paraId="5A824DD1" w14:textId="77777777" w:rsidTr="00CF6F9C">
        <w:trPr>
          <w:trHeight w:val="145"/>
        </w:trPr>
        <w:tc>
          <w:tcPr>
            <w:tcW w:w="1805" w:type="dxa"/>
            <w:hideMark/>
          </w:tcPr>
          <w:p w14:paraId="57E48E8F" w14:textId="6424CE80" w:rsidR="00295E96" w:rsidRPr="00D970F7" w:rsidRDefault="00A16CA8" w:rsidP="00CF6F9C">
            <w:pPr>
              <w:pStyle w:val="Marginlie"/>
              <w:rPr>
                <w:spacing w:val="0"/>
                <w:lang w:val="en-GB" w:eastAsia="en-US"/>
              </w:rPr>
            </w:pPr>
            <w:r w:rsidRPr="00D970F7">
              <w:rPr>
                <w:spacing w:val="0"/>
                <w:lang w:val="en-GB" w:eastAsia="en-US"/>
              </w:rPr>
              <w:lastRenderedPageBreak/>
              <w:t xml:space="preserve">Plunge of prices </w:t>
            </w:r>
            <w:r w:rsidR="00531859" w:rsidRPr="00D970F7">
              <w:rPr>
                <w:spacing w:val="0"/>
                <w:lang w:val="en-GB" w:eastAsia="en-US"/>
              </w:rPr>
              <w:t>in</w:t>
            </w:r>
            <w:r w:rsidRPr="00D970F7">
              <w:rPr>
                <w:spacing w:val="0"/>
                <w:lang w:val="en-GB" w:eastAsia="en-US"/>
              </w:rPr>
              <w:t xml:space="preserve"> mining and quarrying continued. </w:t>
            </w:r>
          </w:p>
        </w:tc>
        <w:tc>
          <w:tcPr>
            <w:tcW w:w="224" w:type="dxa"/>
          </w:tcPr>
          <w:p w14:paraId="763DDE3C" w14:textId="77777777" w:rsidR="00295E96" w:rsidRPr="00D970F7" w:rsidRDefault="00295E96" w:rsidP="00CF6F9C">
            <w:pPr>
              <w:pStyle w:val="Textpoznpodarou1"/>
              <w:jc w:val="both"/>
              <w:rPr>
                <w:lang w:val="en-GB" w:eastAsia="en-US"/>
              </w:rPr>
            </w:pPr>
          </w:p>
        </w:tc>
        <w:tc>
          <w:tcPr>
            <w:tcW w:w="7610" w:type="dxa"/>
            <w:hideMark/>
          </w:tcPr>
          <w:p w14:paraId="3E839F47" w14:textId="28A2ED2F" w:rsidR="00295E96" w:rsidRPr="00D970F7" w:rsidRDefault="00A06212" w:rsidP="00853FD1">
            <w:pPr>
              <w:rPr>
                <w:lang w:val="en-GB" w:eastAsia="en-US"/>
              </w:rPr>
            </w:pPr>
            <w:r w:rsidRPr="00D970F7">
              <w:rPr>
                <w:lang w:val="en-GB" w:eastAsia="en-US"/>
              </w:rPr>
              <w:t xml:space="preserve">Fall lasting from the beginning of year deepened in case of mining and quarrying </w:t>
            </w:r>
            <w:r w:rsidR="00295E96" w:rsidRPr="00D970F7">
              <w:rPr>
                <w:lang w:val="en-GB" w:eastAsia="en-US"/>
              </w:rPr>
              <w:t>(</w:t>
            </w:r>
            <w:r w:rsidR="00853FD1">
              <w:rPr>
                <w:lang w:val="en-GB" w:eastAsia="en-US"/>
              </w:rPr>
              <w:noBreakHyphen/>
            </w:r>
            <w:r w:rsidR="00295E96" w:rsidRPr="00D970F7">
              <w:rPr>
                <w:lang w:val="en-GB" w:eastAsia="en-US"/>
              </w:rPr>
              <w:t>3</w:t>
            </w:r>
            <w:r w:rsidRPr="00D970F7">
              <w:rPr>
                <w:lang w:val="en-GB" w:eastAsia="en-US"/>
              </w:rPr>
              <w:t>.</w:t>
            </w:r>
            <w:r w:rsidR="00295E96" w:rsidRPr="00D970F7">
              <w:rPr>
                <w:lang w:val="en-GB" w:eastAsia="en-US"/>
              </w:rPr>
              <w:t xml:space="preserve">5%). </w:t>
            </w:r>
            <w:r w:rsidRPr="00D970F7">
              <w:rPr>
                <w:lang w:val="en-GB" w:eastAsia="en-US"/>
              </w:rPr>
              <w:t xml:space="preserve">Prices of oil and natural gas </w:t>
            </w:r>
            <w:r w:rsidR="00C1229A" w:rsidRPr="00D970F7">
              <w:rPr>
                <w:lang w:val="en-GB" w:eastAsia="en-US"/>
              </w:rPr>
              <w:t>plunged,</w:t>
            </w:r>
            <w:r w:rsidRPr="00D970F7">
              <w:rPr>
                <w:lang w:val="en-GB" w:eastAsia="en-US"/>
              </w:rPr>
              <w:t xml:space="preserve"> and the decrease continued for black and brown coal and lignite. </w:t>
            </w:r>
            <w:r w:rsidR="00C1229A" w:rsidRPr="00D970F7">
              <w:rPr>
                <w:lang w:val="en-GB" w:eastAsia="en-US"/>
              </w:rPr>
              <w:t xml:space="preserve">On the contrary, year-on-year growth of prices of electricity, gas, steam and air conditioning remains at high level </w:t>
            </w:r>
            <w:r w:rsidR="00295E96" w:rsidRPr="00D970F7">
              <w:rPr>
                <w:lang w:val="en-GB" w:eastAsia="en-US"/>
              </w:rPr>
              <w:t>(8</w:t>
            </w:r>
            <w:r w:rsidR="00C1229A" w:rsidRPr="00D970F7">
              <w:rPr>
                <w:lang w:val="en-GB" w:eastAsia="en-US"/>
              </w:rPr>
              <w:t>.</w:t>
            </w:r>
            <w:r w:rsidR="00295E96" w:rsidRPr="00D970F7">
              <w:rPr>
                <w:lang w:val="en-GB" w:eastAsia="en-US"/>
              </w:rPr>
              <w:t xml:space="preserve">2%). </w:t>
            </w:r>
            <w:r w:rsidR="009C01E8" w:rsidRPr="00D970F7">
              <w:rPr>
                <w:lang w:val="en-GB" w:eastAsia="en-US"/>
              </w:rPr>
              <w:t xml:space="preserve">Growth accelerated for water supply and wastewater management services </w:t>
            </w:r>
            <w:r w:rsidR="00295E96" w:rsidRPr="00D970F7">
              <w:rPr>
                <w:lang w:val="en-GB" w:eastAsia="en-US"/>
              </w:rPr>
              <w:t>(6</w:t>
            </w:r>
            <w:r w:rsidR="009C01E8" w:rsidRPr="00D970F7">
              <w:rPr>
                <w:lang w:val="en-GB" w:eastAsia="en-US"/>
              </w:rPr>
              <w:t>.</w:t>
            </w:r>
            <w:r w:rsidR="00295E96" w:rsidRPr="00D970F7">
              <w:rPr>
                <w:lang w:val="en-GB" w:eastAsia="en-US"/>
              </w:rPr>
              <w:t>1%).</w:t>
            </w:r>
          </w:p>
        </w:tc>
      </w:tr>
      <w:tr w:rsidR="00295E96" w:rsidRPr="00D970F7" w14:paraId="108051E7" w14:textId="77777777" w:rsidTr="00CF6F9C">
        <w:trPr>
          <w:trHeight w:val="170"/>
        </w:trPr>
        <w:tc>
          <w:tcPr>
            <w:tcW w:w="1805" w:type="dxa"/>
            <w:vMerge w:val="restart"/>
          </w:tcPr>
          <w:p w14:paraId="53F041C3" w14:textId="77777777" w:rsidR="00295E96" w:rsidRPr="00D970F7" w:rsidRDefault="00295E96" w:rsidP="00CF6F9C">
            <w:pPr>
              <w:pStyle w:val="Marginlie"/>
              <w:rPr>
                <w:spacing w:val="0"/>
                <w:lang w:val="en-GB" w:eastAsia="en-US"/>
              </w:rPr>
            </w:pPr>
          </w:p>
        </w:tc>
        <w:tc>
          <w:tcPr>
            <w:tcW w:w="224" w:type="dxa"/>
            <w:vMerge w:val="restart"/>
          </w:tcPr>
          <w:p w14:paraId="4317B2D3" w14:textId="77777777" w:rsidR="00295E96" w:rsidRPr="00D970F7" w:rsidRDefault="00295E96" w:rsidP="00CF6F9C">
            <w:pPr>
              <w:pStyle w:val="Textpoznpodarou1"/>
              <w:jc w:val="both"/>
              <w:rPr>
                <w:highlight w:val="yellow"/>
                <w:lang w:val="en-GB" w:eastAsia="en-US"/>
              </w:rPr>
            </w:pPr>
          </w:p>
        </w:tc>
        <w:tc>
          <w:tcPr>
            <w:tcW w:w="7610" w:type="dxa"/>
            <w:hideMark/>
          </w:tcPr>
          <w:p w14:paraId="7F343273" w14:textId="7BE2E919" w:rsidR="00295E96" w:rsidRPr="00D970F7" w:rsidRDefault="00391175" w:rsidP="00CF6F9C">
            <w:pPr>
              <w:spacing w:after="0"/>
              <w:rPr>
                <w:b/>
                <w:szCs w:val="20"/>
                <w:lang w:val="en-GB" w:eastAsia="en-US"/>
              </w:rPr>
            </w:pPr>
            <w:r w:rsidRPr="00D970F7">
              <w:rPr>
                <w:b/>
                <w:sz w:val="18"/>
                <w:szCs w:val="18"/>
                <w:lang w:val="en-GB" w:eastAsia="en-US"/>
              </w:rPr>
              <w:t xml:space="preserve">Chart </w:t>
            </w:r>
            <w:r w:rsidR="00295E96" w:rsidRPr="00D970F7">
              <w:rPr>
                <w:b/>
                <w:sz w:val="18"/>
                <w:szCs w:val="18"/>
                <w:lang w:val="en-GB" w:eastAsia="en-US"/>
              </w:rPr>
              <w:t xml:space="preserve">11  </w:t>
            </w:r>
            <w:r w:rsidR="00C0475A" w:rsidRPr="00D970F7">
              <w:rPr>
                <w:b/>
                <w:sz w:val="18"/>
                <w:szCs w:val="18"/>
                <w:lang w:val="en-GB" w:eastAsia="en-US"/>
              </w:rPr>
              <w:t xml:space="preserve">Prices of main groups of industrial producers </w:t>
            </w:r>
            <w:r w:rsidR="00C0475A" w:rsidRPr="00D970F7">
              <w:rPr>
                <w:sz w:val="18"/>
                <w:szCs w:val="18"/>
                <w:lang w:val="en-GB" w:eastAsia="en-US"/>
              </w:rPr>
              <w:t xml:space="preserve">(year-on-year change, in %, based on CPA classification) </w:t>
            </w:r>
          </w:p>
        </w:tc>
      </w:tr>
      <w:tr w:rsidR="00295E96" w:rsidRPr="00D970F7" w14:paraId="19FA66EE" w14:textId="77777777" w:rsidTr="00DD2984">
        <w:tblPrEx>
          <w:tblCellMar>
            <w:left w:w="70" w:type="dxa"/>
            <w:right w:w="70" w:type="dxa"/>
          </w:tblCellMar>
        </w:tblPrEx>
        <w:trPr>
          <w:trHeight w:val="170"/>
        </w:trPr>
        <w:tc>
          <w:tcPr>
            <w:tcW w:w="1805" w:type="dxa"/>
            <w:vMerge/>
            <w:vAlign w:val="center"/>
            <w:hideMark/>
          </w:tcPr>
          <w:p w14:paraId="25D2C297" w14:textId="77777777" w:rsidR="00295E96" w:rsidRPr="00D970F7" w:rsidRDefault="00295E96" w:rsidP="00CF6F9C">
            <w:pPr>
              <w:spacing w:after="0" w:line="240" w:lineRule="auto"/>
              <w:jc w:val="left"/>
              <w:rPr>
                <w:sz w:val="16"/>
                <w:szCs w:val="16"/>
                <w:lang w:val="en-GB" w:eastAsia="en-US"/>
              </w:rPr>
            </w:pPr>
          </w:p>
        </w:tc>
        <w:tc>
          <w:tcPr>
            <w:tcW w:w="224" w:type="dxa"/>
            <w:vMerge/>
            <w:vAlign w:val="center"/>
            <w:hideMark/>
          </w:tcPr>
          <w:p w14:paraId="217FF320" w14:textId="77777777" w:rsidR="00295E96" w:rsidRPr="00D970F7" w:rsidRDefault="00295E96" w:rsidP="00CF6F9C">
            <w:pPr>
              <w:spacing w:after="0" w:line="240" w:lineRule="auto"/>
              <w:jc w:val="left"/>
              <w:rPr>
                <w:rFonts w:eastAsia="Calibri"/>
                <w:szCs w:val="20"/>
                <w:highlight w:val="yellow"/>
                <w:lang w:val="en-GB" w:eastAsia="en-US"/>
              </w:rPr>
            </w:pPr>
          </w:p>
        </w:tc>
        <w:tc>
          <w:tcPr>
            <w:tcW w:w="7610" w:type="dxa"/>
            <w:hideMark/>
          </w:tcPr>
          <w:p w14:paraId="449EC50D" w14:textId="3D2147DF" w:rsidR="00295E96" w:rsidRPr="00D970F7" w:rsidRDefault="00DD2984" w:rsidP="00CF6F9C">
            <w:pPr>
              <w:spacing w:after="0"/>
              <w:rPr>
                <w:lang w:val="en-GB" w:eastAsia="en-US"/>
              </w:rPr>
            </w:pPr>
            <w:r>
              <w:rPr>
                <w:noProof/>
              </w:rPr>
              <w:drawing>
                <wp:inline distT="0" distB="0" distL="0" distR="0" wp14:anchorId="40CF1BB1" wp14:editId="2F7D71EA">
                  <wp:extent cx="4737600" cy="3553200"/>
                  <wp:effectExtent l="0" t="0" r="6350" b="0"/>
                  <wp:docPr id="20" name="Graf 2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95E96" w:rsidRPr="00D970F7" w14:paraId="47E8CA62" w14:textId="77777777" w:rsidTr="00CF6F9C">
        <w:trPr>
          <w:trHeight w:val="170"/>
        </w:trPr>
        <w:tc>
          <w:tcPr>
            <w:tcW w:w="0" w:type="auto"/>
            <w:vMerge/>
            <w:vAlign w:val="center"/>
            <w:hideMark/>
          </w:tcPr>
          <w:p w14:paraId="364B7ED2" w14:textId="77777777" w:rsidR="00295E96" w:rsidRPr="00D970F7" w:rsidRDefault="00295E96" w:rsidP="00CF6F9C">
            <w:pPr>
              <w:spacing w:after="0" w:line="240" w:lineRule="auto"/>
              <w:jc w:val="left"/>
              <w:rPr>
                <w:sz w:val="16"/>
                <w:szCs w:val="16"/>
                <w:lang w:val="en-GB" w:eastAsia="en-US"/>
              </w:rPr>
            </w:pPr>
          </w:p>
        </w:tc>
        <w:tc>
          <w:tcPr>
            <w:tcW w:w="0" w:type="auto"/>
            <w:vMerge/>
            <w:vAlign w:val="center"/>
            <w:hideMark/>
          </w:tcPr>
          <w:p w14:paraId="094D0746" w14:textId="77777777" w:rsidR="00295E96" w:rsidRPr="00D970F7" w:rsidRDefault="00295E96" w:rsidP="00CF6F9C">
            <w:pPr>
              <w:spacing w:after="0" w:line="240" w:lineRule="auto"/>
              <w:jc w:val="left"/>
              <w:rPr>
                <w:rFonts w:eastAsia="Calibri"/>
                <w:szCs w:val="20"/>
                <w:highlight w:val="yellow"/>
                <w:lang w:val="en-GB" w:eastAsia="en-US"/>
              </w:rPr>
            </w:pPr>
          </w:p>
        </w:tc>
        <w:tc>
          <w:tcPr>
            <w:tcW w:w="7610" w:type="dxa"/>
            <w:hideMark/>
          </w:tcPr>
          <w:p w14:paraId="6B1CB8C2" w14:textId="1A1D889B" w:rsidR="00391175" w:rsidRPr="00D970F7" w:rsidRDefault="00391175" w:rsidP="00DD2984">
            <w:pPr>
              <w:rPr>
                <w:b/>
                <w:bCs/>
                <w:sz w:val="18"/>
                <w:szCs w:val="18"/>
                <w:lang w:val="en-GB" w:eastAsia="en-US"/>
              </w:rPr>
            </w:pPr>
            <w:r w:rsidRPr="00D970F7">
              <w:rPr>
                <w:sz w:val="14"/>
                <w:szCs w:val="14"/>
                <w:lang w:val="en-GB" w:eastAsia="en-US"/>
              </w:rPr>
              <w:t>Source</w:t>
            </w:r>
            <w:r w:rsidR="00295E96" w:rsidRPr="00D970F7">
              <w:rPr>
                <w:sz w:val="14"/>
                <w:szCs w:val="14"/>
                <w:lang w:val="en-GB" w:eastAsia="en-US"/>
              </w:rPr>
              <w:t xml:space="preserve">: </w:t>
            </w:r>
            <w:r w:rsidRPr="00D970F7">
              <w:rPr>
                <w:sz w:val="14"/>
                <w:szCs w:val="14"/>
                <w:lang w:val="en-GB" w:eastAsia="en-US"/>
              </w:rPr>
              <w:t>CZSO</w:t>
            </w:r>
          </w:p>
        </w:tc>
      </w:tr>
      <w:tr w:rsidR="00295E96" w:rsidRPr="00D970F7" w14:paraId="5FDD50B7" w14:textId="77777777" w:rsidTr="00CF6F9C">
        <w:trPr>
          <w:trHeight w:val="145"/>
        </w:trPr>
        <w:tc>
          <w:tcPr>
            <w:tcW w:w="1805" w:type="dxa"/>
            <w:hideMark/>
          </w:tcPr>
          <w:p w14:paraId="48A8FE9F" w14:textId="3520208A" w:rsidR="00295E96" w:rsidRPr="00D970F7" w:rsidRDefault="00391175" w:rsidP="00CF6F9C">
            <w:pPr>
              <w:pStyle w:val="Marginlie"/>
              <w:rPr>
                <w:spacing w:val="0"/>
                <w:lang w:val="en-GB" w:eastAsia="en-US"/>
              </w:rPr>
            </w:pPr>
            <w:r w:rsidRPr="00D970F7">
              <w:rPr>
                <w:spacing w:val="0"/>
                <w:lang w:val="en-GB" w:eastAsia="en-US"/>
              </w:rPr>
              <w:t>Industrial producer prices were notably falling in the EU in Q2</w:t>
            </w:r>
            <w:r w:rsidR="00295E96" w:rsidRPr="00D970F7">
              <w:rPr>
                <w:spacing w:val="0"/>
                <w:lang w:val="en-GB" w:eastAsia="en-US"/>
              </w:rPr>
              <w:t>.</w:t>
            </w:r>
            <w:r w:rsidRPr="00D970F7">
              <w:rPr>
                <w:spacing w:val="0"/>
                <w:lang w:val="en-GB" w:eastAsia="en-US"/>
              </w:rPr>
              <w:t xml:space="preserve"> </w:t>
            </w:r>
          </w:p>
        </w:tc>
        <w:tc>
          <w:tcPr>
            <w:tcW w:w="224" w:type="dxa"/>
          </w:tcPr>
          <w:p w14:paraId="163CFE9E" w14:textId="77777777" w:rsidR="00295E96" w:rsidRPr="00D970F7" w:rsidRDefault="00295E96" w:rsidP="00CF6F9C">
            <w:pPr>
              <w:pStyle w:val="Textpoznpodarou1"/>
              <w:jc w:val="both"/>
              <w:rPr>
                <w:lang w:val="en-GB" w:eastAsia="en-US"/>
              </w:rPr>
            </w:pPr>
          </w:p>
        </w:tc>
        <w:tc>
          <w:tcPr>
            <w:tcW w:w="7610" w:type="dxa"/>
            <w:hideMark/>
          </w:tcPr>
          <w:p w14:paraId="3D00B99B" w14:textId="60A5ADE8" w:rsidR="00295E96" w:rsidRPr="00D970F7" w:rsidRDefault="009C01E8" w:rsidP="00CF6F9C">
            <w:pPr>
              <w:rPr>
                <w:lang w:val="en-GB" w:eastAsia="en-US"/>
              </w:rPr>
            </w:pPr>
            <w:r w:rsidRPr="00D970F7">
              <w:rPr>
                <w:lang w:val="en-GB" w:eastAsia="en-US"/>
              </w:rPr>
              <w:t>Industrial producer prices were falling in the EU in both Q</w:t>
            </w:r>
            <w:r w:rsidR="00295E96" w:rsidRPr="00D970F7">
              <w:rPr>
                <w:lang w:val="en-GB" w:eastAsia="en-US"/>
              </w:rPr>
              <w:t>1</w:t>
            </w:r>
            <w:r w:rsidRPr="00D970F7">
              <w:rPr>
                <w:lang w:val="en-GB" w:eastAsia="en-US"/>
              </w:rPr>
              <w:t xml:space="preserve"> and Q</w:t>
            </w:r>
            <w:r w:rsidR="00295E96" w:rsidRPr="00D970F7">
              <w:rPr>
                <w:lang w:val="en-GB" w:eastAsia="en-US"/>
              </w:rPr>
              <w:t>2.</w:t>
            </w:r>
            <w:r w:rsidRPr="00D970F7">
              <w:rPr>
                <w:lang w:val="en-GB" w:eastAsia="en-US"/>
              </w:rPr>
              <w:t xml:space="preserve"> </w:t>
            </w:r>
            <w:r w:rsidR="00011B7F" w:rsidRPr="00D970F7">
              <w:rPr>
                <w:lang w:val="en-GB" w:eastAsia="en-US"/>
              </w:rPr>
              <w:t>In Q</w:t>
            </w:r>
            <w:r w:rsidR="00295E96" w:rsidRPr="00D970F7">
              <w:rPr>
                <w:lang w:val="en-GB" w:eastAsia="en-US"/>
              </w:rPr>
              <w:t>2</w:t>
            </w:r>
            <w:r w:rsidR="00011B7F" w:rsidRPr="00D970F7">
              <w:rPr>
                <w:lang w:val="en-GB" w:eastAsia="en-US"/>
              </w:rPr>
              <w:t xml:space="preserve"> nevertheless, the year-on-year decrease jumped to </w:t>
            </w:r>
            <w:r w:rsidR="00295E96" w:rsidRPr="00D970F7">
              <w:rPr>
                <w:lang w:val="en-GB" w:eastAsia="en-US"/>
              </w:rPr>
              <w:t>4</w:t>
            </w:r>
            <w:r w:rsidR="00011B7F" w:rsidRPr="00D970F7">
              <w:rPr>
                <w:lang w:val="en-GB" w:eastAsia="en-US"/>
              </w:rPr>
              <w:t>.</w:t>
            </w:r>
            <w:r w:rsidR="00295E96" w:rsidRPr="00D970F7">
              <w:rPr>
                <w:lang w:val="en-GB" w:eastAsia="en-US"/>
              </w:rPr>
              <w:t xml:space="preserve">1%. </w:t>
            </w:r>
            <w:r w:rsidR="00011B7F" w:rsidRPr="00D970F7">
              <w:rPr>
                <w:lang w:val="en-GB" w:eastAsia="en-US"/>
              </w:rPr>
              <w:t xml:space="preserve">Strong slump of prices of oil, which was felt globally, was the reason similarly as in the CR. </w:t>
            </w:r>
            <w:r w:rsidR="00C22389" w:rsidRPr="00D970F7">
              <w:rPr>
                <w:lang w:val="en-GB" w:eastAsia="en-US"/>
              </w:rPr>
              <w:t xml:space="preserve">Notable fall of prices of mining and quarrying </w:t>
            </w:r>
            <w:r w:rsidR="00295E96" w:rsidRPr="00D970F7">
              <w:rPr>
                <w:lang w:val="en-GB" w:eastAsia="en-US"/>
              </w:rPr>
              <w:t>(–13</w:t>
            </w:r>
            <w:r w:rsidR="00391175" w:rsidRPr="00D970F7">
              <w:rPr>
                <w:lang w:val="en-GB" w:eastAsia="en-US"/>
              </w:rPr>
              <w:t>.</w:t>
            </w:r>
            <w:r w:rsidR="00295E96" w:rsidRPr="00D970F7">
              <w:rPr>
                <w:lang w:val="en-GB" w:eastAsia="en-US"/>
              </w:rPr>
              <w:t>2%,</w:t>
            </w:r>
            <w:r w:rsidR="00391175" w:rsidRPr="00D970F7">
              <w:rPr>
                <w:lang w:val="en-GB" w:eastAsia="en-US"/>
              </w:rPr>
              <w:t xml:space="preserve"> mainly due to oil production</w:t>
            </w:r>
            <w:r w:rsidR="00295E96" w:rsidRPr="00D970F7">
              <w:rPr>
                <w:lang w:val="en-GB" w:eastAsia="en-US"/>
              </w:rPr>
              <w:t>)</w:t>
            </w:r>
            <w:r w:rsidR="00C22389" w:rsidRPr="00D970F7">
              <w:rPr>
                <w:lang w:val="en-GB" w:eastAsia="en-US"/>
              </w:rPr>
              <w:t xml:space="preserve"> continued in the Union in Q2</w:t>
            </w:r>
            <w:r w:rsidR="00295E96" w:rsidRPr="00D970F7">
              <w:rPr>
                <w:lang w:val="en-GB" w:eastAsia="en-US"/>
              </w:rPr>
              <w:t>,</w:t>
            </w:r>
            <w:r w:rsidR="00C22389" w:rsidRPr="00D970F7">
              <w:rPr>
                <w:lang w:val="en-GB" w:eastAsia="en-US"/>
              </w:rPr>
              <w:t xml:space="preserve"> but decrease of prices also deepened in manufacturing </w:t>
            </w:r>
            <w:r w:rsidR="00295E96" w:rsidRPr="00D970F7">
              <w:rPr>
                <w:lang w:val="en-GB" w:eastAsia="en-US"/>
              </w:rPr>
              <w:t>(–2</w:t>
            </w:r>
            <w:r w:rsidR="00C22389" w:rsidRPr="00D970F7">
              <w:rPr>
                <w:lang w:val="en-GB" w:eastAsia="en-US"/>
              </w:rPr>
              <w:t>.</w:t>
            </w:r>
            <w:r w:rsidR="00295E96" w:rsidRPr="00D970F7">
              <w:rPr>
                <w:lang w:val="en-GB" w:eastAsia="en-US"/>
              </w:rPr>
              <w:t xml:space="preserve">8%). </w:t>
            </w:r>
            <w:r w:rsidR="00C22389" w:rsidRPr="00D970F7">
              <w:rPr>
                <w:lang w:val="en-GB" w:eastAsia="en-US"/>
              </w:rPr>
              <w:t xml:space="preserve">Prices of electricity, gas, steam and air conditioning dropped by </w:t>
            </w:r>
            <w:r w:rsidR="00295E96" w:rsidRPr="00D970F7">
              <w:rPr>
                <w:lang w:val="en-GB" w:eastAsia="en-US"/>
              </w:rPr>
              <w:t>9</w:t>
            </w:r>
            <w:r w:rsidR="00C22389" w:rsidRPr="00D970F7">
              <w:rPr>
                <w:lang w:val="en-GB" w:eastAsia="en-US"/>
              </w:rPr>
              <w:t>.</w:t>
            </w:r>
            <w:r w:rsidR="00295E96" w:rsidRPr="00D970F7">
              <w:rPr>
                <w:lang w:val="en-GB" w:eastAsia="en-US"/>
              </w:rPr>
              <w:t>1%</w:t>
            </w:r>
            <w:r w:rsidR="00C22389" w:rsidRPr="00D970F7">
              <w:rPr>
                <w:lang w:val="en-GB" w:eastAsia="en-US"/>
              </w:rPr>
              <w:t xml:space="preserve"> year-on-year. Industrial producer prices increased only in Malta </w:t>
            </w:r>
            <w:r w:rsidR="00295E96" w:rsidRPr="00D970F7">
              <w:rPr>
                <w:lang w:val="en-GB" w:eastAsia="en-US"/>
              </w:rPr>
              <w:t>(1</w:t>
            </w:r>
            <w:r w:rsidR="00C22389" w:rsidRPr="00D970F7">
              <w:rPr>
                <w:lang w:val="en-GB" w:eastAsia="en-US"/>
              </w:rPr>
              <w:t>.</w:t>
            </w:r>
            <w:r w:rsidR="00295E96" w:rsidRPr="00D970F7">
              <w:rPr>
                <w:lang w:val="en-GB" w:eastAsia="en-US"/>
              </w:rPr>
              <w:t xml:space="preserve">4%), </w:t>
            </w:r>
            <w:r w:rsidR="00C22389" w:rsidRPr="00D970F7">
              <w:rPr>
                <w:lang w:val="en-GB" w:eastAsia="en-US"/>
              </w:rPr>
              <w:t xml:space="preserve">in Slovenia </w:t>
            </w:r>
            <w:r w:rsidR="00295E96" w:rsidRPr="00D970F7">
              <w:rPr>
                <w:lang w:val="en-GB" w:eastAsia="en-US"/>
              </w:rPr>
              <w:t>(0</w:t>
            </w:r>
            <w:r w:rsidR="00C22389" w:rsidRPr="00D970F7">
              <w:rPr>
                <w:lang w:val="en-GB" w:eastAsia="en-US"/>
              </w:rPr>
              <w:t>.</w:t>
            </w:r>
            <w:r w:rsidR="00295E96" w:rsidRPr="00D970F7">
              <w:rPr>
                <w:lang w:val="en-GB" w:eastAsia="en-US"/>
              </w:rPr>
              <w:t>3%) a</w:t>
            </w:r>
            <w:r w:rsidR="00C22389" w:rsidRPr="00D970F7">
              <w:rPr>
                <w:lang w:val="en-GB" w:eastAsia="en-US"/>
              </w:rPr>
              <w:t xml:space="preserve">nd in Slovakia </w:t>
            </w:r>
            <w:r w:rsidR="00295E96" w:rsidRPr="00D970F7">
              <w:rPr>
                <w:lang w:val="en-GB" w:eastAsia="en-US"/>
              </w:rPr>
              <w:t>(0</w:t>
            </w:r>
            <w:r w:rsidR="00C22389" w:rsidRPr="00D970F7">
              <w:rPr>
                <w:lang w:val="en-GB" w:eastAsia="en-US"/>
              </w:rPr>
              <w:t>.</w:t>
            </w:r>
            <w:r w:rsidR="00295E96" w:rsidRPr="00D970F7">
              <w:rPr>
                <w:lang w:val="en-GB" w:eastAsia="en-US"/>
              </w:rPr>
              <w:t>1%)</w:t>
            </w:r>
            <w:r w:rsidR="00C22389" w:rsidRPr="00D970F7">
              <w:rPr>
                <w:lang w:val="en-GB" w:eastAsia="en-US"/>
              </w:rPr>
              <w:t xml:space="preserve"> year-on-year in Q2</w:t>
            </w:r>
            <w:r w:rsidR="00295E96" w:rsidRPr="00D970F7">
              <w:rPr>
                <w:lang w:val="en-GB" w:eastAsia="en-US"/>
              </w:rPr>
              <w:t xml:space="preserve">. </w:t>
            </w:r>
            <w:r w:rsidR="00C22389" w:rsidRPr="00D970F7">
              <w:rPr>
                <w:lang w:val="en-GB" w:eastAsia="en-US"/>
              </w:rPr>
              <w:t xml:space="preserve">The deepest fall was on the contrary in Lithuania </w:t>
            </w:r>
            <w:r w:rsidR="00295E96" w:rsidRPr="00D970F7">
              <w:rPr>
                <w:lang w:val="en-GB" w:eastAsia="en-US"/>
              </w:rPr>
              <w:t>(–9</w:t>
            </w:r>
            <w:r w:rsidR="00C22389" w:rsidRPr="00D970F7">
              <w:rPr>
                <w:lang w:val="en-GB" w:eastAsia="en-US"/>
              </w:rPr>
              <w:t>.</w:t>
            </w:r>
            <w:r w:rsidR="00295E96" w:rsidRPr="00D970F7">
              <w:rPr>
                <w:lang w:val="en-GB" w:eastAsia="en-US"/>
              </w:rPr>
              <w:t xml:space="preserve">6%), </w:t>
            </w:r>
            <w:r w:rsidR="00C22389" w:rsidRPr="00D970F7">
              <w:rPr>
                <w:lang w:val="en-GB" w:eastAsia="en-US"/>
              </w:rPr>
              <w:t xml:space="preserve">Spain </w:t>
            </w:r>
            <w:r w:rsidR="00295E96" w:rsidRPr="00D970F7">
              <w:rPr>
                <w:lang w:val="en-GB" w:eastAsia="en-US"/>
              </w:rPr>
              <w:t>(–7</w:t>
            </w:r>
            <w:r w:rsidR="00C22389" w:rsidRPr="00D970F7">
              <w:rPr>
                <w:lang w:val="en-GB" w:eastAsia="en-US"/>
              </w:rPr>
              <w:t>.</w:t>
            </w:r>
            <w:r w:rsidR="00295E96" w:rsidRPr="00D970F7">
              <w:rPr>
                <w:lang w:val="en-GB" w:eastAsia="en-US"/>
              </w:rPr>
              <w:t>7%)</w:t>
            </w:r>
            <w:r w:rsidR="00C22389" w:rsidRPr="00D970F7">
              <w:rPr>
                <w:lang w:val="en-GB" w:eastAsia="en-US"/>
              </w:rPr>
              <w:t xml:space="preserve"> and Belgium </w:t>
            </w:r>
            <w:r w:rsidR="00295E96" w:rsidRPr="00D970F7">
              <w:rPr>
                <w:lang w:val="en-GB" w:eastAsia="en-US"/>
              </w:rPr>
              <w:t>(–7</w:t>
            </w:r>
            <w:r w:rsidR="00C22389" w:rsidRPr="00D970F7">
              <w:rPr>
                <w:lang w:val="en-GB" w:eastAsia="en-US"/>
              </w:rPr>
              <w:t>.</w:t>
            </w:r>
            <w:r w:rsidR="00295E96" w:rsidRPr="00D970F7">
              <w:rPr>
                <w:lang w:val="en-GB" w:eastAsia="en-US"/>
              </w:rPr>
              <w:t>5%).</w:t>
            </w:r>
          </w:p>
        </w:tc>
      </w:tr>
      <w:tr w:rsidR="00295E96" w:rsidRPr="00D970F7" w14:paraId="51A048FD" w14:textId="77777777" w:rsidTr="00CF6F9C">
        <w:trPr>
          <w:trHeight w:val="145"/>
        </w:trPr>
        <w:tc>
          <w:tcPr>
            <w:tcW w:w="1805" w:type="dxa"/>
            <w:hideMark/>
          </w:tcPr>
          <w:p w14:paraId="486E5B6A" w14:textId="2B22FCD7" w:rsidR="00295E96" w:rsidRPr="00D970F7" w:rsidRDefault="00391175" w:rsidP="00CF6F9C">
            <w:pPr>
              <w:pStyle w:val="Marginlie"/>
              <w:rPr>
                <w:spacing w:val="0"/>
                <w:lang w:val="en-GB" w:eastAsia="en-US"/>
              </w:rPr>
            </w:pPr>
            <w:r w:rsidRPr="00D970F7">
              <w:rPr>
                <w:spacing w:val="0"/>
                <w:lang w:val="en-GB" w:eastAsia="en-US"/>
              </w:rPr>
              <w:t>Growth of prices of market services slackened in Q</w:t>
            </w:r>
            <w:r w:rsidR="00295E96" w:rsidRPr="00D970F7">
              <w:rPr>
                <w:spacing w:val="0"/>
                <w:lang w:val="en-GB" w:eastAsia="en-US"/>
              </w:rPr>
              <w:t>2.</w:t>
            </w:r>
          </w:p>
        </w:tc>
        <w:tc>
          <w:tcPr>
            <w:tcW w:w="224" w:type="dxa"/>
          </w:tcPr>
          <w:p w14:paraId="4CB5D0AB" w14:textId="77777777" w:rsidR="00295E96" w:rsidRPr="00D970F7" w:rsidRDefault="00295E96" w:rsidP="00CF6F9C">
            <w:pPr>
              <w:pStyle w:val="Textpoznpodarou1"/>
              <w:jc w:val="both"/>
              <w:rPr>
                <w:lang w:val="en-GB" w:eastAsia="en-US"/>
              </w:rPr>
            </w:pPr>
          </w:p>
        </w:tc>
        <w:tc>
          <w:tcPr>
            <w:tcW w:w="7610" w:type="dxa"/>
            <w:hideMark/>
          </w:tcPr>
          <w:p w14:paraId="7612FDD2" w14:textId="095E9C1C" w:rsidR="00295E96" w:rsidRPr="00D970F7" w:rsidRDefault="00B471A7" w:rsidP="00CF6F9C">
            <w:pPr>
              <w:rPr>
                <w:lang w:val="en-GB" w:eastAsia="en-US"/>
              </w:rPr>
            </w:pPr>
            <w:r w:rsidRPr="00D970F7">
              <w:rPr>
                <w:lang w:val="en-GB" w:eastAsia="en-US"/>
              </w:rPr>
              <w:t xml:space="preserve">Year-on-year growth of prices of market </w:t>
            </w:r>
            <w:r w:rsidR="00EA53D8" w:rsidRPr="00D970F7">
              <w:rPr>
                <w:lang w:val="en-GB" w:eastAsia="en-US"/>
              </w:rPr>
              <w:t>s</w:t>
            </w:r>
            <w:r w:rsidRPr="00D970F7">
              <w:rPr>
                <w:lang w:val="en-GB" w:eastAsia="en-US"/>
              </w:rPr>
              <w:t xml:space="preserve">ervices slowed down to 2.1% in Q2. </w:t>
            </w:r>
            <w:r w:rsidR="00EA53D8" w:rsidRPr="00D970F7">
              <w:rPr>
                <w:lang w:val="en-GB" w:eastAsia="en-US"/>
              </w:rPr>
              <w:t>Slowdown</w:t>
            </w:r>
            <w:r w:rsidR="00557954" w:rsidRPr="00D970F7">
              <w:rPr>
                <w:lang w:val="en-GB" w:eastAsia="en-US"/>
              </w:rPr>
              <w:t xml:space="preserve"> of year-on-year dynamics was apparent across all branches. S</w:t>
            </w:r>
            <w:r w:rsidR="00557954" w:rsidRPr="00D970F7">
              <w:rPr>
                <w:lang w:val="en-GB"/>
              </w:rPr>
              <w:t xml:space="preserve">torage and support service activities in transportation contributed the most to total growth of market services </w:t>
            </w:r>
            <w:r w:rsidR="00295E96" w:rsidRPr="00D970F7">
              <w:rPr>
                <w:lang w:val="en-GB" w:eastAsia="en-US"/>
              </w:rPr>
              <w:t>(</w:t>
            </w:r>
            <w:r w:rsidR="00557954" w:rsidRPr="00D970F7">
              <w:rPr>
                <w:lang w:val="en-GB" w:eastAsia="en-US"/>
              </w:rPr>
              <w:t xml:space="preserve">year-on-year addition </w:t>
            </w:r>
            <w:r w:rsidR="00295E96" w:rsidRPr="00D970F7">
              <w:rPr>
                <w:lang w:val="en-GB" w:eastAsia="en-US"/>
              </w:rPr>
              <w:t>5</w:t>
            </w:r>
            <w:r w:rsidR="00557954" w:rsidRPr="00D970F7">
              <w:rPr>
                <w:lang w:val="en-GB" w:eastAsia="en-US"/>
              </w:rPr>
              <w:t>.</w:t>
            </w:r>
            <w:r w:rsidR="00295E96" w:rsidRPr="00D970F7">
              <w:rPr>
                <w:lang w:val="en-GB" w:eastAsia="en-US"/>
              </w:rPr>
              <w:t xml:space="preserve">0%). </w:t>
            </w:r>
            <w:r w:rsidR="00C90570" w:rsidRPr="00D970F7">
              <w:rPr>
                <w:lang w:val="en-GB" w:eastAsia="en-US"/>
              </w:rPr>
              <w:t>Further,</w:t>
            </w:r>
            <w:r w:rsidR="00557954" w:rsidRPr="00D970F7">
              <w:rPr>
                <w:lang w:val="en-GB" w:eastAsia="en-US"/>
              </w:rPr>
              <w:t xml:space="preserve"> it was services in the area of programming, consultancy and related activities </w:t>
            </w:r>
            <w:r w:rsidR="00295E96" w:rsidRPr="00D970F7">
              <w:rPr>
                <w:lang w:val="en-GB" w:eastAsia="en-US"/>
              </w:rPr>
              <w:t>(3</w:t>
            </w:r>
            <w:r w:rsidR="00557954" w:rsidRPr="00D970F7">
              <w:rPr>
                <w:lang w:val="en-GB" w:eastAsia="en-US"/>
              </w:rPr>
              <w:t>.</w:t>
            </w:r>
            <w:r w:rsidR="00295E96" w:rsidRPr="00D970F7">
              <w:rPr>
                <w:lang w:val="en-GB" w:eastAsia="en-US"/>
              </w:rPr>
              <w:t>1%)</w:t>
            </w:r>
            <w:r w:rsidR="00557954" w:rsidRPr="00D970F7">
              <w:rPr>
                <w:lang w:val="en-GB" w:eastAsia="en-US"/>
              </w:rPr>
              <w:t xml:space="preserve"> and real estate services </w:t>
            </w:r>
            <w:r w:rsidR="00295E96" w:rsidRPr="00D970F7">
              <w:rPr>
                <w:lang w:val="en-GB" w:eastAsia="en-US"/>
              </w:rPr>
              <w:t>(2</w:t>
            </w:r>
            <w:r w:rsidR="00557954" w:rsidRPr="00D970F7">
              <w:rPr>
                <w:lang w:val="en-GB" w:eastAsia="en-US"/>
              </w:rPr>
              <w:t>.</w:t>
            </w:r>
            <w:r w:rsidR="00295E96" w:rsidRPr="00D970F7">
              <w:rPr>
                <w:lang w:val="en-GB" w:eastAsia="en-US"/>
              </w:rPr>
              <w:t>9%,</w:t>
            </w:r>
            <w:r w:rsidR="00557954" w:rsidRPr="00D970F7">
              <w:rPr>
                <w:lang w:val="en-GB" w:eastAsia="en-US"/>
              </w:rPr>
              <w:t xml:space="preserve"> one of few branches, where the price growth slightly accelerated</w:t>
            </w:r>
            <w:r w:rsidR="00295E96" w:rsidRPr="00D970F7">
              <w:rPr>
                <w:lang w:val="en-GB" w:eastAsia="en-US"/>
              </w:rPr>
              <w:t xml:space="preserve">). </w:t>
            </w:r>
            <w:r w:rsidR="00FF23BA" w:rsidRPr="00D970F7">
              <w:rPr>
                <w:lang w:val="en-GB" w:eastAsia="en-US"/>
              </w:rPr>
              <w:t xml:space="preserve">Land and pipeline transport </w:t>
            </w:r>
            <w:r w:rsidR="00295E96" w:rsidRPr="00D970F7">
              <w:rPr>
                <w:lang w:val="en-GB" w:eastAsia="en-US"/>
              </w:rPr>
              <w:t>(1</w:t>
            </w:r>
            <w:r w:rsidR="00FF23BA" w:rsidRPr="00D970F7">
              <w:rPr>
                <w:lang w:val="en-GB" w:eastAsia="en-US"/>
              </w:rPr>
              <w:t>.</w:t>
            </w:r>
            <w:r w:rsidR="00295E96" w:rsidRPr="00D970F7">
              <w:rPr>
                <w:lang w:val="en-GB" w:eastAsia="en-US"/>
              </w:rPr>
              <w:t>4%),</w:t>
            </w:r>
            <w:r w:rsidR="00FF23BA" w:rsidRPr="00D970F7">
              <w:rPr>
                <w:lang w:val="en-GB" w:eastAsia="en-US"/>
              </w:rPr>
              <w:t xml:space="preserve"> where mild growth is compensated by the large weight of the branch in the economy, also added to the total dynamics</w:t>
            </w:r>
            <w:r w:rsidR="00295E96" w:rsidRPr="00D970F7">
              <w:rPr>
                <w:lang w:val="en-GB" w:eastAsia="en-US"/>
              </w:rPr>
              <w:t>.</w:t>
            </w:r>
            <w:r w:rsidR="00FF23BA" w:rsidRPr="00D970F7">
              <w:rPr>
                <w:lang w:val="en-GB" w:eastAsia="en-US"/>
              </w:rPr>
              <w:t xml:space="preserve"> Prices of insurance, reinsurance and </w:t>
            </w:r>
            <w:r w:rsidR="00FF23BA" w:rsidRPr="00D970F7">
              <w:rPr>
                <w:lang w:val="en-GB" w:eastAsia="en-US"/>
              </w:rPr>
              <w:lastRenderedPageBreak/>
              <w:t xml:space="preserve">pension funding rose by </w:t>
            </w:r>
            <w:r w:rsidR="00295E96" w:rsidRPr="00D970F7">
              <w:rPr>
                <w:lang w:val="en-GB" w:eastAsia="en-US"/>
              </w:rPr>
              <w:t>3</w:t>
            </w:r>
            <w:r w:rsidR="00FF23BA" w:rsidRPr="00D970F7">
              <w:rPr>
                <w:lang w:val="en-GB" w:eastAsia="en-US"/>
              </w:rPr>
              <w:t>.</w:t>
            </w:r>
            <w:r w:rsidR="00295E96" w:rsidRPr="00D970F7">
              <w:rPr>
                <w:lang w:val="en-GB" w:eastAsia="en-US"/>
              </w:rPr>
              <w:t>1%.</w:t>
            </w:r>
            <w:r w:rsidR="00FF23BA" w:rsidRPr="00D970F7">
              <w:rPr>
                <w:lang w:val="en-GB" w:eastAsia="en-US"/>
              </w:rPr>
              <w:t xml:space="preserve"> </w:t>
            </w:r>
            <w:r w:rsidR="001523D1" w:rsidRPr="00D970F7">
              <w:rPr>
                <w:lang w:val="en-GB" w:eastAsia="en-US"/>
              </w:rPr>
              <w:t xml:space="preserve">Services in the area of employment also increased their influence, strong year-on-year growth lasted </w:t>
            </w:r>
            <w:r w:rsidR="00295E96" w:rsidRPr="00D970F7">
              <w:rPr>
                <w:lang w:val="en-GB" w:eastAsia="en-US"/>
              </w:rPr>
              <w:t>(7</w:t>
            </w:r>
            <w:r w:rsidR="001523D1" w:rsidRPr="00D970F7">
              <w:rPr>
                <w:lang w:val="en-GB" w:eastAsia="en-US"/>
              </w:rPr>
              <w:t>.</w:t>
            </w:r>
            <w:r w:rsidR="00295E96" w:rsidRPr="00D970F7">
              <w:rPr>
                <w:lang w:val="en-GB" w:eastAsia="en-US"/>
              </w:rPr>
              <w:t xml:space="preserve">2%), </w:t>
            </w:r>
            <w:r w:rsidR="001523D1" w:rsidRPr="00D970F7">
              <w:rPr>
                <w:lang w:val="en-GB" w:eastAsia="en-US"/>
              </w:rPr>
              <w:t xml:space="preserve">even though slower compared to the previous quarter. </w:t>
            </w:r>
            <w:r w:rsidR="00EA312A" w:rsidRPr="00D970F7">
              <w:rPr>
                <w:lang w:val="en-GB" w:eastAsia="en-US"/>
              </w:rPr>
              <w:t xml:space="preserve">Growth slowdown of prices of services can be linked for once to the milder growth of wages, which have great effect on the pricing, the downturn of demand is however also connected. </w:t>
            </w:r>
            <w:r w:rsidR="00486CF6" w:rsidRPr="00D970F7">
              <w:rPr>
                <w:lang w:val="en-GB" w:eastAsia="en-US"/>
              </w:rPr>
              <w:t xml:space="preserve">It probably played a role in the substantial reduction of rate of growth of prices of advertising and market research </w:t>
            </w:r>
            <w:r w:rsidR="00295E96" w:rsidRPr="00D970F7">
              <w:rPr>
                <w:lang w:val="en-GB" w:eastAsia="en-US"/>
              </w:rPr>
              <w:t>(0</w:t>
            </w:r>
            <w:r w:rsidR="00486CF6" w:rsidRPr="00D970F7">
              <w:rPr>
                <w:lang w:val="en-GB" w:eastAsia="en-US"/>
              </w:rPr>
              <w:t>.</w:t>
            </w:r>
            <w:r w:rsidR="00295E96" w:rsidRPr="00D970F7">
              <w:rPr>
                <w:lang w:val="en-GB" w:eastAsia="en-US"/>
              </w:rPr>
              <w:t>7%).</w:t>
            </w:r>
          </w:p>
        </w:tc>
      </w:tr>
      <w:tr w:rsidR="00295E96" w:rsidRPr="00D970F7" w14:paraId="12CA7EE8" w14:textId="77777777" w:rsidTr="00CF6F9C">
        <w:trPr>
          <w:trHeight w:val="145"/>
        </w:trPr>
        <w:tc>
          <w:tcPr>
            <w:tcW w:w="1805" w:type="dxa"/>
            <w:hideMark/>
          </w:tcPr>
          <w:p w14:paraId="0D1CFABD" w14:textId="132E336B" w:rsidR="00295E96" w:rsidRPr="00D970F7" w:rsidRDefault="00630346" w:rsidP="00CF6F9C">
            <w:pPr>
              <w:pStyle w:val="Marginlie"/>
              <w:rPr>
                <w:spacing w:val="0"/>
                <w:lang w:val="en-GB" w:eastAsia="en-US"/>
              </w:rPr>
            </w:pPr>
            <w:r w:rsidRPr="00D970F7">
              <w:rPr>
                <w:spacing w:val="0"/>
                <w:lang w:val="en-GB" w:eastAsia="en-US"/>
              </w:rPr>
              <w:lastRenderedPageBreak/>
              <w:t xml:space="preserve">Prices of agricultural production decreased. Both prices of plant and animal production were falling. </w:t>
            </w:r>
          </w:p>
        </w:tc>
        <w:tc>
          <w:tcPr>
            <w:tcW w:w="224" w:type="dxa"/>
          </w:tcPr>
          <w:p w14:paraId="2BCBDC8F" w14:textId="77777777" w:rsidR="00295E96" w:rsidRPr="00D970F7" w:rsidRDefault="00295E96" w:rsidP="00CF6F9C">
            <w:pPr>
              <w:pStyle w:val="Textpoznpodarou1"/>
              <w:jc w:val="both"/>
              <w:rPr>
                <w:lang w:val="en-GB" w:eastAsia="en-US"/>
              </w:rPr>
            </w:pPr>
          </w:p>
        </w:tc>
        <w:tc>
          <w:tcPr>
            <w:tcW w:w="7610" w:type="dxa"/>
            <w:hideMark/>
          </w:tcPr>
          <w:p w14:paraId="46D920C2" w14:textId="4CE96D14" w:rsidR="00295E96" w:rsidRPr="00D970F7" w:rsidRDefault="00391175" w:rsidP="00853FD1">
            <w:pPr>
              <w:rPr>
                <w:spacing w:val="-2"/>
                <w:lang w:val="en-GB" w:eastAsia="en-US"/>
              </w:rPr>
            </w:pPr>
            <w:r w:rsidRPr="00D970F7">
              <w:rPr>
                <w:spacing w:val="-2"/>
                <w:lang w:val="en-GB" w:eastAsia="en-US"/>
              </w:rPr>
              <w:t xml:space="preserve">Prices of </w:t>
            </w:r>
            <w:r w:rsidR="00FF29D8" w:rsidRPr="00D970F7">
              <w:rPr>
                <w:spacing w:val="-2"/>
                <w:lang w:val="en-GB" w:eastAsia="en-US"/>
              </w:rPr>
              <w:t>agricultural</w:t>
            </w:r>
            <w:r w:rsidRPr="00D970F7">
              <w:rPr>
                <w:spacing w:val="-2"/>
                <w:lang w:val="en-GB" w:eastAsia="en-US"/>
              </w:rPr>
              <w:t xml:space="preserve"> output (including fish) fell by 3.2% year-on-year in Q2. Both prices of animal and plant production went down. </w:t>
            </w:r>
            <w:r w:rsidR="00FF29D8" w:rsidRPr="00D970F7">
              <w:rPr>
                <w:spacing w:val="-2"/>
                <w:lang w:val="en-GB" w:eastAsia="en-US"/>
              </w:rPr>
              <w:t xml:space="preserve">Plan production featured moderation of decrease to </w:t>
            </w:r>
            <w:r w:rsidR="00295E96" w:rsidRPr="00D970F7">
              <w:rPr>
                <w:spacing w:val="-2"/>
                <w:lang w:val="en-GB" w:eastAsia="en-US"/>
              </w:rPr>
              <w:t>–5</w:t>
            </w:r>
            <w:r w:rsidR="00FF29D8" w:rsidRPr="00D970F7">
              <w:rPr>
                <w:spacing w:val="-2"/>
                <w:lang w:val="en-GB" w:eastAsia="en-US"/>
              </w:rPr>
              <w:t>.</w:t>
            </w:r>
            <w:r w:rsidR="00295E96" w:rsidRPr="00D970F7">
              <w:rPr>
                <w:spacing w:val="-2"/>
                <w:lang w:val="en-GB" w:eastAsia="en-US"/>
              </w:rPr>
              <w:t xml:space="preserve">6%. </w:t>
            </w:r>
            <w:r w:rsidR="00FF29D8" w:rsidRPr="00D970F7">
              <w:rPr>
                <w:spacing w:val="-2"/>
                <w:lang w:val="en-GB" w:eastAsia="en-US"/>
              </w:rPr>
              <w:t xml:space="preserve">Decrease continued for prices of cereals </w:t>
            </w:r>
            <w:r w:rsidR="00295E96" w:rsidRPr="00D970F7">
              <w:rPr>
                <w:spacing w:val="-2"/>
                <w:lang w:val="en-GB" w:eastAsia="en-US"/>
              </w:rPr>
              <w:t>(–7</w:t>
            </w:r>
            <w:r w:rsidR="00FF29D8" w:rsidRPr="00D970F7">
              <w:rPr>
                <w:spacing w:val="-2"/>
                <w:lang w:val="en-GB" w:eastAsia="en-US"/>
              </w:rPr>
              <w:t>.</w:t>
            </w:r>
            <w:r w:rsidR="00295E96" w:rsidRPr="00D970F7">
              <w:rPr>
                <w:spacing w:val="-2"/>
                <w:lang w:val="en-GB" w:eastAsia="en-US"/>
              </w:rPr>
              <w:t xml:space="preserve">5%), </w:t>
            </w:r>
            <w:r w:rsidR="00FF29D8" w:rsidRPr="00D970F7">
              <w:rPr>
                <w:spacing w:val="-2"/>
                <w:lang w:val="en-GB" w:eastAsia="en-US"/>
              </w:rPr>
              <w:t xml:space="preserve">mainly weight significant wheat </w:t>
            </w:r>
            <w:r w:rsidR="00295E96" w:rsidRPr="00D970F7">
              <w:rPr>
                <w:spacing w:val="-2"/>
                <w:lang w:val="en-GB" w:eastAsia="en-US"/>
              </w:rPr>
              <w:t>(–7</w:t>
            </w:r>
            <w:r w:rsidR="00FF29D8" w:rsidRPr="00D970F7">
              <w:rPr>
                <w:spacing w:val="-2"/>
                <w:lang w:val="en-GB" w:eastAsia="en-US"/>
              </w:rPr>
              <w:t>.</w:t>
            </w:r>
            <w:r w:rsidR="00295E96" w:rsidRPr="00D970F7">
              <w:rPr>
                <w:spacing w:val="-2"/>
                <w:lang w:val="en-GB" w:eastAsia="en-US"/>
              </w:rPr>
              <w:t xml:space="preserve">3%). </w:t>
            </w:r>
            <w:r w:rsidR="00FF29D8" w:rsidRPr="00D970F7">
              <w:rPr>
                <w:spacing w:val="-2"/>
                <w:lang w:val="en-GB" w:eastAsia="en-US"/>
              </w:rPr>
              <w:t xml:space="preserve">Prices of other cereals were however also falling </w:t>
            </w:r>
            <w:r w:rsidR="00295E96" w:rsidRPr="00D970F7">
              <w:rPr>
                <w:spacing w:val="-2"/>
                <w:lang w:val="en-GB" w:eastAsia="en-US"/>
              </w:rPr>
              <w:t>(</w:t>
            </w:r>
            <w:r w:rsidR="00FF29D8" w:rsidRPr="00D970F7">
              <w:rPr>
                <w:spacing w:val="-2"/>
                <w:lang w:val="en-GB" w:eastAsia="en-US"/>
              </w:rPr>
              <w:t>rye</w:t>
            </w:r>
            <w:r w:rsidR="00295E96" w:rsidRPr="00D970F7">
              <w:rPr>
                <w:spacing w:val="-2"/>
                <w:lang w:val="en-GB" w:eastAsia="en-US"/>
              </w:rPr>
              <w:t xml:space="preserve"> –11</w:t>
            </w:r>
            <w:r w:rsidR="00FF29D8" w:rsidRPr="00D970F7">
              <w:rPr>
                <w:spacing w:val="-2"/>
                <w:lang w:val="en-GB" w:eastAsia="en-US"/>
              </w:rPr>
              <w:t>.</w:t>
            </w:r>
            <w:r w:rsidR="00295E96" w:rsidRPr="00D970F7">
              <w:rPr>
                <w:spacing w:val="-2"/>
                <w:lang w:val="en-GB" w:eastAsia="en-US"/>
              </w:rPr>
              <w:t xml:space="preserve">4%, </w:t>
            </w:r>
            <w:r w:rsidR="00FF29D8" w:rsidRPr="00D970F7">
              <w:rPr>
                <w:spacing w:val="-2"/>
                <w:lang w:val="en-GB" w:eastAsia="en-US"/>
              </w:rPr>
              <w:t xml:space="preserve">barley </w:t>
            </w:r>
            <w:r w:rsidR="00295E96" w:rsidRPr="00D970F7">
              <w:rPr>
                <w:spacing w:val="-2"/>
                <w:lang w:val="en-GB" w:eastAsia="en-US"/>
              </w:rPr>
              <w:t>–8</w:t>
            </w:r>
            <w:r w:rsidR="00FF29D8" w:rsidRPr="00D970F7">
              <w:rPr>
                <w:spacing w:val="-2"/>
                <w:lang w:val="en-GB" w:eastAsia="en-US"/>
              </w:rPr>
              <w:t>.</w:t>
            </w:r>
            <w:r w:rsidR="00295E96" w:rsidRPr="00D970F7">
              <w:rPr>
                <w:spacing w:val="-2"/>
                <w:lang w:val="en-GB" w:eastAsia="en-US"/>
              </w:rPr>
              <w:t xml:space="preserve">4%). </w:t>
            </w:r>
            <w:r w:rsidR="002751B5" w:rsidRPr="00D970F7">
              <w:rPr>
                <w:spacing w:val="-2"/>
                <w:lang w:val="en-GB" w:eastAsia="en-US"/>
              </w:rPr>
              <w:t xml:space="preserve">Reason can be seen mainly in the high comparative basis of the last year. Prices of industrial crop decreased by </w:t>
            </w:r>
            <w:r w:rsidR="00295E96" w:rsidRPr="00D970F7">
              <w:rPr>
                <w:spacing w:val="-2"/>
                <w:lang w:val="en-GB" w:eastAsia="en-US"/>
              </w:rPr>
              <w:t>2</w:t>
            </w:r>
            <w:r w:rsidR="002751B5" w:rsidRPr="00D970F7">
              <w:rPr>
                <w:spacing w:val="-2"/>
                <w:lang w:val="en-GB" w:eastAsia="en-US"/>
              </w:rPr>
              <w:t>.</w:t>
            </w:r>
            <w:r w:rsidR="00295E96" w:rsidRPr="00D970F7">
              <w:rPr>
                <w:spacing w:val="-2"/>
                <w:lang w:val="en-GB" w:eastAsia="en-US"/>
              </w:rPr>
              <w:t xml:space="preserve">6%, </w:t>
            </w:r>
            <w:r w:rsidR="002751B5" w:rsidRPr="00D970F7">
              <w:rPr>
                <w:spacing w:val="-2"/>
                <w:lang w:val="en-GB" w:eastAsia="en-US"/>
              </w:rPr>
              <w:t xml:space="preserve">mostly under the influence of oil plants </w:t>
            </w:r>
            <w:r w:rsidR="00295E96" w:rsidRPr="00D970F7">
              <w:rPr>
                <w:spacing w:val="-2"/>
                <w:lang w:val="en-GB" w:eastAsia="en-US"/>
              </w:rPr>
              <w:t>(</w:t>
            </w:r>
            <w:r w:rsidR="00853FD1">
              <w:rPr>
                <w:spacing w:val="-2"/>
                <w:lang w:val="en-GB" w:eastAsia="en-US"/>
              </w:rPr>
              <w:noBreakHyphen/>
            </w:r>
            <w:r w:rsidR="00295E96" w:rsidRPr="00D970F7">
              <w:rPr>
                <w:spacing w:val="-2"/>
                <w:lang w:val="en-GB" w:eastAsia="en-US"/>
              </w:rPr>
              <w:t>2</w:t>
            </w:r>
            <w:r w:rsidR="002751B5" w:rsidRPr="00D970F7">
              <w:rPr>
                <w:spacing w:val="-2"/>
                <w:lang w:val="en-GB" w:eastAsia="en-US"/>
              </w:rPr>
              <w:t>.</w:t>
            </w:r>
            <w:r w:rsidR="00295E96" w:rsidRPr="00D970F7">
              <w:rPr>
                <w:spacing w:val="-2"/>
                <w:lang w:val="en-GB" w:eastAsia="en-US"/>
              </w:rPr>
              <w:t>7%),</w:t>
            </w:r>
            <w:r w:rsidR="002751B5" w:rsidRPr="00D970F7">
              <w:rPr>
                <w:spacing w:val="-2"/>
                <w:lang w:val="en-GB" w:eastAsia="en-US"/>
              </w:rPr>
              <w:t xml:space="preserve"> where nevertheless the development of prices of oilseed rape seeds </w:t>
            </w:r>
            <w:r w:rsidR="00295E96" w:rsidRPr="00D970F7">
              <w:rPr>
                <w:spacing w:val="-2"/>
                <w:lang w:val="en-GB" w:eastAsia="en-US"/>
              </w:rPr>
              <w:t>(</w:t>
            </w:r>
            <w:r w:rsidR="002751B5" w:rsidRPr="00D970F7">
              <w:rPr>
                <w:spacing w:val="-2"/>
                <w:lang w:val="en-GB" w:eastAsia="en-US"/>
              </w:rPr>
              <w:t xml:space="preserve">growth by </w:t>
            </w:r>
            <w:r w:rsidR="00295E96" w:rsidRPr="00D970F7">
              <w:rPr>
                <w:spacing w:val="-2"/>
                <w:lang w:val="en-GB" w:eastAsia="en-US"/>
              </w:rPr>
              <w:t>5</w:t>
            </w:r>
            <w:r w:rsidR="002751B5" w:rsidRPr="00D970F7">
              <w:rPr>
                <w:spacing w:val="-2"/>
                <w:lang w:val="en-GB" w:eastAsia="en-US"/>
              </w:rPr>
              <w:t>.</w:t>
            </w:r>
            <w:r w:rsidR="00295E96" w:rsidRPr="00D970F7">
              <w:rPr>
                <w:spacing w:val="-2"/>
                <w:lang w:val="en-GB" w:eastAsia="en-US"/>
              </w:rPr>
              <w:t>7%) a</w:t>
            </w:r>
            <w:r w:rsidR="002751B5" w:rsidRPr="00D970F7">
              <w:rPr>
                <w:spacing w:val="-2"/>
                <w:lang w:val="en-GB" w:eastAsia="en-US"/>
              </w:rPr>
              <w:t xml:space="preserve">nd poppy seeds </w:t>
            </w:r>
            <w:r w:rsidR="00295E96" w:rsidRPr="00D970F7">
              <w:rPr>
                <w:spacing w:val="-2"/>
                <w:lang w:val="en-GB" w:eastAsia="en-US"/>
              </w:rPr>
              <w:t>(</w:t>
            </w:r>
            <w:r w:rsidR="002751B5" w:rsidRPr="00D970F7">
              <w:rPr>
                <w:spacing w:val="-2"/>
                <w:lang w:val="en-GB" w:eastAsia="en-US"/>
              </w:rPr>
              <w:t xml:space="preserve">decrease by </w:t>
            </w:r>
            <w:r w:rsidR="00295E96" w:rsidRPr="00D970F7">
              <w:rPr>
                <w:spacing w:val="-2"/>
                <w:lang w:val="en-GB" w:eastAsia="en-US"/>
              </w:rPr>
              <w:t>34</w:t>
            </w:r>
            <w:r w:rsidR="002751B5" w:rsidRPr="00D970F7">
              <w:rPr>
                <w:spacing w:val="-2"/>
                <w:lang w:val="en-GB" w:eastAsia="en-US"/>
              </w:rPr>
              <w:t>.</w:t>
            </w:r>
            <w:r w:rsidR="00295E96" w:rsidRPr="00D970F7">
              <w:rPr>
                <w:spacing w:val="-2"/>
                <w:lang w:val="en-GB" w:eastAsia="en-US"/>
              </w:rPr>
              <w:t>2%)</w:t>
            </w:r>
            <w:r w:rsidR="002751B5" w:rsidRPr="00D970F7">
              <w:rPr>
                <w:spacing w:val="-2"/>
                <w:lang w:val="en-GB" w:eastAsia="en-US"/>
              </w:rPr>
              <w:t xml:space="preserve"> diverged</w:t>
            </w:r>
            <w:r w:rsidR="00295E96" w:rsidRPr="00D970F7">
              <w:rPr>
                <w:spacing w:val="-2"/>
                <w:lang w:val="en-GB" w:eastAsia="en-US"/>
              </w:rPr>
              <w:t xml:space="preserve">. </w:t>
            </w:r>
            <w:r w:rsidR="0035716C" w:rsidRPr="00D970F7">
              <w:rPr>
                <w:spacing w:val="-2"/>
                <w:lang w:val="en-GB" w:eastAsia="en-US"/>
              </w:rPr>
              <w:t xml:space="preserve">Prices of potatoes also dived </w:t>
            </w:r>
            <w:r w:rsidR="00295E96" w:rsidRPr="00D970F7">
              <w:rPr>
                <w:spacing w:val="-2"/>
                <w:lang w:val="en-GB" w:eastAsia="en-US"/>
              </w:rPr>
              <w:t>(</w:t>
            </w:r>
            <w:r w:rsidR="00853FD1">
              <w:rPr>
                <w:spacing w:val="-2"/>
                <w:lang w:val="en-GB" w:eastAsia="en-US"/>
              </w:rPr>
              <w:noBreakHyphen/>
            </w:r>
            <w:r w:rsidR="00295E96" w:rsidRPr="00D970F7">
              <w:rPr>
                <w:spacing w:val="-2"/>
                <w:lang w:val="en-GB" w:eastAsia="en-US"/>
              </w:rPr>
              <w:t>19</w:t>
            </w:r>
            <w:r w:rsidR="0035716C" w:rsidRPr="00D970F7">
              <w:rPr>
                <w:spacing w:val="-2"/>
                <w:lang w:val="en-GB" w:eastAsia="en-US"/>
              </w:rPr>
              <w:t>.</w:t>
            </w:r>
            <w:r w:rsidR="00295E96" w:rsidRPr="00D970F7">
              <w:rPr>
                <w:spacing w:val="-2"/>
                <w:lang w:val="en-GB" w:eastAsia="en-US"/>
              </w:rPr>
              <w:t>3%),</w:t>
            </w:r>
            <w:r w:rsidR="0035716C" w:rsidRPr="00D970F7">
              <w:rPr>
                <w:spacing w:val="-2"/>
                <w:lang w:val="en-GB" w:eastAsia="en-US"/>
              </w:rPr>
              <w:t xml:space="preserve"> but due to the sharp increase in the past year </w:t>
            </w:r>
            <w:r w:rsidR="00295E96" w:rsidRPr="00D970F7">
              <w:rPr>
                <w:spacing w:val="-2"/>
                <w:lang w:val="en-GB" w:eastAsia="en-US"/>
              </w:rPr>
              <w:t>(74</w:t>
            </w:r>
            <w:r w:rsidR="0035716C" w:rsidRPr="00D970F7">
              <w:rPr>
                <w:spacing w:val="-2"/>
                <w:lang w:val="en-GB" w:eastAsia="en-US"/>
              </w:rPr>
              <w:t>.</w:t>
            </w:r>
            <w:r w:rsidR="00295E96" w:rsidRPr="00D970F7">
              <w:rPr>
                <w:spacing w:val="-2"/>
                <w:lang w:val="en-GB" w:eastAsia="en-US"/>
              </w:rPr>
              <w:t>7%</w:t>
            </w:r>
            <w:r w:rsidR="0035716C" w:rsidRPr="00D970F7">
              <w:rPr>
                <w:spacing w:val="-2"/>
                <w:lang w:val="en-GB" w:eastAsia="en-US"/>
              </w:rPr>
              <w:t xml:space="preserve"> in Q</w:t>
            </w:r>
            <w:r w:rsidR="00295E96" w:rsidRPr="00D970F7">
              <w:rPr>
                <w:spacing w:val="-2"/>
                <w:lang w:val="en-GB" w:eastAsia="en-US"/>
              </w:rPr>
              <w:t>2</w:t>
            </w:r>
            <w:r w:rsidR="0035716C" w:rsidRPr="00D970F7">
              <w:rPr>
                <w:spacing w:val="-2"/>
                <w:lang w:val="en-GB" w:eastAsia="en-US"/>
              </w:rPr>
              <w:t xml:space="preserve"> </w:t>
            </w:r>
            <w:r w:rsidR="00295E96" w:rsidRPr="00D970F7">
              <w:rPr>
                <w:spacing w:val="-2"/>
                <w:lang w:val="en-GB" w:eastAsia="en-US"/>
              </w:rPr>
              <w:t>2019)</w:t>
            </w:r>
            <w:r w:rsidR="0035716C" w:rsidRPr="00D970F7">
              <w:rPr>
                <w:spacing w:val="-2"/>
                <w:lang w:val="en-GB" w:eastAsia="en-US"/>
              </w:rPr>
              <w:t xml:space="preserve"> their </w:t>
            </w:r>
            <w:r w:rsidR="00853FD1" w:rsidRPr="00D970F7">
              <w:rPr>
                <w:spacing w:val="-2"/>
                <w:lang w:val="en-GB" w:eastAsia="en-US"/>
              </w:rPr>
              <w:t>prices</w:t>
            </w:r>
            <w:r w:rsidR="0035716C" w:rsidRPr="00D970F7">
              <w:rPr>
                <w:spacing w:val="-2"/>
                <w:lang w:val="en-GB" w:eastAsia="en-US"/>
              </w:rPr>
              <w:t xml:space="preserve"> remain at high level </w:t>
            </w:r>
            <w:r w:rsidR="00295E96" w:rsidRPr="00D970F7">
              <w:rPr>
                <w:spacing w:val="-2"/>
                <w:lang w:val="en-GB" w:eastAsia="en-US"/>
              </w:rPr>
              <w:t>(30</w:t>
            </w:r>
            <w:r w:rsidR="0035716C" w:rsidRPr="00D970F7">
              <w:rPr>
                <w:spacing w:val="-2"/>
                <w:lang w:val="en-GB" w:eastAsia="en-US"/>
              </w:rPr>
              <w:t>.</w:t>
            </w:r>
            <w:r w:rsidR="00295E96" w:rsidRPr="00D970F7">
              <w:rPr>
                <w:spacing w:val="-2"/>
                <w:lang w:val="en-GB" w:eastAsia="en-US"/>
              </w:rPr>
              <w:t>4%</w:t>
            </w:r>
            <w:r w:rsidR="0035716C" w:rsidRPr="00D970F7">
              <w:rPr>
                <w:spacing w:val="-2"/>
                <w:lang w:val="en-GB" w:eastAsia="en-US"/>
              </w:rPr>
              <w:t xml:space="preserve"> above the average of year </w:t>
            </w:r>
            <w:r w:rsidR="00295E96" w:rsidRPr="00D970F7">
              <w:rPr>
                <w:spacing w:val="-2"/>
                <w:lang w:val="en-GB" w:eastAsia="en-US"/>
              </w:rPr>
              <w:t xml:space="preserve">2015). </w:t>
            </w:r>
            <w:r w:rsidR="00AA7046" w:rsidRPr="00D970F7">
              <w:rPr>
                <w:spacing w:val="-2"/>
                <w:lang w:val="en-GB" w:eastAsia="en-US"/>
              </w:rPr>
              <w:t>Price</w:t>
            </w:r>
            <w:r w:rsidR="00F11574" w:rsidRPr="00D970F7">
              <w:rPr>
                <w:spacing w:val="-2"/>
                <w:lang w:val="en-GB" w:eastAsia="en-US"/>
              </w:rPr>
              <w:t>s</w:t>
            </w:r>
            <w:r w:rsidR="00AA7046" w:rsidRPr="00D970F7">
              <w:rPr>
                <w:spacing w:val="-2"/>
                <w:lang w:val="en-GB" w:eastAsia="en-US"/>
              </w:rPr>
              <w:t xml:space="preserve"> of fruit also hiked up year-on-year </w:t>
            </w:r>
            <w:r w:rsidR="00295E96" w:rsidRPr="00D970F7">
              <w:rPr>
                <w:spacing w:val="-2"/>
                <w:lang w:val="en-GB" w:eastAsia="en-US"/>
              </w:rPr>
              <w:t>(38</w:t>
            </w:r>
            <w:r w:rsidR="00AA7046" w:rsidRPr="00D970F7">
              <w:rPr>
                <w:spacing w:val="-2"/>
                <w:lang w:val="en-GB" w:eastAsia="en-US"/>
              </w:rPr>
              <w:t>.</w:t>
            </w:r>
            <w:r w:rsidR="00295E96" w:rsidRPr="00D970F7">
              <w:rPr>
                <w:spacing w:val="-2"/>
                <w:lang w:val="en-GB" w:eastAsia="en-US"/>
              </w:rPr>
              <w:t>7%),</w:t>
            </w:r>
            <w:r w:rsidR="00AA7046" w:rsidRPr="00D970F7">
              <w:rPr>
                <w:spacing w:val="-2"/>
                <w:lang w:val="en-GB" w:eastAsia="en-US"/>
              </w:rPr>
              <w:t xml:space="preserve"> especially apples </w:t>
            </w:r>
            <w:r w:rsidR="00295E96" w:rsidRPr="00D970F7">
              <w:rPr>
                <w:spacing w:val="-2"/>
                <w:lang w:val="en-GB" w:eastAsia="en-US"/>
              </w:rPr>
              <w:t>(79</w:t>
            </w:r>
            <w:r w:rsidR="00AA7046" w:rsidRPr="00D970F7">
              <w:rPr>
                <w:spacing w:val="-2"/>
                <w:lang w:val="en-GB" w:eastAsia="en-US"/>
              </w:rPr>
              <w:t>.</w:t>
            </w:r>
            <w:r w:rsidR="00295E96" w:rsidRPr="00D970F7">
              <w:rPr>
                <w:spacing w:val="-2"/>
                <w:lang w:val="en-GB" w:eastAsia="en-US"/>
              </w:rPr>
              <w:t>7%).</w:t>
            </w:r>
            <w:r w:rsidR="00AA7046" w:rsidRPr="00D970F7">
              <w:rPr>
                <w:spacing w:val="-2"/>
                <w:lang w:val="en-GB" w:eastAsia="en-US"/>
              </w:rPr>
              <w:t xml:space="preserve"> Prices of animal production fell by </w:t>
            </w:r>
            <w:r w:rsidR="00295E96" w:rsidRPr="00D970F7">
              <w:rPr>
                <w:spacing w:val="-2"/>
                <w:lang w:val="en-GB" w:eastAsia="en-US"/>
              </w:rPr>
              <w:t>0</w:t>
            </w:r>
            <w:r w:rsidR="00AA7046" w:rsidRPr="00D970F7">
              <w:rPr>
                <w:spacing w:val="-2"/>
                <w:lang w:val="en-GB" w:eastAsia="en-US"/>
              </w:rPr>
              <w:t>.</w:t>
            </w:r>
            <w:r w:rsidR="00295E96" w:rsidRPr="00D970F7">
              <w:rPr>
                <w:spacing w:val="-2"/>
                <w:lang w:val="en-GB" w:eastAsia="en-US"/>
              </w:rPr>
              <w:t>6%.</w:t>
            </w:r>
            <w:r w:rsidR="00AA7046" w:rsidRPr="00D970F7">
              <w:rPr>
                <w:spacing w:val="-2"/>
                <w:lang w:val="en-GB" w:eastAsia="en-US"/>
              </w:rPr>
              <w:t xml:space="preserve"> </w:t>
            </w:r>
            <w:r w:rsidR="00D93D3C" w:rsidRPr="00D970F7">
              <w:rPr>
                <w:spacing w:val="-2"/>
                <w:lang w:val="en-GB" w:eastAsia="en-US"/>
              </w:rPr>
              <w:t xml:space="preserve">The growth of prices </w:t>
            </w:r>
            <w:r w:rsidR="00F11574" w:rsidRPr="00D970F7">
              <w:rPr>
                <w:spacing w:val="-2"/>
                <w:lang w:val="en-GB" w:eastAsia="en-US"/>
              </w:rPr>
              <w:t xml:space="preserve">of </w:t>
            </w:r>
            <w:r w:rsidR="00D93D3C" w:rsidRPr="00D970F7">
              <w:rPr>
                <w:spacing w:val="-2"/>
                <w:lang w:val="en-GB" w:eastAsia="en-US"/>
              </w:rPr>
              <w:t xml:space="preserve">farm animals, especially pigs and piglets considerably moderated </w:t>
            </w:r>
            <w:r w:rsidR="00295E96" w:rsidRPr="00D970F7">
              <w:rPr>
                <w:spacing w:val="-2"/>
                <w:lang w:val="en-GB" w:eastAsia="en-US"/>
              </w:rPr>
              <w:t>(11</w:t>
            </w:r>
            <w:r w:rsidR="00D93D3C" w:rsidRPr="00D970F7">
              <w:rPr>
                <w:spacing w:val="-2"/>
                <w:lang w:val="en-GB" w:eastAsia="en-US"/>
              </w:rPr>
              <w:t>.</w:t>
            </w:r>
            <w:r w:rsidR="00295E96" w:rsidRPr="00D970F7">
              <w:rPr>
                <w:spacing w:val="-2"/>
                <w:lang w:val="en-GB" w:eastAsia="en-US"/>
              </w:rPr>
              <w:t>2%).</w:t>
            </w:r>
            <w:r w:rsidR="00D93D3C" w:rsidRPr="00D970F7">
              <w:rPr>
                <w:spacing w:val="-2"/>
                <w:lang w:val="en-GB" w:eastAsia="en-US"/>
              </w:rPr>
              <w:t xml:space="preserve"> In case of other farm animals, the prices were falling </w:t>
            </w:r>
            <w:r w:rsidR="00295E96" w:rsidRPr="00D970F7">
              <w:rPr>
                <w:spacing w:val="-2"/>
                <w:lang w:val="en-GB" w:eastAsia="en-US"/>
              </w:rPr>
              <w:t>(</w:t>
            </w:r>
            <w:r w:rsidR="00D93D3C" w:rsidRPr="00D970F7">
              <w:rPr>
                <w:spacing w:val="-2"/>
                <w:lang w:val="en-GB" w:eastAsia="en-US"/>
              </w:rPr>
              <w:t>beef cattle</w:t>
            </w:r>
            <w:r w:rsidR="00295E96" w:rsidRPr="00D970F7">
              <w:rPr>
                <w:spacing w:val="-2"/>
                <w:lang w:val="en-GB" w:eastAsia="en-US"/>
              </w:rPr>
              <w:t xml:space="preserve"> </w:t>
            </w:r>
            <w:r w:rsidR="00853FD1">
              <w:rPr>
                <w:spacing w:val="-2"/>
                <w:lang w:val="en-GB" w:eastAsia="en-US"/>
              </w:rPr>
              <w:noBreakHyphen/>
            </w:r>
            <w:r w:rsidR="00295E96" w:rsidRPr="00D970F7">
              <w:rPr>
                <w:spacing w:val="-2"/>
                <w:lang w:val="en-GB" w:eastAsia="en-US"/>
              </w:rPr>
              <w:t>5</w:t>
            </w:r>
            <w:r w:rsidR="00D93D3C" w:rsidRPr="00D970F7">
              <w:rPr>
                <w:spacing w:val="-2"/>
                <w:lang w:val="en-GB" w:eastAsia="en-US"/>
              </w:rPr>
              <w:t>.</w:t>
            </w:r>
            <w:r w:rsidR="00295E96" w:rsidRPr="00D970F7">
              <w:rPr>
                <w:spacing w:val="-2"/>
                <w:lang w:val="en-GB" w:eastAsia="en-US"/>
              </w:rPr>
              <w:t xml:space="preserve">9%, </w:t>
            </w:r>
            <w:r w:rsidR="00D93D3C" w:rsidRPr="00D970F7">
              <w:rPr>
                <w:spacing w:val="-2"/>
                <w:lang w:val="en-GB" w:eastAsia="en-US"/>
              </w:rPr>
              <w:t>poultry</w:t>
            </w:r>
            <w:r w:rsidR="00295E96" w:rsidRPr="00D970F7">
              <w:rPr>
                <w:spacing w:val="-2"/>
                <w:lang w:val="en-GB" w:eastAsia="en-US"/>
              </w:rPr>
              <w:t xml:space="preserve"> –1</w:t>
            </w:r>
            <w:r w:rsidR="00D93D3C" w:rsidRPr="00D970F7">
              <w:rPr>
                <w:spacing w:val="-2"/>
                <w:lang w:val="en-GB" w:eastAsia="en-US"/>
              </w:rPr>
              <w:t>.</w:t>
            </w:r>
            <w:r w:rsidR="00295E96" w:rsidRPr="00D970F7">
              <w:rPr>
                <w:spacing w:val="-2"/>
                <w:lang w:val="en-GB" w:eastAsia="en-US"/>
              </w:rPr>
              <w:t>5%).</w:t>
            </w:r>
            <w:r w:rsidR="00D93D3C" w:rsidRPr="00D970F7">
              <w:rPr>
                <w:spacing w:val="-2"/>
                <w:lang w:val="en-GB" w:eastAsia="en-US"/>
              </w:rPr>
              <w:t xml:space="preserve"> Price of milk were decreasing </w:t>
            </w:r>
            <w:r w:rsidR="00295E96" w:rsidRPr="00D970F7">
              <w:rPr>
                <w:spacing w:val="-2"/>
                <w:lang w:val="en-GB" w:eastAsia="en-US"/>
              </w:rPr>
              <w:t>(–3</w:t>
            </w:r>
            <w:r w:rsidR="00D93D3C" w:rsidRPr="00D970F7">
              <w:rPr>
                <w:spacing w:val="-2"/>
                <w:lang w:val="en-GB" w:eastAsia="en-US"/>
              </w:rPr>
              <w:t>.</w:t>
            </w:r>
            <w:r w:rsidR="00295E96" w:rsidRPr="00D970F7">
              <w:rPr>
                <w:spacing w:val="-2"/>
                <w:lang w:val="en-GB" w:eastAsia="en-US"/>
              </w:rPr>
              <w:t xml:space="preserve">8%) </w:t>
            </w:r>
            <w:r w:rsidR="00D93D3C" w:rsidRPr="00D970F7">
              <w:rPr>
                <w:spacing w:val="-2"/>
                <w:lang w:val="en-GB" w:eastAsia="en-US"/>
              </w:rPr>
              <w:t xml:space="preserve">and on the contrary prices of eggs went up </w:t>
            </w:r>
            <w:r w:rsidR="00295E96" w:rsidRPr="00D970F7">
              <w:rPr>
                <w:spacing w:val="-2"/>
                <w:lang w:val="en-GB" w:eastAsia="en-US"/>
              </w:rPr>
              <w:t>(4</w:t>
            </w:r>
            <w:r w:rsidR="00D93D3C" w:rsidRPr="00D970F7">
              <w:rPr>
                <w:spacing w:val="-2"/>
                <w:lang w:val="en-GB" w:eastAsia="en-US"/>
              </w:rPr>
              <w:t>.</w:t>
            </w:r>
            <w:r w:rsidR="00295E96" w:rsidRPr="00D970F7">
              <w:rPr>
                <w:spacing w:val="-2"/>
                <w:lang w:val="en-GB" w:eastAsia="en-US"/>
              </w:rPr>
              <w:t>9%).</w:t>
            </w:r>
          </w:p>
        </w:tc>
      </w:tr>
      <w:tr w:rsidR="00295E96" w:rsidRPr="00D970F7" w14:paraId="1E549C85" w14:textId="77777777" w:rsidTr="00CF6F9C">
        <w:trPr>
          <w:trHeight w:val="145"/>
        </w:trPr>
        <w:tc>
          <w:tcPr>
            <w:tcW w:w="1805" w:type="dxa"/>
            <w:hideMark/>
          </w:tcPr>
          <w:p w14:paraId="7D73483E" w14:textId="478DC34A" w:rsidR="00295E96" w:rsidRPr="00D970F7" w:rsidRDefault="00630346" w:rsidP="00CF6F9C">
            <w:pPr>
              <w:pStyle w:val="Marginlie"/>
              <w:rPr>
                <w:spacing w:val="0"/>
                <w:lang w:val="en-GB" w:eastAsia="en-US"/>
              </w:rPr>
            </w:pPr>
            <w:r w:rsidRPr="00D970F7">
              <w:rPr>
                <w:spacing w:val="0"/>
                <w:lang w:val="en-GB" w:eastAsia="en-US"/>
              </w:rPr>
              <w:t xml:space="preserve">Koruna depreciation against both euro and dollar also pushed up the prices of both import and export. </w:t>
            </w:r>
          </w:p>
        </w:tc>
        <w:tc>
          <w:tcPr>
            <w:tcW w:w="224" w:type="dxa"/>
          </w:tcPr>
          <w:p w14:paraId="4AA77B0B" w14:textId="77777777" w:rsidR="00295E96" w:rsidRPr="00D970F7" w:rsidRDefault="00295E96" w:rsidP="00CF6F9C">
            <w:pPr>
              <w:pStyle w:val="Textpoznpodarou1"/>
              <w:jc w:val="both"/>
              <w:rPr>
                <w:lang w:val="en-GB" w:eastAsia="en-US"/>
              </w:rPr>
            </w:pPr>
          </w:p>
        </w:tc>
        <w:tc>
          <w:tcPr>
            <w:tcW w:w="7610" w:type="dxa"/>
            <w:hideMark/>
          </w:tcPr>
          <w:p w14:paraId="16282D0A" w14:textId="2F92065A" w:rsidR="00295E96" w:rsidRPr="00D970F7" w:rsidRDefault="00EA312A" w:rsidP="00CF6F9C">
            <w:pPr>
              <w:rPr>
                <w:lang w:val="en-GB" w:eastAsia="en-US"/>
              </w:rPr>
            </w:pPr>
            <w:r w:rsidRPr="00D970F7">
              <w:rPr>
                <w:lang w:val="en-GB" w:eastAsia="en-US"/>
              </w:rPr>
              <w:t xml:space="preserve">Export prices went up by </w:t>
            </w:r>
            <w:r w:rsidR="00295E96" w:rsidRPr="00D970F7">
              <w:rPr>
                <w:lang w:val="en-GB" w:eastAsia="en-US"/>
              </w:rPr>
              <w:t>2</w:t>
            </w:r>
            <w:r w:rsidRPr="00D970F7">
              <w:rPr>
                <w:lang w:val="en-GB" w:eastAsia="en-US"/>
              </w:rPr>
              <w:t>.</w:t>
            </w:r>
            <w:r w:rsidR="00295E96" w:rsidRPr="00D970F7">
              <w:rPr>
                <w:lang w:val="en-GB" w:eastAsia="en-US"/>
              </w:rPr>
              <w:t>6%</w:t>
            </w:r>
            <w:r w:rsidRPr="00D970F7">
              <w:rPr>
                <w:lang w:val="en-GB" w:eastAsia="en-US"/>
              </w:rPr>
              <w:t xml:space="preserve"> year-on-year in Q2</w:t>
            </w:r>
            <w:r w:rsidR="00295E96" w:rsidRPr="00D970F7">
              <w:rPr>
                <w:lang w:val="en-GB" w:eastAsia="en-US"/>
              </w:rPr>
              <w:t xml:space="preserve">. </w:t>
            </w:r>
            <w:r w:rsidR="00493D59" w:rsidRPr="00D970F7">
              <w:rPr>
                <w:lang w:val="en-GB" w:eastAsia="en-US"/>
              </w:rPr>
              <w:t xml:space="preserve">Following two quarters of year-on-year decreases, the dynamics was again positive. </w:t>
            </w:r>
            <w:r w:rsidR="00A1092E" w:rsidRPr="00D970F7">
              <w:rPr>
                <w:lang w:val="en-GB" w:eastAsia="en-US"/>
              </w:rPr>
              <w:t xml:space="preserve">It was a consequence mainly of sharp depreciation of the koruna exchange rate toward both euro and dollar. The influence of weakening played a key role, since after adjustment for exchange rate effects, the prices of export would fall year-on-year by </w:t>
            </w:r>
            <w:r w:rsidR="00295E96" w:rsidRPr="00D970F7">
              <w:rPr>
                <w:lang w:val="en-GB" w:eastAsia="en-US"/>
              </w:rPr>
              <w:t>1</w:t>
            </w:r>
            <w:r w:rsidR="00A1092E" w:rsidRPr="00D970F7">
              <w:rPr>
                <w:lang w:val="en-GB" w:eastAsia="en-US"/>
              </w:rPr>
              <w:t>.</w:t>
            </w:r>
            <w:r w:rsidR="00295E96" w:rsidRPr="00D970F7">
              <w:rPr>
                <w:lang w:val="en-GB" w:eastAsia="en-US"/>
              </w:rPr>
              <w:t xml:space="preserve">4%. </w:t>
            </w:r>
            <w:r w:rsidR="002D596E" w:rsidRPr="00D970F7">
              <w:rPr>
                <w:lang w:val="en-GB" w:eastAsia="en-US"/>
              </w:rPr>
              <w:t xml:space="preserve">Prices of food and live animals </w:t>
            </w:r>
            <w:r w:rsidR="00295E96" w:rsidRPr="00D970F7">
              <w:rPr>
                <w:lang w:val="en-GB" w:eastAsia="en-US"/>
              </w:rPr>
              <w:t>(</w:t>
            </w:r>
            <w:r w:rsidR="002D596E" w:rsidRPr="00D970F7">
              <w:rPr>
                <w:lang w:val="en-GB" w:eastAsia="en-US"/>
              </w:rPr>
              <w:t xml:space="preserve">year-on-year addition of </w:t>
            </w:r>
            <w:r w:rsidR="00295E96" w:rsidRPr="00D970F7">
              <w:rPr>
                <w:lang w:val="en-GB" w:eastAsia="en-US"/>
              </w:rPr>
              <w:t>5</w:t>
            </w:r>
            <w:r w:rsidR="002D596E" w:rsidRPr="00D970F7">
              <w:rPr>
                <w:lang w:val="en-GB" w:eastAsia="en-US"/>
              </w:rPr>
              <w:t>.</w:t>
            </w:r>
            <w:r w:rsidR="00295E96" w:rsidRPr="00D970F7">
              <w:rPr>
                <w:lang w:val="en-GB" w:eastAsia="en-US"/>
              </w:rPr>
              <w:t xml:space="preserve">4%), </w:t>
            </w:r>
            <w:r w:rsidR="002D596E" w:rsidRPr="00D970F7">
              <w:rPr>
                <w:lang w:val="en-GB" w:eastAsia="en-US"/>
              </w:rPr>
              <w:t xml:space="preserve">beverages and tobacco </w:t>
            </w:r>
            <w:r w:rsidR="00295E96" w:rsidRPr="00D970F7">
              <w:rPr>
                <w:lang w:val="en-GB" w:eastAsia="en-US"/>
              </w:rPr>
              <w:t>(8</w:t>
            </w:r>
            <w:r w:rsidR="002D596E" w:rsidRPr="00D970F7">
              <w:rPr>
                <w:lang w:val="en-GB" w:eastAsia="en-US"/>
              </w:rPr>
              <w:t>.</w:t>
            </w:r>
            <w:r w:rsidR="00295E96" w:rsidRPr="00D970F7">
              <w:rPr>
                <w:lang w:val="en-GB" w:eastAsia="en-US"/>
              </w:rPr>
              <w:t xml:space="preserve">0%), </w:t>
            </w:r>
            <w:r w:rsidR="002D596E" w:rsidRPr="00D970F7">
              <w:rPr>
                <w:lang w:val="en-GB" w:eastAsia="en-US"/>
              </w:rPr>
              <w:t>semi-finished products</w:t>
            </w:r>
            <w:r w:rsidR="00295E96" w:rsidRPr="00D970F7">
              <w:rPr>
                <w:rStyle w:val="Znakapoznpodarou"/>
                <w:lang w:val="en-GB" w:eastAsia="en-US"/>
              </w:rPr>
              <w:footnoteReference w:id="4"/>
            </w:r>
            <w:r w:rsidR="00295E96" w:rsidRPr="00D970F7">
              <w:rPr>
                <w:lang w:val="en-GB" w:eastAsia="en-US"/>
              </w:rPr>
              <w:t xml:space="preserve"> (1</w:t>
            </w:r>
            <w:r w:rsidR="002D596E" w:rsidRPr="00D970F7">
              <w:rPr>
                <w:lang w:val="en-GB" w:eastAsia="en-US"/>
              </w:rPr>
              <w:t>.</w:t>
            </w:r>
            <w:r w:rsidR="00295E96" w:rsidRPr="00D970F7">
              <w:rPr>
                <w:lang w:val="en-GB" w:eastAsia="en-US"/>
              </w:rPr>
              <w:t xml:space="preserve">6%), </w:t>
            </w:r>
            <w:r w:rsidR="002D596E" w:rsidRPr="00D970F7">
              <w:rPr>
                <w:lang w:val="en-GB" w:eastAsia="en-US"/>
              </w:rPr>
              <w:t xml:space="preserve">machinery and equipment </w:t>
            </w:r>
            <w:r w:rsidR="00295E96" w:rsidRPr="00D970F7">
              <w:rPr>
                <w:lang w:val="en-GB" w:eastAsia="en-US"/>
              </w:rPr>
              <w:t>(4</w:t>
            </w:r>
            <w:r w:rsidR="002D596E" w:rsidRPr="00D970F7">
              <w:rPr>
                <w:lang w:val="en-GB" w:eastAsia="en-US"/>
              </w:rPr>
              <w:t>.</w:t>
            </w:r>
            <w:r w:rsidR="00295E96" w:rsidRPr="00D970F7">
              <w:rPr>
                <w:lang w:val="en-GB" w:eastAsia="en-US"/>
              </w:rPr>
              <w:t>9%)</w:t>
            </w:r>
            <w:r w:rsidR="002D596E" w:rsidRPr="00D970F7">
              <w:rPr>
                <w:lang w:val="en-GB" w:eastAsia="en-US"/>
              </w:rPr>
              <w:t xml:space="preserve"> and industrial consumption goods </w:t>
            </w:r>
            <w:r w:rsidR="00295E96" w:rsidRPr="00D970F7">
              <w:rPr>
                <w:lang w:val="en-GB" w:eastAsia="en-US"/>
              </w:rPr>
              <w:t>(5</w:t>
            </w:r>
            <w:r w:rsidR="002D596E" w:rsidRPr="00D970F7">
              <w:rPr>
                <w:lang w:val="en-GB" w:eastAsia="en-US"/>
              </w:rPr>
              <w:t>.</w:t>
            </w:r>
            <w:r w:rsidR="00295E96" w:rsidRPr="00D970F7">
              <w:rPr>
                <w:lang w:val="en-GB" w:eastAsia="en-US"/>
              </w:rPr>
              <w:t>7%)</w:t>
            </w:r>
            <w:r w:rsidR="002D596E" w:rsidRPr="00D970F7">
              <w:rPr>
                <w:lang w:val="en-GB" w:eastAsia="en-US"/>
              </w:rPr>
              <w:t xml:space="preserve"> supported the growth of export prices in Q2</w:t>
            </w:r>
            <w:r w:rsidR="00295E96" w:rsidRPr="00D970F7">
              <w:rPr>
                <w:lang w:val="en-GB" w:eastAsia="en-US"/>
              </w:rPr>
              <w:t xml:space="preserve">. </w:t>
            </w:r>
            <w:r w:rsidR="002D596E" w:rsidRPr="00D970F7">
              <w:rPr>
                <w:lang w:val="en-GB" w:eastAsia="en-US"/>
              </w:rPr>
              <w:t xml:space="preserve">On the contrary, </w:t>
            </w:r>
            <w:r w:rsidR="00F8628A" w:rsidRPr="00D970F7">
              <w:rPr>
                <w:lang w:val="en-GB" w:eastAsia="en-US"/>
              </w:rPr>
              <w:t xml:space="preserve">the year-on-year plunge of export prices of mineral fuels </w:t>
            </w:r>
            <w:r w:rsidR="00295E96" w:rsidRPr="00D970F7">
              <w:rPr>
                <w:lang w:val="en-GB" w:eastAsia="en-US"/>
              </w:rPr>
              <w:t>(–26</w:t>
            </w:r>
            <w:r w:rsidR="00F8628A" w:rsidRPr="00D970F7">
              <w:rPr>
                <w:lang w:val="en-GB" w:eastAsia="en-US"/>
              </w:rPr>
              <w:t>.</w:t>
            </w:r>
            <w:r w:rsidR="00295E96" w:rsidRPr="00D970F7">
              <w:rPr>
                <w:lang w:val="en-GB" w:eastAsia="en-US"/>
              </w:rPr>
              <w:t xml:space="preserve">5%) </w:t>
            </w:r>
            <w:r w:rsidR="00F8628A" w:rsidRPr="00D970F7">
              <w:rPr>
                <w:lang w:val="en-GB" w:eastAsia="en-US"/>
              </w:rPr>
              <w:t>notably deepened and prices of other materials</w:t>
            </w:r>
            <w:r w:rsidR="00295E96" w:rsidRPr="00D970F7">
              <w:rPr>
                <w:rStyle w:val="Znakapoznpodarou"/>
                <w:lang w:val="en-GB" w:eastAsia="en-US"/>
              </w:rPr>
              <w:footnoteReference w:id="5"/>
            </w:r>
            <w:r w:rsidR="00295E96" w:rsidRPr="00D970F7">
              <w:rPr>
                <w:lang w:val="en-GB" w:eastAsia="en-US"/>
              </w:rPr>
              <w:t xml:space="preserve"> (–8</w:t>
            </w:r>
            <w:r w:rsidR="00F8628A" w:rsidRPr="00D970F7">
              <w:rPr>
                <w:lang w:val="en-GB" w:eastAsia="en-US"/>
              </w:rPr>
              <w:t>.</w:t>
            </w:r>
            <w:r w:rsidR="00295E96" w:rsidRPr="00D970F7">
              <w:rPr>
                <w:lang w:val="en-GB" w:eastAsia="en-US"/>
              </w:rPr>
              <w:t>5%)</w:t>
            </w:r>
            <w:r w:rsidR="00F8628A" w:rsidRPr="00D970F7">
              <w:rPr>
                <w:lang w:val="en-GB" w:eastAsia="en-US"/>
              </w:rPr>
              <w:t xml:space="preserve"> was also falling</w:t>
            </w:r>
            <w:r w:rsidR="00295E96" w:rsidRPr="00D970F7">
              <w:rPr>
                <w:lang w:val="en-GB" w:eastAsia="en-US"/>
              </w:rPr>
              <w:t xml:space="preserve">. </w:t>
            </w:r>
            <w:r w:rsidR="002D596E" w:rsidRPr="00D970F7">
              <w:rPr>
                <w:lang w:val="en-GB" w:eastAsia="en-US"/>
              </w:rPr>
              <w:t xml:space="preserve">Decrease of price did not avoid also chemical substances and related products </w:t>
            </w:r>
            <w:r w:rsidR="00295E96" w:rsidRPr="00D970F7">
              <w:rPr>
                <w:lang w:val="en-GB" w:eastAsia="en-US"/>
              </w:rPr>
              <w:t>(–1</w:t>
            </w:r>
            <w:r w:rsidR="002D596E" w:rsidRPr="00D970F7">
              <w:rPr>
                <w:lang w:val="en-GB" w:eastAsia="en-US"/>
              </w:rPr>
              <w:t>.</w:t>
            </w:r>
            <w:r w:rsidR="00295E96" w:rsidRPr="00D970F7">
              <w:rPr>
                <w:lang w:val="en-GB" w:eastAsia="en-US"/>
              </w:rPr>
              <w:t>4%).</w:t>
            </w:r>
          </w:p>
        </w:tc>
      </w:tr>
      <w:tr w:rsidR="00295E96" w:rsidRPr="00D970F7" w14:paraId="44D23371" w14:textId="77777777" w:rsidTr="00CF6F9C">
        <w:trPr>
          <w:trHeight w:val="145"/>
        </w:trPr>
        <w:tc>
          <w:tcPr>
            <w:tcW w:w="1805" w:type="dxa"/>
            <w:hideMark/>
          </w:tcPr>
          <w:p w14:paraId="2F056386" w14:textId="0F7C834D" w:rsidR="00295E96" w:rsidRPr="00D970F7" w:rsidRDefault="002751B5" w:rsidP="00CF6F9C">
            <w:pPr>
              <w:pStyle w:val="Marginlie"/>
              <w:rPr>
                <w:spacing w:val="0"/>
                <w:lang w:val="en-GB" w:eastAsia="en-US"/>
              </w:rPr>
            </w:pPr>
            <w:r w:rsidRPr="00D970F7">
              <w:rPr>
                <w:spacing w:val="0"/>
                <w:lang w:val="en-GB" w:eastAsia="en-US"/>
              </w:rPr>
              <w:t xml:space="preserve">Import prices fell especially because of prices of oil. </w:t>
            </w:r>
          </w:p>
        </w:tc>
        <w:tc>
          <w:tcPr>
            <w:tcW w:w="224" w:type="dxa"/>
          </w:tcPr>
          <w:p w14:paraId="7CC7D0E9" w14:textId="77777777" w:rsidR="00295E96" w:rsidRPr="00D970F7" w:rsidRDefault="00295E96" w:rsidP="00CF6F9C">
            <w:pPr>
              <w:pStyle w:val="Textpoznpodarou1"/>
              <w:jc w:val="both"/>
              <w:rPr>
                <w:lang w:val="en-GB" w:eastAsia="en-US"/>
              </w:rPr>
            </w:pPr>
          </w:p>
        </w:tc>
        <w:tc>
          <w:tcPr>
            <w:tcW w:w="7610" w:type="dxa"/>
            <w:hideMark/>
          </w:tcPr>
          <w:p w14:paraId="18A6748E" w14:textId="56BB4006" w:rsidR="00295E96" w:rsidRPr="00D970F7" w:rsidRDefault="002D596E" w:rsidP="00CF6F9C">
            <w:pPr>
              <w:rPr>
                <w:lang w:val="en-GB" w:eastAsia="en-US"/>
              </w:rPr>
            </w:pPr>
            <w:r w:rsidRPr="00D970F7">
              <w:rPr>
                <w:lang w:val="en-GB" w:eastAsia="en-US"/>
              </w:rPr>
              <w:t xml:space="preserve">Import prices fell by </w:t>
            </w:r>
            <w:r w:rsidR="00295E96" w:rsidRPr="00D970F7">
              <w:rPr>
                <w:lang w:val="en-GB" w:eastAsia="en-US"/>
              </w:rPr>
              <w:t>0</w:t>
            </w:r>
            <w:r w:rsidRPr="00D970F7">
              <w:rPr>
                <w:lang w:val="en-GB" w:eastAsia="en-US"/>
              </w:rPr>
              <w:t>.</w:t>
            </w:r>
            <w:r w:rsidR="00295E96" w:rsidRPr="00D970F7">
              <w:rPr>
                <w:lang w:val="en-GB" w:eastAsia="en-US"/>
              </w:rPr>
              <w:t>5%</w:t>
            </w:r>
            <w:r w:rsidRPr="00D970F7">
              <w:rPr>
                <w:lang w:val="en-GB" w:eastAsia="en-US"/>
              </w:rPr>
              <w:t xml:space="preserve"> year-on-year in Q2</w:t>
            </w:r>
            <w:r w:rsidR="00295E96" w:rsidRPr="00D970F7">
              <w:rPr>
                <w:lang w:val="en-GB" w:eastAsia="en-US"/>
              </w:rPr>
              <w:t xml:space="preserve">. </w:t>
            </w:r>
            <w:r w:rsidR="001832B5" w:rsidRPr="00D970F7">
              <w:rPr>
                <w:lang w:val="en-GB" w:eastAsia="en-US"/>
              </w:rPr>
              <w:t xml:space="preserve">Even here however strong koruna depreciation dampened the plunge of prices (after adjustment for exchange rate effects, the decrease was </w:t>
            </w:r>
            <w:r w:rsidR="00295E96" w:rsidRPr="00D970F7">
              <w:rPr>
                <w:lang w:val="en-GB" w:eastAsia="en-US"/>
              </w:rPr>
              <w:t>4</w:t>
            </w:r>
            <w:r w:rsidR="001832B5" w:rsidRPr="00D970F7">
              <w:rPr>
                <w:lang w:val="en-GB" w:eastAsia="en-US"/>
              </w:rPr>
              <w:t>.</w:t>
            </w:r>
            <w:r w:rsidR="00295E96" w:rsidRPr="00D970F7">
              <w:rPr>
                <w:lang w:val="en-GB" w:eastAsia="en-US"/>
              </w:rPr>
              <w:t>4%).</w:t>
            </w:r>
            <w:r w:rsidR="001832B5" w:rsidRPr="00D970F7">
              <w:rPr>
                <w:lang w:val="en-GB" w:eastAsia="en-US"/>
              </w:rPr>
              <w:t xml:space="preserve"> Mostly prices of mineral fuels </w:t>
            </w:r>
            <w:r w:rsidR="00295E96" w:rsidRPr="00D970F7">
              <w:rPr>
                <w:lang w:val="en-GB" w:eastAsia="en-US"/>
              </w:rPr>
              <w:t>(–40</w:t>
            </w:r>
            <w:r w:rsidR="001832B5" w:rsidRPr="00D970F7">
              <w:rPr>
                <w:lang w:val="en-GB" w:eastAsia="en-US"/>
              </w:rPr>
              <w:t>.</w:t>
            </w:r>
            <w:r w:rsidR="00295E96" w:rsidRPr="00D970F7">
              <w:rPr>
                <w:lang w:val="en-GB" w:eastAsia="en-US"/>
              </w:rPr>
              <w:t xml:space="preserve">1%), </w:t>
            </w:r>
            <w:r w:rsidR="001832B5" w:rsidRPr="00D970F7">
              <w:rPr>
                <w:lang w:val="en-GB" w:eastAsia="en-US"/>
              </w:rPr>
              <w:t xml:space="preserve">further chemical substances and related products </w:t>
            </w:r>
            <w:r w:rsidR="00295E96" w:rsidRPr="00D970F7">
              <w:rPr>
                <w:lang w:val="en-GB" w:eastAsia="en-US"/>
              </w:rPr>
              <w:t>(–2</w:t>
            </w:r>
            <w:r w:rsidR="001832B5" w:rsidRPr="00D970F7">
              <w:rPr>
                <w:lang w:val="en-GB" w:eastAsia="en-US"/>
              </w:rPr>
              <w:t>.</w:t>
            </w:r>
            <w:r w:rsidR="00295E96" w:rsidRPr="00D970F7">
              <w:rPr>
                <w:lang w:val="en-GB" w:eastAsia="en-US"/>
              </w:rPr>
              <w:t>1%) a</w:t>
            </w:r>
            <w:r w:rsidR="001832B5" w:rsidRPr="00D970F7">
              <w:rPr>
                <w:lang w:val="en-GB" w:eastAsia="en-US"/>
              </w:rPr>
              <w:t xml:space="preserve">nd other materials </w:t>
            </w:r>
            <w:r w:rsidR="00295E96" w:rsidRPr="00D970F7">
              <w:rPr>
                <w:lang w:val="en-GB" w:eastAsia="en-US"/>
              </w:rPr>
              <w:t>(–1</w:t>
            </w:r>
            <w:r w:rsidR="001832B5" w:rsidRPr="00D970F7">
              <w:rPr>
                <w:lang w:val="en-GB" w:eastAsia="en-US"/>
              </w:rPr>
              <w:t>.</w:t>
            </w:r>
            <w:r w:rsidR="00295E96" w:rsidRPr="00D970F7">
              <w:rPr>
                <w:lang w:val="en-GB" w:eastAsia="en-US"/>
              </w:rPr>
              <w:t>4%)</w:t>
            </w:r>
            <w:r w:rsidR="001832B5" w:rsidRPr="00D970F7">
              <w:rPr>
                <w:lang w:val="en-GB" w:eastAsia="en-US"/>
              </w:rPr>
              <w:t xml:space="preserve"> were decreasing</w:t>
            </w:r>
            <w:r w:rsidR="00295E96" w:rsidRPr="00D970F7">
              <w:rPr>
                <w:lang w:val="en-GB" w:eastAsia="en-US"/>
              </w:rPr>
              <w:t>.</w:t>
            </w:r>
            <w:r w:rsidR="001832B5" w:rsidRPr="00D970F7">
              <w:rPr>
                <w:lang w:val="en-GB" w:eastAsia="en-US"/>
              </w:rPr>
              <w:t xml:space="preserve"> Prices of beverages and tobacco imports were slightly cut </w:t>
            </w:r>
            <w:r w:rsidR="00295E96" w:rsidRPr="00D970F7">
              <w:rPr>
                <w:lang w:val="en-GB" w:eastAsia="en-US"/>
              </w:rPr>
              <w:t>(–0</w:t>
            </w:r>
            <w:r w:rsidR="001832B5" w:rsidRPr="00D970F7">
              <w:rPr>
                <w:lang w:val="en-GB" w:eastAsia="en-US"/>
              </w:rPr>
              <w:t>.</w:t>
            </w:r>
            <w:r w:rsidR="00295E96" w:rsidRPr="00D970F7">
              <w:rPr>
                <w:lang w:val="en-GB" w:eastAsia="en-US"/>
              </w:rPr>
              <w:t>8%).</w:t>
            </w:r>
            <w:r w:rsidR="001832B5" w:rsidRPr="00D970F7">
              <w:rPr>
                <w:lang w:val="en-GB" w:eastAsia="en-US"/>
              </w:rPr>
              <w:t xml:space="preserve"> In contrast, significant increase occurred for prices of food and live animals </w:t>
            </w:r>
            <w:r w:rsidR="00295E96" w:rsidRPr="00D970F7">
              <w:rPr>
                <w:lang w:val="en-GB" w:eastAsia="en-US"/>
              </w:rPr>
              <w:t>(6</w:t>
            </w:r>
            <w:r w:rsidR="001832B5" w:rsidRPr="00D970F7">
              <w:rPr>
                <w:lang w:val="en-GB" w:eastAsia="en-US"/>
              </w:rPr>
              <w:t>.</w:t>
            </w:r>
            <w:r w:rsidR="00295E96" w:rsidRPr="00D970F7">
              <w:rPr>
                <w:lang w:val="en-GB" w:eastAsia="en-US"/>
              </w:rPr>
              <w:t>9%),</w:t>
            </w:r>
            <w:r w:rsidR="001832B5" w:rsidRPr="00D970F7">
              <w:rPr>
                <w:lang w:val="en-GB" w:eastAsia="en-US"/>
              </w:rPr>
              <w:t xml:space="preserve"> machinery and equipment </w:t>
            </w:r>
            <w:r w:rsidR="00295E96" w:rsidRPr="00D970F7">
              <w:rPr>
                <w:lang w:val="en-GB" w:eastAsia="en-US"/>
              </w:rPr>
              <w:t>(4</w:t>
            </w:r>
            <w:r w:rsidR="001832B5" w:rsidRPr="00D970F7">
              <w:rPr>
                <w:lang w:val="en-GB" w:eastAsia="en-US"/>
              </w:rPr>
              <w:t>.</w:t>
            </w:r>
            <w:r w:rsidR="00295E96" w:rsidRPr="00D970F7">
              <w:rPr>
                <w:lang w:val="en-GB" w:eastAsia="en-US"/>
              </w:rPr>
              <w:t>9%)</w:t>
            </w:r>
            <w:r w:rsidR="001832B5" w:rsidRPr="00D970F7">
              <w:rPr>
                <w:lang w:val="en-GB" w:eastAsia="en-US"/>
              </w:rPr>
              <w:t xml:space="preserve"> and industrial consumption goods </w:t>
            </w:r>
            <w:r w:rsidR="00295E96" w:rsidRPr="00D970F7">
              <w:rPr>
                <w:lang w:val="en-GB" w:eastAsia="en-US"/>
              </w:rPr>
              <w:t>(3</w:t>
            </w:r>
            <w:r w:rsidR="001832B5" w:rsidRPr="00D970F7">
              <w:rPr>
                <w:lang w:val="en-GB" w:eastAsia="en-US"/>
              </w:rPr>
              <w:t>.</w:t>
            </w:r>
            <w:r w:rsidR="00295E96" w:rsidRPr="00D970F7">
              <w:rPr>
                <w:lang w:val="en-GB" w:eastAsia="en-US"/>
              </w:rPr>
              <w:t>7%)</w:t>
            </w:r>
            <w:r w:rsidR="001832B5" w:rsidRPr="00D970F7">
              <w:rPr>
                <w:lang w:val="en-GB" w:eastAsia="en-US"/>
              </w:rPr>
              <w:t xml:space="preserve"> in Q2</w:t>
            </w:r>
            <w:r w:rsidR="00295E96" w:rsidRPr="00D970F7">
              <w:rPr>
                <w:lang w:val="en-GB" w:eastAsia="en-US"/>
              </w:rPr>
              <w:t xml:space="preserve">. </w:t>
            </w:r>
            <w:r w:rsidR="007754B9" w:rsidRPr="00D970F7">
              <w:rPr>
                <w:lang w:val="en-GB" w:eastAsia="en-US"/>
              </w:rPr>
              <w:t xml:space="preserve">Large difference between the rates of </w:t>
            </w:r>
            <w:r w:rsidR="001832B5" w:rsidRPr="00D970F7">
              <w:rPr>
                <w:lang w:val="en-GB" w:eastAsia="en-US"/>
              </w:rPr>
              <w:t>growth</w:t>
            </w:r>
            <w:r w:rsidR="007754B9" w:rsidRPr="00D970F7">
              <w:rPr>
                <w:lang w:val="en-GB" w:eastAsia="en-US"/>
              </w:rPr>
              <w:t xml:space="preserve"> of export and import prices also led to the increase of terms of trade to </w:t>
            </w:r>
            <w:r w:rsidR="00295E96" w:rsidRPr="00D970F7">
              <w:rPr>
                <w:lang w:val="en-GB" w:eastAsia="en-US"/>
              </w:rPr>
              <w:t>103</w:t>
            </w:r>
            <w:r w:rsidR="007754B9" w:rsidRPr="00D970F7">
              <w:rPr>
                <w:lang w:val="en-GB" w:eastAsia="en-US"/>
              </w:rPr>
              <w:t>.</w:t>
            </w:r>
            <w:r w:rsidR="00295E96" w:rsidRPr="00D970F7">
              <w:rPr>
                <w:lang w:val="en-GB" w:eastAsia="en-US"/>
              </w:rPr>
              <w:t>1%</w:t>
            </w:r>
            <w:r w:rsidR="007754B9" w:rsidRPr="00D970F7">
              <w:rPr>
                <w:lang w:val="en-GB" w:eastAsia="en-US"/>
              </w:rPr>
              <w:t xml:space="preserve"> in Q2</w:t>
            </w:r>
            <w:r w:rsidR="00295E96" w:rsidRPr="00D970F7">
              <w:rPr>
                <w:lang w:val="en-GB" w:eastAsia="en-US"/>
              </w:rPr>
              <w:t xml:space="preserve">. </w:t>
            </w:r>
            <w:r w:rsidR="00C600F0" w:rsidRPr="00D970F7">
              <w:rPr>
                <w:lang w:val="en-GB" w:eastAsia="en-US"/>
              </w:rPr>
              <w:t xml:space="preserve">Terms of trade were positive for trade with mineral fuels </w:t>
            </w:r>
            <w:r w:rsidR="00295E96" w:rsidRPr="00D970F7">
              <w:rPr>
                <w:lang w:val="en-GB" w:eastAsia="en-US"/>
              </w:rPr>
              <w:t>(122</w:t>
            </w:r>
            <w:r w:rsidR="00C600F0" w:rsidRPr="00D970F7">
              <w:rPr>
                <w:lang w:val="en-GB" w:eastAsia="en-US"/>
              </w:rPr>
              <w:t>.</w:t>
            </w:r>
            <w:r w:rsidR="00295E96" w:rsidRPr="00D970F7">
              <w:rPr>
                <w:lang w:val="en-GB" w:eastAsia="en-US"/>
              </w:rPr>
              <w:t xml:space="preserve">7%), </w:t>
            </w:r>
            <w:r w:rsidR="00C600F0" w:rsidRPr="00D970F7">
              <w:rPr>
                <w:lang w:val="en-GB" w:eastAsia="en-US"/>
              </w:rPr>
              <w:t xml:space="preserve">beverages and tobacco </w:t>
            </w:r>
            <w:r w:rsidR="00295E96" w:rsidRPr="00D970F7">
              <w:rPr>
                <w:lang w:val="en-GB" w:eastAsia="en-US"/>
              </w:rPr>
              <w:t>(108</w:t>
            </w:r>
            <w:r w:rsidR="00C600F0" w:rsidRPr="00D970F7">
              <w:rPr>
                <w:lang w:val="en-GB" w:eastAsia="en-US"/>
              </w:rPr>
              <w:t>.</w:t>
            </w:r>
            <w:r w:rsidR="00295E96" w:rsidRPr="00D970F7">
              <w:rPr>
                <w:lang w:val="en-GB" w:eastAsia="en-US"/>
              </w:rPr>
              <w:t>9%),</w:t>
            </w:r>
            <w:r w:rsidR="00C600F0" w:rsidRPr="00D970F7">
              <w:rPr>
                <w:lang w:val="en-GB" w:eastAsia="en-US"/>
              </w:rPr>
              <w:t xml:space="preserve"> industrial consumption goods </w:t>
            </w:r>
            <w:r w:rsidR="00295E96" w:rsidRPr="00D970F7">
              <w:rPr>
                <w:lang w:val="en-GB" w:eastAsia="en-US"/>
              </w:rPr>
              <w:t>(101</w:t>
            </w:r>
            <w:r w:rsidR="00C600F0" w:rsidRPr="00D970F7">
              <w:rPr>
                <w:lang w:val="en-GB" w:eastAsia="en-US"/>
              </w:rPr>
              <w:t>.</w:t>
            </w:r>
            <w:r w:rsidR="00295E96" w:rsidRPr="00D970F7">
              <w:rPr>
                <w:lang w:val="en-GB" w:eastAsia="en-US"/>
              </w:rPr>
              <w:t>9%),</w:t>
            </w:r>
            <w:r w:rsidR="00C600F0" w:rsidRPr="00D970F7">
              <w:rPr>
                <w:lang w:val="en-GB" w:eastAsia="en-US"/>
              </w:rPr>
              <w:t xml:space="preserve"> semi-finished products </w:t>
            </w:r>
            <w:r w:rsidR="00295E96" w:rsidRPr="00D970F7">
              <w:rPr>
                <w:lang w:val="en-GB" w:eastAsia="en-US"/>
              </w:rPr>
              <w:t>(101</w:t>
            </w:r>
            <w:r w:rsidR="00C600F0" w:rsidRPr="00D970F7">
              <w:rPr>
                <w:lang w:val="en-GB" w:eastAsia="en-US"/>
              </w:rPr>
              <w:t>.</w:t>
            </w:r>
            <w:r w:rsidR="00295E96" w:rsidRPr="00D970F7">
              <w:rPr>
                <w:lang w:val="en-GB" w:eastAsia="en-US"/>
              </w:rPr>
              <w:t>4%)</w:t>
            </w:r>
            <w:r w:rsidR="00C600F0" w:rsidRPr="00D970F7">
              <w:rPr>
                <w:lang w:val="en-GB" w:eastAsia="en-US"/>
              </w:rPr>
              <w:t xml:space="preserve"> and chemical substances and related products </w:t>
            </w:r>
            <w:r w:rsidR="00295E96" w:rsidRPr="00D970F7">
              <w:rPr>
                <w:lang w:val="en-GB" w:eastAsia="en-US"/>
              </w:rPr>
              <w:t>(100</w:t>
            </w:r>
            <w:r w:rsidR="00C600F0" w:rsidRPr="00D970F7">
              <w:rPr>
                <w:lang w:val="en-GB" w:eastAsia="en-US"/>
              </w:rPr>
              <w:t>.</w:t>
            </w:r>
            <w:r w:rsidR="00295E96" w:rsidRPr="00D970F7">
              <w:rPr>
                <w:lang w:val="en-GB" w:eastAsia="en-US"/>
              </w:rPr>
              <w:t>7%).</w:t>
            </w:r>
            <w:r w:rsidR="00C600F0" w:rsidRPr="00D970F7">
              <w:rPr>
                <w:lang w:val="en-GB" w:eastAsia="en-US"/>
              </w:rPr>
              <w:t xml:space="preserve"> </w:t>
            </w:r>
            <w:r w:rsidR="00B51BF7" w:rsidRPr="00D970F7">
              <w:rPr>
                <w:lang w:val="en-GB" w:eastAsia="en-US"/>
              </w:rPr>
              <w:t xml:space="preserve">Trade with other materials </w:t>
            </w:r>
            <w:r w:rsidR="00295E96" w:rsidRPr="00D970F7">
              <w:rPr>
                <w:lang w:val="en-GB" w:eastAsia="en-US"/>
              </w:rPr>
              <w:t>(92</w:t>
            </w:r>
            <w:r w:rsidR="00B51BF7" w:rsidRPr="00D970F7">
              <w:rPr>
                <w:lang w:val="en-GB" w:eastAsia="en-US"/>
              </w:rPr>
              <w:t>.</w:t>
            </w:r>
            <w:r w:rsidR="00295E96" w:rsidRPr="00D970F7">
              <w:rPr>
                <w:lang w:val="en-GB" w:eastAsia="en-US"/>
              </w:rPr>
              <w:t>8%)</w:t>
            </w:r>
            <w:r w:rsidR="00B51BF7" w:rsidRPr="00D970F7">
              <w:rPr>
                <w:lang w:val="en-GB" w:eastAsia="en-US"/>
              </w:rPr>
              <w:t xml:space="preserve"> and food and live animals </w:t>
            </w:r>
            <w:r w:rsidR="00295E96" w:rsidRPr="00D970F7">
              <w:rPr>
                <w:lang w:val="en-GB" w:eastAsia="en-US"/>
              </w:rPr>
              <w:t>(98</w:t>
            </w:r>
            <w:r w:rsidR="00B51BF7" w:rsidRPr="00D970F7">
              <w:rPr>
                <w:lang w:val="en-GB" w:eastAsia="en-US"/>
              </w:rPr>
              <w:t>.</w:t>
            </w:r>
            <w:r w:rsidR="00295E96" w:rsidRPr="00D970F7">
              <w:rPr>
                <w:lang w:val="en-GB" w:eastAsia="en-US"/>
              </w:rPr>
              <w:t>6%)</w:t>
            </w:r>
            <w:r w:rsidR="00B51BF7" w:rsidRPr="00D970F7">
              <w:rPr>
                <w:lang w:val="en-GB" w:eastAsia="en-US"/>
              </w:rPr>
              <w:t xml:space="preserve"> reached negative terms of trade</w:t>
            </w:r>
            <w:r w:rsidR="00295E96" w:rsidRPr="00D970F7">
              <w:rPr>
                <w:lang w:val="en-GB" w:eastAsia="en-US"/>
              </w:rPr>
              <w:t>.</w:t>
            </w:r>
          </w:p>
        </w:tc>
      </w:tr>
      <w:bookmarkEnd w:id="7"/>
    </w:tbl>
    <w:p w14:paraId="4F0C574F" w14:textId="77777777" w:rsidR="00295E96" w:rsidRPr="00D970F7" w:rsidRDefault="00295E96" w:rsidP="00295E96">
      <w:pPr>
        <w:spacing w:after="0" w:line="240" w:lineRule="auto"/>
        <w:jc w:val="left"/>
        <w:rPr>
          <w:b/>
          <w:sz w:val="2"/>
          <w:szCs w:val="2"/>
          <w:highlight w:val="yellow"/>
          <w:lang w:val="en-GB"/>
        </w:rPr>
      </w:pPr>
    </w:p>
    <w:p w14:paraId="5BCF3DC5" w14:textId="004356BF" w:rsidR="00E42054" w:rsidRPr="00D970F7" w:rsidRDefault="00E42054" w:rsidP="00E42054">
      <w:pPr>
        <w:pStyle w:val="Nadpis11"/>
        <w:spacing w:after="0"/>
        <w:rPr>
          <w:b w:val="0"/>
          <w:sz w:val="2"/>
          <w:szCs w:val="2"/>
          <w:lang w:val="en-GB"/>
        </w:rPr>
      </w:pPr>
      <w:bookmarkStart w:id="9" w:name="_GoBack"/>
      <w:bookmarkEnd w:id="8"/>
      <w:bookmarkEnd w:id="9"/>
    </w:p>
    <w:sectPr w:rsidR="00E42054" w:rsidRPr="00D970F7" w:rsidSect="00732713">
      <w:headerReference w:type="even" r:id="rId12"/>
      <w:headerReference w:type="default" r:id="rId13"/>
      <w:footerReference w:type="even" r:id="rId14"/>
      <w:footerReference w:type="default" r:id="rId15"/>
      <w:pgSz w:w="11906" w:h="16838" w:code="9"/>
      <w:pgMar w:top="1134" w:right="1134" w:bottom="1418" w:left="1134" w:header="680" w:footer="737"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804CF" w14:textId="77777777" w:rsidR="00497AEC" w:rsidRDefault="00497AEC" w:rsidP="00E71A58">
      <w:r>
        <w:separator/>
      </w:r>
    </w:p>
  </w:endnote>
  <w:endnote w:type="continuationSeparator" w:id="0">
    <w:p w14:paraId="5D070213" w14:textId="77777777" w:rsidR="00497AEC" w:rsidRDefault="00497AE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0ADB8F2" w:rsidR="00C2211E" w:rsidRPr="00932443" w:rsidRDefault="00C2211E"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32713">
      <w:rPr>
        <w:szCs w:val="16"/>
      </w:rPr>
      <w:t>24</w:t>
    </w:r>
    <w:r w:rsidRPr="00932443">
      <w:rPr>
        <w:szCs w:val="16"/>
      </w:rPr>
      <w:fldChar w:fldCharType="end"/>
    </w:r>
    <w:r w:rsidRPr="00932443">
      <w:rPr>
        <w:szCs w:val="16"/>
      </w:rPr>
      <w:tab/>
    </w:r>
    <w:r>
      <w:rPr>
        <w:szCs w:val="16"/>
      </w:rPr>
      <w:t>First half of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419A735A" w:rsidR="00C2211E" w:rsidRPr="00932443" w:rsidRDefault="00C2211E" w:rsidP="00FA6CB6">
    <w:pPr>
      <w:pStyle w:val="Zpat"/>
      <w:rPr>
        <w:szCs w:val="16"/>
      </w:rPr>
    </w:pPr>
    <w:r w:rsidRPr="00FA6CB6">
      <w:rPr>
        <w:szCs w:val="16"/>
      </w:rPr>
      <w:tab/>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First half of 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32713">
      <w:rPr>
        <w:rStyle w:val="ZpatChar"/>
        <w:szCs w:val="16"/>
      </w:rPr>
      <w:t>23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E18A" w14:textId="77777777" w:rsidR="00497AEC" w:rsidRDefault="00497AEC" w:rsidP="00A21B4D">
      <w:pPr>
        <w:spacing w:after="0"/>
      </w:pPr>
      <w:r>
        <w:separator/>
      </w:r>
    </w:p>
  </w:footnote>
  <w:footnote w:type="continuationSeparator" w:id="0">
    <w:p w14:paraId="50252E5F" w14:textId="77777777" w:rsidR="00497AEC" w:rsidRDefault="00497AEC" w:rsidP="00E71A58">
      <w:r>
        <w:continuationSeparator/>
      </w:r>
    </w:p>
  </w:footnote>
  <w:footnote w:id="1">
    <w:p w14:paraId="1FACD65F" w14:textId="1439835A" w:rsidR="00C2211E" w:rsidRPr="0068135D" w:rsidRDefault="00C2211E" w:rsidP="00295E96">
      <w:pPr>
        <w:pStyle w:val="Textpoznpodarou"/>
        <w:rPr>
          <w:sz w:val="16"/>
          <w:szCs w:val="16"/>
          <w:lang w:val="en-GB"/>
        </w:rPr>
      </w:pPr>
      <w:r>
        <w:rPr>
          <w:rStyle w:val="Znakapoznpodarou"/>
        </w:rPr>
        <w:footnoteRef/>
      </w:r>
      <w:r>
        <w:rPr>
          <w:sz w:val="16"/>
          <w:szCs w:val="16"/>
        </w:rPr>
        <w:t xml:space="preserve"> </w:t>
      </w:r>
      <w:r w:rsidRPr="0068135D">
        <w:rPr>
          <w:sz w:val="16"/>
          <w:szCs w:val="16"/>
          <w:lang w:val="en-GB"/>
        </w:rPr>
        <w:t xml:space="preserve">Gauged by the GDP deflator. </w:t>
      </w:r>
    </w:p>
  </w:footnote>
  <w:footnote w:id="2">
    <w:p w14:paraId="44A8AAB1" w14:textId="4E8F5C6E" w:rsidR="00C2211E" w:rsidRPr="001B626C" w:rsidRDefault="00C2211E" w:rsidP="00295E96">
      <w:pPr>
        <w:pStyle w:val="Textpoznpodarou"/>
        <w:rPr>
          <w:sz w:val="16"/>
          <w:szCs w:val="16"/>
          <w:lang w:val="en-GB"/>
        </w:rPr>
      </w:pPr>
      <w:r>
        <w:rPr>
          <w:rStyle w:val="Znakapoznpodarou"/>
        </w:rPr>
        <w:footnoteRef/>
      </w:r>
      <w:r>
        <w:rPr>
          <w:sz w:val="16"/>
          <w:szCs w:val="16"/>
        </w:rPr>
        <w:t xml:space="preserve"> </w:t>
      </w:r>
      <w:r w:rsidRPr="001B626C">
        <w:rPr>
          <w:sz w:val="16"/>
          <w:szCs w:val="16"/>
          <w:lang w:val="en-GB"/>
        </w:rPr>
        <w:t xml:space="preserve">Based on the harmonised index of consumer prices. The index can differ from the published national results in both methodology and numbers. </w:t>
      </w:r>
    </w:p>
  </w:footnote>
  <w:footnote w:id="3">
    <w:p w14:paraId="15A91A46" w14:textId="055C94AD" w:rsidR="00C2211E" w:rsidRPr="00531859" w:rsidRDefault="00C2211E" w:rsidP="00295E96">
      <w:pPr>
        <w:pStyle w:val="Textpoznpodarou"/>
        <w:rPr>
          <w:sz w:val="16"/>
          <w:szCs w:val="16"/>
          <w:lang w:val="en-GB"/>
        </w:rPr>
      </w:pPr>
      <w:r>
        <w:rPr>
          <w:rStyle w:val="Znakapoznpodarou"/>
        </w:rPr>
        <w:footnoteRef/>
      </w:r>
      <w:r>
        <w:rPr>
          <w:sz w:val="16"/>
          <w:szCs w:val="16"/>
        </w:rPr>
        <w:t xml:space="preserve"> </w:t>
      </w:r>
      <w:r w:rsidRPr="00531859">
        <w:rPr>
          <w:sz w:val="16"/>
          <w:szCs w:val="16"/>
          <w:lang w:val="en-GB"/>
        </w:rPr>
        <w:t>Individual data.</w:t>
      </w:r>
    </w:p>
  </w:footnote>
  <w:footnote w:id="4">
    <w:p w14:paraId="1361BE55" w14:textId="1155F31A" w:rsidR="00C2211E" w:rsidRDefault="00C2211E" w:rsidP="00295E96">
      <w:pPr>
        <w:pStyle w:val="Textpoznpodarou"/>
        <w:rPr>
          <w:sz w:val="16"/>
          <w:szCs w:val="16"/>
        </w:rPr>
      </w:pPr>
      <w:r>
        <w:rPr>
          <w:rStyle w:val="Znakapoznpodarou"/>
        </w:rPr>
        <w:footnoteRef/>
      </w:r>
      <w:r>
        <w:rPr>
          <w:sz w:val="16"/>
          <w:szCs w:val="16"/>
        </w:rPr>
        <w:t xml:space="preserve"> SITC 6 – </w:t>
      </w:r>
      <w:r w:rsidRPr="00062BF9">
        <w:rPr>
          <w:sz w:val="16"/>
          <w:szCs w:val="16"/>
          <w:lang w:val="en-GB"/>
        </w:rPr>
        <w:t>manufactured goods classified chiefly by material</w:t>
      </w:r>
    </w:p>
  </w:footnote>
  <w:footnote w:id="5">
    <w:p w14:paraId="27CF809F" w14:textId="5F48CADD" w:rsidR="00C2211E" w:rsidRDefault="00C2211E" w:rsidP="00295E96">
      <w:pPr>
        <w:pStyle w:val="Textpoznpodarou"/>
        <w:rPr>
          <w:sz w:val="16"/>
          <w:szCs w:val="16"/>
        </w:rPr>
      </w:pPr>
      <w:r>
        <w:rPr>
          <w:rStyle w:val="Znakapoznpodarou"/>
        </w:rPr>
        <w:footnoteRef/>
      </w:r>
      <w:r>
        <w:rPr>
          <w:sz w:val="16"/>
          <w:szCs w:val="16"/>
        </w:rPr>
        <w:t xml:space="preserve"> SITC 2 – </w:t>
      </w:r>
      <w:r w:rsidRPr="00062BF9">
        <w:rPr>
          <w:sz w:val="16"/>
          <w:szCs w:val="16"/>
          <w:lang w:val="en-GB"/>
        </w:rPr>
        <w:t>crude materials, inedible, except fuels.</w:t>
      </w:r>
      <w:r>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2868C48F" w:rsidR="00C2211E" w:rsidRPr="00BB50E6" w:rsidRDefault="00C2211E" w:rsidP="00937AE2">
    <w:pPr>
      <w:pStyle w:val="Zhlav"/>
      <w:rPr>
        <w:lang w:val="en-GB"/>
      </w:rPr>
    </w:pPr>
    <w:r w:rsidRPr="00BB50E6">
      <w:rPr>
        <w:lang w:val="en-GB"/>
      </w:rPr>
      <w:t>The Czech Economy Development</w:t>
    </w:r>
  </w:p>
  <w:p w14:paraId="675E4C41" w14:textId="77777777" w:rsidR="00C2211E" w:rsidRPr="006F5416" w:rsidRDefault="00C2211E"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15FBD22A" w:rsidR="00C2211E" w:rsidRPr="00BB50E6" w:rsidRDefault="00C2211E" w:rsidP="00937AE2">
    <w:pPr>
      <w:pStyle w:val="Zhlav"/>
      <w:rPr>
        <w:lang w:val="en-GB"/>
      </w:rPr>
    </w:pPr>
    <w:r w:rsidRPr="00BB50E6">
      <w:rPr>
        <w:lang w:val="en-GB"/>
      </w:rPr>
      <w:t>The Czech Economy Development</w:t>
    </w:r>
  </w:p>
  <w:p w14:paraId="0CDCFD48" w14:textId="77777777" w:rsidR="00C2211E" w:rsidRPr="006F5416" w:rsidRDefault="00C2211E"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0DC2"/>
    <w:rsid w:val="0000130A"/>
    <w:rsid w:val="00001B6E"/>
    <w:rsid w:val="0000209D"/>
    <w:rsid w:val="00002566"/>
    <w:rsid w:val="00002664"/>
    <w:rsid w:val="000029B2"/>
    <w:rsid w:val="00002B7E"/>
    <w:rsid w:val="00003849"/>
    <w:rsid w:val="00003F5C"/>
    <w:rsid w:val="000047D1"/>
    <w:rsid w:val="00004D5A"/>
    <w:rsid w:val="000056D5"/>
    <w:rsid w:val="00005D9E"/>
    <w:rsid w:val="000063D5"/>
    <w:rsid w:val="00006625"/>
    <w:rsid w:val="00006ABD"/>
    <w:rsid w:val="00006B67"/>
    <w:rsid w:val="00006C0B"/>
    <w:rsid w:val="000070EA"/>
    <w:rsid w:val="000073A0"/>
    <w:rsid w:val="0000767A"/>
    <w:rsid w:val="00007ABE"/>
    <w:rsid w:val="00010256"/>
    <w:rsid w:val="00010702"/>
    <w:rsid w:val="0001128E"/>
    <w:rsid w:val="00011912"/>
    <w:rsid w:val="00011B7F"/>
    <w:rsid w:val="0001250C"/>
    <w:rsid w:val="000129C2"/>
    <w:rsid w:val="00012DD5"/>
    <w:rsid w:val="0001387D"/>
    <w:rsid w:val="000144A2"/>
    <w:rsid w:val="00014ED0"/>
    <w:rsid w:val="00016269"/>
    <w:rsid w:val="00016420"/>
    <w:rsid w:val="00017B01"/>
    <w:rsid w:val="00017CD1"/>
    <w:rsid w:val="000205D1"/>
    <w:rsid w:val="00020F22"/>
    <w:rsid w:val="0002195D"/>
    <w:rsid w:val="000228AE"/>
    <w:rsid w:val="000233D1"/>
    <w:rsid w:val="000234D6"/>
    <w:rsid w:val="00023D29"/>
    <w:rsid w:val="00024348"/>
    <w:rsid w:val="00024394"/>
    <w:rsid w:val="00026389"/>
    <w:rsid w:val="0002669F"/>
    <w:rsid w:val="00027644"/>
    <w:rsid w:val="000279E5"/>
    <w:rsid w:val="000304B6"/>
    <w:rsid w:val="00030EB6"/>
    <w:rsid w:val="00031AE0"/>
    <w:rsid w:val="00031BB2"/>
    <w:rsid w:val="000322EF"/>
    <w:rsid w:val="00033FCD"/>
    <w:rsid w:val="00034DF7"/>
    <w:rsid w:val="00034E68"/>
    <w:rsid w:val="000350C8"/>
    <w:rsid w:val="00036195"/>
    <w:rsid w:val="000374B2"/>
    <w:rsid w:val="000376C0"/>
    <w:rsid w:val="000403A7"/>
    <w:rsid w:val="00040632"/>
    <w:rsid w:val="0004166D"/>
    <w:rsid w:val="00041AFC"/>
    <w:rsid w:val="00041CEC"/>
    <w:rsid w:val="000421A8"/>
    <w:rsid w:val="00042596"/>
    <w:rsid w:val="00044183"/>
    <w:rsid w:val="0004431D"/>
    <w:rsid w:val="0004694F"/>
    <w:rsid w:val="00046F2F"/>
    <w:rsid w:val="00047AD4"/>
    <w:rsid w:val="00047D54"/>
    <w:rsid w:val="0005054A"/>
    <w:rsid w:val="00050708"/>
    <w:rsid w:val="00051506"/>
    <w:rsid w:val="000522E4"/>
    <w:rsid w:val="00053713"/>
    <w:rsid w:val="0005434E"/>
    <w:rsid w:val="00054F86"/>
    <w:rsid w:val="00055CB6"/>
    <w:rsid w:val="000572DD"/>
    <w:rsid w:val="00057B1E"/>
    <w:rsid w:val="00057DC9"/>
    <w:rsid w:val="00060ED3"/>
    <w:rsid w:val="000610E1"/>
    <w:rsid w:val="000616AD"/>
    <w:rsid w:val="000622A6"/>
    <w:rsid w:val="00062EC5"/>
    <w:rsid w:val="00062F22"/>
    <w:rsid w:val="00063975"/>
    <w:rsid w:val="00063CEA"/>
    <w:rsid w:val="0006444D"/>
    <w:rsid w:val="000645FC"/>
    <w:rsid w:val="0006533F"/>
    <w:rsid w:val="00065348"/>
    <w:rsid w:val="00065A75"/>
    <w:rsid w:val="00066558"/>
    <w:rsid w:val="000665D7"/>
    <w:rsid w:val="00066A8F"/>
    <w:rsid w:val="00070A87"/>
    <w:rsid w:val="000712B3"/>
    <w:rsid w:val="00071A7C"/>
    <w:rsid w:val="0007200B"/>
    <w:rsid w:val="000727C7"/>
    <w:rsid w:val="00072FF5"/>
    <w:rsid w:val="00073BA3"/>
    <w:rsid w:val="0007462F"/>
    <w:rsid w:val="0007474E"/>
    <w:rsid w:val="00074988"/>
    <w:rsid w:val="0007512B"/>
    <w:rsid w:val="00075551"/>
    <w:rsid w:val="000767F5"/>
    <w:rsid w:val="0007683E"/>
    <w:rsid w:val="00076D90"/>
    <w:rsid w:val="00077DEE"/>
    <w:rsid w:val="00077FF0"/>
    <w:rsid w:val="000812D3"/>
    <w:rsid w:val="00081A55"/>
    <w:rsid w:val="0008263E"/>
    <w:rsid w:val="00082C19"/>
    <w:rsid w:val="00082F89"/>
    <w:rsid w:val="000837CD"/>
    <w:rsid w:val="000848CA"/>
    <w:rsid w:val="00084BFF"/>
    <w:rsid w:val="00085395"/>
    <w:rsid w:val="00086896"/>
    <w:rsid w:val="00086AC1"/>
    <w:rsid w:val="00086C6F"/>
    <w:rsid w:val="00086D19"/>
    <w:rsid w:val="00087634"/>
    <w:rsid w:val="00087F2B"/>
    <w:rsid w:val="00090694"/>
    <w:rsid w:val="00090EE2"/>
    <w:rsid w:val="00090FC6"/>
    <w:rsid w:val="0009100B"/>
    <w:rsid w:val="000913B1"/>
    <w:rsid w:val="000924B7"/>
    <w:rsid w:val="00092513"/>
    <w:rsid w:val="00092D77"/>
    <w:rsid w:val="00093241"/>
    <w:rsid w:val="00093868"/>
    <w:rsid w:val="00094A84"/>
    <w:rsid w:val="00095025"/>
    <w:rsid w:val="00095135"/>
    <w:rsid w:val="0009626E"/>
    <w:rsid w:val="00097191"/>
    <w:rsid w:val="000972D4"/>
    <w:rsid w:val="000974D1"/>
    <w:rsid w:val="00097784"/>
    <w:rsid w:val="0009799E"/>
    <w:rsid w:val="000A07CB"/>
    <w:rsid w:val="000A0BC0"/>
    <w:rsid w:val="000A1183"/>
    <w:rsid w:val="000A12ED"/>
    <w:rsid w:val="000A1B03"/>
    <w:rsid w:val="000A212B"/>
    <w:rsid w:val="000A242D"/>
    <w:rsid w:val="000A256D"/>
    <w:rsid w:val="000A2D86"/>
    <w:rsid w:val="000A37EF"/>
    <w:rsid w:val="000A3A2C"/>
    <w:rsid w:val="000A3D9E"/>
    <w:rsid w:val="000A4A54"/>
    <w:rsid w:val="000A4ED9"/>
    <w:rsid w:val="000A517B"/>
    <w:rsid w:val="000A54B8"/>
    <w:rsid w:val="000A5DB7"/>
    <w:rsid w:val="000A6D94"/>
    <w:rsid w:val="000A7355"/>
    <w:rsid w:val="000A7377"/>
    <w:rsid w:val="000A7FF4"/>
    <w:rsid w:val="000B03CC"/>
    <w:rsid w:val="000B4212"/>
    <w:rsid w:val="000B4733"/>
    <w:rsid w:val="000B4994"/>
    <w:rsid w:val="000B4EBA"/>
    <w:rsid w:val="000B683E"/>
    <w:rsid w:val="000C0EA8"/>
    <w:rsid w:val="000C12A7"/>
    <w:rsid w:val="000C13A2"/>
    <w:rsid w:val="000C21E7"/>
    <w:rsid w:val="000C23EC"/>
    <w:rsid w:val="000C30C3"/>
    <w:rsid w:val="000C3408"/>
    <w:rsid w:val="000C35AB"/>
    <w:rsid w:val="000C3F7B"/>
    <w:rsid w:val="000C41D9"/>
    <w:rsid w:val="000C4769"/>
    <w:rsid w:val="000C48C0"/>
    <w:rsid w:val="000C4D56"/>
    <w:rsid w:val="000C5DFA"/>
    <w:rsid w:val="000C6AFD"/>
    <w:rsid w:val="000C6C90"/>
    <w:rsid w:val="000D0A26"/>
    <w:rsid w:val="000D3058"/>
    <w:rsid w:val="000D310A"/>
    <w:rsid w:val="000D3EF4"/>
    <w:rsid w:val="000D4DC0"/>
    <w:rsid w:val="000D5637"/>
    <w:rsid w:val="000D6F4E"/>
    <w:rsid w:val="000D73BB"/>
    <w:rsid w:val="000E01D9"/>
    <w:rsid w:val="000E0E32"/>
    <w:rsid w:val="000E0E96"/>
    <w:rsid w:val="000E22FC"/>
    <w:rsid w:val="000E298B"/>
    <w:rsid w:val="000E2C7D"/>
    <w:rsid w:val="000E3CB5"/>
    <w:rsid w:val="000E3E28"/>
    <w:rsid w:val="000E440D"/>
    <w:rsid w:val="000E4AC5"/>
    <w:rsid w:val="000E535F"/>
    <w:rsid w:val="000E6253"/>
    <w:rsid w:val="000E6322"/>
    <w:rsid w:val="000E6E4D"/>
    <w:rsid w:val="000E6FBD"/>
    <w:rsid w:val="000E6FCB"/>
    <w:rsid w:val="000E70F3"/>
    <w:rsid w:val="000F090B"/>
    <w:rsid w:val="000F1041"/>
    <w:rsid w:val="000F3F3B"/>
    <w:rsid w:val="000F4098"/>
    <w:rsid w:val="000F4251"/>
    <w:rsid w:val="000F47E8"/>
    <w:rsid w:val="000F6B24"/>
    <w:rsid w:val="000F70E4"/>
    <w:rsid w:val="000F76EA"/>
    <w:rsid w:val="000F78C3"/>
    <w:rsid w:val="000F7B70"/>
    <w:rsid w:val="00100F5C"/>
    <w:rsid w:val="00101BBE"/>
    <w:rsid w:val="00101CDA"/>
    <w:rsid w:val="00102037"/>
    <w:rsid w:val="00103DCB"/>
    <w:rsid w:val="00104C4C"/>
    <w:rsid w:val="00105015"/>
    <w:rsid w:val="001055D2"/>
    <w:rsid w:val="001057C2"/>
    <w:rsid w:val="00107C96"/>
    <w:rsid w:val="0011038E"/>
    <w:rsid w:val="00110C18"/>
    <w:rsid w:val="001125EF"/>
    <w:rsid w:val="001127EE"/>
    <w:rsid w:val="00112CAB"/>
    <w:rsid w:val="00116A49"/>
    <w:rsid w:val="00116D3F"/>
    <w:rsid w:val="00117474"/>
    <w:rsid w:val="00117623"/>
    <w:rsid w:val="00117FEA"/>
    <w:rsid w:val="001200CF"/>
    <w:rsid w:val="001208E3"/>
    <w:rsid w:val="0012192F"/>
    <w:rsid w:val="00122504"/>
    <w:rsid w:val="00122994"/>
    <w:rsid w:val="00124B46"/>
    <w:rsid w:val="0012530D"/>
    <w:rsid w:val="001257E0"/>
    <w:rsid w:val="00125D69"/>
    <w:rsid w:val="0012799C"/>
    <w:rsid w:val="00127BC2"/>
    <w:rsid w:val="00127E15"/>
    <w:rsid w:val="00130ADC"/>
    <w:rsid w:val="00130D9F"/>
    <w:rsid w:val="00131138"/>
    <w:rsid w:val="00132C4D"/>
    <w:rsid w:val="00133FC1"/>
    <w:rsid w:val="001345B6"/>
    <w:rsid w:val="00134659"/>
    <w:rsid w:val="00136696"/>
    <w:rsid w:val="001405FA"/>
    <w:rsid w:val="00140D1A"/>
    <w:rsid w:val="00141184"/>
    <w:rsid w:val="00141258"/>
    <w:rsid w:val="00141315"/>
    <w:rsid w:val="00141AA0"/>
    <w:rsid w:val="00141ACD"/>
    <w:rsid w:val="001425C3"/>
    <w:rsid w:val="0014262D"/>
    <w:rsid w:val="00143BB2"/>
    <w:rsid w:val="00144588"/>
    <w:rsid w:val="001447DD"/>
    <w:rsid w:val="001459BC"/>
    <w:rsid w:val="001510A2"/>
    <w:rsid w:val="001523D1"/>
    <w:rsid w:val="00152F4F"/>
    <w:rsid w:val="00153E4A"/>
    <w:rsid w:val="001544A1"/>
    <w:rsid w:val="0015495D"/>
    <w:rsid w:val="00155158"/>
    <w:rsid w:val="001553B8"/>
    <w:rsid w:val="001554C2"/>
    <w:rsid w:val="0015573B"/>
    <w:rsid w:val="001571C0"/>
    <w:rsid w:val="0015753D"/>
    <w:rsid w:val="00157CC9"/>
    <w:rsid w:val="00160C21"/>
    <w:rsid w:val="001612F4"/>
    <w:rsid w:val="00161553"/>
    <w:rsid w:val="00161A82"/>
    <w:rsid w:val="0016256B"/>
    <w:rsid w:val="00162F81"/>
    <w:rsid w:val="00163793"/>
    <w:rsid w:val="001639E9"/>
    <w:rsid w:val="00165313"/>
    <w:rsid w:val="00166239"/>
    <w:rsid w:val="00167485"/>
    <w:rsid w:val="001679F5"/>
    <w:rsid w:val="00167B92"/>
    <w:rsid w:val="00167CB9"/>
    <w:rsid w:val="00167DD8"/>
    <w:rsid w:val="001705AD"/>
    <w:rsid w:val="001706D6"/>
    <w:rsid w:val="0017129C"/>
    <w:rsid w:val="001714DD"/>
    <w:rsid w:val="001714F2"/>
    <w:rsid w:val="00171FEA"/>
    <w:rsid w:val="00175B9F"/>
    <w:rsid w:val="001762F4"/>
    <w:rsid w:val="001764E2"/>
    <w:rsid w:val="00176DDF"/>
    <w:rsid w:val="00177536"/>
    <w:rsid w:val="00181BBC"/>
    <w:rsid w:val="001832B5"/>
    <w:rsid w:val="0018385F"/>
    <w:rsid w:val="00184017"/>
    <w:rsid w:val="001847BB"/>
    <w:rsid w:val="00184B08"/>
    <w:rsid w:val="00184EC1"/>
    <w:rsid w:val="00185010"/>
    <w:rsid w:val="00185C22"/>
    <w:rsid w:val="00186BA9"/>
    <w:rsid w:val="00190FCE"/>
    <w:rsid w:val="00191468"/>
    <w:rsid w:val="0019196C"/>
    <w:rsid w:val="00192F05"/>
    <w:rsid w:val="00194729"/>
    <w:rsid w:val="00194850"/>
    <w:rsid w:val="00195234"/>
    <w:rsid w:val="00195475"/>
    <w:rsid w:val="00195FA3"/>
    <w:rsid w:val="00196016"/>
    <w:rsid w:val="00196117"/>
    <w:rsid w:val="00196A04"/>
    <w:rsid w:val="001975DD"/>
    <w:rsid w:val="00197A70"/>
    <w:rsid w:val="00197C0F"/>
    <w:rsid w:val="001A0487"/>
    <w:rsid w:val="001A1F68"/>
    <w:rsid w:val="001A21FA"/>
    <w:rsid w:val="001A4CCD"/>
    <w:rsid w:val="001A4EF0"/>
    <w:rsid w:val="001A552F"/>
    <w:rsid w:val="001A70B1"/>
    <w:rsid w:val="001B0606"/>
    <w:rsid w:val="001B0738"/>
    <w:rsid w:val="001B185C"/>
    <w:rsid w:val="001B2822"/>
    <w:rsid w:val="001B2CA9"/>
    <w:rsid w:val="001B3110"/>
    <w:rsid w:val="001B3E38"/>
    <w:rsid w:val="001B40F5"/>
    <w:rsid w:val="001B4729"/>
    <w:rsid w:val="001B4F0E"/>
    <w:rsid w:val="001B626C"/>
    <w:rsid w:val="001B6310"/>
    <w:rsid w:val="001B6C09"/>
    <w:rsid w:val="001B6E12"/>
    <w:rsid w:val="001C05CD"/>
    <w:rsid w:val="001C0F17"/>
    <w:rsid w:val="001C0FB1"/>
    <w:rsid w:val="001C1B24"/>
    <w:rsid w:val="001C1B66"/>
    <w:rsid w:val="001C1BA4"/>
    <w:rsid w:val="001C31A2"/>
    <w:rsid w:val="001C351D"/>
    <w:rsid w:val="001C4BB8"/>
    <w:rsid w:val="001C4FD0"/>
    <w:rsid w:val="001C583D"/>
    <w:rsid w:val="001C5E46"/>
    <w:rsid w:val="001C6AB9"/>
    <w:rsid w:val="001C6B3B"/>
    <w:rsid w:val="001C7E3F"/>
    <w:rsid w:val="001D0EF1"/>
    <w:rsid w:val="001D1240"/>
    <w:rsid w:val="001D22C2"/>
    <w:rsid w:val="001D2C99"/>
    <w:rsid w:val="001D452E"/>
    <w:rsid w:val="001D54C1"/>
    <w:rsid w:val="001D556E"/>
    <w:rsid w:val="001D5DF2"/>
    <w:rsid w:val="001D6464"/>
    <w:rsid w:val="001D68B2"/>
    <w:rsid w:val="001D6F25"/>
    <w:rsid w:val="001D704B"/>
    <w:rsid w:val="001D7EFD"/>
    <w:rsid w:val="001D7F60"/>
    <w:rsid w:val="001E08A7"/>
    <w:rsid w:val="001E1F50"/>
    <w:rsid w:val="001E3306"/>
    <w:rsid w:val="001E504C"/>
    <w:rsid w:val="001E5A17"/>
    <w:rsid w:val="001E74C5"/>
    <w:rsid w:val="001F0AE4"/>
    <w:rsid w:val="001F1236"/>
    <w:rsid w:val="001F2F90"/>
    <w:rsid w:val="001F4597"/>
    <w:rsid w:val="001F4826"/>
    <w:rsid w:val="001F486B"/>
    <w:rsid w:val="001F6CD3"/>
    <w:rsid w:val="001F7CE0"/>
    <w:rsid w:val="00200085"/>
    <w:rsid w:val="002032BE"/>
    <w:rsid w:val="00203332"/>
    <w:rsid w:val="00203CD5"/>
    <w:rsid w:val="00203D8F"/>
    <w:rsid w:val="00203DA4"/>
    <w:rsid w:val="00204EA6"/>
    <w:rsid w:val="00205186"/>
    <w:rsid w:val="00206516"/>
    <w:rsid w:val="002071D5"/>
    <w:rsid w:val="002111E5"/>
    <w:rsid w:val="002118B9"/>
    <w:rsid w:val="002142C0"/>
    <w:rsid w:val="002150B8"/>
    <w:rsid w:val="00217C5B"/>
    <w:rsid w:val="002208AD"/>
    <w:rsid w:val="00220A43"/>
    <w:rsid w:val="0022139E"/>
    <w:rsid w:val="00222729"/>
    <w:rsid w:val="00223185"/>
    <w:rsid w:val="00223214"/>
    <w:rsid w:val="002233D6"/>
    <w:rsid w:val="002238F3"/>
    <w:rsid w:val="0022441D"/>
    <w:rsid w:val="0022448C"/>
    <w:rsid w:val="00224574"/>
    <w:rsid w:val="00224E3F"/>
    <w:rsid w:val="002252E0"/>
    <w:rsid w:val="002255F6"/>
    <w:rsid w:val="00226032"/>
    <w:rsid w:val="00226B29"/>
    <w:rsid w:val="0022738D"/>
    <w:rsid w:val="00227605"/>
    <w:rsid w:val="00227850"/>
    <w:rsid w:val="00227A53"/>
    <w:rsid w:val="00227AB3"/>
    <w:rsid w:val="00227C96"/>
    <w:rsid w:val="00227E2E"/>
    <w:rsid w:val="00227F53"/>
    <w:rsid w:val="00230C6E"/>
    <w:rsid w:val="00230E21"/>
    <w:rsid w:val="00230F48"/>
    <w:rsid w:val="00231066"/>
    <w:rsid w:val="002316A8"/>
    <w:rsid w:val="002320C9"/>
    <w:rsid w:val="0023288F"/>
    <w:rsid w:val="0023359B"/>
    <w:rsid w:val="00233603"/>
    <w:rsid w:val="002340EF"/>
    <w:rsid w:val="00234B82"/>
    <w:rsid w:val="00234C09"/>
    <w:rsid w:val="00236443"/>
    <w:rsid w:val="00236700"/>
    <w:rsid w:val="00236829"/>
    <w:rsid w:val="00240391"/>
    <w:rsid w:val="00240AF3"/>
    <w:rsid w:val="002418D5"/>
    <w:rsid w:val="00241B06"/>
    <w:rsid w:val="002429C8"/>
    <w:rsid w:val="002436BA"/>
    <w:rsid w:val="00244652"/>
    <w:rsid w:val="00244A15"/>
    <w:rsid w:val="002452D9"/>
    <w:rsid w:val="00247319"/>
    <w:rsid w:val="00247905"/>
    <w:rsid w:val="0024799E"/>
    <w:rsid w:val="00247A3D"/>
    <w:rsid w:val="00247A6A"/>
    <w:rsid w:val="00247E60"/>
    <w:rsid w:val="00251B08"/>
    <w:rsid w:val="00251C53"/>
    <w:rsid w:val="00252177"/>
    <w:rsid w:val="002525CC"/>
    <w:rsid w:val="00252AB9"/>
    <w:rsid w:val="00252BFC"/>
    <w:rsid w:val="00253A94"/>
    <w:rsid w:val="00253C0F"/>
    <w:rsid w:val="002558C1"/>
    <w:rsid w:val="00256207"/>
    <w:rsid w:val="002575F3"/>
    <w:rsid w:val="002603E1"/>
    <w:rsid w:val="0026120E"/>
    <w:rsid w:val="002623F0"/>
    <w:rsid w:val="00262582"/>
    <w:rsid w:val="0026291D"/>
    <w:rsid w:val="00262CF3"/>
    <w:rsid w:val="00264309"/>
    <w:rsid w:val="00264752"/>
    <w:rsid w:val="0026564B"/>
    <w:rsid w:val="00265C83"/>
    <w:rsid w:val="00265E85"/>
    <w:rsid w:val="0026736A"/>
    <w:rsid w:val="00267B49"/>
    <w:rsid w:val="002700D9"/>
    <w:rsid w:val="0027025F"/>
    <w:rsid w:val="002709CC"/>
    <w:rsid w:val="00270D25"/>
    <w:rsid w:val="00271022"/>
    <w:rsid w:val="00271465"/>
    <w:rsid w:val="00271C19"/>
    <w:rsid w:val="00271E47"/>
    <w:rsid w:val="002721F5"/>
    <w:rsid w:val="00272DF4"/>
    <w:rsid w:val="00275031"/>
    <w:rsid w:val="002751B5"/>
    <w:rsid w:val="0027583D"/>
    <w:rsid w:val="00275DEF"/>
    <w:rsid w:val="002763A2"/>
    <w:rsid w:val="002765C1"/>
    <w:rsid w:val="00276B33"/>
    <w:rsid w:val="002812E3"/>
    <w:rsid w:val="002828EE"/>
    <w:rsid w:val="0028341F"/>
    <w:rsid w:val="002837AE"/>
    <w:rsid w:val="00283C13"/>
    <w:rsid w:val="00283F7B"/>
    <w:rsid w:val="00283FEB"/>
    <w:rsid w:val="0028431A"/>
    <w:rsid w:val="002853FA"/>
    <w:rsid w:val="00285412"/>
    <w:rsid w:val="00286220"/>
    <w:rsid w:val="00291640"/>
    <w:rsid w:val="00291CFA"/>
    <w:rsid w:val="0029237E"/>
    <w:rsid w:val="00292997"/>
    <w:rsid w:val="00293274"/>
    <w:rsid w:val="00293D24"/>
    <w:rsid w:val="002942D3"/>
    <w:rsid w:val="00294C29"/>
    <w:rsid w:val="0029509B"/>
    <w:rsid w:val="002950EA"/>
    <w:rsid w:val="0029588F"/>
    <w:rsid w:val="00295E96"/>
    <w:rsid w:val="00297256"/>
    <w:rsid w:val="00297A5C"/>
    <w:rsid w:val="00297D51"/>
    <w:rsid w:val="002A0122"/>
    <w:rsid w:val="002A016B"/>
    <w:rsid w:val="002A16D4"/>
    <w:rsid w:val="002A1E4F"/>
    <w:rsid w:val="002A230C"/>
    <w:rsid w:val="002A2AF7"/>
    <w:rsid w:val="002A2D46"/>
    <w:rsid w:val="002A3209"/>
    <w:rsid w:val="002A3EA2"/>
    <w:rsid w:val="002A507C"/>
    <w:rsid w:val="002A51AC"/>
    <w:rsid w:val="002A532A"/>
    <w:rsid w:val="002A5846"/>
    <w:rsid w:val="002A5D97"/>
    <w:rsid w:val="002A603E"/>
    <w:rsid w:val="002A622B"/>
    <w:rsid w:val="002A63B9"/>
    <w:rsid w:val="002A6D77"/>
    <w:rsid w:val="002A7089"/>
    <w:rsid w:val="002B13EE"/>
    <w:rsid w:val="002B1619"/>
    <w:rsid w:val="002B2B8A"/>
    <w:rsid w:val="002B3EF4"/>
    <w:rsid w:val="002B43B3"/>
    <w:rsid w:val="002B4845"/>
    <w:rsid w:val="002B53C9"/>
    <w:rsid w:val="002B5567"/>
    <w:rsid w:val="002B5812"/>
    <w:rsid w:val="002B72AA"/>
    <w:rsid w:val="002B7366"/>
    <w:rsid w:val="002B7678"/>
    <w:rsid w:val="002B7AFA"/>
    <w:rsid w:val="002C1110"/>
    <w:rsid w:val="002C1BC2"/>
    <w:rsid w:val="002C1F09"/>
    <w:rsid w:val="002C22A4"/>
    <w:rsid w:val="002C260B"/>
    <w:rsid w:val="002C27A6"/>
    <w:rsid w:val="002C398D"/>
    <w:rsid w:val="002C40D2"/>
    <w:rsid w:val="002C40DC"/>
    <w:rsid w:val="002C43BD"/>
    <w:rsid w:val="002C51EF"/>
    <w:rsid w:val="002C5245"/>
    <w:rsid w:val="002C59D8"/>
    <w:rsid w:val="002D05CB"/>
    <w:rsid w:val="002D0E59"/>
    <w:rsid w:val="002D2C4F"/>
    <w:rsid w:val="002D3EBB"/>
    <w:rsid w:val="002D455C"/>
    <w:rsid w:val="002D488A"/>
    <w:rsid w:val="002D596E"/>
    <w:rsid w:val="002D6066"/>
    <w:rsid w:val="002D60F6"/>
    <w:rsid w:val="002D6137"/>
    <w:rsid w:val="002E02A1"/>
    <w:rsid w:val="002E196A"/>
    <w:rsid w:val="002E20C7"/>
    <w:rsid w:val="002E20CD"/>
    <w:rsid w:val="002E222E"/>
    <w:rsid w:val="002E28D8"/>
    <w:rsid w:val="002E37D1"/>
    <w:rsid w:val="002E3834"/>
    <w:rsid w:val="002E3BEE"/>
    <w:rsid w:val="002E4E4C"/>
    <w:rsid w:val="002E4EA7"/>
    <w:rsid w:val="002E5846"/>
    <w:rsid w:val="002E792B"/>
    <w:rsid w:val="002F0DA5"/>
    <w:rsid w:val="002F1B09"/>
    <w:rsid w:val="002F1D56"/>
    <w:rsid w:val="002F1DCB"/>
    <w:rsid w:val="002F1DE4"/>
    <w:rsid w:val="002F333D"/>
    <w:rsid w:val="002F351A"/>
    <w:rsid w:val="002F468F"/>
    <w:rsid w:val="002F46D6"/>
    <w:rsid w:val="002F498A"/>
    <w:rsid w:val="002F4AD8"/>
    <w:rsid w:val="002F5285"/>
    <w:rsid w:val="002F5820"/>
    <w:rsid w:val="002F5880"/>
    <w:rsid w:val="002F64BB"/>
    <w:rsid w:val="002F6EEB"/>
    <w:rsid w:val="00300C31"/>
    <w:rsid w:val="003017EC"/>
    <w:rsid w:val="00301F37"/>
    <w:rsid w:val="00302165"/>
    <w:rsid w:val="00304771"/>
    <w:rsid w:val="003050FD"/>
    <w:rsid w:val="003052D4"/>
    <w:rsid w:val="003060E9"/>
    <w:rsid w:val="00306C5B"/>
    <w:rsid w:val="00307529"/>
    <w:rsid w:val="00307DB3"/>
    <w:rsid w:val="00307ED2"/>
    <w:rsid w:val="0031076D"/>
    <w:rsid w:val="00311AA6"/>
    <w:rsid w:val="00311C4D"/>
    <w:rsid w:val="003121AB"/>
    <w:rsid w:val="00312A9B"/>
    <w:rsid w:val="00315169"/>
    <w:rsid w:val="003153C8"/>
    <w:rsid w:val="00315524"/>
    <w:rsid w:val="0032018B"/>
    <w:rsid w:val="0032058C"/>
    <w:rsid w:val="003208D0"/>
    <w:rsid w:val="003209D6"/>
    <w:rsid w:val="003217B9"/>
    <w:rsid w:val="00321924"/>
    <w:rsid w:val="00321EB6"/>
    <w:rsid w:val="003220A5"/>
    <w:rsid w:val="00323A1C"/>
    <w:rsid w:val="00324B59"/>
    <w:rsid w:val="003261F3"/>
    <w:rsid w:val="0032656E"/>
    <w:rsid w:val="003268A0"/>
    <w:rsid w:val="0032788F"/>
    <w:rsid w:val="003306B5"/>
    <w:rsid w:val="00331E46"/>
    <w:rsid w:val="00332190"/>
    <w:rsid w:val="00332A98"/>
    <w:rsid w:val="00333973"/>
    <w:rsid w:val="00333CD0"/>
    <w:rsid w:val="0033448D"/>
    <w:rsid w:val="00334821"/>
    <w:rsid w:val="00334AD2"/>
    <w:rsid w:val="00334CB6"/>
    <w:rsid w:val="0033709C"/>
    <w:rsid w:val="003370C5"/>
    <w:rsid w:val="003373C6"/>
    <w:rsid w:val="00340BF3"/>
    <w:rsid w:val="00341D26"/>
    <w:rsid w:val="00341F05"/>
    <w:rsid w:val="0034335E"/>
    <w:rsid w:val="00344668"/>
    <w:rsid w:val="00344940"/>
    <w:rsid w:val="003458DF"/>
    <w:rsid w:val="00345943"/>
    <w:rsid w:val="00346234"/>
    <w:rsid w:val="003462D9"/>
    <w:rsid w:val="0034723F"/>
    <w:rsid w:val="00347247"/>
    <w:rsid w:val="003473C9"/>
    <w:rsid w:val="003474B6"/>
    <w:rsid w:val="00347DD4"/>
    <w:rsid w:val="00351006"/>
    <w:rsid w:val="00352560"/>
    <w:rsid w:val="00352854"/>
    <w:rsid w:val="00352B43"/>
    <w:rsid w:val="00352C28"/>
    <w:rsid w:val="0035716C"/>
    <w:rsid w:val="0036077F"/>
    <w:rsid w:val="00360C86"/>
    <w:rsid w:val="00360F7A"/>
    <w:rsid w:val="00360FBC"/>
    <w:rsid w:val="00361537"/>
    <w:rsid w:val="0036242A"/>
    <w:rsid w:val="00362C23"/>
    <w:rsid w:val="00362E90"/>
    <w:rsid w:val="003632F0"/>
    <w:rsid w:val="00364FA0"/>
    <w:rsid w:val="003657F3"/>
    <w:rsid w:val="00365844"/>
    <w:rsid w:val="00366692"/>
    <w:rsid w:val="003668CF"/>
    <w:rsid w:val="00367638"/>
    <w:rsid w:val="00367F84"/>
    <w:rsid w:val="003712BC"/>
    <w:rsid w:val="003715FE"/>
    <w:rsid w:val="00372164"/>
    <w:rsid w:val="00372A4C"/>
    <w:rsid w:val="0037323C"/>
    <w:rsid w:val="003738BD"/>
    <w:rsid w:val="00374263"/>
    <w:rsid w:val="00374428"/>
    <w:rsid w:val="003746F0"/>
    <w:rsid w:val="00374A20"/>
    <w:rsid w:val="00374E21"/>
    <w:rsid w:val="00377A50"/>
    <w:rsid w:val="00377B2E"/>
    <w:rsid w:val="0038103D"/>
    <w:rsid w:val="003810F0"/>
    <w:rsid w:val="003818DC"/>
    <w:rsid w:val="00382513"/>
    <w:rsid w:val="00382F3A"/>
    <w:rsid w:val="00383388"/>
    <w:rsid w:val="003834F8"/>
    <w:rsid w:val="003838D0"/>
    <w:rsid w:val="003840C2"/>
    <w:rsid w:val="00384327"/>
    <w:rsid w:val="00384861"/>
    <w:rsid w:val="00384A89"/>
    <w:rsid w:val="00385086"/>
    <w:rsid w:val="00385D98"/>
    <w:rsid w:val="00390306"/>
    <w:rsid w:val="003908A6"/>
    <w:rsid w:val="00390951"/>
    <w:rsid w:val="0039109D"/>
    <w:rsid w:val="00391175"/>
    <w:rsid w:val="00391989"/>
    <w:rsid w:val="00391A6C"/>
    <w:rsid w:val="00392696"/>
    <w:rsid w:val="003927F6"/>
    <w:rsid w:val="0039602D"/>
    <w:rsid w:val="00396739"/>
    <w:rsid w:val="003A04F6"/>
    <w:rsid w:val="003A0837"/>
    <w:rsid w:val="003A2B49"/>
    <w:rsid w:val="003A2B4D"/>
    <w:rsid w:val="003A2D12"/>
    <w:rsid w:val="003A2D68"/>
    <w:rsid w:val="003A2EBA"/>
    <w:rsid w:val="003A4080"/>
    <w:rsid w:val="003A45E3"/>
    <w:rsid w:val="003A478C"/>
    <w:rsid w:val="003A4A38"/>
    <w:rsid w:val="003A5525"/>
    <w:rsid w:val="003A5889"/>
    <w:rsid w:val="003A5949"/>
    <w:rsid w:val="003A6B38"/>
    <w:rsid w:val="003A6B83"/>
    <w:rsid w:val="003A6C97"/>
    <w:rsid w:val="003A722F"/>
    <w:rsid w:val="003A7373"/>
    <w:rsid w:val="003A7D09"/>
    <w:rsid w:val="003B0197"/>
    <w:rsid w:val="003B039F"/>
    <w:rsid w:val="003B05B9"/>
    <w:rsid w:val="003B09BC"/>
    <w:rsid w:val="003B0DF4"/>
    <w:rsid w:val="003B1F9D"/>
    <w:rsid w:val="003B2A8D"/>
    <w:rsid w:val="003B2AD1"/>
    <w:rsid w:val="003B2D2E"/>
    <w:rsid w:val="003B461F"/>
    <w:rsid w:val="003B483F"/>
    <w:rsid w:val="003B4998"/>
    <w:rsid w:val="003B5A32"/>
    <w:rsid w:val="003B6B91"/>
    <w:rsid w:val="003B7B50"/>
    <w:rsid w:val="003C0810"/>
    <w:rsid w:val="003C0B07"/>
    <w:rsid w:val="003C27A5"/>
    <w:rsid w:val="003C2CE7"/>
    <w:rsid w:val="003C3490"/>
    <w:rsid w:val="003C3608"/>
    <w:rsid w:val="003C38C4"/>
    <w:rsid w:val="003C3AE8"/>
    <w:rsid w:val="003C3D2C"/>
    <w:rsid w:val="003C4E13"/>
    <w:rsid w:val="003C6221"/>
    <w:rsid w:val="003C63D7"/>
    <w:rsid w:val="003C68CC"/>
    <w:rsid w:val="003C6D24"/>
    <w:rsid w:val="003C7E62"/>
    <w:rsid w:val="003D12B9"/>
    <w:rsid w:val="003D1E7A"/>
    <w:rsid w:val="003D242B"/>
    <w:rsid w:val="003D2492"/>
    <w:rsid w:val="003D29AA"/>
    <w:rsid w:val="003D2A99"/>
    <w:rsid w:val="003D6920"/>
    <w:rsid w:val="003E0249"/>
    <w:rsid w:val="003E182F"/>
    <w:rsid w:val="003E1EF8"/>
    <w:rsid w:val="003E2089"/>
    <w:rsid w:val="003E2DFB"/>
    <w:rsid w:val="003E3A1D"/>
    <w:rsid w:val="003E4C91"/>
    <w:rsid w:val="003E52D8"/>
    <w:rsid w:val="003E62F1"/>
    <w:rsid w:val="003E6CA1"/>
    <w:rsid w:val="003F04B0"/>
    <w:rsid w:val="003F313C"/>
    <w:rsid w:val="003F3320"/>
    <w:rsid w:val="003F37FC"/>
    <w:rsid w:val="003F416F"/>
    <w:rsid w:val="003F4318"/>
    <w:rsid w:val="003F4B2C"/>
    <w:rsid w:val="003F551C"/>
    <w:rsid w:val="003F6093"/>
    <w:rsid w:val="003F626D"/>
    <w:rsid w:val="003F72ED"/>
    <w:rsid w:val="003F7D23"/>
    <w:rsid w:val="00400050"/>
    <w:rsid w:val="004002C8"/>
    <w:rsid w:val="00400468"/>
    <w:rsid w:val="0040099D"/>
    <w:rsid w:val="004016CB"/>
    <w:rsid w:val="00401B23"/>
    <w:rsid w:val="00402357"/>
    <w:rsid w:val="00402ADB"/>
    <w:rsid w:val="0040368D"/>
    <w:rsid w:val="00403D1D"/>
    <w:rsid w:val="00403F57"/>
    <w:rsid w:val="00405318"/>
    <w:rsid w:val="004053B2"/>
    <w:rsid w:val="004059D2"/>
    <w:rsid w:val="004066D0"/>
    <w:rsid w:val="004068D9"/>
    <w:rsid w:val="00406C2E"/>
    <w:rsid w:val="00406CDA"/>
    <w:rsid w:val="00406EB0"/>
    <w:rsid w:val="00407093"/>
    <w:rsid w:val="00407711"/>
    <w:rsid w:val="00407C13"/>
    <w:rsid w:val="004103F6"/>
    <w:rsid w:val="00410638"/>
    <w:rsid w:val="00411999"/>
    <w:rsid w:val="00412511"/>
    <w:rsid w:val="004125C2"/>
    <w:rsid w:val="00412DFA"/>
    <w:rsid w:val="00413465"/>
    <w:rsid w:val="00413876"/>
    <w:rsid w:val="004149AC"/>
    <w:rsid w:val="0041501E"/>
    <w:rsid w:val="00415452"/>
    <w:rsid w:val="00415489"/>
    <w:rsid w:val="004159C3"/>
    <w:rsid w:val="00415A57"/>
    <w:rsid w:val="00416DAC"/>
    <w:rsid w:val="00417F7D"/>
    <w:rsid w:val="00420880"/>
    <w:rsid w:val="00421179"/>
    <w:rsid w:val="004224C7"/>
    <w:rsid w:val="00423EAD"/>
    <w:rsid w:val="004255B1"/>
    <w:rsid w:val="00430810"/>
    <w:rsid w:val="00430C96"/>
    <w:rsid w:val="00431859"/>
    <w:rsid w:val="00431BFF"/>
    <w:rsid w:val="00432043"/>
    <w:rsid w:val="00432199"/>
    <w:rsid w:val="00432A58"/>
    <w:rsid w:val="004331C3"/>
    <w:rsid w:val="00433C17"/>
    <w:rsid w:val="00434459"/>
    <w:rsid w:val="00434617"/>
    <w:rsid w:val="00435051"/>
    <w:rsid w:val="00435C69"/>
    <w:rsid w:val="004360FB"/>
    <w:rsid w:val="00437CED"/>
    <w:rsid w:val="004407BF"/>
    <w:rsid w:val="00440900"/>
    <w:rsid w:val="0044121D"/>
    <w:rsid w:val="00441A7F"/>
    <w:rsid w:val="00441BF6"/>
    <w:rsid w:val="00441D2B"/>
    <w:rsid w:val="00441F8B"/>
    <w:rsid w:val="0044201B"/>
    <w:rsid w:val="00442085"/>
    <w:rsid w:val="0044279E"/>
    <w:rsid w:val="004441A0"/>
    <w:rsid w:val="0044465B"/>
    <w:rsid w:val="00445861"/>
    <w:rsid w:val="00445A8E"/>
    <w:rsid w:val="00445FBE"/>
    <w:rsid w:val="00446D44"/>
    <w:rsid w:val="0045078A"/>
    <w:rsid w:val="0045086D"/>
    <w:rsid w:val="00450DAB"/>
    <w:rsid w:val="004511F3"/>
    <w:rsid w:val="0045125B"/>
    <w:rsid w:val="00451EF1"/>
    <w:rsid w:val="00452E60"/>
    <w:rsid w:val="0045321B"/>
    <w:rsid w:val="00454515"/>
    <w:rsid w:val="004563A7"/>
    <w:rsid w:val="00456FE5"/>
    <w:rsid w:val="00457490"/>
    <w:rsid w:val="00457953"/>
    <w:rsid w:val="004604D8"/>
    <w:rsid w:val="00460656"/>
    <w:rsid w:val="00460FB3"/>
    <w:rsid w:val="00461549"/>
    <w:rsid w:val="004626A4"/>
    <w:rsid w:val="00463D3C"/>
    <w:rsid w:val="00464851"/>
    <w:rsid w:val="0046746A"/>
    <w:rsid w:val="0046782D"/>
    <w:rsid w:val="00467B14"/>
    <w:rsid w:val="004707FE"/>
    <w:rsid w:val="00470EDC"/>
    <w:rsid w:val="004719DF"/>
    <w:rsid w:val="00471B1B"/>
    <w:rsid w:val="0047276D"/>
    <w:rsid w:val="00472AF6"/>
    <w:rsid w:val="00473482"/>
    <w:rsid w:val="00474A04"/>
    <w:rsid w:val="00475A43"/>
    <w:rsid w:val="00476240"/>
    <w:rsid w:val="00476439"/>
    <w:rsid w:val="00476450"/>
    <w:rsid w:val="004769E1"/>
    <w:rsid w:val="0047735C"/>
    <w:rsid w:val="004776BC"/>
    <w:rsid w:val="00477820"/>
    <w:rsid w:val="00477B96"/>
    <w:rsid w:val="004806E2"/>
    <w:rsid w:val="00480BAE"/>
    <w:rsid w:val="00480D16"/>
    <w:rsid w:val="0048139F"/>
    <w:rsid w:val="00481E40"/>
    <w:rsid w:val="00482405"/>
    <w:rsid w:val="004826A7"/>
    <w:rsid w:val="0048368C"/>
    <w:rsid w:val="0048372F"/>
    <w:rsid w:val="00484ECE"/>
    <w:rsid w:val="00485BF2"/>
    <w:rsid w:val="00485E82"/>
    <w:rsid w:val="00486132"/>
    <w:rsid w:val="0048686D"/>
    <w:rsid w:val="00486A4D"/>
    <w:rsid w:val="00486CF6"/>
    <w:rsid w:val="00491466"/>
    <w:rsid w:val="004915CB"/>
    <w:rsid w:val="004924DC"/>
    <w:rsid w:val="00492879"/>
    <w:rsid w:val="00493D59"/>
    <w:rsid w:val="00493E85"/>
    <w:rsid w:val="00494A49"/>
    <w:rsid w:val="00495145"/>
    <w:rsid w:val="0049620B"/>
    <w:rsid w:val="004973CD"/>
    <w:rsid w:val="004979A5"/>
    <w:rsid w:val="00497AEC"/>
    <w:rsid w:val="004A0144"/>
    <w:rsid w:val="004A036E"/>
    <w:rsid w:val="004A0498"/>
    <w:rsid w:val="004A0D0E"/>
    <w:rsid w:val="004A14E4"/>
    <w:rsid w:val="004A204E"/>
    <w:rsid w:val="004A26A5"/>
    <w:rsid w:val="004A2794"/>
    <w:rsid w:val="004A27F0"/>
    <w:rsid w:val="004A3212"/>
    <w:rsid w:val="004A37CD"/>
    <w:rsid w:val="004A40D9"/>
    <w:rsid w:val="004A49A5"/>
    <w:rsid w:val="004A4F8A"/>
    <w:rsid w:val="004A5494"/>
    <w:rsid w:val="004A5991"/>
    <w:rsid w:val="004A5D4E"/>
    <w:rsid w:val="004A61C5"/>
    <w:rsid w:val="004A62A0"/>
    <w:rsid w:val="004A6558"/>
    <w:rsid w:val="004A7447"/>
    <w:rsid w:val="004A77DF"/>
    <w:rsid w:val="004B12DD"/>
    <w:rsid w:val="004B1417"/>
    <w:rsid w:val="004B15BA"/>
    <w:rsid w:val="004B17C0"/>
    <w:rsid w:val="004B2BB0"/>
    <w:rsid w:val="004B305C"/>
    <w:rsid w:val="004B31B8"/>
    <w:rsid w:val="004B339A"/>
    <w:rsid w:val="004B473B"/>
    <w:rsid w:val="004B49CB"/>
    <w:rsid w:val="004B4C83"/>
    <w:rsid w:val="004B4DE3"/>
    <w:rsid w:val="004B5570"/>
    <w:rsid w:val="004B55B7"/>
    <w:rsid w:val="004B5BFA"/>
    <w:rsid w:val="004B6468"/>
    <w:rsid w:val="004B6EF8"/>
    <w:rsid w:val="004B7121"/>
    <w:rsid w:val="004B7125"/>
    <w:rsid w:val="004B756A"/>
    <w:rsid w:val="004B7D6D"/>
    <w:rsid w:val="004B7FB1"/>
    <w:rsid w:val="004C0B3F"/>
    <w:rsid w:val="004C218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69"/>
    <w:rsid w:val="004D0794"/>
    <w:rsid w:val="004D2E03"/>
    <w:rsid w:val="004D3296"/>
    <w:rsid w:val="004D4056"/>
    <w:rsid w:val="004D4CB0"/>
    <w:rsid w:val="004D5B0F"/>
    <w:rsid w:val="004D7626"/>
    <w:rsid w:val="004E00D2"/>
    <w:rsid w:val="004E186A"/>
    <w:rsid w:val="004E1A40"/>
    <w:rsid w:val="004E200A"/>
    <w:rsid w:val="004E23FC"/>
    <w:rsid w:val="004E2409"/>
    <w:rsid w:val="004E261D"/>
    <w:rsid w:val="004E5763"/>
    <w:rsid w:val="004E57BF"/>
    <w:rsid w:val="004E5F41"/>
    <w:rsid w:val="004E6DE6"/>
    <w:rsid w:val="004E6E07"/>
    <w:rsid w:val="004E73AE"/>
    <w:rsid w:val="004E765E"/>
    <w:rsid w:val="004E7815"/>
    <w:rsid w:val="004F06F5"/>
    <w:rsid w:val="004F12A4"/>
    <w:rsid w:val="004F253F"/>
    <w:rsid w:val="004F33A0"/>
    <w:rsid w:val="004F3BD2"/>
    <w:rsid w:val="004F46ED"/>
    <w:rsid w:val="004F4C99"/>
    <w:rsid w:val="004F5358"/>
    <w:rsid w:val="004F6484"/>
    <w:rsid w:val="004F6539"/>
    <w:rsid w:val="00503784"/>
    <w:rsid w:val="00503D54"/>
    <w:rsid w:val="005048E2"/>
    <w:rsid w:val="00505FC8"/>
    <w:rsid w:val="00506603"/>
    <w:rsid w:val="0050689D"/>
    <w:rsid w:val="005077F5"/>
    <w:rsid w:val="005108C0"/>
    <w:rsid w:val="0051094F"/>
    <w:rsid w:val="005109BD"/>
    <w:rsid w:val="00511217"/>
    <w:rsid w:val="00511873"/>
    <w:rsid w:val="00511DFB"/>
    <w:rsid w:val="00512461"/>
    <w:rsid w:val="00512585"/>
    <w:rsid w:val="00512A2F"/>
    <w:rsid w:val="00513B7C"/>
    <w:rsid w:val="00513B7E"/>
    <w:rsid w:val="00513E9D"/>
    <w:rsid w:val="0051475D"/>
    <w:rsid w:val="00514B11"/>
    <w:rsid w:val="00515485"/>
    <w:rsid w:val="00515BE9"/>
    <w:rsid w:val="00515C74"/>
    <w:rsid w:val="0051630F"/>
    <w:rsid w:val="00517113"/>
    <w:rsid w:val="0052007E"/>
    <w:rsid w:val="005215A9"/>
    <w:rsid w:val="00521CAD"/>
    <w:rsid w:val="0052200D"/>
    <w:rsid w:val="00522E01"/>
    <w:rsid w:val="0052337A"/>
    <w:rsid w:val="00524385"/>
    <w:rsid w:val="005246BE"/>
    <w:rsid w:val="00525137"/>
    <w:rsid w:val="005251DD"/>
    <w:rsid w:val="005251E7"/>
    <w:rsid w:val="00526691"/>
    <w:rsid w:val="0053012B"/>
    <w:rsid w:val="005301A6"/>
    <w:rsid w:val="005308A4"/>
    <w:rsid w:val="00530A68"/>
    <w:rsid w:val="00530AD4"/>
    <w:rsid w:val="00530BF8"/>
    <w:rsid w:val="00531859"/>
    <w:rsid w:val="00531BC0"/>
    <w:rsid w:val="00531C5A"/>
    <w:rsid w:val="005320DD"/>
    <w:rsid w:val="00532CE7"/>
    <w:rsid w:val="00532D8B"/>
    <w:rsid w:val="0053324C"/>
    <w:rsid w:val="00533A8D"/>
    <w:rsid w:val="00534A28"/>
    <w:rsid w:val="00534FC7"/>
    <w:rsid w:val="00535018"/>
    <w:rsid w:val="0053595E"/>
    <w:rsid w:val="00536D6F"/>
    <w:rsid w:val="00537571"/>
    <w:rsid w:val="00540056"/>
    <w:rsid w:val="005410E2"/>
    <w:rsid w:val="00541508"/>
    <w:rsid w:val="00541AE3"/>
    <w:rsid w:val="0054347E"/>
    <w:rsid w:val="00543498"/>
    <w:rsid w:val="00543771"/>
    <w:rsid w:val="00544011"/>
    <w:rsid w:val="00544889"/>
    <w:rsid w:val="00544BE5"/>
    <w:rsid w:val="005455F6"/>
    <w:rsid w:val="0054582F"/>
    <w:rsid w:val="00546B17"/>
    <w:rsid w:val="005500F9"/>
    <w:rsid w:val="00550160"/>
    <w:rsid w:val="005514EA"/>
    <w:rsid w:val="00552306"/>
    <w:rsid w:val="005523A8"/>
    <w:rsid w:val="00552F2C"/>
    <w:rsid w:val="0055305F"/>
    <w:rsid w:val="00553A25"/>
    <w:rsid w:val="005547EB"/>
    <w:rsid w:val="005552D3"/>
    <w:rsid w:val="005555E0"/>
    <w:rsid w:val="0055599F"/>
    <w:rsid w:val="00556D68"/>
    <w:rsid w:val="005570D6"/>
    <w:rsid w:val="00557954"/>
    <w:rsid w:val="00557E0E"/>
    <w:rsid w:val="00557E45"/>
    <w:rsid w:val="00560C41"/>
    <w:rsid w:val="00561F44"/>
    <w:rsid w:val="00562699"/>
    <w:rsid w:val="00562B4D"/>
    <w:rsid w:val="00563EB8"/>
    <w:rsid w:val="00564178"/>
    <w:rsid w:val="005647BF"/>
    <w:rsid w:val="00564AF1"/>
    <w:rsid w:val="005655DB"/>
    <w:rsid w:val="00565E88"/>
    <w:rsid w:val="00566CE9"/>
    <w:rsid w:val="00566EFA"/>
    <w:rsid w:val="005678EE"/>
    <w:rsid w:val="00570270"/>
    <w:rsid w:val="00570464"/>
    <w:rsid w:val="00570BC3"/>
    <w:rsid w:val="0057182A"/>
    <w:rsid w:val="00571E59"/>
    <w:rsid w:val="00572079"/>
    <w:rsid w:val="00572900"/>
    <w:rsid w:val="00573602"/>
    <w:rsid w:val="0057364B"/>
    <w:rsid w:val="00573878"/>
    <w:rsid w:val="00574773"/>
    <w:rsid w:val="00575EF7"/>
    <w:rsid w:val="005761EC"/>
    <w:rsid w:val="00576542"/>
    <w:rsid w:val="00577C07"/>
    <w:rsid w:val="00577DB1"/>
    <w:rsid w:val="00580AD3"/>
    <w:rsid w:val="00580DE7"/>
    <w:rsid w:val="005810E1"/>
    <w:rsid w:val="005839C8"/>
    <w:rsid w:val="00583E52"/>
    <w:rsid w:val="00583FFD"/>
    <w:rsid w:val="00584252"/>
    <w:rsid w:val="00584269"/>
    <w:rsid w:val="0058519A"/>
    <w:rsid w:val="005856BD"/>
    <w:rsid w:val="00586BCA"/>
    <w:rsid w:val="00587038"/>
    <w:rsid w:val="00590B28"/>
    <w:rsid w:val="005911BE"/>
    <w:rsid w:val="00591273"/>
    <w:rsid w:val="00591E9E"/>
    <w:rsid w:val="005927A4"/>
    <w:rsid w:val="00593152"/>
    <w:rsid w:val="00593357"/>
    <w:rsid w:val="005956A3"/>
    <w:rsid w:val="00595958"/>
    <w:rsid w:val="00595CAB"/>
    <w:rsid w:val="0059622E"/>
    <w:rsid w:val="00597671"/>
    <w:rsid w:val="00597BBF"/>
    <w:rsid w:val="005A0948"/>
    <w:rsid w:val="005A0A03"/>
    <w:rsid w:val="005A10F2"/>
    <w:rsid w:val="005A14E1"/>
    <w:rsid w:val="005A21E0"/>
    <w:rsid w:val="005A28FF"/>
    <w:rsid w:val="005A2C09"/>
    <w:rsid w:val="005A357B"/>
    <w:rsid w:val="005A3778"/>
    <w:rsid w:val="005A3DF8"/>
    <w:rsid w:val="005A5549"/>
    <w:rsid w:val="005A55E8"/>
    <w:rsid w:val="005A58F7"/>
    <w:rsid w:val="005A7CF8"/>
    <w:rsid w:val="005A7F67"/>
    <w:rsid w:val="005B0EDA"/>
    <w:rsid w:val="005B121D"/>
    <w:rsid w:val="005B26B0"/>
    <w:rsid w:val="005B41C9"/>
    <w:rsid w:val="005B44E6"/>
    <w:rsid w:val="005B4853"/>
    <w:rsid w:val="005B5054"/>
    <w:rsid w:val="005B5F82"/>
    <w:rsid w:val="005B6CA1"/>
    <w:rsid w:val="005B770C"/>
    <w:rsid w:val="005C06ED"/>
    <w:rsid w:val="005C11B8"/>
    <w:rsid w:val="005C216C"/>
    <w:rsid w:val="005C2319"/>
    <w:rsid w:val="005C2609"/>
    <w:rsid w:val="005C263A"/>
    <w:rsid w:val="005C2B30"/>
    <w:rsid w:val="005C401C"/>
    <w:rsid w:val="005C412B"/>
    <w:rsid w:val="005C43EC"/>
    <w:rsid w:val="005C45DD"/>
    <w:rsid w:val="005C4CB1"/>
    <w:rsid w:val="005D3F06"/>
    <w:rsid w:val="005D4AC7"/>
    <w:rsid w:val="005D4B73"/>
    <w:rsid w:val="005D5645"/>
    <w:rsid w:val="005D5802"/>
    <w:rsid w:val="005D5AA9"/>
    <w:rsid w:val="005D66E6"/>
    <w:rsid w:val="005D7119"/>
    <w:rsid w:val="005D76C8"/>
    <w:rsid w:val="005D7890"/>
    <w:rsid w:val="005E0204"/>
    <w:rsid w:val="005E0790"/>
    <w:rsid w:val="005E19C1"/>
    <w:rsid w:val="005E2194"/>
    <w:rsid w:val="005E24F0"/>
    <w:rsid w:val="005E36FE"/>
    <w:rsid w:val="005E391F"/>
    <w:rsid w:val="005E3F66"/>
    <w:rsid w:val="005E490F"/>
    <w:rsid w:val="005E4BC9"/>
    <w:rsid w:val="005E5314"/>
    <w:rsid w:val="005E60E1"/>
    <w:rsid w:val="005E7C78"/>
    <w:rsid w:val="005F04A7"/>
    <w:rsid w:val="005F08F0"/>
    <w:rsid w:val="005F114F"/>
    <w:rsid w:val="005F18C5"/>
    <w:rsid w:val="005F2A08"/>
    <w:rsid w:val="005F2D91"/>
    <w:rsid w:val="005F36CC"/>
    <w:rsid w:val="005F3EB1"/>
    <w:rsid w:val="005F413E"/>
    <w:rsid w:val="005F466B"/>
    <w:rsid w:val="005F46D8"/>
    <w:rsid w:val="005F480F"/>
    <w:rsid w:val="005F4FC3"/>
    <w:rsid w:val="005F5469"/>
    <w:rsid w:val="005F63F3"/>
    <w:rsid w:val="005F66F0"/>
    <w:rsid w:val="005F6D7F"/>
    <w:rsid w:val="005F7174"/>
    <w:rsid w:val="005F7E79"/>
    <w:rsid w:val="00601AA5"/>
    <w:rsid w:val="00601ADE"/>
    <w:rsid w:val="00601EA4"/>
    <w:rsid w:val="00601EEF"/>
    <w:rsid w:val="0060255A"/>
    <w:rsid w:val="00602EB3"/>
    <w:rsid w:val="00603F18"/>
    <w:rsid w:val="00604307"/>
    <w:rsid w:val="0060487F"/>
    <w:rsid w:val="00604EAD"/>
    <w:rsid w:val="0060513F"/>
    <w:rsid w:val="0060694B"/>
    <w:rsid w:val="006104FB"/>
    <w:rsid w:val="00610E7F"/>
    <w:rsid w:val="00611113"/>
    <w:rsid w:val="0061176D"/>
    <w:rsid w:val="0061200F"/>
    <w:rsid w:val="00612756"/>
    <w:rsid w:val="00612A2F"/>
    <w:rsid w:val="00612AAE"/>
    <w:rsid w:val="00612BB0"/>
    <w:rsid w:val="00612FD9"/>
    <w:rsid w:val="006139E0"/>
    <w:rsid w:val="00614D35"/>
    <w:rsid w:val="00614FD6"/>
    <w:rsid w:val="0061541C"/>
    <w:rsid w:val="006156B4"/>
    <w:rsid w:val="00615DAF"/>
    <w:rsid w:val="00616E05"/>
    <w:rsid w:val="00616F73"/>
    <w:rsid w:val="00617985"/>
    <w:rsid w:val="00620B77"/>
    <w:rsid w:val="0062131B"/>
    <w:rsid w:val="00621E26"/>
    <w:rsid w:val="0062263A"/>
    <w:rsid w:val="006227DF"/>
    <w:rsid w:val="006236C8"/>
    <w:rsid w:val="00624093"/>
    <w:rsid w:val="006254AE"/>
    <w:rsid w:val="00625A84"/>
    <w:rsid w:val="00626079"/>
    <w:rsid w:val="00630346"/>
    <w:rsid w:val="00631698"/>
    <w:rsid w:val="00631989"/>
    <w:rsid w:val="00631E44"/>
    <w:rsid w:val="00634C57"/>
    <w:rsid w:val="00634CE7"/>
    <w:rsid w:val="006350D5"/>
    <w:rsid w:val="0063642C"/>
    <w:rsid w:val="00637858"/>
    <w:rsid w:val="006404A7"/>
    <w:rsid w:val="00640A38"/>
    <w:rsid w:val="00640E6B"/>
    <w:rsid w:val="00641787"/>
    <w:rsid w:val="0064179B"/>
    <w:rsid w:val="006417C0"/>
    <w:rsid w:val="00642489"/>
    <w:rsid w:val="00644055"/>
    <w:rsid w:val="00644137"/>
    <w:rsid w:val="0064478C"/>
    <w:rsid w:val="00645160"/>
    <w:rsid w:val="006451E4"/>
    <w:rsid w:val="00645B33"/>
    <w:rsid w:val="006479A4"/>
    <w:rsid w:val="00647BC3"/>
    <w:rsid w:val="006516CB"/>
    <w:rsid w:val="006539DD"/>
    <w:rsid w:val="00653BD0"/>
    <w:rsid w:val="00654110"/>
    <w:rsid w:val="006542AF"/>
    <w:rsid w:val="00656C5D"/>
    <w:rsid w:val="00656CFB"/>
    <w:rsid w:val="00657E87"/>
    <w:rsid w:val="00660B4C"/>
    <w:rsid w:val="00660D2D"/>
    <w:rsid w:val="00661C41"/>
    <w:rsid w:val="00661EC9"/>
    <w:rsid w:val="00662198"/>
    <w:rsid w:val="00662469"/>
    <w:rsid w:val="00662BBA"/>
    <w:rsid w:val="006632F5"/>
    <w:rsid w:val="0066411C"/>
    <w:rsid w:val="00664205"/>
    <w:rsid w:val="00664647"/>
    <w:rsid w:val="00664803"/>
    <w:rsid w:val="006653CC"/>
    <w:rsid w:val="00665678"/>
    <w:rsid w:val="00665982"/>
    <w:rsid w:val="00665BA4"/>
    <w:rsid w:val="00666BF3"/>
    <w:rsid w:val="00667856"/>
    <w:rsid w:val="00667AF2"/>
    <w:rsid w:val="00670489"/>
    <w:rsid w:val="006710C9"/>
    <w:rsid w:val="00672586"/>
    <w:rsid w:val="0067262A"/>
    <w:rsid w:val="006741CD"/>
    <w:rsid w:val="0067483A"/>
    <w:rsid w:val="00674D89"/>
    <w:rsid w:val="00674E3E"/>
    <w:rsid w:val="0067514E"/>
    <w:rsid w:val="00675B3D"/>
    <w:rsid w:val="00675E37"/>
    <w:rsid w:val="00676736"/>
    <w:rsid w:val="006769A4"/>
    <w:rsid w:val="006769C6"/>
    <w:rsid w:val="00676D76"/>
    <w:rsid w:val="00676F9F"/>
    <w:rsid w:val="00677591"/>
    <w:rsid w:val="00677594"/>
    <w:rsid w:val="0068032F"/>
    <w:rsid w:val="00680D37"/>
    <w:rsid w:val="0068135D"/>
    <w:rsid w:val="0068174E"/>
    <w:rsid w:val="00681DCE"/>
    <w:rsid w:val="00682519"/>
    <w:rsid w:val="0068260E"/>
    <w:rsid w:val="006831EE"/>
    <w:rsid w:val="006846B3"/>
    <w:rsid w:val="00684D59"/>
    <w:rsid w:val="00684E25"/>
    <w:rsid w:val="006850E9"/>
    <w:rsid w:val="006858A4"/>
    <w:rsid w:val="00686718"/>
    <w:rsid w:val="00686BFA"/>
    <w:rsid w:val="00686DED"/>
    <w:rsid w:val="006875A0"/>
    <w:rsid w:val="006878C6"/>
    <w:rsid w:val="00687D27"/>
    <w:rsid w:val="00691943"/>
    <w:rsid w:val="00693550"/>
    <w:rsid w:val="0069430A"/>
    <w:rsid w:val="00695065"/>
    <w:rsid w:val="00695BEF"/>
    <w:rsid w:val="00696251"/>
    <w:rsid w:val="006963A7"/>
    <w:rsid w:val="006966C7"/>
    <w:rsid w:val="006968C1"/>
    <w:rsid w:val="006977F6"/>
    <w:rsid w:val="00697A13"/>
    <w:rsid w:val="00697A57"/>
    <w:rsid w:val="006A0A71"/>
    <w:rsid w:val="006A0DD4"/>
    <w:rsid w:val="006A109C"/>
    <w:rsid w:val="006A3C12"/>
    <w:rsid w:val="006A3C29"/>
    <w:rsid w:val="006A48E8"/>
    <w:rsid w:val="006A5F4B"/>
    <w:rsid w:val="006A6565"/>
    <w:rsid w:val="006A7691"/>
    <w:rsid w:val="006A7EE2"/>
    <w:rsid w:val="006B0514"/>
    <w:rsid w:val="006B0F92"/>
    <w:rsid w:val="006B2785"/>
    <w:rsid w:val="006B27C7"/>
    <w:rsid w:val="006B344A"/>
    <w:rsid w:val="006B4197"/>
    <w:rsid w:val="006B4F43"/>
    <w:rsid w:val="006B58C9"/>
    <w:rsid w:val="006B60ED"/>
    <w:rsid w:val="006B6CC5"/>
    <w:rsid w:val="006B74AC"/>
    <w:rsid w:val="006B78D8"/>
    <w:rsid w:val="006B79EA"/>
    <w:rsid w:val="006C0221"/>
    <w:rsid w:val="006C0C5D"/>
    <w:rsid w:val="006C113F"/>
    <w:rsid w:val="006C123E"/>
    <w:rsid w:val="006C12B6"/>
    <w:rsid w:val="006C15A1"/>
    <w:rsid w:val="006C1752"/>
    <w:rsid w:val="006C1DDC"/>
    <w:rsid w:val="006C24F9"/>
    <w:rsid w:val="006C28CA"/>
    <w:rsid w:val="006C2BBF"/>
    <w:rsid w:val="006C2FBD"/>
    <w:rsid w:val="006C358B"/>
    <w:rsid w:val="006C4355"/>
    <w:rsid w:val="006C469D"/>
    <w:rsid w:val="006C46B5"/>
    <w:rsid w:val="006C46F7"/>
    <w:rsid w:val="006C484F"/>
    <w:rsid w:val="006C52EC"/>
    <w:rsid w:val="006C56D4"/>
    <w:rsid w:val="006C6681"/>
    <w:rsid w:val="006C67EC"/>
    <w:rsid w:val="006C683C"/>
    <w:rsid w:val="006C6924"/>
    <w:rsid w:val="006C69D4"/>
    <w:rsid w:val="006C6C1E"/>
    <w:rsid w:val="006C7076"/>
    <w:rsid w:val="006C73D7"/>
    <w:rsid w:val="006C7AEC"/>
    <w:rsid w:val="006C7CA6"/>
    <w:rsid w:val="006D15FC"/>
    <w:rsid w:val="006D18B3"/>
    <w:rsid w:val="006D190F"/>
    <w:rsid w:val="006D1E89"/>
    <w:rsid w:val="006D1F0B"/>
    <w:rsid w:val="006D317E"/>
    <w:rsid w:val="006D3D6B"/>
    <w:rsid w:val="006D3E8A"/>
    <w:rsid w:val="006D5925"/>
    <w:rsid w:val="006D61F6"/>
    <w:rsid w:val="006D6ED0"/>
    <w:rsid w:val="006D7837"/>
    <w:rsid w:val="006E1332"/>
    <w:rsid w:val="006E279A"/>
    <w:rsid w:val="006E313B"/>
    <w:rsid w:val="006E34B2"/>
    <w:rsid w:val="006E3A45"/>
    <w:rsid w:val="006E4078"/>
    <w:rsid w:val="006E53AD"/>
    <w:rsid w:val="006E58CB"/>
    <w:rsid w:val="006E6195"/>
    <w:rsid w:val="006E7227"/>
    <w:rsid w:val="006E761A"/>
    <w:rsid w:val="006F0741"/>
    <w:rsid w:val="006F1C27"/>
    <w:rsid w:val="006F2882"/>
    <w:rsid w:val="006F2A65"/>
    <w:rsid w:val="006F3DD6"/>
    <w:rsid w:val="006F40DF"/>
    <w:rsid w:val="006F42BB"/>
    <w:rsid w:val="006F438E"/>
    <w:rsid w:val="006F440B"/>
    <w:rsid w:val="006F48A3"/>
    <w:rsid w:val="006F5416"/>
    <w:rsid w:val="006F624B"/>
    <w:rsid w:val="006F6D87"/>
    <w:rsid w:val="006F77B7"/>
    <w:rsid w:val="007004F2"/>
    <w:rsid w:val="0070398A"/>
    <w:rsid w:val="00705242"/>
    <w:rsid w:val="007055E0"/>
    <w:rsid w:val="007056ED"/>
    <w:rsid w:val="00705F4E"/>
    <w:rsid w:val="007065C5"/>
    <w:rsid w:val="007068E1"/>
    <w:rsid w:val="00706AA0"/>
    <w:rsid w:val="00706AD4"/>
    <w:rsid w:val="00707150"/>
    <w:rsid w:val="00710AF0"/>
    <w:rsid w:val="007119CB"/>
    <w:rsid w:val="007124D7"/>
    <w:rsid w:val="00712C20"/>
    <w:rsid w:val="00713549"/>
    <w:rsid w:val="007140BE"/>
    <w:rsid w:val="007147AB"/>
    <w:rsid w:val="00715502"/>
    <w:rsid w:val="00715B9E"/>
    <w:rsid w:val="00715E4D"/>
    <w:rsid w:val="0071677A"/>
    <w:rsid w:val="00716F48"/>
    <w:rsid w:val="00717096"/>
    <w:rsid w:val="00717114"/>
    <w:rsid w:val="0071779F"/>
    <w:rsid w:val="00720CB6"/>
    <w:rsid w:val="007211F5"/>
    <w:rsid w:val="00721601"/>
    <w:rsid w:val="00722777"/>
    <w:rsid w:val="007230C9"/>
    <w:rsid w:val="00723435"/>
    <w:rsid w:val="00723436"/>
    <w:rsid w:val="007235C9"/>
    <w:rsid w:val="007240E2"/>
    <w:rsid w:val="0072454C"/>
    <w:rsid w:val="0072531B"/>
    <w:rsid w:val="0072583E"/>
    <w:rsid w:val="00725BB5"/>
    <w:rsid w:val="00727C02"/>
    <w:rsid w:val="0073008E"/>
    <w:rsid w:val="00730AE8"/>
    <w:rsid w:val="00730F1B"/>
    <w:rsid w:val="00731616"/>
    <w:rsid w:val="0073186D"/>
    <w:rsid w:val="00731C73"/>
    <w:rsid w:val="007325BA"/>
    <w:rsid w:val="00732713"/>
    <w:rsid w:val="0073333D"/>
    <w:rsid w:val="007343D9"/>
    <w:rsid w:val="00734451"/>
    <w:rsid w:val="00734E87"/>
    <w:rsid w:val="00734F71"/>
    <w:rsid w:val="00735448"/>
    <w:rsid w:val="00736F07"/>
    <w:rsid w:val="007377BD"/>
    <w:rsid w:val="0073789B"/>
    <w:rsid w:val="00737DEC"/>
    <w:rsid w:val="0074004D"/>
    <w:rsid w:val="00741493"/>
    <w:rsid w:val="0074297B"/>
    <w:rsid w:val="007434E5"/>
    <w:rsid w:val="0074499B"/>
    <w:rsid w:val="007450BF"/>
    <w:rsid w:val="00745E3F"/>
    <w:rsid w:val="007471A1"/>
    <w:rsid w:val="007471EF"/>
    <w:rsid w:val="007477BD"/>
    <w:rsid w:val="00747EE9"/>
    <w:rsid w:val="00752126"/>
    <w:rsid w:val="00752180"/>
    <w:rsid w:val="00752323"/>
    <w:rsid w:val="007532B7"/>
    <w:rsid w:val="00753CAB"/>
    <w:rsid w:val="00754A70"/>
    <w:rsid w:val="00754BC9"/>
    <w:rsid w:val="00755202"/>
    <w:rsid w:val="007558AE"/>
    <w:rsid w:val="00755D3A"/>
    <w:rsid w:val="00757241"/>
    <w:rsid w:val="0075751D"/>
    <w:rsid w:val="0075763E"/>
    <w:rsid w:val="007578D3"/>
    <w:rsid w:val="00757C31"/>
    <w:rsid w:val="00757F49"/>
    <w:rsid w:val="007602CF"/>
    <w:rsid w:val="00760391"/>
    <w:rsid w:val="007609C6"/>
    <w:rsid w:val="007615F3"/>
    <w:rsid w:val="0076175D"/>
    <w:rsid w:val="00761CB5"/>
    <w:rsid w:val="007629D5"/>
    <w:rsid w:val="007635F8"/>
    <w:rsid w:val="00763B85"/>
    <w:rsid w:val="00763C9F"/>
    <w:rsid w:val="0076421A"/>
    <w:rsid w:val="00764974"/>
    <w:rsid w:val="00764D18"/>
    <w:rsid w:val="0076521E"/>
    <w:rsid w:val="00765BCC"/>
    <w:rsid w:val="0076600D"/>
    <w:rsid w:val="007661E9"/>
    <w:rsid w:val="00766460"/>
    <w:rsid w:val="00767062"/>
    <w:rsid w:val="00767777"/>
    <w:rsid w:val="00770CFC"/>
    <w:rsid w:val="00771274"/>
    <w:rsid w:val="0077130E"/>
    <w:rsid w:val="007715EE"/>
    <w:rsid w:val="00771972"/>
    <w:rsid w:val="00772279"/>
    <w:rsid w:val="00772DAB"/>
    <w:rsid w:val="00772FF9"/>
    <w:rsid w:val="00774CEF"/>
    <w:rsid w:val="00774D2C"/>
    <w:rsid w:val="00775204"/>
    <w:rsid w:val="007754B9"/>
    <w:rsid w:val="0077605B"/>
    <w:rsid w:val="00776169"/>
    <w:rsid w:val="00776527"/>
    <w:rsid w:val="00776DD8"/>
    <w:rsid w:val="00777040"/>
    <w:rsid w:val="00777CE6"/>
    <w:rsid w:val="00777D2D"/>
    <w:rsid w:val="00780EF1"/>
    <w:rsid w:val="00781A91"/>
    <w:rsid w:val="00781F36"/>
    <w:rsid w:val="0078236A"/>
    <w:rsid w:val="00785778"/>
    <w:rsid w:val="00785BE1"/>
    <w:rsid w:val="00786C87"/>
    <w:rsid w:val="0078755E"/>
    <w:rsid w:val="007877C9"/>
    <w:rsid w:val="00790764"/>
    <w:rsid w:val="0079085F"/>
    <w:rsid w:val="00790E96"/>
    <w:rsid w:val="00791005"/>
    <w:rsid w:val="0079117A"/>
    <w:rsid w:val="00792E9C"/>
    <w:rsid w:val="00793D78"/>
    <w:rsid w:val="0079420B"/>
    <w:rsid w:val="0079453C"/>
    <w:rsid w:val="00794677"/>
    <w:rsid w:val="00795759"/>
    <w:rsid w:val="00797A76"/>
    <w:rsid w:val="007A170B"/>
    <w:rsid w:val="007A20EB"/>
    <w:rsid w:val="007A282C"/>
    <w:rsid w:val="007A293C"/>
    <w:rsid w:val="007A2A3A"/>
    <w:rsid w:val="007A33E2"/>
    <w:rsid w:val="007A3CAF"/>
    <w:rsid w:val="007A4782"/>
    <w:rsid w:val="007A4CE6"/>
    <w:rsid w:val="007A516D"/>
    <w:rsid w:val="007A5E65"/>
    <w:rsid w:val="007A65E1"/>
    <w:rsid w:val="007A6AAA"/>
    <w:rsid w:val="007A6AC6"/>
    <w:rsid w:val="007A7033"/>
    <w:rsid w:val="007A775D"/>
    <w:rsid w:val="007B0834"/>
    <w:rsid w:val="007B0E83"/>
    <w:rsid w:val="007B11FA"/>
    <w:rsid w:val="007B1396"/>
    <w:rsid w:val="007B16D6"/>
    <w:rsid w:val="007B2011"/>
    <w:rsid w:val="007B2CFE"/>
    <w:rsid w:val="007B309B"/>
    <w:rsid w:val="007B3172"/>
    <w:rsid w:val="007B3D5E"/>
    <w:rsid w:val="007B3DCB"/>
    <w:rsid w:val="007B5725"/>
    <w:rsid w:val="007B5C1F"/>
    <w:rsid w:val="007B5E46"/>
    <w:rsid w:val="007B6689"/>
    <w:rsid w:val="007B6747"/>
    <w:rsid w:val="007B6F72"/>
    <w:rsid w:val="007C05A5"/>
    <w:rsid w:val="007C10BD"/>
    <w:rsid w:val="007C1F0C"/>
    <w:rsid w:val="007C1FFB"/>
    <w:rsid w:val="007C2D94"/>
    <w:rsid w:val="007C3423"/>
    <w:rsid w:val="007C3CFE"/>
    <w:rsid w:val="007C3FBC"/>
    <w:rsid w:val="007C54F1"/>
    <w:rsid w:val="007C5F92"/>
    <w:rsid w:val="007C6227"/>
    <w:rsid w:val="007C6BBD"/>
    <w:rsid w:val="007C6D89"/>
    <w:rsid w:val="007C6F5E"/>
    <w:rsid w:val="007D0382"/>
    <w:rsid w:val="007D0E63"/>
    <w:rsid w:val="007D14FE"/>
    <w:rsid w:val="007D1A1F"/>
    <w:rsid w:val="007D2869"/>
    <w:rsid w:val="007D2E18"/>
    <w:rsid w:val="007D34AE"/>
    <w:rsid w:val="007D40DF"/>
    <w:rsid w:val="007D42E5"/>
    <w:rsid w:val="007D4458"/>
    <w:rsid w:val="007D6AF9"/>
    <w:rsid w:val="007D77FB"/>
    <w:rsid w:val="007E0535"/>
    <w:rsid w:val="007E0D4A"/>
    <w:rsid w:val="007E0F75"/>
    <w:rsid w:val="007E1590"/>
    <w:rsid w:val="007E1788"/>
    <w:rsid w:val="007E1EC5"/>
    <w:rsid w:val="007E1EE3"/>
    <w:rsid w:val="007E29B4"/>
    <w:rsid w:val="007E2F12"/>
    <w:rsid w:val="007E3D86"/>
    <w:rsid w:val="007E435A"/>
    <w:rsid w:val="007E445C"/>
    <w:rsid w:val="007E49F7"/>
    <w:rsid w:val="007E4C70"/>
    <w:rsid w:val="007E580F"/>
    <w:rsid w:val="007E5B5F"/>
    <w:rsid w:val="007E5BA1"/>
    <w:rsid w:val="007E7242"/>
    <w:rsid w:val="007E78B6"/>
    <w:rsid w:val="007E7E61"/>
    <w:rsid w:val="007F0845"/>
    <w:rsid w:val="007F0873"/>
    <w:rsid w:val="007F17D4"/>
    <w:rsid w:val="007F208B"/>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104"/>
    <w:rsid w:val="0080734C"/>
    <w:rsid w:val="00807C82"/>
    <w:rsid w:val="00810E62"/>
    <w:rsid w:val="008117CC"/>
    <w:rsid w:val="00811CEC"/>
    <w:rsid w:val="008128B2"/>
    <w:rsid w:val="00813B27"/>
    <w:rsid w:val="00813D58"/>
    <w:rsid w:val="00813DCA"/>
    <w:rsid w:val="008146F7"/>
    <w:rsid w:val="008161A6"/>
    <w:rsid w:val="008165B8"/>
    <w:rsid w:val="00816905"/>
    <w:rsid w:val="00816BCA"/>
    <w:rsid w:val="00816D98"/>
    <w:rsid w:val="00816E42"/>
    <w:rsid w:val="00817040"/>
    <w:rsid w:val="00817A17"/>
    <w:rsid w:val="00817DF8"/>
    <w:rsid w:val="00817EC1"/>
    <w:rsid w:val="0082112D"/>
    <w:rsid w:val="00821FF6"/>
    <w:rsid w:val="00822574"/>
    <w:rsid w:val="00822980"/>
    <w:rsid w:val="00822E58"/>
    <w:rsid w:val="00822F08"/>
    <w:rsid w:val="00825623"/>
    <w:rsid w:val="00825C4D"/>
    <w:rsid w:val="00826A08"/>
    <w:rsid w:val="00826AC0"/>
    <w:rsid w:val="00827186"/>
    <w:rsid w:val="00827C8E"/>
    <w:rsid w:val="00830569"/>
    <w:rsid w:val="00830AEA"/>
    <w:rsid w:val="00830E86"/>
    <w:rsid w:val="0083143E"/>
    <w:rsid w:val="008315B8"/>
    <w:rsid w:val="008315D5"/>
    <w:rsid w:val="00831793"/>
    <w:rsid w:val="00831CDE"/>
    <w:rsid w:val="00831E88"/>
    <w:rsid w:val="00831F2B"/>
    <w:rsid w:val="00831F7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2D20"/>
    <w:rsid w:val="008430FD"/>
    <w:rsid w:val="008458BD"/>
    <w:rsid w:val="00846121"/>
    <w:rsid w:val="008461C2"/>
    <w:rsid w:val="008462F1"/>
    <w:rsid w:val="008466C6"/>
    <w:rsid w:val="0084708F"/>
    <w:rsid w:val="008477C8"/>
    <w:rsid w:val="008478A6"/>
    <w:rsid w:val="008502F6"/>
    <w:rsid w:val="0085114D"/>
    <w:rsid w:val="00851A1F"/>
    <w:rsid w:val="00851B1C"/>
    <w:rsid w:val="008520A8"/>
    <w:rsid w:val="00852217"/>
    <w:rsid w:val="00853282"/>
    <w:rsid w:val="0085334C"/>
    <w:rsid w:val="00853FD1"/>
    <w:rsid w:val="008543DC"/>
    <w:rsid w:val="0085533F"/>
    <w:rsid w:val="00855408"/>
    <w:rsid w:val="00855D03"/>
    <w:rsid w:val="00856D65"/>
    <w:rsid w:val="008575AC"/>
    <w:rsid w:val="00860903"/>
    <w:rsid w:val="008611E0"/>
    <w:rsid w:val="00861B41"/>
    <w:rsid w:val="00861B9F"/>
    <w:rsid w:val="00861BE3"/>
    <w:rsid w:val="008625D3"/>
    <w:rsid w:val="00863434"/>
    <w:rsid w:val="0086344F"/>
    <w:rsid w:val="008641AC"/>
    <w:rsid w:val="00864E1F"/>
    <w:rsid w:val="00865E4C"/>
    <w:rsid w:val="00866413"/>
    <w:rsid w:val="00866494"/>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3859"/>
    <w:rsid w:val="00884E02"/>
    <w:rsid w:val="00885451"/>
    <w:rsid w:val="00885D40"/>
    <w:rsid w:val="00886293"/>
    <w:rsid w:val="00886D47"/>
    <w:rsid w:val="00887337"/>
    <w:rsid w:val="008873D4"/>
    <w:rsid w:val="00887780"/>
    <w:rsid w:val="00887E06"/>
    <w:rsid w:val="00891EDF"/>
    <w:rsid w:val="00892872"/>
    <w:rsid w:val="0089296D"/>
    <w:rsid w:val="00892D9E"/>
    <w:rsid w:val="00893E85"/>
    <w:rsid w:val="00893EBE"/>
    <w:rsid w:val="00894031"/>
    <w:rsid w:val="00894C5D"/>
    <w:rsid w:val="00895508"/>
    <w:rsid w:val="008967E9"/>
    <w:rsid w:val="00896A5C"/>
    <w:rsid w:val="008972D2"/>
    <w:rsid w:val="0089754C"/>
    <w:rsid w:val="008A0995"/>
    <w:rsid w:val="008A0ADD"/>
    <w:rsid w:val="008A0D27"/>
    <w:rsid w:val="008A1C59"/>
    <w:rsid w:val="008A37E2"/>
    <w:rsid w:val="008A388E"/>
    <w:rsid w:val="008A394E"/>
    <w:rsid w:val="008A3CBA"/>
    <w:rsid w:val="008A412A"/>
    <w:rsid w:val="008A4B59"/>
    <w:rsid w:val="008A63E1"/>
    <w:rsid w:val="008A66B7"/>
    <w:rsid w:val="008A68BB"/>
    <w:rsid w:val="008A6AA5"/>
    <w:rsid w:val="008A7127"/>
    <w:rsid w:val="008A71DF"/>
    <w:rsid w:val="008B042B"/>
    <w:rsid w:val="008B3537"/>
    <w:rsid w:val="008B3690"/>
    <w:rsid w:val="008B3701"/>
    <w:rsid w:val="008B3A80"/>
    <w:rsid w:val="008B3AEC"/>
    <w:rsid w:val="008B3C07"/>
    <w:rsid w:val="008B3F7B"/>
    <w:rsid w:val="008B5324"/>
    <w:rsid w:val="008B5F78"/>
    <w:rsid w:val="008B6106"/>
    <w:rsid w:val="008B64CC"/>
    <w:rsid w:val="008B7C02"/>
    <w:rsid w:val="008B7D2B"/>
    <w:rsid w:val="008B7EF9"/>
    <w:rsid w:val="008C0049"/>
    <w:rsid w:val="008C0314"/>
    <w:rsid w:val="008C0E88"/>
    <w:rsid w:val="008C1717"/>
    <w:rsid w:val="008C3F3D"/>
    <w:rsid w:val="008C4B50"/>
    <w:rsid w:val="008C5A37"/>
    <w:rsid w:val="008C7569"/>
    <w:rsid w:val="008C79C3"/>
    <w:rsid w:val="008D018F"/>
    <w:rsid w:val="008D033D"/>
    <w:rsid w:val="008D0DBD"/>
    <w:rsid w:val="008D117E"/>
    <w:rsid w:val="008D127E"/>
    <w:rsid w:val="008D18EF"/>
    <w:rsid w:val="008D1CA8"/>
    <w:rsid w:val="008D1E0A"/>
    <w:rsid w:val="008D1E6A"/>
    <w:rsid w:val="008D2A16"/>
    <w:rsid w:val="008D30AF"/>
    <w:rsid w:val="008D33F5"/>
    <w:rsid w:val="008D35E4"/>
    <w:rsid w:val="008D37BF"/>
    <w:rsid w:val="008D6C3A"/>
    <w:rsid w:val="008D6C5F"/>
    <w:rsid w:val="008E0001"/>
    <w:rsid w:val="008E292B"/>
    <w:rsid w:val="008E2C57"/>
    <w:rsid w:val="008E31FF"/>
    <w:rsid w:val="008E3287"/>
    <w:rsid w:val="008E6DCB"/>
    <w:rsid w:val="008E6F06"/>
    <w:rsid w:val="008E7B8E"/>
    <w:rsid w:val="008E7FC9"/>
    <w:rsid w:val="008F0107"/>
    <w:rsid w:val="008F029B"/>
    <w:rsid w:val="008F0589"/>
    <w:rsid w:val="008F26DB"/>
    <w:rsid w:val="008F2A5D"/>
    <w:rsid w:val="008F3636"/>
    <w:rsid w:val="008F3FC9"/>
    <w:rsid w:val="008F509F"/>
    <w:rsid w:val="008F5383"/>
    <w:rsid w:val="008F585B"/>
    <w:rsid w:val="008F7FB0"/>
    <w:rsid w:val="009003A8"/>
    <w:rsid w:val="009005E4"/>
    <w:rsid w:val="00900977"/>
    <w:rsid w:val="009021DA"/>
    <w:rsid w:val="00902500"/>
    <w:rsid w:val="009027F4"/>
    <w:rsid w:val="00902E73"/>
    <w:rsid w:val="00902EFF"/>
    <w:rsid w:val="00903A8E"/>
    <w:rsid w:val="00904010"/>
    <w:rsid w:val="0090432C"/>
    <w:rsid w:val="0090465F"/>
    <w:rsid w:val="00904F96"/>
    <w:rsid w:val="009052A3"/>
    <w:rsid w:val="00905314"/>
    <w:rsid w:val="009053B0"/>
    <w:rsid w:val="009056D7"/>
    <w:rsid w:val="00905B4D"/>
    <w:rsid w:val="00905B8D"/>
    <w:rsid w:val="00906401"/>
    <w:rsid w:val="009065CB"/>
    <w:rsid w:val="009067EA"/>
    <w:rsid w:val="00906B79"/>
    <w:rsid w:val="0090786F"/>
    <w:rsid w:val="0091001E"/>
    <w:rsid w:val="00910C18"/>
    <w:rsid w:val="009110F7"/>
    <w:rsid w:val="0091155E"/>
    <w:rsid w:val="0091239D"/>
    <w:rsid w:val="00912437"/>
    <w:rsid w:val="00912A92"/>
    <w:rsid w:val="00915D07"/>
    <w:rsid w:val="009162AE"/>
    <w:rsid w:val="00917251"/>
    <w:rsid w:val="0091728D"/>
    <w:rsid w:val="009203CC"/>
    <w:rsid w:val="00920EC4"/>
    <w:rsid w:val="0092180B"/>
    <w:rsid w:val="00921F14"/>
    <w:rsid w:val="0092292F"/>
    <w:rsid w:val="00922FF3"/>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1F9B"/>
    <w:rsid w:val="00932443"/>
    <w:rsid w:val="00932B32"/>
    <w:rsid w:val="00933F4A"/>
    <w:rsid w:val="009341F1"/>
    <w:rsid w:val="00934B30"/>
    <w:rsid w:val="00934FF2"/>
    <w:rsid w:val="009358D7"/>
    <w:rsid w:val="00935BD4"/>
    <w:rsid w:val="00935DFE"/>
    <w:rsid w:val="00935F70"/>
    <w:rsid w:val="00936388"/>
    <w:rsid w:val="009373B2"/>
    <w:rsid w:val="00937AE2"/>
    <w:rsid w:val="00937FCA"/>
    <w:rsid w:val="0094061F"/>
    <w:rsid w:val="009407C6"/>
    <w:rsid w:val="00940F0F"/>
    <w:rsid w:val="009428F2"/>
    <w:rsid w:val="00943D5D"/>
    <w:rsid w:val="0094416B"/>
    <w:rsid w:val="0094427A"/>
    <w:rsid w:val="00944C7C"/>
    <w:rsid w:val="00945245"/>
    <w:rsid w:val="00945523"/>
    <w:rsid w:val="009461B1"/>
    <w:rsid w:val="00946431"/>
    <w:rsid w:val="00946CBE"/>
    <w:rsid w:val="009470C6"/>
    <w:rsid w:val="00950921"/>
    <w:rsid w:val="00951D68"/>
    <w:rsid w:val="00951E5B"/>
    <w:rsid w:val="00952B7B"/>
    <w:rsid w:val="00953171"/>
    <w:rsid w:val="00954F39"/>
    <w:rsid w:val="0095510D"/>
    <w:rsid w:val="009555FD"/>
    <w:rsid w:val="0095664B"/>
    <w:rsid w:val="009568DC"/>
    <w:rsid w:val="00957445"/>
    <w:rsid w:val="00957525"/>
    <w:rsid w:val="0095759C"/>
    <w:rsid w:val="009618EE"/>
    <w:rsid w:val="00961DDD"/>
    <w:rsid w:val="009624D2"/>
    <w:rsid w:val="009625B5"/>
    <w:rsid w:val="009628D9"/>
    <w:rsid w:val="009637AE"/>
    <w:rsid w:val="00963A06"/>
    <w:rsid w:val="00964068"/>
    <w:rsid w:val="009640F6"/>
    <w:rsid w:val="0096433C"/>
    <w:rsid w:val="0096469D"/>
    <w:rsid w:val="00964776"/>
    <w:rsid w:val="00964A4E"/>
    <w:rsid w:val="00964B35"/>
    <w:rsid w:val="009651C7"/>
    <w:rsid w:val="00965797"/>
    <w:rsid w:val="00965A10"/>
    <w:rsid w:val="00965E30"/>
    <w:rsid w:val="009670A3"/>
    <w:rsid w:val="009674BE"/>
    <w:rsid w:val="00970026"/>
    <w:rsid w:val="00970FB5"/>
    <w:rsid w:val="00971710"/>
    <w:rsid w:val="00971B87"/>
    <w:rsid w:val="00971C77"/>
    <w:rsid w:val="00972FCD"/>
    <w:rsid w:val="00973324"/>
    <w:rsid w:val="009736DF"/>
    <w:rsid w:val="00973964"/>
    <w:rsid w:val="009741AE"/>
    <w:rsid w:val="009741FC"/>
    <w:rsid w:val="00974782"/>
    <w:rsid w:val="00974923"/>
    <w:rsid w:val="00975909"/>
    <w:rsid w:val="00975E98"/>
    <w:rsid w:val="00977C3D"/>
    <w:rsid w:val="009802F7"/>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3910"/>
    <w:rsid w:val="00994868"/>
    <w:rsid w:val="00994D28"/>
    <w:rsid w:val="00994F2C"/>
    <w:rsid w:val="009957CC"/>
    <w:rsid w:val="009968D6"/>
    <w:rsid w:val="00997953"/>
    <w:rsid w:val="009A0229"/>
    <w:rsid w:val="009A04D0"/>
    <w:rsid w:val="009A0BFF"/>
    <w:rsid w:val="009A10A0"/>
    <w:rsid w:val="009A1CAB"/>
    <w:rsid w:val="009A2359"/>
    <w:rsid w:val="009A24F1"/>
    <w:rsid w:val="009A27E0"/>
    <w:rsid w:val="009A3851"/>
    <w:rsid w:val="009A405F"/>
    <w:rsid w:val="009A4D57"/>
    <w:rsid w:val="009A51A5"/>
    <w:rsid w:val="009A60D1"/>
    <w:rsid w:val="009A6225"/>
    <w:rsid w:val="009A6395"/>
    <w:rsid w:val="009A64F5"/>
    <w:rsid w:val="009A78D3"/>
    <w:rsid w:val="009B00D2"/>
    <w:rsid w:val="009B05B3"/>
    <w:rsid w:val="009B172F"/>
    <w:rsid w:val="009B196A"/>
    <w:rsid w:val="009B284F"/>
    <w:rsid w:val="009B3764"/>
    <w:rsid w:val="009B47AC"/>
    <w:rsid w:val="009B52AC"/>
    <w:rsid w:val="009B59EA"/>
    <w:rsid w:val="009B66CE"/>
    <w:rsid w:val="009B6FD3"/>
    <w:rsid w:val="009B72BE"/>
    <w:rsid w:val="009B78A4"/>
    <w:rsid w:val="009B7DB2"/>
    <w:rsid w:val="009C01E8"/>
    <w:rsid w:val="009C03DB"/>
    <w:rsid w:val="009C0987"/>
    <w:rsid w:val="009C1750"/>
    <w:rsid w:val="009C175C"/>
    <w:rsid w:val="009C1ACD"/>
    <w:rsid w:val="009C2E29"/>
    <w:rsid w:val="009C3E8F"/>
    <w:rsid w:val="009C554B"/>
    <w:rsid w:val="009C5E83"/>
    <w:rsid w:val="009C7126"/>
    <w:rsid w:val="009C719E"/>
    <w:rsid w:val="009C7799"/>
    <w:rsid w:val="009D07A9"/>
    <w:rsid w:val="009D0AE2"/>
    <w:rsid w:val="009D0D9F"/>
    <w:rsid w:val="009D0EBB"/>
    <w:rsid w:val="009D1108"/>
    <w:rsid w:val="009D15D8"/>
    <w:rsid w:val="009D2C46"/>
    <w:rsid w:val="009D3ACD"/>
    <w:rsid w:val="009D4254"/>
    <w:rsid w:val="009D4738"/>
    <w:rsid w:val="009D4F21"/>
    <w:rsid w:val="009D587D"/>
    <w:rsid w:val="009D7731"/>
    <w:rsid w:val="009E1120"/>
    <w:rsid w:val="009E1393"/>
    <w:rsid w:val="009E1922"/>
    <w:rsid w:val="009E1A3D"/>
    <w:rsid w:val="009E4715"/>
    <w:rsid w:val="009E4A58"/>
    <w:rsid w:val="009E5273"/>
    <w:rsid w:val="009E52F5"/>
    <w:rsid w:val="009E57A8"/>
    <w:rsid w:val="009E5B85"/>
    <w:rsid w:val="009E5DDB"/>
    <w:rsid w:val="009E66E1"/>
    <w:rsid w:val="009E78AC"/>
    <w:rsid w:val="009F2921"/>
    <w:rsid w:val="009F4982"/>
    <w:rsid w:val="009F4CA7"/>
    <w:rsid w:val="009F4F6A"/>
    <w:rsid w:val="009F55BA"/>
    <w:rsid w:val="009F7D36"/>
    <w:rsid w:val="009F7D61"/>
    <w:rsid w:val="00A00686"/>
    <w:rsid w:val="00A00E71"/>
    <w:rsid w:val="00A0306F"/>
    <w:rsid w:val="00A03244"/>
    <w:rsid w:val="00A03545"/>
    <w:rsid w:val="00A03B10"/>
    <w:rsid w:val="00A03E2E"/>
    <w:rsid w:val="00A04616"/>
    <w:rsid w:val="00A04717"/>
    <w:rsid w:val="00A05D8F"/>
    <w:rsid w:val="00A05EE4"/>
    <w:rsid w:val="00A06212"/>
    <w:rsid w:val="00A06F99"/>
    <w:rsid w:val="00A073CB"/>
    <w:rsid w:val="00A07EB8"/>
    <w:rsid w:val="00A1053B"/>
    <w:rsid w:val="00A1092E"/>
    <w:rsid w:val="00A10D66"/>
    <w:rsid w:val="00A113A4"/>
    <w:rsid w:val="00A11891"/>
    <w:rsid w:val="00A11DD4"/>
    <w:rsid w:val="00A11E3F"/>
    <w:rsid w:val="00A14114"/>
    <w:rsid w:val="00A16413"/>
    <w:rsid w:val="00A16545"/>
    <w:rsid w:val="00A16AED"/>
    <w:rsid w:val="00A16C37"/>
    <w:rsid w:val="00A16CA8"/>
    <w:rsid w:val="00A16E1D"/>
    <w:rsid w:val="00A171D5"/>
    <w:rsid w:val="00A17A15"/>
    <w:rsid w:val="00A17D5B"/>
    <w:rsid w:val="00A20127"/>
    <w:rsid w:val="00A201E1"/>
    <w:rsid w:val="00A20AE3"/>
    <w:rsid w:val="00A20FE1"/>
    <w:rsid w:val="00A21B4D"/>
    <w:rsid w:val="00A22073"/>
    <w:rsid w:val="00A223E0"/>
    <w:rsid w:val="00A22B49"/>
    <w:rsid w:val="00A23158"/>
    <w:rsid w:val="00A23E43"/>
    <w:rsid w:val="00A24726"/>
    <w:rsid w:val="00A24DEB"/>
    <w:rsid w:val="00A24ED9"/>
    <w:rsid w:val="00A25216"/>
    <w:rsid w:val="00A2597D"/>
    <w:rsid w:val="00A2628E"/>
    <w:rsid w:val="00A266BF"/>
    <w:rsid w:val="00A26ADF"/>
    <w:rsid w:val="00A26F45"/>
    <w:rsid w:val="00A2731E"/>
    <w:rsid w:val="00A27DA0"/>
    <w:rsid w:val="00A309AC"/>
    <w:rsid w:val="00A30F65"/>
    <w:rsid w:val="00A312F6"/>
    <w:rsid w:val="00A3279E"/>
    <w:rsid w:val="00A3403F"/>
    <w:rsid w:val="00A34818"/>
    <w:rsid w:val="00A35900"/>
    <w:rsid w:val="00A40EAC"/>
    <w:rsid w:val="00A418BC"/>
    <w:rsid w:val="00A41AA8"/>
    <w:rsid w:val="00A41CF6"/>
    <w:rsid w:val="00A41FCF"/>
    <w:rsid w:val="00A42936"/>
    <w:rsid w:val="00A42C38"/>
    <w:rsid w:val="00A43494"/>
    <w:rsid w:val="00A434EB"/>
    <w:rsid w:val="00A438C7"/>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580"/>
    <w:rsid w:val="00A566A0"/>
    <w:rsid w:val="00A601E7"/>
    <w:rsid w:val="00A60AC1"/>
    <w:rsid w:val="00A60ED1"/>
    <w:rsid w:val="00A61163"/>
    <w:rsid w:val="00A61806"/>
    <w:rsid w:val="00A618EC"/>
    <w:rsid w:val="00A626FF"/>
    <w:rsid w:val="00A62CE1"/>
    <w:rsid w:val="00A6334E"/>
    <w:rsid w:val="00A651FD"/>
    <w:rsid w:val="00A65469"/>
    <w:rsid w:val="00A65528"/>
    <w:rsid w:val="00A655D3"/>
    <w:rsid w:val="00A65A80"/>
    <w:rsid w:val="00A662D9"/>
    <w:rsid w:val="00A6741E"/>
    <w:rsid w:val="00A67E29"/>
    <w:rsid w:val="00A7016A"/>
    <w:rsid w:val="00A7018D"/>
    <w:rsid w:val="00A71462"/>
    <w:rsid w:val="00A7191D"/>
    <w:rsid w:val="00A71EEF"/>
    <w:rsid w:val="00A722F9"/>
    <w:rsid w:val="00A72D42"/>
    <w:rsid w:val="00A746C9"/>
    <w:rsid w:val="00A74C2A"/>
    <w:rsid w:val="00A75E40"/>
    <w:rsid w:val="00A76818"/>
    <w:rsid w:val="00A77D1D"/>
    <w:rsid w:val="00A80466"/>
    <w:rsid w:val="00A81652"/>
    <w:rsid w:val="00A82C91"/>
    <w:rsid w:val="00A83150"/>
    <w:rsid w:val="00A83398"/>
    <w:rsid w:val="00A83D6E"/>
    <w:rsid w:val="00A83FD5"/>
    <w:rsid w:val="00A8521A"/>
    <w:rsid w:val="00A857C0"/>
    <w:rsid w:val="00A8583B"/>
    <w:rsid w:val="00A85ACB"/>
    <w:rsid w:val="00A87253"/>
    <w:rsid w:val="00A874B0"/>
    <w:rsid w:val="00A90F2C"/>
    <w:rsid w:val="00A90FED"/>
    <w:rsid w:val="00A91482"/>
    <w:rsid w:val="00A91500"/>
    <w:rsid w:val="00A9189D"/>
    <w:rsid w:val="00A91B74"/>
    <w:rsid w:val="00A91E71"/>
    <w:rsid w:val="00A925B1"/>
    <w:rsid w:val="00A92921"/>
    <w:rsid w:val="00A92A3E"/>
    <w:rsid w:val="00A934F9"/>
    <w:rsid w:val="00A940E3"/>
    <w:rsid w:val="00A94983"/>
    <w:rsid w:val="00A94A2D"/>
    <w:rsid w:val="00A95F1A"/>
    <w:rsid w:val="00A96116"/>
    <w:rsid w:val="00A9614E"/>
    <w:rsid w:val="00A96422"/>
    <w:rsid w:val="00A96C0F"/>
    <w:rsid w:val="00A974A6"/>
    <w:rsid w:val="00A97B50"/>
    <w:rsid w:val="00AA0E80"/>
    <w:rsid w:val="00AA17CD"/>
    <w:rsid w:val="00AA1D85"/>
    <w:rsid w:val="00AA212F"/>
    <w:rsid w:val="00AA26A9"/>
    <w:rsid w:val="00AA2996"/>
    <w:rsid w:val="00AA2AF4"/>
    <w:rsid w:val="00AA4282"/>
    <w:rsid w:val="00AA4790"/>
    <w:rsid w:val="00AA51F5"/>
    <w:rsid w:val="00AA52BF"/>
    <w:rsid w:val="00AA559A"/>
    <w:rsid w:val="00AA5D84"/>
    <w:rsid w:val="00AA6C31"/>
    <w:rsid w:val="00AA7046"/>
    <w:rsid w:val="00AA7752"/>
    <w:rsid w:val="00AA7CE8"/>
    <w:rsid w:val="00AB1457"/>
    <w:rsid w:val="00AB2AF1"/>
    <w:rsid w:val="00AB32AF"/>
    <w:rsid w:val="00AB3B20"/>
    <w:rsid w:val="00AB3EC7"/>
    <w:rsid w:val="00AB5A64"/>
    <w:rsid w:val="00AB5CA1"/>
    <w:rsid w:val="00AB5DBC"/>
    <w:rsid w:val="00AB6456"/>
    <w:rsid w:val="00AB75C5"/>
    <w:rsid w:val="00AB7D4B"/>
    <w:rsid w:val="00AC044E"/>
    <w:rsid w:val="00AC0913"/>
    <w:rsid w:val="00AC0B28"/>
    <w:rsid w:val="00AC2118"/>
    <w:rsid w:val="00AC2395"/>
    <w:rsid w:val="00AC2960"/>
    <w:rsid w:val="00AC2AC4"/>
    <w:rsid w:val="00AC4284"/>
    <w:rsid w:val="00AC445B"/>
    <w:rsid w:val="00AC4499"/>
    <w:rsid w:val="00AC45BD"/>
    <w:rsid w:val="00AC50BB"/>
    <w:rsid w:val="00AC5663"/>
    <w:rsid w:val="00AC6FFE"/>
    <w:rsid w:val="00AD0B22"/>
    <w:rsid w:val="00AD0EE7"/>
    <w:rsid w:val="00AD168E"/>
    <w:rsid w:val="00AD1900"/>
    <w:rsid w:val="00AD306C"/>
    <w:rsid w:val="00AD44CD"/>
    <w:rsid w:val="00AD5AD2"/>
    <w:rsid w:val="00AD6462"/>
    <w:rsid w:val="00AD66C5"/>
    <w:rsid w:val="00AD68C4"/>
    <w:rsid w:val="00AD71F9"/>
    <w:rsid w:val="00AE09B3"/>
    <w:rsid w:val="00AE16CB"/>
    <w:rsid w:val="00AE1A83"/>
    <w:rsid w:val="00AE1C48"/>
    <w:rsid w:val="00AE1EA7"/>
    <w:rsid w:val="00AE30BE"/>
    <w:rsid w:val="00AE3E6A"/>
    <w:rsid w:val="00AE3EC2"/>
    <w:rsid w:val="00AE52F6"/>
    <w:rsid w:val="00AE5625"/>
    <w:rsid w:val="00AE6414"/>
    <w:rsid w:val="00AE7269"/>
    <w:rsid w:val="00AE797C"/>
    <w:rsid w:val="00AE7CE7"/>
    <w:rsid w:val="00AE7FAB"/>
    <w:rsid w:val="00AF086A"/>
    <w:rsid w:val="00AF0DE4"/>
    <w:rsid w:val="00AF136B"/>
    <w:rsid w:val="00AF1475"/>
    <w:rsid w:val="00AF1E87"/>
    <w:rsid w:val="00AF2A55"/>
    <w:rsid w:val="00AF436B"/>
    <w:rsid w:val="00AF5179"/>
    <w:rsid w:val="00AF5CC2"/>
    <w:rsid w:val="00AF6776"/>
    <w:rsid w:val="00AF6F98"/>
    <w:rsid w:val="00B00913"/>
    <w:rsid w:val="00B01593"/>
    <w:rsid w:val="00B01FF9"/>
    <w:rsid w:val="00B023F2"/>
    <w:rsid w:val="00B038CA"/>
    <w:rsid w:val="00B0656A"/>
    <w:rsid w:val="00B06DB4"/>
    <w:rsid w:val="00B0750D"/>
    <w:rsid w:val="00B0799C"/>
    <w:rsid w:val="00B07EF7"/>
    <w:rsid w:val="00B102CE"/>
    <w:rsid w:val="00B10A4D"/>
    <w:rsid w:val="00B10C90"/>
    <w:rsid w:val="00B11002"/>
    <w:rsid w:val="00B1114F"/>
    <w:rsid w:val="00B121B2"/>
    <w:rsid w:val="00B141B6"/>
    <w:rsid w:val="00B14BC1"/>
    <w:rsid w:val="00B15104"/>
    <w:rsid w:val="00B1576B"/>
    <w:rsid w:val="00B16DD1"/>
    <w:rsid w:val="00B16EB8"/>
    <w:rsid w:val="00B17E71"/>
    <w:rsid w:val="00B17FDE"/>
    <w:rsid w:val="00B20632"/>
    <w:rsid w:val="00B2379C"/>
    <w:rsid w:val="00B23D5D"/>
    <w:rsid w:val="00B250B5"/>
    <w:rsid w:val="00B2687D"/>
    <w:rsid w:val="00B27789"/>
    <w:rsid w:val="00B27BF6"/>
    <w:rsid w:val="00B3045A"/>
    <w:rsid w:val="00B3108D"/>
    <w:rsid w:val="00B32DDB"/>
    <w:rsid w:val="00B32F57"/>
    <w:rsid w:val="00B3345C"/>
    <w:rsid w:val="00B34528"/>
    <w:rsid w:val="00B34CC9"/>
    <w:rsid w:val="00B3563B"/>
    <w:rsid w:val="00B36295"/>
    <w:rsid w:val="00B36BDC"/>
    <w:rsid w:val="00B37D3A"/>
    <w:rsid w:val="00B37D96"/>
    <w:rsid w:val="00B402FC"/>
    <w:rsid w:val="00B41ACD"/>
    <w:rsid w:val="00B422E2"/>
    <w:rsid w:val="00B42BA9"/>
    <w:rsid w:val="00B42D5F"/>
    <w:rsid w:val="00B43216"/>
    <w:rsid w:val="00B439DA"/>
    <w:rsid w:val="00B4411A"/>
    <w:rsid w:val="00B449BE"/>
    <w:rsid w:val="00B454C0"/>
    <w:rsid w:val="00B45FE8"/>
    <w:rsid w:val="00B46604"/>
    <w:rsid w:val="00B47089"/>
    <w:rsid w:val="00B471A7"/>
    <w:rsid w:val="00B47587"/>
    <w:rsid w:val="00B47EE4"/>
    <w:rsid w:val="00B51BF7"/>
    <w:rsid w:val="00B51E3B"/>
    <w:rsid w:val="00B52151"/>
    <w:rsid w:val="00B521D9"/>
    <w:rsid w:val="00B530CD"/>
    <w:rsid w:val="00B53C7D"/>
    <w:rsid w:val="00B53E56"/>
    <w:rsid w:val="00B55489"/>
    <w:rsid w:val="00B55A97"/>
    <w:rsid w:val="00B55F5E"/>
    <w:rsid w:val="00B5642C"/>
    <w:rsid w:val="00B5658D"/>
    <w:rsid w:val="00B56634"/>
    <w:rsid w:val="00B56B6F"/>
    <w:rsid w:val="00B5752E"/>
    <w:rsid w:val="00B60AC1"/>
    <w:rsid w:val="00B61C7A"/>
    <w:rsid w:val="00B61FF6"/>
    <w:rsid w:val="00B62316"/>
    <w:rsid w:val="00B63A11"/>
    <w:rsid w:val="00B64425"/>
    <w:rsid w:val="00B64C24"/>
    <w:rsid w:val="00B65CEF"/>
    <w:rsid w:val="00B6608F"/>
    <w:rsid w:val="00B67749"/>
    <w:rsid w:val="00B679FB"/>
    <w:rsid w:val="00B707CD"/>
    <w:rsid w:val="00B70BC0"/>
    <w:rsid w:val="00B71FBF"/>
    <w:rsid w:val="00B734A0"/>
    <w:rsid w:val="00B73A14"/>
    <w:rsid w:val="00B748BD"/>
    <w:rsid w:val="00B75D32"/>
    <w:rsid w:val="00B75E68"/>
    <w:rsid w:val="00B7680F"/>
    <w:rsid w:val="00B76B48"/>
    <w:rsid w:val="00B76D1E"/>
    <w:rsid w:val="00B77543"/>
    <w:rsid w:val="00B77584"/>
    <w:rsid w:val="00B77EE9"/>
    <w:rsid w:val="00B80EC6"/>
    <w:rsid w:val="00B81288"/>
    <w:rsid w:val="00B81D70"/>
    <w:rsid w:val="00B833B9"/>
    <w:rsid w:val="00B83E07"/>
    <w:rsid w:val="00B84CF6"/>
    <w:rsid w:val="00B85016"/>
    <w:rsid w:val="00B8561A"/>
    <w:rsid w:val="00B86643"/>
    <w:rsid w:val="00B868F7"/>
    <w:rsid w:val="00B87CD4"/>
    <w:rsid w:val="00B90131"/>
    <w:rsid w:val="00B92951"/>
    <w:rsid w:val="00B92D1D"/>
    <w:rsid w:val="00B92D7E"/>
    <w:rsid w:val="00B930CE"/>
    <w:rsid w:val="00B936FD"/>
    <w:rsid w:val="00B938C5"/>
    <w:rsid w:val="00B940A8"/>
    <w:rsid w:val="00B9554A"/>
    <w:rsid w:val="00B95940"/>
    <w:rsid w:val="00B95ACA"/>
    <w:rsid w:val="00B96C06"/>
    <w:rsid w:val="00B97281"/>
    <w:rsid w:val="00B97ACC"/>
    <w:rsid w:val="00B97FE2"/>
    <w:rsid w:val="00BA0E0B"/>
    <w:rsid w:val="00BA201A"/>
    <w:rsid w:val="00BA3787"/>
    <w:rsid w:val="00BA4633"/>
    <w:rsid w:val="00BA46E8"/>
    <w:rsid w:val="00BA4E19"/>
    <w:rsid w:val="00BA6436"/>
    <w:rsid w:val="00BA64F2"/>
    <w:rsid w:val="00BA684E"/>
    <w:rsid w:val="00BA6C2B"/>
    <w:rsid w:val="00BA7B64"/>
    <w:rsid w:val="00BB02A3"/>
    <w:rsid w:val="00BB0351"/>
    <w:rsid w:val="00BB15C3"/>
    <w:rsid w:val="00BB1AF4"/>
    <w:rsid w:val="00BB2202"/>
    <w:rsid w:val="00BB366D"/>
    <w:rsid w:val="00BB3C6B"/>
    <w:rsid w:val="00BB3FD6"/>
    <w:rsid w:val="00BB453F"/>
    <w:rsid w:val="00BB46F3"/>
    <w:rsid w:val="00BB4A71"/>
    <w:rsid w:val="00BB4CB1"/>
    <w:rsid w:val="00BB4F98"/>
    <w:rsid w:val="00BB50E6"/>
    <w:rsid w:val="00BB5AB2"/>
    <w:rsid w:val="00BB5ABF"/>
    <w:rsid w:val="00BB6EA2"/>
    <w:rsid w:val="00BB7B5B"/>
    <w:rsid w:val="00BB7C58"/>
    <w:rsid w:val="00BB7EB1"/>
    <w:rsid w:val="00BC003F"/>
    <w:rsid w:val="00BC01C6"/>
    <w:rsid w:val="00BC0930"/>
    <w:rsid w:val="00BC327F"/>
    <w:rsid w:val="00BC3512"/>
    <w:rsid w:val="00BC50BE"/>
    <w:rsid w:val="00BC5332"/>
    <w:rsid w:val="00BC5715"/>
    <w:rsid w:val="00BC5C12"/>
    <w:rsid w:val="00BC66E7"/>
    <w:rsid w:val="00BC7154"/>
    <w:rsid w:val="00BC731E"/>
    <w:rsid w:val="00BC7614"/>
    <w:rsid w:val="00BC7675"/>
    <w:rsid w:val="00BD25BB"/>
    <w:rsid w:val="00BD2AF8"/>
    <w:rsid w:val="00BD366B"/>
    <w:rsid w:val="00BD3C09"/>
    <w:rsid w:val="00BD3F9C"/>
    <w:rsid w:val="00BD410B"/>
    <w:rsid w:val="00BD4A73"/>
    <w:rsid w:val="00BD690C"/>
    <w:rsid w:val="00BD6C75"/>
    <w:rsid w:val="00BD6D50"/>
    <w:rsid w:val="00BD6EF4"/>
    <w:rsid w:val="00BD73D2"/>
    <w:rsid w:val="00BD7D42"/>
    <w:rsid w:val="00BE0AD1"/>
    <w:rsid w:val="00BE0EF9"/>
    <w:rsid w:val="00BE10A1"/>
    <w:rsid w:val="00BE18B9"/>
    <w:rsid w:val="00BE190A"/>
    <w:rsid w:val="00BE1E6C"/>
    <w:rsid w:val="00BE2495"/>
    <w:rsid w:val="00BE24DD"/>
    <w:rsid w:val="00BE386D"/>
    <w:rsid w:val="00BE49D8"/>
    <w:rsid w:val="00BE557B"/>
    <w:rsid w:val="00BE7305"/>
    <w:rsid w:val="00BE74D1"/>
    <w:rsid w:val="00BE7F5F"/>
    <w:rsid w:val="00BF02C8"/>
    <w:rsid w:val="00BF1578"/>
    <w:rsid w:val="00BF15CA"/>
    <w:rsid w:val="00BF1D12"/>
    <w:rsid w:val="00BF1D3A"/>
    <w:rsid w:val="00BF26AA"/>
    <w:rsid w:val="00BF2B5B"/>
    <w:rsid w:val="00BF2D41"/>
    <w:rsid w:val="00BF3274"/>
    <w:rsid w:val="00BF32DC"/>
    <w:rsid w:val="00BF4329"/>
    <w:rsid w:val="00BF4870"/>
    <w:rsid w:val="00BF4E43"/>
    <w:rsid w:val="00BF5C4C"/>
    <w:rsid w:val="00BF72AC"/>
    <w:rsid w:val="00BF77FC"/>
    <w:rsid w:val="00C0015C"/>
    <w:rsid w:val="00C006D6"/>
    <w:rsid w:val="00C00BD7"/>
    <w:rsid w:val="00C00C4D"/>
    <w:rsid w:val="00C01410"/>
    <w:rsid w:val="00C0171C"/>
    <w:rsid w:val="00C037B3"/>
    <w:rsid w:val="00C0475A"/>
    <w:rsid w:val="00C04B78"/>
    <w:rsid w:val="00C052AA"/>
    <w:rsid w:val="00C06EE3"/>
    <w:rsid w:val="00C07749"/>
    <w:rsid w:val="00C111AE"/>
    <w:rsid w:val="00C11244"/>
    <w:rsid w:val="00C11D48"/>
    <w:rsid w:val="00C1229A"/>
    <w:rsid w:val="00C1493E"/>
    <w:rsid w:val="00C158AD"/>
    <w:rsid w:val="00C15DBD"/>
    <w:rsid w:val="00C17F7D"/>
    <w:rsid w:val="00C2010D"/>
    <w:rsid w:val="00C20CB5"/>
    <w:rsid w:val="00C21430"/>
    <w:rsid w:val="00C216DF"/>
    <w:rsid w:val="00C21E61"/>
    <w:rsid w:val="00C21F94"/>
    <w:rsid w:val="00C2211E"/>
    <w:rsid w:val="00C22389"/>
    <w:rsid w:val="00C227D7"/>
    <w:rsid w:val="00C234DB"/>
    <w:rsid w:val="00C24348"/>
    <w:rsid w:val="00C2479A"/>
    <w:rsid w:val="00C24903"/>
    <w:rsid w:val="00C2590D"/>
    <w:rsid w:val="00C25C47"/>
    <w:rsid w:val="00C25D9C"/>
    <w:rsid w:val="00C27913"/>
    <w:rsid w:val="00C300E2"/>
    <w:rsid w:val="00C31F21"/>
    <w:rsid w:val="00C32631"/>
    <w:rsid w:val="00C33301"/>
    <w:rsid w:val="00C33311"/>
    <w:rsid w:val="00C33B68"/>
    <w:rsid w:val="00C33E38"/>
    <w:rsid w:val="00C33F11"/>
    <w:rsid w:val="00C3526D"/>
    <w:rsid w:val="00C35570"/>
    <w:rsid w:val="00C35A2A"/>
    <w:rsid w:val="00C36A79"/>
    <w:rsid w:val="00C401A9"/>
    <w:rsid w:val="00C401D2"/>
    <w:rsid w:val="00C4031A"/>
    <w:rsid w:val="00C405D4"/>
    <w:rsid w:val="00C41285"/>
    <w:rsid w:val="00C41843"/>
    <w:rsid w:val="00C419D5"/>
    <w:rsid w:val="00C41D54"/>
    <w:rsid w:val="00C42EBB"/>
    <w:rsid w:val="00C4513B"/>
    <w:rsid w:val="00C459C6"/>
    <w:rsid w:val="00C46B65"/>
    <w:rsid w:val="00C4738E"/>
    <w:rsid w:val="00C475E8"/>
    <w:rsid w:val="00C50E79"/>
    <w:rsid w:val="00C5197D"/>
    <w:rsid w:val="00C525FB"/>
    <w:rsid w:val="00C52A14"/>
    <w:rsid w:val="00C52F21"/>
    <w:rsid w:val="00C5390B"/>
    <w:rsid w:val="00C54257"/>
    <w:rsid w:val="00C54697"/>
    <w:rsid w:val="00C550CE"/>
    <w:rsid w:val="00C553A5"/>
    <w:rsid w:val="00C55402"/>
    <w:rsid w:val="00C55FC5"/>
    <w:rsid w:val="00C5603B"/>
    <w:rsid w:val="00C600F0"/>
    <w:rsid w:val="00C61D09"/>
    <w:rsid w:val="00C61F47"/>
    <w:rsid w:val="00C62423"/>
    <w:rsid w:val="00C62828"/>
    <w:rsid w:val="00C642DC"/>
    <w:rsid w:val="00C670E5"/>
    <w:rsid w:val="00C715CC"/>
    <w:rsid w:val="00C719A3"/>
    <w:rsid w:val="00C71D2F"/>
    <w:rsid w:val="00C72984"/>
    <w:rsid w:val="00C72FA6"/>
    <w:rsid w:val="00C73885"/>
    <w:rsid w:val="00C73C93"/>
    <w:rsid w:val="00C73CA9"/>
    <w:rsid w:val="00C7435A"/>
    <w:rsid w:val="00C747B1"/>
    <w:rsid w:val="00C74A57"/>
    <w:rsid w:val="00C75510"/>
    <w:rsid w:val="00C755F9"/>
    <w:rsid w:val="00C75752"/>
    <w:rsid w:val="00C770C9"/>
    <w:rsid w:val="00C77B27"/>
    <w:rsid w:val="00C81070"/>
    <w:rsid w:val="00C8174E"/>
    <w:rsid w:val="00C82191"/>
    <w:rsid w:val="00C82E69"/>
    <w:rsid w:val="00C83134"/>
    <w:rsid w:val="00C831E7"/>
    <w:rsid w:val="00C832F3"/>
    <w:rsid w:val="00C845A4"/>
    <w:rsid w:val="00C85545"/>
    <w:rsid w:val="00C855B5"/>
    <w:rsid w:val="00C85F0E"/>
    <w:rsid w:val="00C8753B"/>
    <w:rsid w:val="00C90570"/>
    <w:rsid w:val="00C90CF4"/>
    <w:rsid w:val="00C91C20"/>
    <w:rsid w:val="00C922DE"/>
    <w:rsid w:val="00C92843"/>
    <w:rsid w:val="00C92EB6"/>
    <w:rsid w:val="00C93389"/>
    <w:rsid w:val="00C948E6"/>
    <w:rsid w:val="00C94CDD"/>
    <w:rsid w:val="00C96268"/>
    <w:rsid w:val="00C97588"/>
    <w:rsid w:val="00CA0346"/>
    <w:rsid w:val="00CA1BD6"/>
    <w:rsid w:val="00CA240C"/>
    <w:rsid w:val="00CA2A97"/>
    <w:rsid w:val="00CA37FF"/>
    <w:rsid w:val="00CA4008"/>
    <w:rsid w:val="00CA423A"/>
    <w:rsid w:val="00CA47BC"/>
    <w:rsid w:val="00CA561A"/>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57E"/>
    <w:rsid w:val="00CC0834"/>
    <w:rsid w:val="00CC0F4E"/>
    <w:rsid w:val="00CC20FE"/>
    <w:rsid w:val="00CC2E7D"/>
    <w:rsid w:val="00CC4FD0"/>
    <w:rsid w:val="00CC612B"/>
    <w:rsid w:val="00CC655F"/>
    <w:rsid w:val="00CC66F9"/>
    <w:rsid w:val="00CC6C2A"/>
    <w:rsid w:val="00CC6F0F"/>
    <w:rsid w:val="00CC6FE5"/>
    <w:rsid w:val="00CC7458"/>
    <w:rsid w:val="00CC76BD"/>
    <w:rsid w:val="00CC7A87"/>
    <w:rsid w:val="00CD074C"/>
    <w:rsid w:val="00CD10A5"/>
    <w:rsid w:val="00CD1129"/>
    <w:rsid w:val="00CD1A80"/>
    <w:rsid w:val="00CD1CB5"/>
    <w:rsid w:val="00CD2076"/>
    <w:rsid w:val="00CD24CE"/>
    <w:rsid w:val="00CD29B5"/>
    <w:rsid w:val="00CD2B78"/>
    <w:rsid w:val="00CD3FAB"/>
    <w:rsid w:val="00CD5456"/>
    <w:rsid w:val="00CD5C3E"/>
    <w:rsid w:val="00CD6331"/>
    <w:rsid w:val="00CE06B5"/>
    <w:rsid w:val="00CE14BE"/>
    <w:rsid w:val="00CE17A4"/>
    <w:rsid w:val="00CE1BA9"/>
    <w:rsid w:val="00CE2D8F"/>
    <w:rsid w:val="00CE3E48"/>
    <w:rsid w:val="00CE470E"/>
    <w:rsid w:val="00CE47B8"/>
    <w:rsid w:val="00CE54C3"/>
    <w:rsid w:val="00CE62FA"/>
    <w:rsid w:val="00CE670B"/>
    <w:rsid w:val="00CE6833"/>
    <w:rsid w:val="00CE6AAA"/>
    <w:rsid w:val="00CE739F"/>
    <w:rsid w:val="00CF020B"/>
    <w:rsid w:val="00CF16CF"/>
    <w:rsid w:val="00CF2E4D"/>
    <w:rsid w:val="00CF4205"/>
    <w:rsid w:val="00CF4908"/>
    <w:rsid w:val="00CF51EC"/>
    <w:rsid w:val="00CF545D"/>
    <w:rsid w:val="00CF5873"/>
    <w:rsid w:val="00CF6F9C"/>
    <w:rsid w:val="00CF73AE"/>
    <w:rsid w:val="00CF7777"/>
    <w:rsid w:val="00D00052"/>
    <w:rsid w:val="00D0085A"/>
    <w:rsid w:val="00D0197F"/>
    <w:rsid w:val="00D01B31"/>
    <w:rsid w:val="00D0242D"/>
    <w:rsid w:val="00D02716"/>
    <w:rsid w:val="00D03A72"/>
    <w:rsid w:val="00D040DD"/>
    <w:rsid w:val="00D04134"/>
    <w:rsid w:val="00D05C65"/>
    <w:rsid w:val="00D0639F"/>
    <w:rsid w:val="00D063BE"/>
    <w:rsid w:val="00D06B56"/>
    <w:rsid w:val="00D06D68"/>
    <w:rsid w:val="00D075BE"/>
    <w:rsid w:val="00D07AFF"/>
    <w:rsid w:val="00D10A75"/>
    <w:rsid w:val="00D10C15"/>
    <w:rsid w:val="00D10F2A"/>
    <w:rsid w:val="00D11476"/>
    <w:rsid w:val="00D12949"/>
    <w:rsid w:val="00D12C25"/>
    <w:rsid w:val="00D133B4"/>
    <w:rsid w:val="00D13986"/>
    <w:rsid w:val="00D14C12"/>
    <w:rsid w:val="00D14C5B"/>
    <w:rsid w:val="00D15B29"/>
    <w:rsid w:val="00D15FED"/>
    <w:rsid w:val="00D16712"/>
    <w:rsid w:val="00D20078"/>
    <w:rsid w:val="00D20A3B"/>
    <w:rsid w:val="00D214EF"/>
    <w:rsid w:val="00D215B0"/>
    <w:rsid w:val="00D21D6D"/>
    <w:rsid w:val="00D21D83"/>
    <w:rsid w:val="00D2223F"/>
    <w:rsid w:val="00D235B7"/>
    <w:rsid w:val="00D23B76"/>
    <w:rsid w:val="00D23FAE"/>
    <w:rsid w:val="00D25F28"/>
    <w:rsid w:val="00D26071"/>
    <w:rsid w:val="00D269B9"/>
    <w:rsid w:val="00D27973"/>
    <w:rsid w:val="00D27F3A"/>
    <w:rsid w:val="00D31537"/>
    <w:rsid w:val="00D31E1E"/>
    <w:rsid w:val="00D322A0"/>
    <w:rsid w:val="00D32377"/>
    <w:rsid w:val="00D32824"/>
    <w:rsid w:val="00D33478"/>
    <w:rsid w:val="00D334E2"/>
    <w:rsid w:val="00D350B1"/>
    <w:rsid w:val="00D35AD6"/>
    <w:rsid w:val="00D35BBB"/>
    <w:rsid w:val="00D35E1A"/>
    <w:rsid w:val="00D36308"/>
    <w:rsid w:val="00D368ED"/>
    <w:rsid w:val="00D36B0A"/>
    <w:rsid w:val="00D36DFB"/>
    <w:rsid w:val="00D36E1C"/>
    <w:rsid w:val="00D37149"/>
    <w:rsid w:val="00D373AF"/>
    <w:rsid w:val="00D40556"/>
    <w:rsid w:val="00D41F74"/>
    <w:rsid w:val="00D428C8"/>
    <w:rsid w:val="00D43034"/>
    <w:rsid w:val="00D43ED2"/>
    <w:rsid w:val="00D50F46"/>
    <w:rsid w:val="00D51518"/>
    <w:rsid w:val="00D5384E"/>
    <w:rsid w:val="00D53DCB"/>
    <w:rsid w:val="00D544E7"/>
    <w:rsid w:val="00D5499F"/>
    <w:rsid w:val="00D5560A"/>
    <w:rsid w:val="00D569AA"/>
    <w:rsid w:val="00D56FBF"/>
    <w:rsid w:val="00D57677"/>
    <w:rsid w:val="00D5781F"/>
    <w:rsid w:val="00D57CF3"/>
    <w:rsid w:val="00D60415"/>
    <w:rsid w:val="00D60DDA"/>
    <w:rsid w:val="00D60E3C"/>
    <w:rsid w:val="00D60E76"/>
    <w:rsid w:val="00D61FAB"/>
    <w:rsid w:val="00D63BE5"/>
    <w:rsid w:val="00D6475F"/>
    <w:rsid w:val="00D661F3"/>
    <w:rsid w:val="00D66223"/>
    <w:rsid w:val="00D667B8"/>
    <w:rsid w:val="00D70289"/>
    <w:rsid w:val="00D70822"/>
    <w:rsid w:val="00D709DF"/>
    <w:rsid w:val="00D72076"/>
    <w:rsid w:val="00D726A9"/>
    <w:rsid w:val="00D72DBA"/>
    <w:rsid w:val="00D73307"/>
    <w:rsid w:val="00D743E0"/>
    <w:rsid w:val="00D74560"/>
    <w:rsid w:val="00D7490C"/>
    <w:rsid w:val="00D75AC1"/>
    <w:rsid w:val="00D76F0E"/>
    <w:rsid w:val="00D77252"/>
    <w:rsid w:val="00D8084C"/>
    <w:rsid w:val="00D81809"/>
    <w:rsid w:val="00D82D14"/>
    <w:rsid w:val="00D82EF1"/>
    <w:rsid w:val="00D84F43"/>
    <w:rsid w:val="00D85114"/>
    <w:rsid w:val="00D85196"/>
    <w:rsid w:val="00D85821"/>
    <w:rsid w:val="00D8598C"/>
    <w:rsid w:val="00D87C06"/>
    <w:rsid w:val="00D9149C"/>
    <w:rsid w:val="00D915EA"/>
    <w:rsid w:val="00D919ED"/>
    <w:rsid w:val="00D922A1"/>
    <w:rsid w:val="00D923EA"/>
    <w:rsid w:val="00D927D2"/>
    <w:rsid w:val="00D928BE"/>
    <w:rsid w:val="00D93D3C"/>
    <w:rsid w:val="00D94CA2"/>
    <w:rsid w:val="00D95302"/>
    <w:rsid w:val="00D953A3"/>
    <w:rsid w:val="00D95C5D"/>
    <w:rsid w:val="00D970F7"/>
    <w:rsid w:val="00D97D00"/>
    <w:rsid w:val="00DA0385"/>
    <w:rsid w:val="00DA096C"/>
    <w:rsid w:val="00DA1AB6"/>
    <w:rsid w:val="00DA232D"/>
    <w:rsid w:val="00DA2E65"/>
    <w:rsid w:val="00DA3ADF"/>
    <w:rsid w:val="00DA4174"/>
    <w:rsid w:val="00DA544C"/>
    <w:rsid w:val="00DA5F8E"/>
    <w:rsid w:val="00DA6364"/>
    <w:rsid w:val="00DA7114"/>
    <w:rsid w:val="00DA74F0"/>
    <w:rsid w:val="00DA7C0C"/>
    <w:rsid w:val="00DB03DD"/>
    <w:rsid w:val="00DB08A9"/>
    <w:rsid w:val="00DB0B87"/>
    <w:rsid w:val="00DB20A1"/>
    <w:rsid w:val="00DB2DFA"/>
    <w:rsid w:val="00DB2EC8"/>
    <w:rsid w:val="00DB321D"/>
    <w:rsid w:val="00DB459B"/>
    <w:rsid w:val="00DB47FD"/>
    <w:rsid w:val="00DB5E3A"/>
    <w:rsid w:val="00DB5E9A"/>
    <w:rsid w:val="00DB613B"/>
    <w:rsid w:val="00DB657E"/>
    <w:rsid w:val="00DB7342"/>
    <w:rsid w:val="00DB7489"/>
    <w:rsid w:val="00DC17D0"/>
    <w:rsid w:val="00DC1E31"/>
    <w:rsid w:val="00DC2B41"/>
    <w:rsid w:val="00DC3128"/>
    <w:rsid w:val="00DC435B"/>
    <w:rsid w:val="00DC4BE9"/>
    <w:rsid w:val="00DC53D8"/>
    <w:rsid w:val="00DC56FE"/>
    <w:rsid w:val="00DC5B3B"/>
    <w:rsid w:val="00DC690D"/>
    <w:rsid w:val="00DC6C2D"/>
    <w:rsid w:val="00DC7B1A"/>
    <w:rsid w:val="00DD02F3"/>
    <w:rsid w:val="00DD04B0"/>
    <w:rsid w:val="00DD129F"/>
    <w:rsid w:val="00DD12E4"/>
    <w:rsid w:val="00DD13FC"/>
    <w:rsid w:val="00DD1A3F"/>
    <w:rsid w:val="00DD1CA2"/>
    <w:rsid w:val="00DD2984"/>
    <w:rsid w:val="00DD29B5"/>
    <w:rsid w:val="00DD2BC9"/>
    <w:rsid w:val="00DD32DD"/>
    <w:rsid w:val="00DD33E8"/>
    <w:rsid w:val="00DD48CB"/>
    <w:rsid w:val="00DD5287"/>
    <w:rsid w:val="00DD5B36"/>
    <w:rsid w:val="00DD6621"/>
    <w:rsid w:val="00DD7849"/>
    <w:rsid w:val="00DE0D8B"/>
    <w:rsid w:val="00DE1237"/>
    <w:rsid w:val="00DE140F"/>
    <w:rsid w:val="00DE2491"/>
    <w:rsid w:val="00DE3CA3"/>
    <w:rsid w:val="00DE4DEE"/>
    <w:rsid w:val="00DE5CA6"/>
    <w:rsid w:val="00DE7AC8"/>
    <w:rsid w:val="00DF2C5D"/>
    <w:rsid w:val="00DF3643"/>
    <w:rsid w:val="00DF3770"/>
    <w:rsid w:val="00DF3845"/>
    <w:rsid w:val="00DF42FF"/>
    <w:rsid w:val="00DF4369"/>
    <w:rsid w:val="00DF4423"/>
    <w:rsid w:val="00DF448E"/>
    <w:rsid w:val="00DF4ADF"/>
    <w:rsid w:val="00DF566E"/>
    <w:rsid w:val="00DF5D1E"/>
    <w:rsid w:val="00DF724C"/>
    <w:rsid w:val="00DF77E4"/>
    <w:rsid w:val="00DF7F88"/>
    <w:rsid w:val="00E01965"/>
    <w:rsid w:val="00E01C0E"/>
    <w:rsid w:val="00E02E1F"/>
    <w:rsid w:val="00E0368F"/>
    <w:rsid w:val="00E037E9"/>
    <w:rsid w:val="00E03D73"/>
    <w:rsid w:val="00E03F9A"/>
    <w:rsid w:val="00E040DA"/>
    <w:rsid w:val="00E04694"/>
    <w:rsid w:val="00E1168B"/>
    <w:rsid w:val="00E12191"/>
    <w:rsid w:val="00E129E7"/>
    <w:rsid w:val="00E12ABE"/>
    <w:rsid w:val="00E12B1E"/>
    <w:rsid w:val="00E1444C"/>
    <w:rsid w:val="00E15DEE"/>
    <w:rsid w:val="00E17262"/>
    <w:rsid w:val="00E20016"/>
    <w:rsid w:val="00E2009B"/>
    <w:rsid w:val="00E20BB9"/>
    <w:rsid w:val="00E20BCC"/>
    <w:rsid w:val="00E2251C"/>
    <w:rsid w:val="00E2363D"/>
    <w:rsid w:val="00E23C6A"/>
    <w:rsid w:val="00E24694"/>
    <w:rsid w:val="00E2484B"/>
    <w:rsid w:val="00E25124"/>
    <w:rsid w:val="00E253A2"/>
    <w:rsid w:val="00E260F6"/>
    <w:rsid w:val="00E27127"/>
    <w:rsid w:val="00E27233"/>
    <w:rsid w:val="00E30F15"/>
    <w:rsid w:val="00E31771"/>
    <w:rsid w:val="00E3186D"/>
    <w:rsid w:val="00E31A3E"/>
    <w:rsid w:val="00E32080"/>
    <w:rsid w:val="00E3309D"/>
    <w:rsid w:val="00E350B1"/>
    <w:rsid w:val="00E35576"/>
    <w:rsid w:val="00E35A53"/>
    <w:rsid w:val="00E35EFD"/>
    <w:rsid w:val="00E3656B"/>
    <w:rsid w:val="00E3724A"/>
    <w:rsid w:val="00E37460"/>
    <w:rsid w:val="00E378B1"/>
    <w:rsid w:val="00E41066"/>
    <w:rsid w:val="00E417BE"/>
    <w:rsid w:val="00E41CD5"/>
    <w:rsid w:val="00E42054"/>
    <w:rsid w:val="00E4372D"/>
    <w:rsid w:val="00E43A9E"/>
    <w:rsid w:val="00E44243"/>
    <w:rsid w:val="00E4483B"/>
    <w:rsid w:val="00E44BA7"/>
    <w:rsid w:val="00E453F9"/>
    <w:rsid w:val="00E45D7D"/>
    <w:rsid w:val="00E4623F"/>
    <w:rsid w:val="00E4665D"/>
    <w:rsid w:val="00E47854"/>
    <w:rsid w:val="00E47EBA"/>
    <w:rsid w:val="00E50156"/>
    <w:rsid w:val="00E504EB"/>
    <w:rsid w:val="00E5076C"/>
    <w:rsid w:val="00E50D2E"/>
    <w:rsid w:val="00E50D7D"/>
    <w:rsid w:val="00E533F2"/>
    <w:rsid w:val="00E53470"/>
    <w:rsid w:val="00E539F6"/>
    <w:rsid w:val="00E545E3"/>
    <w:rsid w:val="00E54698"/>
    <w:rsid w:val="00E54FB4"/>
    <w:rsid w:val="00E5539A"/>
    <w:rsid w:val="00E55791"/>
    <w:rsid w:val="00E55E1A"/>
    <w:rsid w:val="00E574D2"/>
    <w:rsid w:val="00E575F9"/>
    <w:rsid w:val="00E578A2"/>
    <w:rsid w:val="00E60043"/>
    <w:rsid w:val="00E60BB1"/>
    <w:rsid w:val="00E6130F"/>
    <w:rsid w:val="00E61740"/>
    <w:rsid w:val="00E61EB5"/>
    <w:rsid w:val="00E6324D"/>
    <w:rsid w:val="00E65084"/>
    <w:rsid w:val="00E6519D"/>
    <w:rsid w:val="00E66062"/>
    <w:rsid w:val="00E6660E"/>
    <w:rsid w:val="00E66768"/>
    <w:rsid w:val="00E67305"/>
    <w:rsid w:val="00E67696"/>
    <w:rsid w:val="00E67EDD"/>
    <w:rsid w:val="00E70C5F"/>
    <w:rsid w:val="00E71A58"/>
    <w:rsid w:val="00E72A26"/>
    <w:rsid w:val="00E72A7A"/>
    <w:rsid w:val="00E7335A"/>
    <w:rsid w:val="00E7467D"/>
    <w:rsid w:val="00E747DC"/>
    <w:rsid w:val="00E74A2D"/>
    <w:rsid w:val="00E74ACE"/>
    <w:rsid w:val="00E74C39"/>
    <w:rsid w:val="00E75C94"/>
    <w:rsid w:val="00E75EC8"/>
    <w:rsid w:val="00E76A08"/>
    <w:rsid w:val="00E76B9B"/>
    <w:rsid w:val="00E76E61"/>
    <w:rsid w:val="00E77CC0"/>
    <w:rsid w:val="00E8086E"/>
    <w:rsid w:val="00E80B3D"/>
    <w:rsid w:val="00E80CA3"/>
    <w:rsid w:val="00E82618"/>
    <w:rsid w:val="00E84DD0"/>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12A"/>
    <w:rsid w:val="00EA32BC"/>
    <w:rsid w:val="00EA33F0"/>
    <w:rsid w:val="00EA35A7"/>
    <w:rsid w:val="00EA3B32"/>
    <w:rsid w:val="00EA3D05"/>
    <w:rsid w:val="00EA4402"/>
    <w:rsid w:val="00EA4B8D"/>
    <w:rsid w:val="00EA513E"/>
    <w:rsid w:val="00EA53D8"/>
    <w:rsid w:val="00EA7419"/>
    <w:rsid w:val="00EA77F1"/>
    <w:rsid w:val="00EB0E32"/>
    <w:rsid w:val="00EB1F3E"/>
    <w:rsid w:val="00EB2F3C"/>
    <w:rsid w:val="00EB2F55"/>
    <w:rsid w:val="00EB3B7B"/>
    <w:rsid w:val="00EB3E60"/>
    <w:rsid w:val="00EB4511"/>
    <w:rsid w:val="00EB48D7"/>
    <w:rsid w:val="00EB4A8E"/>
    <w:rsid w:val="00EB4BC5"/>
    <w:rsid w:val="00EB5BF7"/>
    <w:rsid w:val="00EB5E79"/>
    <w:rsid w:val="00EB6FAC"/>
    <w:rsid w:val="00EB7BAC"/>
    <w:rsid w:val="00EC03D7"/>
    <w:rsid w:val="00EC13A7"/>
    <w:rsid w:val="00EC2B75"/>
    <w:rsid w:val="00EC2EB6"/>
    <w:rsid w:val="00EC3C95"/>
    <w:rsid w:val="00EC5028"/>
    <w:rsid w:val="00EC6232"/>
    <w:rsid w:val="00ED0AB7"/>
    <w:rsid w:val="00ED0EF0"/>
    <w:rsid w:val="00ED12B9"/>
    <w:rsid w:val="00ED142F"/>
    <w:rsid w:val="00ED16B8"/>
    <w:rsid w:val="00ED1DF0"/>
    <w:rsid w:val="00ED2386"/>
    <w:rsid w:val="00ED2EA1"/>
    <w:rsid w:val="00ED3851"/>
    <w:rsid w:val="00ED3F10"/>
    <w:rsid w:val="00ED462A"/>
    <w:rsid w:val="00ED4D04"/>
    <w:rsid w:val="00ED566D"/>
    <w:rsid w:val="00ED5907"/>
    <w:rsid w:val="00ED5F5B"/>
    <w:rsid w:val="00ED62C6"/>
    <w:rsid w:val="00ED64C1"/>
    <w:rsid w:val="00ED6967"/>
    <w:rsid w:val="00ED7705"/>
    <w:rsid w:val="00ED781F"/>
    <w:rsid w:val="00EE2EB4"/>
    <w:rsid w:val="00EE3446"/>
    <w:rsid w:val="00EE3E78"/>
    <w:rsid w:val="00EE41FD"/>
    <w:rsid w:val="00EE460E"/>
    <w:rsid w:val="00EE4B1B"/>
    <w:rsid w:val="00EE5FBA"/>
    <w:rsid w:val="00EE6E06"/>
    <w:rsid w:val="00EE7179"/>
    <w:rsid w:val="00EE7A0B"/>
    <w:rsid w:val="00EF0B27"/>
    <w:rsid w:val="00EF0D90"/>
    <w:rsid w:val="00EF150D"/>
    <w:rsid w:val="00EF1F5A"/>
    <w:rsid w:val="00EF23B5"/>
    <w:rsid w:val="00EF25AD"/>
    <w:rsid w:val="00EF35EC"/>
    <w:rsid w:val="00EF3FCF"/>
    <w:rsid w:val="00EF406A"/>
    <w:rsid w:val="00EF47BF"/>
    <w:rsid w:val="00EF59B1"/>
    <w:rsid w:val="00EF5A13"/>
    <w:rsid w:val="00EF5FF9"/>
    <w:rsid w:val="00EF77D4"/>
    <w:rsid w:val="00EF7CC7"/>
    <w:rsid w:val="00F00853"/>
    <w:rsid w:val="00F00866"/>
    <w:rsid w:val="00F00EC8"/>
    <w:rsid w:val="00F013F0"/>
    <w:rsid w:val="00F0160B"/>
    <w:rsid w:val="00F0193E"/>
    <w:rsid w:val="00F03904"/>
    <w:rsid w:val="00F03E2F"/>
    <w:rsid w:val="00F03F8D"/>
    <w:rsid w:val="00F04181"/>
    <w:rsid w:val="00F04811"/>
    <w:rsid w:val="00F0488C"/>
    <w:rsid w:val="00F055B0"/>
    <w:rsid w:val="00F073ED"/>
    <w:rsid w:val="00F07C4C"/>
    <w:rsid w:val="00F10F11"/>
    <w:rsid w:val="00F11159"/>
    <w:rsid w:val="00F11574"/>
    <w:rsid w:val="00F115E4"/>
    <w:rsid w:val="00F12CFB"/>
    <w:rsid w:val="00F13E60"/>
    <w:rsid w:val="00F13FDB"/>
    <w:rsid w:val="00F15AAA"/>
    <w:rsid w:val="00F15BEF"/>
    <w:rsid w:val="00F17898"/>
    <w:rsid w:val="00F207C2"/>
    <w:rsid w:val="00F21337"/>
    <w:rsid w:val="00F219A1"/>
    <w:rsid w:val="00F23E20"/>
    <w:rsid w:val="00F24407"/>
    <w:rsid w:val="00F246B8"/>
    <w:rsid w:val="00F24FAA"/>
    <w:rsid w:val="00F25040"/>
    <w:rsid w:val="00F27071"/>
    <w:rsid w:val="00F27331"/>
    <w:rsid w:val="00F27EE5"/>
    <w:rsid w:val="00F27FB1"/>
    <w:rsid w:val="00F27FD6"/>
    <w:rsid w:val="00F307CB"/>
    <w:rsid w:val="00F30C65"/>
    <w:rsid w:val="00F31A7E"/>
    <w:rsid w:val="00F321D2"/>
    <w:rsid w:val="00F32649"/>
    <w:rsid w:val="00F32BC4"/>
    <w:rsid w:val="00F33523"/>
    <w:rsid w:val="00F3364D"/>
    <w:rsid w:val="00F33914"/>
    <w:rsid w:val="00F3394D"/>
    <w:rsid w:val="00F349BF"/>
    <w:rsid w:val="00F34DDC"/>
    <w:rsid w:val="00F35DD3"/>
    <w:rsid w:val="00F36191"/>
    <w:rsid w:val="00F3629F"/>
    <w:rsid w:val="00F36DF3"/>
    <w:rsid w:val="00F3729C"/>
    <w:rsid w:val="00F37C85"/>
    <w:rsid w:val="00F37EDC"/>
    <w:rsid w:val="00F405FD"/>
    <w:rsid w:val="00F437CC"/>
    <w:rsid w:val="00F44537"/>
    <w:rsid w:val="00F46185"/>
    <w:rsid w:val="00F46423"/>
    <w:rsid w:val="00F4696A"/>
    <w:rsid w:val="00F47067"/>
    <w:rsid w:val="00F47234"/>
    <w:rsid w:val="00F525AB"/>
    <w:rsid w:val="00F525EB"/>
    <w:rsid w:val="00F52CB5"/>
    <w:rsid w:val="00F53378"/>
    <w:rsid w:val="00F53A68"/>
    <w:rsid w:val="00F53ADD"/>
    <w:rsid w:val="00F54934"/>
    <w:rsid w:val="00F55A92"/>
    <w:rsid w:val="00F55E8F"/>
    <w:rsid w:val="00F609E0"/>
    <w:rsid w:val="00F6200A"/>
    <w:rsid w:val="00F623D6"/>
    <w:rsid w:val="00F62BFF"/>
    <w:rsid w:val="00F63AAE"/>
    <w:rsid w:val="00F63DDE"/>
    <w:rsid w:val="00F63FB7"/>
    <w:rsid w:val="00F6421B"/>
    <w:rsid w:val="00F647F1"/>
    <w:rsid w:val="00F649D2"/>
    <w:rsid w:val="00F64E62"/>
    <w:rsid w:val="00F6503C"/>
    <w:rsid w:val="00F6602B"/>
    <w:rsid w:val="00F7150B"/>
    <w:rsid w:val="00F717E4"/>
    <w:rsid w:val="00F71DE6"/>
    <w:rsid w:val="00F727F1"/>
    <w:rsid w:val="00F72D71"/>
    <w:rsid w:val="00F7381C"/>
    <w:rsid w:val="00F73A0C"/>
    <w:rsid w:val="00F7549F"/>
    <w:rsid w:val="00F756DB"/>
    <w:rsid w:val="00F75922"/>
    <w:rsid w:val="00F75CFE"/>
    <w:rsid w:val="00F767A8"/>
    <w:rsid w:val="00F82D14"/>
    <w:rsid w:val="00F83681"/>
    <w:rsid w:val="00F84E7D"/>
    <w:rsid w:val="00F85066"/>
    <w:rsid w:val="00F8508F"/>
    <w:rsid w:val="00F8628A"/>
    <w:rsid w:val="00F87A4D"/>
    <w:rsid w:val="00F93688"/>
    <w:rsid w:val="00F939F3"/>
    <w:rsid w:val="00F93C6E"/>
    <w:rsid w:val="00F93F2C"/>
    <w:rsid w:val="00F94F43"/>
    <w:rsid w:val="00F9644E"/>
    <w:rsid w:val="00F96FBA"/>
    <w:rsid w:val="00FA0105"/>
    <w:rsid w:val="00FA028A"/>
    <w:rsid w:val="00FA05A0"/>
    <w:rsid w:val="00FA08CD"/>
    <w:rsid w:val="00FA0AEF"/>
    <w:rsid w:val="00FA17CC"/>
    <w:rsid w:val="00FA1F01"/>
    <w:rsid w:val="00FA26DF"/>
    <w:rsid w:val="00FA2F80"/>
    <w:rsid w:val="00FA32BC"/>
    <w:rsid w:val="00FA4533"/>
    <w:rsid w:val="00FA48A4"/>
    <w:rsid w:val="00FA4CB7"/>
    <w:rsid w:val="00FA5112"/>
    <w:rsid w:val="00FA5526"/>
    <w:rsid w:val="00FA5D4D"/>
    <w:rsid w:val="00FA5F40"/>
    <w:rsid w:val="00FA6C9B"/>
    <w:rsid w:val="00FA6CB6"/>
    <w:rsid w:val="00FA70D3"/>
    <w:rsid w:val="00FA7AEC"/>
    <w:rsid w:val="00FB0AEA"/>
    <w:rsid w:val="00FB0EE2"/>
    <w:rsid w:val="00FB1A79"/>
    <w:rsid w:val="00FB1E86"/>
    <w:rsid w:val="00FB208B"/>
    <w:rsid w:val="00FB2B2D"/>
    <w:rsid w:val="00FB45E3"/>
    <w:rsid w:val="00FB4F7E"/>
    <w:rsid w:val="00FB542E"/>
    <w:rsid w:val="00FB564F"/>
    <w:rsid w:val="00FB5686"/>
    <w:rsid w:val="00FB7DBB"/>
    <w:rsid w:val="00FC05F8"/>
    <w:rsid w:val="00FC0E5F"/>
    <w:rsid w:val="00FC1266"/>
    <w:rsid w:val="00FC1A95"/>
    <w:rsid w:val="00FC1ED4"/>
    <w:rsid w:val="00FC2B38"/>
    <w:rsid w:val="00FC3BEC"/>
    <w:rsid w:val="00FC3E69"/>
    <w:rsid w:val="00FC4213"/>
    <w:rsid w:val="00FC440B"/>
    <w:rsid w:val="00FC56DE"/>
    <w:rsid w:val="00FC63D9"/>
    <w:rsid w:val="00FC64DE"/>
    <w:rsid w:val="00FC684B"/>
    <w:rsid w:val="00FC7D98"/>
    <w:rsid w:val="00FD1013"/>
    <w:rsid w:val="00FD1135"/>
    <w:rsid w:val="00FD1173"/>
    <w:rsid w:val="00FD3265"/>
    <w:rsid w:val="00FD3CF7"/>
    <w:rsid w:val="00FD4916"/>
    <w:rsid w:val="00FD4D12"/>
    <w:rsid w:val="00FD4F73"/>
    <w:rsid w:val="00FD595E"/>
    <w:rsid w:val="00FD6B56"/>
    <w:rsid w:val="00FD7802"/>
    <w:rsid w:val="00FE0A8A"/>
    <w:rsid w:val="00FE1F4B"/>
    <w:rsid w:val="00FE2537"/>
    <w:rsid w:val="00FE27C7"/>
    <w:rsid w:val="00FE2C7E"/>
    <w:rsid w:val="00FE2F78"/>
    <w:rsid w:val="00FE3137"/>
    <w:rsid w:val="00FE346B"/>
    <w:rsid w:val="00FE346F"/>
    <w:rsid w:val="00FE48E4"/>
    <w:rsid w:val="00FE5EC0"/>
    <w:rsid w:val="00FE634C"/>
    <w:rsid w:val="00FE6E69"/>
    <w:rsid w:val="00FE6F59"/>
    <w:rsid w:val="00FE7473"/>
    <w:rsid w:val="00FF01B6"/>
    <w:rsid w:val="00FF1136"/>
    <w:rsid w:val="00FF1532"/>
    <w:rsid w:val="00FF23BA"/>
    <w:rsid w:val="00FF29D8"/>
    <w:rsid w:val="00FF2C2C"/>
    <w:rsid w:val="00FF326A"/>
    <w:rsid w:val="00FF36E2"/>
    <w:rsid w:val="00FF3D76"/>
    <w:rsid w:val="00FF464B"/>
    <w:rsid w:val="00FF51B0"/>
    <w:rsid w:val="00FF5B8C"/>
    <w:rsid w:val="00FF63E6"/>
    <w:rsid w:val="00FF7632"/>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2A67D8E9-8FBF-4C12-89B2-1C890D69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0Q2\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0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0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2'!$C$18:$C$39</c:f>
              <c:numCache>
                <c:formatCode>0.0</c:formatCode>
                <c:ptCount val="22"/>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pt idx="21">
                  <c:v>3.1</c:v>
                </c:pt>
              </c:numCache>
            </c:numRef>
          </c:val>
          <c:extLst>
            <c:ext xmlns:c16="http://schemas.microsoft.com/office/drawing/2014/chart" uri="{C3380CC4-5D6E-409C-BE32-E72D297353CC}">
              <c16:uniqueId val="{00000000-1D2B-4DC0-B6E3-C002D5C334C3}"/>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2'!$D$18:$D$39</c:f>
              <c:numCache>
                <c:formatCode>0.0</c:formatCode>
                <c:ptCount val="22"/>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 ##0.0_ ;\-#\ ##0.0\ ">
                  <c:v>2.2999999999999998</c:v>
                </c:pt>
                <c:pt idx="14">
                  <c:v>0.6</c:v>
                </c:pt>
                <c:pt idx="15">
                  <c:v>-0.5</c:v>
                </c:pt>
                <c:pt idx="16">
                  <c:v>1</c:v>
                </c:pt>
                <c:pt idx="17">
                  <c:v>2.5</c:v>
                </c:pt>
                <c:pt idx="18">
                  <c:v>3.5</c:v>
                </c:pt>
                <c:pt idx="19">
                  <c:v>4.3</c:v>
                </c:pt>
                <c:pt idx="20">
                  <c:v>6.1</c:v>
                </c:pt>
                <c:pt idx="21">
                  <c:v>6.5</c:v>
                </c:pt>
              </c:numCache>
            </c:numRef>
          </c:val>
          <c:smooth val="0"/>
          <c:extLst>
            <c:ext xmlns:c16="http://schemas.microsoft.com/office/drawing/2014/chart" uri="{C3380CC4-5D6E-409C-BE32-E72D297353CC}">
              <c16:uniqueId val="{00000001-1D2B-4DC0-B6E3-C002D5C334C3}"/>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2'!$F$18:$F$39</c:f>
              <c:numCache>
                <c:formatCode>0.0</c:formatCode>
                <c:ptCount val="22"/>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pt idx="21">
                  <c:v>3.2</c:v>
                </c:pt>
              </c:numCache>
            </c:numRef>
          </c:val>
          <c:smooth val="0"/>
          <c:extLst>
            <c:ext xmlns:c16="http://schemas.microsoft.com/office/drawing/2014/chart" uri="{C3380CC4-5D6E-409C-BE32-E72D297353CC}">
              <c16:uniqueId val="{00000002-1D2B-4DC0-B6E3-C002D5C334C3}"/>
            </c:ext>
          </c:extLst>
        </c:ser>
        <c:ser>
          <c:idx val="4"/>
          <c:order val="3"/>
          <c:tx>
            <c:strRef>
              <c:f>'Ceny 2'!$G$5</c:f>
              <c:strCache>
                <c:ptCount val="1"/>
                <c:pt idx="0">
                  <c:v>Transportation</c:v>
                </c:pt>
              </c:strCache>
            </c:strRef>
          </c:tx>
          <c:spPr>
            <a:ln w="19050">
              <a:solidFill>
                <a:srgbClr val="FFC000"/>
              </a:solidFill>
            </a:ln>
          </c:spPr>
          <c:marker>
            <c:symbol val="none"/>
          </c:marker>
          <c:cat>
            <c:multiLvlStrRef>
              <c:f>'Ceny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2'!$G$18:$G$39</c:f>
              <c:numCache>
                <c:formatCode>General</c:formatCode>
                <c:ptCount val="22"/>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pt idx="21" formatCode="0.0">
                  <c:v>-3.4</c:v>
                </c:pt>
              </c:numCache>
            </c:numRef>
          </c:val>
          <c:smooth val="0"/>
          <c:extLst>
            <c:ext xmlns:c16="http://schemas.microsoft.com/office/drawing/2014/chart" uri="{C3380CC4-5D6E-409C-BE32-E72D297353CC}">
              <c16:uniqueId val="{00000003-1D2B-4DC0-B6E3-C002D5C334C3}"/>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2'!$E$18:$E$39</c:f>
              <c:numCache>
                <c:formatCode>0.0</c:formatCode>
                <c:ptCount val="22"/>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pt idx="21">
                  <c:v>6.6</c:v>
                </c:pt>
              </c:numCache>
            </c:numRef>
          </c:val>
          <c:smooth val="0"/>
          <c:extLst>
            <c:ext xmlns:c16="http://schemas.microsoft.com/office/drawing/2014/chart" uri="{C3380CC4-5D6E-409C-BE32-E72D297353CC}">
              <c16:uniqueId val="{00000004-1D2B-4DC0-B6E3-C002D5C334C3}"/>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2'!$H$18:$H$39</c:f>
              <c:numCache>
                <c:formatCode>###\ ###\ ##0.0</c:formatCode>
                <c:ptCount val="22"/>
                <c:pt idx="0">
                  <c:v>1.7000000000000028</c:v>
                </c:pt>
                <c:pt idx="1">
                  <c:v>1.5999999999999943</c:v>
                </c:pt>
                <c:pt idx="2">
                  <c:v>1.4000000000000057</c:v>
                </c:pt>
                <c:pt idx="3">
                  <c:v>1.2999999999999972</c:v>
                </c:pt>
                <c:pt idx="4">
                  <c:v>1.2000000000000028</c:v>
                </c:pt>
                <c:pt idx="5">
                  <c:v>1.0999999999999943</c:v>
                </c:pt>
                <c:pt idx="6">
                  <c:v>1.2000000000000028</c:v>
                </c:pt>
                <c:pt idx="7">
                  <c:v>2.7000000000000028</c:v>
                </c:pt>
                <c:pt idx="8">
                  <c:v>5.2000000000000028</c:v>
                </c:pt>
                <c:pt idx="9">
                  <c:v>5.7999999999999972</c:v>
                </c:pt>
                <c:pt idx="10">
                  <c:v>6.2999999999999972</c:v>
                </c:pt>
                <c:pt idx="11" formatCode="0.0">
                  <c:v>5.6</c:v>
                </c:pt>
                <c:pt idx="12" formatCode="0.0">
                  <c:v>3.5</c:v>
                </c:pt>
                <c:pt idx="13" formatCode="0.0">
                  <c:v>3.6</c:v>
                </c:pt>
                <c:pt idx="14" formatCode="0.0">
                  <c:v>3.5</c:v>
                </c:pt>
                <c:pt idx="15" formatCode="0.0">
                  <c:v>3.7</c:v>
                </c:pt>
                <c:pt idx="16" formatCode="0.0">
                  <c:v>3.8</c:v>
                </c:pt>
                <c:pt idx="17" formatCode="0.0">
                  <c:v>4</c:v>
                </c:pt>
                <c:pt idx="18" formatCode="0.0">
                  <c:v>4.5</c:v>
                </c:pt>
                <c:pt idx="19" formatCode="0.0">
                  <c:v>4.5999999999999996</c:v>
                </c:pt>
                <c:pt idx="20" formatCode="0.0">
                  <c:v>5.5</c:v>
                </c:pt>
                <c:pt idx="21" formatCode="0.0">
                  <c:v>5.0999999999999996</c:v>
                </c:pt>
              </c:numCache>
            </c:numRef>
          </c:val>
          <c:smooth val="0"/>
          <c:extLst xmlns:c15="http://schemas.microsoft.com/office/drawing/2012/chart">
            <c:ext xmlns:c16="http://schemas.microsoft.com/office/drawing/2014/chart" uri="{C3380CC4-5D6E-409C-BE32-E72D297353CC}">
              <c16:uniqueId val="{00000005-1D2B-4DC0-B6E3-C002D5C334C3}"/>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1'!$C$18:$C$39</c:f>
              <c:numCache>
                <c:formatCode>General</c:formatCode>
                <c:ptCount val="22"/>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pt idx="21">
                  <c:v>10.200000000000003</c:v>
                </c:pt>
              </c:numCache>
            </c:numRef>
          </c:val>
          <c:extLst>
            <c:ext xmlns:c16="http://schemas.microsoft.com/office/drawing/2014/chart" uri="{C3380CC4-5D6E-409C-BE32-E72D297353CC}">
              <c16:uniqueId val="{00000000-3A5F-41C2-9884-AB2DB3D76309}"/>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1'!$D$18:$D$39</c:f>
              <c:numCache>
                <c:formatCode>General</c:formatCode>
                <c:ptCount val="22"/>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pt idx="21">
                  <c:v>8</c:v>
                </c:pt>
              </c:numCache>
            </c:numRef>
          </c:val>
          <c:extLst>
            <c:ext xmlns:c16="http://schemas.microsoft.com/office/drawing/2014/chart" uri="{C3380CC4-5D6E-409C-BE32-E72D297353CC}">
              <c16:uniqueId val="{00000001-3A5F-41C2-9884-AB2DB3D76309}"/>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1'!$E$18:$E$39</c:f>
              <c:numCache>
                <c:formatCode>0.0</c:formatCode>
                <c:ptCount val="22"/>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9.5238095238095202</c:v>
                </c:pt>
                <c:pt idx="9" formatCode="General">
                  <c:v>9.5278969957081507</c:v>
                </c:pt>
                <c:pt idx="10" formatCode="General">
                  <c:v>12.542087542087534</c:v>
                </c:pt>
                <c:pt idx="11" formatCode="General">
                  <c:v>12.469237079573411</c:v>
                </c:pt>
                <c:pt idx="12" formatCode="General">
                  <c:v>12.801932367149751</c:v>
                </c:pt>
                <c:pt idx="13" formatCode="General">
                  <c:v>12.2257053291536</c:v>
                </c:pt>
                <c:pt idx="14" formatCode="General">
                  <c:v>9.4988780852655328</c:v>
                </c:pt>
                <c:pt idx="15" formatCode="General">
                  <c:v>8.4609773887673203</c:v>
                </c:pt>
                <c:pt idx="16" formatCode="General">
                  <c:v>7.4232690935046435</c:v>
                </c:pt>
                <c:pt idx="17" formatCode="General">
                  <c:v>5.7262569832402361</c:v>
                </c:pt>
                <c:pt idx="18" formatCode="General">
                  <c:v>5.1912568306010893</c:v>
                </c:pt>
                <c:pt idx="19" formatCode="General">
                  <c:v>5.5144586415601999</c:v>
                </c:pt>
                <c:pt idx="20" formatCode="General">
                  <c:v>6.0465116279069733</c:v>
                </c:pt>
                <c:pt idx="21" formatCode="General">
                  <c:v>7.1334214002641891</c:v>
                </c:pt>
              </c:numCache>
            </c:numRef>
          </c:val>
          <c:smooth val="0"/>
          <c:extLst>
            <c:ext xmlns:c16="http://schemas.microsoft.com/office/drawing/2014/chart" uri="{C3380CC4-5D6E-409C-BE32-E72D297353CC}">
              <c16:uniqueId val="{00000002-3A5F-41C2-9884-AB2DB3D76309}"/>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1'!$F$18:$F$39</c:f>
              <c:numCache>
                <c:formatCode>0.0</c:formatCode>
                <c:ptCount val="22"/>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13.636363636363633</c:v>
                </c:pt>
                <c:pt idx="9" formatCode="General">
                  <c:v>14.589905362776037</c:v>
                </c:pt>
                <c:pt idx="10" formatCode="General">
                  <c:v>18.266253869969059</c:v>
                </c:pt>
                <c:pt idx="11" formatCode="General">
                  <c:v>18.773373223635023</c:v>
                </c:pt>
                <c:pt idx="12" formatCode="General">
                  <c:v>15.071428571428566</c:v>
                </c:pt>
                <c:pt idx="13" formatCode="General">
                  <c:v>14.246386785960075</c:v>
                </c:pt>
                <c:pt idx="14" formatCode="General">
                  <c:v>10.732984293193702</c:v>
                </c:pt>
                <c:pt idx="15" formatCode="General">
                  <c:v>8.7531486146095574</c:v>
                </c:pt>
                <c:pt idx="16" formatCode="General">
                  <c:v>8.3178150217256395</c:v>
                </c:pt>
                <c:pt idx="17" formatCode="General">
                  <c:v>4.9397590361445713</c:v>
                </c:pt>
                <c:pt idx="18" formatCode="General">
                  <c:v>3.3096926713948127</c:v>
                </c:pt>
                <c:pt idx="19" formatCode="General">
                  <c:v>2.9530978575564695</c:v>
                </c:pt>
                <c:pt idx="20" formatCode="General">
                  <c:v>3.553008595988532</c:v>
                </c:pt>
                <c:pt idx="21" formatCode="General">
                  <c:v>5.2812858783008139</c:v>
                </c:pt>
              </c:numCache>
            </c:numRef>
          </c:val>
          <c:smooth val="0"/>
          <c:extLst>
            <c:ext xmlns:c16="http://schemas.microsoft.com/office/drawing/2014/chart" uri="{C3380CC4-5D6E-409C-BE32-E72D297353CC}">
              <c16:uniqueId val="{00000003-3A5F-41C2-9884-AB2DB3D76309}"/>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91339300415866242"/>
          <c:h val="0.6773114352663022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'Ceny 4'!$C$30:$C$95</c:f>
              <c:numCache>
                <c:formatCode>0.0</c:formatCode>
                <c:ptCount val="66"/>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pt idx="63" formatCode="General">
                  <c:v>-0.8</c:v>
                </c:pt>
                <c:pt idx="64" formatCode="General">
                  <c:v>-0.9</c:v>
                </c:pt>
                <c:pt idx="65" formatCode="General">
                  <c:v>-0.3</c:v>
                </c:pt>
              </c:numCache>
            </c:numRef>
          </c:val>
          <c:extLst>
            <c:ext xmlns:c16="http://schemas.microsoft.com/office/drawing/2014/chart" uri="{C3380CC4-5D6E-409C-BE32-E72D297353CC}">
              <c16:uniqueId val="{00000000-34E0-4DAA-AA29-0C7B1049FE14}"/>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'Ceny 4'!$D$30:$D$95</c:f>
              <c:numCache>
                <c:formatCode>0.0</c:formatCode>
                <c:ptCount val="66"/>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pt idx="63" formatCode="General">
                  <c:v>-3.7</c:v>
                </c:pt>
                <c:pt idx="64" formatCode="General">
                  <c:v>-3.1</c:v>
                </c:pt>
                <c:pt idx="65" formatCode="General">
                  <c:v>-3.6</c:v>
                </c:pt>
              </c:numCache>
            </c:numRef>
          </c:val>
          <c:smooth val="0"/>
          <c:extLst>
            <c:ext xmlns:c16="http://schemas.microsoft.com/office/drawing/2014/chart" uri="{C3380CC4-5D6E-409C-BE32-E72D297353CC}">
              <c16:uniqueId val="{00000001-34E0-4DAA-AA29-0C7B1049FE14}"/>
            </c:ext>
          </c:extLst>
        </c:ser>
        <c:ser>
          <c:idx val="2"/>
          <c:order val="2"/>
          <c:tx>
            <c:strRef>
              <c:f>'Ceny 4'!$E$5</c:f>
              <c:strCache>
                <c:ptCount val="1"/>
                <c:pt idx="0">
                  <c:v>Manufacturing</c:v>
                </c:pt>
              </c:strCache>
            </c:strRef>
          </c:tx>
          <c:spPr>
            <a:ln w="19050">
              <a:solidFill>
                <a:srgbClr val="BD1B21"/>
              </a:solidFill>
            </a:ln>
          </c:spPr>
          <c:marker>
            <c:symbol val="none"/>
          </c:marker>
          <c:cat>
            <c:multiLvlStrRef>
              <c:f>'Ceny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'Ceny 4'!$E$30:$E$95</c:f>
              <c:numCache>
                <c:formatCode>0.0</c:formatCode>
                <c:ptCount val="66"/>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pt idx="63" formatCode="General">
                  <c:v>-2.5</c:v>
                </c:pt>
                <c:pt idx="64" formatCode="General">
                  <c:v>-2.6</c:v>
                </c:pt>
                <c:pt idx="65" formatCode="General">
                  <c:v>-1.9</c:v>
                </c:pt>
              </c:numCache>
            </c:numRef>
          </c:val>
          <c:smooth val="0"/>
          <c:extLst>
            <c:ext xmlns:c16="http://schemas.microsoft.com/office/drawing/2014/chart" uri="{C3380CC4-5D6E-409C-BE32-E72D297353CC}">
              <c16:uniqueId val="{00000002-34E0-4DAA-AA29-0C7B1049FE14}"/>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'Ceny 4'!$F$30:$F$95</c:f>
              <c:numCache>
                <c:formatCode>0.0</c:formatCode>
                <c:ptCount val="66"/>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pt idx="63" formatCode="General">
                  <c:v>8.6</c:v>
                </c:pt>
                <c:pt idx="64" formatCode="General">
                  <c:v>8</c:v>
                </c:pt>
                <c:pt idx="65" formatCode="General">
                  <c:v>8</c:v>
                </c:pt>
              </c:numCache>
            </c:numRef>
          </c:val>
          <c:smooth val="0"/>
          <c:extLst>
            <c:ext xmlns:c16="http://schemas.microsoft.com/office/drawing/2014/chart" uri="{C3380CC4-5D6E-409C-BE32-E72D297353CC}">
              <c16:uniqueId val="{00000003-34E0-4DAA-AA29-0C7B1049FE14}"/>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'Ceny 4'!$G$30:$G$95</c:f>
              <c:numCache>
                <c:formatCode>General</c:formatCode>
                <c:ptCount val="66"/>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pt idx="63">
                  <c:v>5.4</c:v>
                </c:pt>
                <c:pt idx="64">
                  <c:v>6.4</c:v>
                </c:pt>
                <c:pt idx="65">
                  <c:v>6.4</c:v>
                </c:pt>
              </c:numCache>
            </c:numRef>
          </c:val>
          <c:smooth val="0"/>
          <c:extLst>
            <c:ext xmlns:c16="http://schemas.microsoft.com/office/drawing/2014/chart" uri="{C3380CC4-5D6E-409C-BE32-E72D297353CC}">
              <c16:uniqueId val="{00000004-34E0-4DAA-AA29-0C7B1049FE14}"/>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3006762224427044"/>
          <c:w val="0.91973570327837706"/>
          <c:h val="0.1675641215089400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5187-D74A-4C92-BC64-EF514433FABB}">
  <ds:schemaRefs>
    <ds:schemaRef ds:uri="http://schemas.openxmlformats.org/officeDocument/2006/bibliography"/>
  </ds:schemaRefs>
</ds:datastoreItem>
</file>

<file path=customXml/itemProps2.xml><?xml version="1.0" encoding="utf-8"?>
<ds:datastoreItem xmlns:ds="http://schemas.openxmlformats.org/officeDocument/2006/customXml" ds:itemID="{1EA5D927-03A8-430F-9A42-64E1C8B7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1</TotalTime>
  <Pages>5</Pages>
  <Words>2145</Words>
  <Characters>12659</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14775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Mgr. Karolína Zábojníková</cp:lastModifiedBy>
  <cp:revision>3</cp:revision>
  <cp:lastPrinted>2019-04-08T10:52:00Z</cp:lastPrinted>
  <dcterms:created xsi:type="dcterms:W3CDTF">2020-10-13T05:41:00Z</dcterms:created>
  <dcterms:modified xsi:type="dcterms:W3CDTF">2020-10-13T05:52:00Z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2020-09-18T12:31:27Z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54eb53c3-c85e-4f75-ab17-f26ab2ee0a14</vt:lpwstr>
  </property>
  <property fmtid="{D5CDD505-2E9C-101B-9397-08002B2CF9AE}" pid="8" name="MSIP_Label_faa92781-1fcb-4da3-a1a2-e534c28a25f3_ContentBits">
    <vt:lpwstr>0</vt:lpwstr>
  </property>
</Properties>
</file>