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7878" w14:textId="1118E19C" w:rsidR="00640E6B" w:rsidRPr="009110F7" w:rsidRDefault="00640E6B" w:rsidP="008462F1">
      <w:pPr>
        <w:pStyle w:val="Nadpis1"/>
      </w:pPr>
      <w:bookmarkStart w:id="0" w:name="_Toc19090676"/>
      <w:bookmarkStart w:id="1" w:name="_Toc50712126"/>
      <w:r w:rsidRPr="0077605B">
        <w:t>2</w:t>
      </w:r>
      <w:r>
        <w:t>. </w:t>
      </w:r>
      <w:r w:rsidRPr="0077605B">
        <w:t>Souhrnná výkonnost</w:t>
      </w:r>
      <w:bookmarkEnd w:id="1"/>
    </w:p>
    <w:tbl>
      <w:tblPr>
        <w:tblW w:w="963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6"/>
        <w:gridCol w:w="223"/>
        <w:gridCol w:w="7610"/>
      </w:tblGrid>
      <w:tr w:rsidR="00640E6B" w:rsidRPr="009110F7" w14:paraId="29F3416C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E2765A3" w14:textId="77777777" w:rsidR="00640E6B" w:rsidRDefault="00640E6B" w:rsidP="00E1168B">
            <w:pPr>
              <w:pStyle w:val="Marginlie"/>
            </w:pPr>
            <w:r>
              <w:t>V souvislosti s covid-19 zaznamenala ve 2. čtvrtletí česká ekonomika nejhlubší propad v historii.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8731A72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2CA678D" w14:textId="77777777" w:rsidR="00640E6B" w:rsidRPr="00014ED0" w:rsidRDefault="00640E6B" w:rsidP="00E1168B">
            <w:pPr>
              <w:spacing w:after="220"/>
              <w:rPr>
                <w:spacing w:val="-2"/>
              </w:rPr>
            </w:pPr>
            <w:r>
              <w:rPr>
                <w:spacing w:val="-2"/>
              </w:rPr>
              <w:t>Česká ekonomika ve 2. čtvrtletí 2020 prodělala nejhorší hospodářský propad ve své historii. Hrubý domácí produkt (HDP) se meziročně snížil o 11,0 %</w:t>
            </w:r>
            <w:r w:rsidRPr="00014ED0">
              <w:rPr>
                <w:rStyle w:val="Znakapoznpodarou"/>
                <w:rFonts w:cs="Arial"/>
                <w:spacing w:val="-2"/>
              </w:rPr>
              <w:footnoteReference w:id="1"/>
            </w:r>
            <w:r>
              <w:rPr>
                <w:spacing w:val="-2"/>
              </w:rPr>
              <w:t xml:space="preserve"> (předchozí nejhlubší pokles ze 2. čtvrtletí 2009 činil 5,4 %). Důvodem byla mimořádná situace v souvislosti s protiepidemickými opatřeními, kdy byl zastaven nebo omezen provoz ve velké části ekonomiky, zejména službách, maloobchodu i některých důležitých průmyslových odvětvích. Pokračoval tak vývoj, který započal už v průběhu března a ovlivnil i výsledky 1. kvartálu (pokles HDP o 1,9 %). Ve směru meziročního poklesu HDP ve 2. čtvrtletí působily všechny jeho složky. Nejsilněji tak působil propad bilance zahraničního obchodu</w:t>
            </w:r>
            <w:r>
              <w:rPr>
                <w:spacing w:val="-2"/>
              </w:rPr>
              <w:br/>
              <w:t>(–7,9 p. b.)</w:t>
            </w:r>
            <w:r w:rsidRPr="00014ED0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>. Ten byl způsoben jednak přerušením výroby v některých domácích podnicích zaměřených na export, ale rovněž poklesem poptávky ze strany zahraničních výrobců využívajících domácí dodavatele. Klesla ale také domácí spotřeba a investice. Ve srovnání s 1. čtvrtletím se HDP snížil o 8,7 % a také šlo o nejhlubší zaznamenaný propad (předchozí největší pokles činil 3,4 % a odehrál se v 1. kvartálu 2009). Ve srovnání s 1. čtvrtletím se prohloubil mezičtvrtletní pokles všech složek HDP.</w:t>
            </w:r>
          </w:p>
        </w:tc>
      </w:tr>
      <w:tr w:rsidR="00640E6B" w:rsidRPr="009110F7" w14:paraId="2D538AA1" w14:textId="77777777" w:rsidTr="00E1168B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7421A4B9" w14:textId="77777777" w:rsidR="00640E6B" w:rsidRDefault="00640E6B" w:rsidP="00E1168B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49B951E8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587FF21" w14:textId="77777777" w:rsidR="00640E6B" w:rsidRPr="001208E3" w:rsidRDefault="00640E6B" w:rsidP="00E1168B">
            <w:pPr>
              <w:spacing w:after="0"/>
              <w:rPr>
                <w:b/>
                <w:szCs w:val="20"/>
              </w:rPr>
            </w:pPr>
            <w:r w:rsidRPr="0041745D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01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HDP (objemové indexy, očištěno o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sezónní a kalendářní vlivy, v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%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640E6B" w:rsidRPr="009110F7" w14:paraId="72A133AC" w14:textId="77777777" w:rsidTr="00E1168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8F9FCB4" w14:textId="77777777" w:rsidR="00640E6B" w:rsidRPr="009110F7" w:rsidRDefault="00640E6B" w:rsidP="00E1168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29608AC4" w14:textId="77777777" w:rsidR="00640E6B" w:rsidRPr="009110F7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7B840F7" w14:textId="77777777" w:rsidR="00640E6B" w:rsidRPr="009110F7" w:rsidRDefault="00640E6B" w:rsidP="00E1168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1FE2EEB" wp14:editId="5F5A9A07">
                  <wp:extent cx="4737600" cy="3438900"/>
                  <wp:effectExtent l="0" t="0" r="6350" b="0"/>
                  <wp:docPr id="4" name="Graf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640E6B" w:rsidRPr="009110F7" w14:paraId="4C3A690B" w14:textId="77777777" w:rsidTr="00E1168B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2D4835B6" w14:textId="77777777" w:rsidR="00640E6B" w:rsidRPr="009110F7" w:rsidRDefault="00640E6B" w:rsidP="00E1168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46415412" w14:textId="77777777" w:rsidR="00640E6B" w:rsidRPr="009110F7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342FEEB" w14:textId="77777777" w:rsidR="00640E6B" w:rsidRPr="009110F7" w:rsidRDefault="00640E6B" w:rsidP="00E1168B">
            <w:pPr>
              <w:spacing w:after="2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ČSÚ, Eurostat</w:t>
            </w:r>
          </w:p>
        </w:tc>
      </w:tr>
      <w:tr w:rsidR="00640E6B" w:rsidRPr="009110F7" w14:paraId="1057557B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77DCA582" w14:textId="77777777" w:rsidR="00640E6B" w:rsidRDefault="00640E6B" w:rsidP="00E1168B">
            <w:pPr>
              <w:pStyle w:val="Marginlie"/>
            </w:pPr>
            <w:r>
              <w:t>Hluboký hospodářský pokles se projevil v celé EU.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6C65640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1E7AFFD" w14:textId="4C487F64" w:rsidR="00640E6B" w:rsidRDefault="00640E6B" w:rsidP="00F00EC8">
            <w:r>
              <w:t xml:space="preserve">Meziroční pokles HDP v Evropské unii ve 2. čtvrtletí dosáhl </w:t>
            </w:r>
            <w:r w:rsidR="00F00EC8">
              <w:t>13,9</w:t>
            </w:r>
            <w:r>
              <w:t> %</w:t>
            </w:r>
            <w:r w:rsidRPr="009110F7">
              <w:rPr>
                <w:rStyle w:val="Znakapoznpodarou"/>
                <w:spacing w:val="-2"/>
              </w:rPr>
              <w:footnoteReference w:id="3"/>
            </w:r>
            <w:r>
              <w:t>. V souladu se všeobecným očekáváním šlo o nejhorší zaznamenaný výsledek v historii. Prakticky celá Unie se totiž po většinu čtvrtletí potýkala s více či méně přísnými restrikcemi souvisejícími s koronavirem. Pohled na jednotlivé složky HDP ukazuje na prudký propad spotřeby i investiční aktivity. Velký dopad ale mělo i narušení zahraničního obchodu a následné zhoršení bilance. Ve srovnání s 1. kvartálem poklesl HDP v Unii o 11,</w:t>
            </w:r>
            <w:r w:rsidR="00F00EC8">
              <w:t>4</w:t>
            </w:r>
            <w:r>
              <w:t xml:space="preserve"> %. Zatímco v 1. čtvrtletí si ještě několik ekonomik meziroční růst udrželo, ve 2. kvartálu již pokles podle dostupných údajů zasáhl všechny země EU. Největší </w:t>
            </w:r>
            <w:r>
              <w:lastRenderedPageBreak/>
              <w:t>meziroční pokles proběhl ve Španělsku (–22,1 %), Francii (–18,9 %) a Itálii (–17,7 %). Nejmírněji se HDP snížil v</w:t>
            </w:r>
            <w:r w:rsidR="00F00EC8">
              <w:t xml:space="preserve"> Irsku (–3,7 %), </w:t>
            </w:r>
            <w:r>
              <w:t>Litvě (–4,0 %)</w:t>
            </w:r>
            <w:r w:rsidR="00F00EC8">
              <w:t xml:space="preserve"> a </w:t>
            </w:r>
            <w:r>
              <w:t>ve Finsku, (–6,3 %)</w:t>
            </w:r>
            <w:r w:rsidR="00F00EC8">
              <w:t>.</w:t>
            </w:r>
            <w:r>
              <w:t>.</w:t>
            </w:r>
          </w:p>
        </w:tc>
      </w:tr>
      <w:tr w:rsidR="00640E6B" w:rsidRPr="009110F7" w14:paraId="62DB1FA3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176F7A0" w14:textId="77777777" w:rsidR="00640E6B" w:rsidRDefault="00640E6B" w:rsidP="00E1168B">
            <w:pPr>
              <w:pStyle w:val="Marginlie"/>
            </w:pPr>
            <w:r>
              <w:lastRenderedPageBreak/>
              <w:t>Na trhu práce byl ve 2. čtvrtletí patrný zlom ve vývoji zaměstnanosti i mzdové dynamice.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4C06617B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BD699E8" w14:textId="77777777" w:rsidR="00640E6B" w:rsidRPr="00014ED0" w:rsidRDefault="00640E6B" w:rsidP="00E1168B">
            <w:pPr>
              <w:rPr>
                <w:spacing w:val="-2"/>
              </w:rPr>
            </w:pPr>
            <w:r>
              <w:rPr>
                <w:spacing w:val="-2"/>
              </w:rPr>
              <w:t>Ekonomický propad se dotkl i objemu vyplacených mezd a platů, který ve 2. čtvrtletí meziročně klesl o 5,3 %. Šlo o první pokles od konce roku 2013. Zároveň v ekonomice pokračoval výrazný cenový růst, což se podepsalo na vývoji kupní síly domácností. Reálný pokles činil 8,3 %</w:t>
            </w:r>
            <w:r w:rsidRPr="00014ED0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>. Zlom nastal i ve vývoji celkové zaměstnanosti (vyjádřeno v osobách), jejíž meziroční pokles zrychlil na 1,9 %</w:t>
            </w:r>
            <w:r w:rsidRPr="00014ED0">
              <w:rPr>
                <w:rStyle w:val="Znakapoznpodarou"/>
                <w:spacing w:val="-2"/>
              </w:rPr>
              <w:footnoteReference w:id="5"/>
            </w:r>
            <w:r>
              <w:rPr>
                <w:spacing w:val="-2"/>
              </w:rPr>
              <w:t>. Oproti 1. čtvrtletí se celková zaměstnanost snížila o 1,4 %. Ještě výraznější byl pokles počtu odpracovaných hodin (meziročně –10,7 %, mezičtvrtletně –7,8 %). Objem vyplacených mzdových prostředků nejvíce meziročně klesal ve zpracovatelském průmyslu (–11,5 %, pokles zaměstnanosti zde činil 3,5 %). Podobně hluboký propad mezd nastal i v uskupení obchod, doprava, ubytování a pohostinství (–11,2 %, pokles zaměstnanosti o 3,2 %). V případě profesních, vědeckých, technických a administrativních činností poklesl ve 2. čtvrtletí objem mezd a platů o 9,7 % a celková zaměstnanost se snížila o 4,4 %. Ostatní odvětví služeb si však meziroční růst mezd udržela, i když byl slabší než v 1. kvartálu. U činností v oblasti nemovitostí navýšení dosáhlo 6,4 %, v peněžnictví a pojišťovnictví 5,8 %, v informačních a komunikačních činnostech 4,7 % a v oborech s převahou vládního sektoru</w:t>
            </w:r>
            <w:r>
              <w:rPr>
                <w:rStyle w:val="Znakapoznpodarou"/>
                <w:spacing w:val="-2"/>
              </w:rPr>
              <w:footnoteReference w:id="6"/>
            </w:r>
            <w:r>
              <w:rPr>
                <w:spacing w:val="-2"/>
              </w:rPr>
              <w:t xml:space="preserve"> 4,1 %. Po více než tříletém období růstu nastal pokles vyplacených mezd i ve stavebnictví (–2,8 %) a zemědělství, lesnictví a rybářství (–2,3 %).</w:t>
            </w:r>
          </w:p>
        </w:tc>
      </w:tr>
      <w:tr w:rsidR="00640E6B" w:rsidRPr="009110F7" w14:paraId="26DFC812" w14:textId="77777777" w:rsidTr="00E1168B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0B599F90" w14:textId="77777777" w:rsidR="00640E6B" w:rsidRDefault="00640E6B" w:rsidP="00E1168B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084B07A5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170FE7D" w14:textId="77777777" w:rsidR="00640E6B" w:rsidRDefault="00640E6B" w:rsidP="00E1168B">
            <w:pPr>
              <w:spacing w:after="0"/>
            </w:pPr>
            <w:r w:rsidRPr="0041745D">
              <w:rPr>
                <w:b/>
                <w:sz w:val="18"/>
                <w:szCs w:val="18"/>
              </w:rPr>
              <w:t xml:space="preserve">Graf </w:t>
            </w:r>
            <w:r>
              <w:rPr>
                <w:b/>
                <w:sz w:val="18"/>
                <w:szCs w:val="18"/>
              </w:rPr>
              <w:t xml:space="preserve">č. 2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 výdajových složek k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změně HDP* </w:t>
            </w:r>
            <w:r w:rsidRPr="00363CF2">
              <w:rPr>
                <w:rFonts w:cs="Arial"/>
                <w:bCs/>
                <w:sz w:val="18"/>
                <w:szCs w:val="18"/>
                <w:lang w:eastAsia="en-US"/>
              </w:rPr>
              <w:t>(objemové indexy, meziroční růst, příspěvky v p. b., HDP v %)</w:t>
            </w:r>
          </w:p>
        </w:tc>
      </w:tr>
      <w:tr w:rsidR="00640E6B" w:rsidRPr="009110F7" w14:paraId="55788F5B" w14:textId="77777777" w:rsidTr="00E1168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720B1907" w14:textId="77777777" w:rsidR="00640E6B" w:rsidRDefault="00640E6B" w:rsidP="00E1168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2ECC0E1E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5465004" w14:textId="77777777" w:rsidR="00640E6B" w:rsidRDefault="00640E6B" w:rsidP="00E1168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1D3E246" wp14:editId="289C6834">
                  <wp:extent cx="4737600" cy="3553200"/>
                  <wp:effectExtent l="0" t="0" r="6350" b="0"/>
                  <wp:docPr id="37" name="Graf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40E6B" w:rsidRPr="009110F7" w14:paraId="4EA2A960" w14:textId="77777777" w:rsidTr="00E1168B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0D20711A" w14:textId="77777777" w:rsidR="00640E6B" w:rsidRDefault="00640E6B" w:rsidP="00E1168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309F9A29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5E9D4B5" w14:textId="77777777" w:rsidR="00640E6B" w:rsidRDefault="00640E6B" w:rsidP="00E1168B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  <w:p w14:paraId="26921E57" w14:textId="77777777" w:rsidR="00640E6B" w:rsidRDefault="00640E6B" w:rsidP="00E1168B">
            <w:r>
              <w:rPr>
                <w:sz w:val="14"/>
                <w:szCs w:val="14"/>
              </w:rPr>
              <w:t>*po vyloučení dovozu pro konečné užití</w:t>
            </w:r>
          </w:p>
        </w:tc>
      </w:tr>
      <w:tr w:rsidR="00640E6B" w:rsidRPr="009110F7" w14:paraId="549F90D6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5148A370" w14:textId="77777777" w:rsidR="00640E6B" w:rsidRDefault="00640E6B" w:rsidP="00E1168B">
            <w:pPr>
              <w:pStyle w:val="Marginlie"/>
            </w:pPr>
            <w:r>
              <w:t>Klesala spotřeba domácností. Vládní instituce své výdaje meziročně navýšily.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6AB2D82D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A1C240A" w14:textId="77777777" w:rsidR="00640E6B" w:rsidRDefault="00640E6B" w:rsidP="00E1168B">
            <w:r>
              <w:t xml:space="preserve">Celkový meziroční pokles domácí spotřeby dosáhl 4,8 % a její příspěvek ve směru poklesu HDP činil 1,6 p. b. Spotřeba se meziročně snížila poprvé od 4. čtvrtletí 2012. Klesala výhradně spotřeba domácností, které měly vzhledem k zavedeným opatřením omezené možnosti, kde a za co utrácet. Meziroční pokles spotřeby domácností tak činil </w:t>
            </w:r>
            <w:r>
              <w:lastRenderedPageBreak/>
              <w:t>7,6 % a šlo o nejhlubší zaznamenaný propad. Spotřeba sektoru vládních institucí naopak meziročně vzrostla o 1,8 %. Mezičtvrtletní pokles celkové spotřeby činil 4,8 %. Hluboký propad se týkal domácností (–6,3 %), poklesla ale rovněž vládní spotřeba</w:t>
            </w:r>
            <w:r>
              <w:br/>
              <w:t>(–1,5 %). Vývoj spotřeby z hlediska trvanlivosti</w:t>
            </w:r>
            <w:r>
              <w:rPr>
                <w:rStyle w:val="Znakapoznpodarou"/>
              </w:rPr>
              <w:footnoteReference w:id="7"/>
            </w:r>
            <w:r>
              <w:t xml:space="preserve"> zcela odrážel situaci v ekonomice. Výdaje na předměty krátkodobé spotřeby se meziročně snížily poměrně mírně – o 1,7 %. Uzavření velké části prodejen se zbytným zbožím pak mimo jiné vedlo k velkým propadům spotřeby statků dlouhodobé spotřeby (–12,2 %) a střednědobé spotřeby (–25,0 %). Spotřeba služeb se ve 2. čtvrtletí propadla o 13,8 %.</w:t>
            </w:r>
          </w:p>
        </w:tc>
      </w:tr>
      <w:tr w:rsidR="00640E6B" w:rsidRPr="009110F7" w14:paraId="57B573A6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8844F97" w14:textId="77777777" w:rsidR="00640E6B" w:rsidRDefault="00640E6B" w:rsidP="00E1168B">
            <w:pPr>
              <w:pStyle w:val="Marginlie"/>
            </w:pPr>
            <w:r>
              <w:lastRenderedPageBreak/>
              <w:t>Investiční aktivita se meziročně propadla, ale mezičtvrtletně došlo k mírnému nárůstu.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56EE1245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63FC6AC" w14:textId="77777777" w:rsidR="00640E6B" w:rsidRDefault="00640E6B" w:rsidP="00E1168B">
            <w:r>
              <w:t>Výdaje na tvorbu hrubého kapitálu ve 2. čtvrtletí meziročně klesly o 10,2 % a k celkovému propadu HDP přispěly 1,5 p. b. Z toho výdaje na tvorbu hrubého fixního kapitálu meziročně klesly o 4,8 %. Negativně působily zásoby. Mezičtvrtletní vývoj podal optimističtější obraz o investiční aktivitě. Zatímco výdaje na hrubý kapitál se ve srovnání s 1. čtvrtletím snížily o 8,5 %, investiční aktivita (hrubý fixní kapitál) vzrostla o 0,9 %. Analýza věcného členění investiční aktivity ukázala, že jedinou investiční kategorií, kde výdaje meziročně vzrostly, byly ostatní budovy a stavby (6,7 %)</w:t>
            </w:r>
            <w:r w:rsidRPr="009110F7">
              <w:rPr>
                <w:rStyle w:val="Znakapoznpodarou"/>
              </w:rPr>
              <w:footnoteReference w:id="8"/>
            </w:r>
            <w:r>
              <w:t>. U ostatních kategorií naopak došlo k propadu. Nejvíce klesaly investice do dopravních prostředků a zařízení (–19,5 %) a ICT a ostatních strojů a zařízení (–12,3 %). Mírný meziroční pokles se pak dotkl produktů duševního vlastnictví (–1,3 %) a obydlí</w:t>
            </w:r>
            <w:r>
              <w:br/>
              <w:t>(–0,3 %). Z věcné skladby investic lze nepřímo usuzovat, že nejméně narušena byla investiční aktivita sektoru vládních institucí (ostatní budovy a stavby). Naopak nefinanční podniky byly vzhledem k situaci v oblasti investic pravděpodobně zdrženlivější (stroje, dopravní prostředky).</w:t>
            </w:r>
          </w:p>
        </w:tc>
      </w:tr>
      <w:tr w:rsidR="00640E6B" w:rsidRPr="009110F7" w14:paraId="4C056619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672285DD" w14:textId="77777777" w:rsidR="00640E6B" w:rsidRDefault="00640E6B" w:rsidP="00E1168B">
            <w:pPr>
              <w:pStyle w:val="Marginlie"/>
            </w:pPr>
            <w:r>
              <w:t>Zahraniční obchod byl krizí silně zasažen. Bilance obchodu se zbožím i službami se rekordně zhoršila.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327651F8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033530A" w14:textId="77777777" w:rsidR="00640E6B" w:rsidRDefault="00640E6B" w:rsidP="00E1168B">
            <w:r>
              <w:t>Vývoz i dovoz zboží a služeb ve 2. čtvrtletí výrazně reálně klesaly. Meziroční propad vývozu dosáhl 23,3 %, u dovozu to bylo 18,2 %. Bilance zahraničního obchodu se zbožím a službami</w:t>
            </w:r>
            <w:r w:rsidRPr="009110F7">
              <w:rPr>
                <w:rStyle w:val="Znakapoznpodarou"/>
              </w:rPr>
              <w:footnoteReference w:id="9"/>
            </w:r>
            <w:r>
              <w:t xml:space="preserve"> tak ve 2. čtvrtletí sice dosáhla přebytku 44,1 mld. korun, šlo ale o nejhorší výsledek za 2. kvartál od roku 2012. Kladné saldo se meziročně snížilo o 56,5 mld. korun. Výrazně negativní dopad vývoje bilance na meziroční růst HDP byl zesílen i srovnáním s mimořádně úspěšným 2. čtvrtletím 2019 (přebytek dosáhl 100,6 mld.). Propadl se zejména přebytek obchodu se zbožím (22,0 mld. korun, pokles o 47,9 mld.), ale klesalo i kladné saldo obchodu se službami (22,2 mld., pokles o 8,5 mld.). Bilance služeb naposledy překonala zboží ve 3. čtvrtletí 2011.</w:t>
            </w:r>
          </w:p>
        </w:tc>
      </w:tr>
      <w:tr w:rsidR="00640E6B" w:rsidRPr="009110F7" w14:paraId="22CA299B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062AA128" w14:textId="77777777" w:rsidR="00640E6B" w:rsidRDefault="00640E6B" w:rsidP="00E1168B">
            <w:pPr>
              <w:pStyle w:val="Marginlie"/>
            </w:pPr>
            <w:r>
              <w:t>Opatření přímo cílila na část služeb, což se podepsalo na prudkém poklesu jejich HPH.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2C7535C1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279BE5C3" w14:textId="77777777" w:rsidR="00640E6B" w:rsidRPr="00F93F2C" w:rsidRDefault="00640E6B" w:rsidP="00E1168B">
            <w:r>
              <w:t>Hrubá přidaná hodnota (HPH) se ve 2. čtvrtletí meziročně propadla o 10,9 %. Pokles se přitom týkal většiny odvětví. Ve srovnání s předchozím čtvrtletím se HPH snížila o 9,4 %. Zasažena byla většina odvětví služeb i průmyslu. Obzvlášť silný byl meziroční propad HPH v uskupení obchod, doprava, ubytování a pohostinství (–20,5 %, příspěvek k celkovému poklesu HPH činil 3,8 p. b.). Šlo o obory, kterých se přímo dotýkaly restrikce cílící na zpomalení šíření nákazy. Výrazně zasažen byl také zpracovatelský průmysl (–18,2 %, vliv na celkový růst HDP –4,6 p. b.). Zde byla výroba omezena z rozhodnutí samotných výrobců, zčásti kvůli snadnějšímu dodržování epidemiologických opatření, svou roli ale hrálo i omezení poptávky ze strany domácích i zahraničních odběratelů.</w:t>
            </w:r>
          </w:p>
        </w:tc>
      </w:tr>
      <w:tr w:rsidR="00640E6B" w:rsidRPr="009110F7" w14:paraId="02CBCD59" w14:textId="77777777" w:rsidTr="00E1168B">
        <w:trPr>
          <w:trHeight w:val="145"/>
        </w:trPr>
        <w:tc>
          <w:tcPr>
            <w:tcW w:w="1806" w:type="dxa"/>
            <w:shd w:val="clear" w:color="auto" w:fill="auto"/>
            <w:tcMar>
              <w:left w:w="0" w:type="dxa"/>
            </w:tcMar>
          </w:tcPr>
          <w:p w14:paraId="40AAE8E3" w14:textId="77777777" w:rsidR="00640E6B" w:rsidRDefault="00640E6B" w:rsidP="00E1168B">
            <w:pPr>
              <w:pStyle w:val="Marginlie"/>
            </w:pPr>
            <w:r>
              <w:t>HPH v informačních a komunikačních činnostech meziročně vzrostla.</w:t>
            </w:r>
          </w:p>
        </w:tc>
        <w:tc>
          <w:tcPr>
            <w:tcW w:w="223" w:type="dxa"/>
            <w:shd w:val="clear" w:color="auto" w:fill="auto"/>
            <w:tcMar>
              <w:left w:w="0" w:type="dxa"/>
            </w:tcMar>
          </w:tcPr>
          <w:p w14:paraId="77B5348A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DAD776F" w14:textId="05F144FB" w:rsidR="00640E6B" w:rsidRDefault="00640E6B" w:rsidP="006878C6">
            <w:r>
              <w:t>Pokles HPH v ostatních odvětvích byl spíše výsledkem zastavení společenského i ekonomického provozu. Snížení HPH v profesních, vědeckých a technických činnostech činilo 6,4 % a bylo první od 3. kvartálu 2011 (vliv na pokles HPH –0,</w:t>
            </w:r>
            <w:r w:rsidR="006878C6">
              <w:t>5</w:t>
            </w:r>
            <w:r>
              <w:t xml:space="preserve"> p. b.). Hrubá přidaná hodnota v peněžnictví a pojišťovnictví ve 2. čtvrtletí meziročně klesla o 5,1 %. Činnosti v oblasti nemovitostí zaznamenaly čtvrtý pokles v řadě (–3,1 %). Navzdory celkové situaci si naopak meziroční růst HPH udržovaly informační </w:t>
            </w:r>
            <w:r>
              <w:lastRenderedPageBreak/>
              <w:t>a komunikační činnosti (1,1 %) a zčásti tak potvrdily svou nezbytnou roli. Výrazně se snížila HPH ve stavebnictví (–6,2 %), jehož část se potýkala zejména s nedostatkem pracovní síly, především té zahraniční. Naopak rostla HPH v zemědělství, lesnictví a rybářství (1,0 %).</w:t>
            </w:r>
          </w:p>
        </w:tc>
      </w:tr>
      <w:tr w:rsidR="00640E6B" w:rsidRPr="009110F7" w14:paraId="7A4E8BB5" w14:textId="77777777" w:rsidTr="00E1168B">
        <w:trPr>
          <w:trHeight w:val="170"/>
        </w:trPr>
        <w:tc>
          <w:tcPr>
            <w:tcW w:w="1806" w:type="dxa"/>
            <w:vMerge w:val="restart"/>
            <w:shd w:val="clear" w:color="auto" w:fill="auto"/>
            <w:tcMar>
              <w:left w:w="0" w:type="dxa"/>
            </w:tcMar>
          </w:tcPr>
          <w:p w14:paraId="5F9171B9" w14:textId="77777777" w:rsidR="00640E6B" w:rsidRDefault="00640E6B" w:rsidP="00E1168B">
            <w:pPr>
              <w:pStyle w:val="Marginlie"/>
            </w:pPr>
          </w:p>
        </w:tc>
        <w:tc>
          <w:tcPr>
            <w:tcW w:w="223" w:type="dxa"/>
            <w:vMerge w:val="restart"/>
            <w:shd w:val="clear" w:color="auto" w:fill="auto"/>
            <w:tcMar>
              <w:left w:w="0" w:type="dxa"/>
            </w:tcMar>
          </w:tcPr>
          <w:p w14:paraId="69C4AE5C" w14:textId="77777777" w:rsidR="00640E6B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3961DC55" w14:textId="77777777" w:rsidR="00640E6B" w:rsidRPr="001208E3" w:rsidRDefault="00640E6B" w:rsidP="00E1168B">
            <w:pPr>
              <w:spacing w:after="0"/>
              <w:rPr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Graf č. 3 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Příspěvky odvětví k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> 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>reálné</w:t>
            </w:r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663018">
              <w:rPr>
                <w:rFonts w:cs="Arial"/>
                <w:b/>
                <w:sz w:val="18"/>
                <w:szCs w:val="18"/>
                <w:lang w:eastAsia="en-US"/>
              </w:rPr>
              <w:t xml:space="preserve">změně HPH </w:t>
            </w:r>
            <w:r w:rsidRPr="00363CF2">
              <w:rPr>
                <w:rFonts w:cs="Arial"/>
                <w:bCs/>
                <w:sz w:val="18"/>
                <w:szCs w:val="18"/>
                <w:lang w:eastAsia="en-US"/>
              </w:rPr>
              <w:t>(objemové indexy, meziroční příspěvky v p. b., HPH v %)</w:t>
            </w:r>
          </w:p>
        </w:tc>
      </w:tr>
      <w:tr w:rsidR="00640E6B" w:rsidRPr="009110F7" w14:paraId="7BF6D6F9" w14:textId="77777777" w:rsidTr="00E1168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6" w:type="dxa"/>
            <w:vMerge/>
            <w:shd w:val="clear" w:color="auto" w:fill="auto"/>
          </w:tcPr>
          <w:p w14:paraId="32528EFF" w14:textId="77777777" w:rsidR="00640E6B" w:rsidRPr="009110F7" w:rsidRDefault="00640E6B" w:rsidP="00E1168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</w:tcPr>
          <w:p w14:paraId="2444AA60" w14:textId="77777777" w:rsidR="00640E6B" w:rsidRPr="009110F7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948E144" w14:textId="77777777" w:rsidR="00640E6B" w:rsidRPr="009110F7" w:rsidRDefault="00640E6B" w:rsidP="00E1168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3566564" wp14:editId="747C6047">
                  <wp:extent cx="4737600" cy="3553200"/>
                  <wp:effectExtent l="0" t="0" r="6350" b="0"/>
                  <wp:docPr id="42" name="Graf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40E6B" w:rsidRPr="009110F7" w14:paraId="24F62C49" w14:textId="77777777" w:rsidTr="00E1168B">
        <w:trPr>
          <w:trHeight w:val="170"/>
        </w:trPr>
        <w:tc>
          <w:tcPr>
            <w:tcW w:w="1806" w:type="dxa"/>
            <w:vMerge/>
            <w:shd w:val="clear" w:color="auto" w:fill="auto"/>
            <w:tcMar>
              <w:left w:w="0" w:type="dxa"/>
            </w:tcMar>
          </w:tcPr>
          <w:p w14:paraId="47A2169A" w14:textId="77777777" w:rsidR="00640E6B" w:rsidRPr="009110F7" w:rsidRDefault="00640E6B" w:rsidP="00E1168B">
            <w:pPr>
              <w:pStyle w:val="Marginlie"/>
            </w:pPr>
          </w:p>
        </w:tc>
        <w:tc>
          <w:tcPr>
            <w:tcW w:w="223" w:type="dxa"/>
            <w:vMerge/>
            <w:shd w:val="clear" w:color="auto" w:fill="auto"/>
            <w:tcMar>
              <w:left w:w="0" w:type="dxa"/>
            </w:tcMar>
          </w:tcPr>
          <w:p w14:paraId="3049ED6F" w14:textId="77777777" w:rsidR="00640E6B" w:rsidRPr="009110F7" w:rsidRDefault="00640E6B" w:rsidP="00E116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F268CD9" w14:textId="77777777" w:rsidR="00640E6B" w:rsidRPr="009110F7" w:rsidRDefault="00640E6B" w:rsidP="00E1168B">
            <w:pPr>
              <w:rPr>
                <w:sz w:val="14"/>
                <w:szCs w:val="14"/>
              </w:rPr>
            </w:pPr>
            <w:r w:rsidRPr="00A85DE1">
              <w:rPr>
                <w:sz w:val="14"/>
                <w:szCs w:val="14"/>
              </w:rPr>
              <w:t>Zdroj: ČSÚ</w:t>
            </w:r>
          </w:p>
        </w:tc>
      </w:tr>
    </w:tbl>
    <w:p w14:paraId="130DC2FD" w14:textId="77777777" w:rsidR="00640E6B" w:rsidRPr="00C41D54" w:rsidRDefault="00640E6B" w:rsidP="000F01F1">
      <w:pPr>
        <w:pStyle w:val="Nadpis11"/>
        <w:rPr>
          <w:b w:val="0"/>
          <w:sz w:val="2"/>
          <w:szCs w:val="2"/>
          <w:highlight w:val="yellow"/>
        </w:rPr>
      </w:pPr>
      <w:bookmarkStart w:id="2" w:name="_GoBack"/>
      <w:bookmarkEnd w:id="0"/>
      <w:bookmarkEnd w:id="2"/>
    </w:p>
    <w:sectPr w:rsidR="00640E6B" w:rsidRPr="00C41D54" w:rsidSect="000F01F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68B9" w14:textId="77777777" w:rsidR="007C134F" w:rsidRDefault="007C134F" w:rsidP="00E71A58">
      <w:r>
        <w:separator/>
      </w:r>
    </w:p>
  </w:endnote>
  <w:endnote w:type="continuationSeparator" w:id="0">
    <w:p w14:paraId="6BDCBECE" w14:textId="77777777" w:rsidR="007C134F" w:rsidRDefault="007C134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1DD63EA0" w:rsidR="00E1168B" w:rsidRPr="00932443" w:rsidRDefault="00E116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F01F1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092A9A4E" w:rsidR="00E1168B" w:rsidRPr="00932443" w:rsidRDefault="00E116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pololetí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F01F1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E5C1" w14:textId="77777777" w:rsidR="007C134F" w:rsidRDefault="007C134F" w:rsidP="00A21B4D">
      <w:pPr>
        <w:spacing w:after="0"/>
      </w:pPr>
      <w:r>
        <w:separator/>
      </w:r>
    </w:p>
  </w:footnote>
  <w:footnote w:type="continuationSeparator" w:id="0">
    <w:p w14:paraId="2A0F6F80" w14:textId="77777777" w:rsidR="007C134F" w:rsidRDefault="007C134F" w:rsidP="00E71A58">
      <w:r>
        <w:continuationSeparator/>
      </w:r>
    </w:p>
  </w:footnote>
  <w:footnote w:id="1">
    <w:p w14:paraId="62867169" w14:textId="77777777" w:rsidR="00E1168B" w:rsidRPr="00EF1EE3" w:rsidRDefault="00E1168B" w:rsidP="00640E6B">
      <w:pPr>
        <w:pStyle w:val="Textpoznpodarou"/>
        <w:rPr>
          <w:sz w:val="16"/>
          <w:szCs w:val="16"/>
        </w:rPr>
      </w:pPr>
      <w:r w:rsidRPr="00EF1EE3">
        <w:rPr>
          <w:rStyle w:val="Znakapoznpodarou"/>
          <w:sz w:val="16"/>
          <w:szCs w:val="16"/>
        </w:rPr>
        <w:footnoteRef/>
      </w:r>
      <w:r w:rsidRPr="00EF1EE3">
        <w:rPr>
          <w:sz w:val="16"/>
          <w:szCs w:val="16"/>
        </w:rPr>
        <w:t xml:space="preserve"> </w:t>
      </w:r>
      <w:r>
        <w:rPr>
          <w:sz w:val="16"/>
          <w:szCs w:val="16"/>
        </w:rPr>
        <w:t>Vývoj</w:t>
      </w:r>
      <w:r w:rsidRPr="00EF1EE3">
        <w:rPr>
          <w:sz w:val="16"/>
          <w:szCs w:val="16"/>
        </w:rPr>
        <w:t xml:space="preserve"> HDP, hrubé přidané hodnot</w:t>
      </w:r>
      <w:r>
        <w:rPr>
          <w:sz w:val="16"/>
          <w:szCs w:val="16"/>
        </w:rPr>
        <w:t>y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jejich slož</w:t>
      </w:r>
      <w:r>
        <w:rPr>
          <w:sz w:val="16"/>
          <w:szCs w:val="16"/>
        </w:rPr>
        <w:t>e</w:t>
      </w:r>
      <w:r w:rsidRPr="00EF1EE3">
        <w:rPr>
          <w:sz w:val="16"/>
          <w:szCs w:val="16"/>
        </w:rPr>
        <w:t xml:space="preserve">k </w:t>
      </w:r>
      <w:r>
        <w:rPr>
          <w:sz w:val="16"/>
          <w:szCs w:val="16"/>
        </w:rPr>
        <w:t xml:space="preserve">je </w:t>
      </w:r>
      <w:r w:rsidRPr="00EF1EE3">
        <w:rPr>
          <w:sz w:val="16"/>
          <w:szCs w:val="16"/>
        </w:rPr>
        <w:t>vyjádřen</w:t>
      </w:r>
      <w:r>
        <w:rPr>
          <w:sz w:val="16"/>
          <w:szCs w:val="16"/>
        </w:rPr>
        <w:t xml:space="preserve"> prostřednictvím objemových indexů (tj. očištěn o vliv cen)</w:t>
      </w:r>
      <w:r w:rsidRPr="00EF1EE3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 po </w:t>
      </w:r>
      <w:r w:rsidRPr="00EF1EE3">
        <w:rPr>
          <w:sz w:val="16"/>
          <w:szCs w:val="16"/>
        </w:rPr>
        <w:t>očištění o</w:t>
      </w:r>
      <w:r>
        <w:rPr>
          <w:sz w:val="16"/>
          <w:szCs w:val="16"/>
        </w:rPr>
        <w:t> </w:t>
      </w:r>
      <w:r w:rsidRPr="00EF1EE3">
        <w:rPr>
          <w:sz w:val="16"/>
          <w:szCs w:val="16"/>
        </w:rPr>
        <w:t>sezónní a kalendářn</w:t>
      </w:r>
      <w:r>
        <w:rPr>
          <w:sz w:val="16"/>
          <w:szCs w:val="16"/>
        </w:rPr>
        <w:t>í vlivy. Údaje jsou platné k 1. 9. 2020</w:t>
      </w:r>
      <w:r w:rsidRPr="00EF1EE3">
        <w:rPr>
          <w:sz w:val="16"/>
          <w:szCs w:val="16"/>
        </w:rPr>
        <w:t>.</w:t>
      </w:r>
    </w:p>
  </w:footnote>
  <w:footnote w:id="2">
    <w:p w14:paraId="5AB9BF74" w14:textId="77777777" w:rsidR="00E1168B" w:rsidRPr="009C6EA8" w:rsidRDefault="00E1168B" w:rsidP="00640E6B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Příspěvky ke změně HDP po vyloučení dovozu pro konečné užití.</w:t>
      </w:r>
    </w:p>
  </w:footnote>
  <w:footnote w:id="3">
    <w:p w14:paraId="22F2BE14" w14:textId="6CEB75CA" w:rsidR="00E1168B" w:rsidRPr="00BB319F" w:rsidRDefault="00E1168B" w:rsidP="00640E6B">
      <w:pPr>
        <w:pStyle w:val="Textpoznpodarou"/>
        <w:rPr>
          <w:sz w:val="16"/>
          <w:szCs w:val="16"/>
        </w:rPr>
      </w:pPr>
      <w:r w:rsidRPr="00AF6B7C">
        <w:rPr>
          <w:rStyle w:val="Znakapoznpodarou"/>
          <w:sz w:val="16"/>
          <w:szCs w:val="16"/>
        </w:rPr>
        <w:footnoteRef/>
      </w:r>
      <w:r w:rsidRPr="00AF6B7C"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Nedostupná data za</w:t>
      </w:r>
      <w:r>
        <w:rPr>
          <w:sz w:val="16"/>
          <w:szCs w:val="16"/>
        </w:rPr>
        <w:t xml:space="preserve"> </w:t>
      </w:r>
      <w:r w:rsidRPr="00BB319F">
        <w:rPr>
          <w:sz w:val="16"/>
          <w:szCs w:val="16"/>
        </w:rPr>
        <w:t>Lucembursko.</w:t>
      </w:r>
      <w:r>
        <w:rPr>
          <w:sz w:val="16"/>
          <w:szCs w:val="16"/>
        </w:rPr>
        <w:t xml:space="preserve"> Data za Slovensko nejsou očištěna o kalendářní vlivy.</w:t>
      </w:r>
    </w:p>
  </w:footnote>
  <w:footnote w:id="4">
    <w:p w14:paraId="5572BF2F" w14:textId="77777777" w:rsidR="00E1168B" w:rsidRPr="009C6EA8" w:rsidRDefault="00E1168B" w:rsidP="00640E6B">
      <w:pPr>
        <w:pStyle w:val="Textpoznpodarou"/>
        <w:rPr>
          <w:sz w:val="16"/>
          <w:szCs w:val="16"/>
        </w:rPr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Do reálného vyjádření převedeno s využitím deflátoru výdajů na konečnou spotřebu domácností.</w:t>
      </w:r>
    </w:p>
  </w:footnote>
  <w:footnote w:id="5">
    <w:p w14:paraId="2E1D5793" w14:textId="77777777" w:rsidR="00E1168B" w:rsidRDefault="00E1168B" w:rsidP="00640E6B">
      <w:pPr>
        <w:pStyle w:val="Textpoznpodarou"/>
      </w:pPr>
      <w:r w:rsidRPr="009C6EA8">
        <w:rPr>
          <w:rStyle w:val="Znakapoznpodarou"/>
          <w:sz w:val="16"/>
          <w:szCs w:val="16"/>
        </w:rPr>
        <w:footnoteRef/>
      </w:r>
      <w:r w:rsidRPr="009C6EA8">
        <w:rPr>
          <w:sz w:val="16"/>
          <w:szCs w:val="16"/>
        </w:rPr>
        <w:t xml:space="preserve"> </w:t>
      </w:r>
      <w:r>
        <w:rPr>
          <w:sz w:val="16"/>
          <w:szCs w:val="16"/>
        </w:rPr>
        <w:t>Zaměstnanost v</w:t>
      </w:r>
      <w:r w:rsidRPr="009C6EA8">
        <w:rPr>
          <w:sz w:val="16"/>
          <w:szCs w:val="16"/>
        </w:rPr>
        <w:t> pojetí národních účtů</w:t>
      </w:r>
      <w:r>
        <w:rPr>
          <w:sz w:val="16"/>
          <w:szCs w:val="16"/>
        </w:rPr>
        <w:t xml:space="preserve"> (osoby)</w:t>
      </w:r>
      <w:r w:rsidRPr="009C6EA8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údaj je </w:t>
      </w:r>
      <w:r w:rsidRPr="009C6EA8">
        <w:rPr>
          <w:sz w:val="16"/>
          <w:szCs w:val="16"/>
        </w:rPr>
        <w:t>sezónně očištěn</w:t>
      </w:r>
      <w:r w:rsidRPr="00004BA8">
        <w:rPr>
          <w:sz w:val="16"/>
        </w:rPr>
        <w:t>.</w:t>
      </w:r>
    </w:p>
  </w:footnote>
  <w:footnote w:id="6">
    <w:p w14:paraId="36B572A7" w14:textId="77777777" w:rsidR="00E1168B" w:rsidRPr="00771972" w:rsidRDefault="00E1168B" w:rsidP="00640E6B">
      <w:pPr>
        <w:pStyle w:val="Textpoznpodarou"/>
        <w:rPr>
          <w:sz w:val="16"/>
          <w:szCs w:val="16"/>
        </w:rPr>
      </w:pPr>
      <w:r w:rsidRPr="00771972">
        <w:rPr>
          <w:rStyle w:val="Znakapoznpodarou"/>
          <w:sz w:val="16"/>
          <w:szCs w:val="16"/>
        </w:rPr>
        <w:footnoteRef/>
      </w:r>
      <w:r w:rsidRPr="00771972">
        <w:rPr>
          <w:sz w:val="16"/>
          <w:szCs w:val="16"/>
        </w:rPr>
        <w:t xml:space="preserve"> Veřejná správa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obrana, vzdělávání, zdravotní a</w:t>
      </w:r>
      <w:r>
        <w:rPr>
          <w:sz w:val="16"/>
          <w:szCs w:val="16"/>
        </w:rPr>
        <w:t> </w:t>
      </w:r>
      <w:r w:rsidRPr="00771972">
        <w:rPr>
          <w:sz w:val="16"/>
          <w:szCs w:val="16"/>
        </w:rPr>
        <w:t>sociální péče.</w:t>
      </w:r>
    </w:p>
  </w:footnote>
  <w:footnote w:id="7">
    <w:p w14:paraId="69FC38BF" w14:textId="77777777" w:rsidR="00E1168B" w:rsidRPr="00954992" w:rsidRDefault="00E1168B" w:rsidP="00640E6B">
      <w:pPr>
        <w:pStyle w:val="Textpoznpodarou"/>
        <w:rPr>
          <w:sz w:val="16"/>
          <w:szCs w:val="16"/>
        </w:rPr>
      </w:pPr>
      <w:r w:rsidRPr="00954992">
        <w:rPr>
          <w:rStyle w:val="Znakapoznpodarou"/>
          <w:sz w:val="16"/>
          <w:szCs w:val="16"/>
        </w:rPr>
        <w:footnoteRef/>
      </w:r>
      <w:r w:rsidRPr="00954992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spotřebě dle trvanlivosti jsou v domácím pojetí a</w:t>
      </w:r>
      <w:r>
        <w:rPr>
          <w:sz w:val="16"/>
          <w:szCs w:val="16"/>
        </w:rPr>
        <w:t> </w:t>
      </w:r>
      <w:r w:rsidRPr="00954992">
        <w:rPr>
          <w:sz w:val="16"/>
          <w:szCs w:val="16"/>
        </w:rPr>
        <w:t>bez sezónního očištění.</w:t>
      </w:r>
    </w:p>
  </w:footnote>
  <w:footnote w:id="8">
    <w:p w14:paraId="0C19ED8D" w14:textId="77777777" w:rsidR="00E1168B" w:rsidRPr="0021552C" w:rsidRDefault="00E1168B" w:rsidP="00640E6B">
      <w:pPr>
        <w:pStyle w:val="Textpoznpodarou"/>
        <w:rPr>
          <w:sz w:val="16"/>
          <w:szCs w:val="16"/>
        </w:rPr>
      </w:pPr>
      <w:r w:rsidRPr="0021552C">
        <w:rPr>
          <w:rStyle w:val="Znakapoznpodarou"/>
          <w:sz w:val="16"/>
          <w:szCs w:val="16"/>
        </w:rPr>
        <w:footnoteRef/>
      </w:r>
      <w:r w:rsidRPr="0021552C"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D</w:t>
      </w:r>
      <w:r w:rsidRPr="0021552C">
        <w:rPr>
          <w:rFonts w:cs="Arial"/>
          <w:sz w:val="16"/>
          <w:szCs w:val="16"/>
        </w:rPr>
        <w:t>ata o</w:t>
      </w:r>
      <w:r>
        <w:rPr>
          <w:rFonts w:cs="Arial"/>
          <w:sz w:val="16"/>
          <w:szCs w:val="16"/>
        </w:rPr>
        <w:t> </w:t>
      </w:r>
      <w:r w:rsidRPr="0021552C">
        <w:rPr>
          <w:rFonts w:cs="Arial"/>
          <w:sz w:val="16"/>
          <w:szCs w:val="16"/>
        </w:rPr>
        <w:t xml:space="preserve">věcném členění tvorby </w:t>
      </w:r>
      <w:r>
        <w:rPr>
          <w:rFonts w:cs="Arial"/>
          <w:sz w:val="16"/>
          <w:szCs w:val="16"/>
        </w:rPr>
        <w:t>hrubého fixního kapitálu</w:t>
      </w:r>
      <w:r w:rsidRPr="0021552C">
        <w:rPr>
          <w:rFonts w:cs="Arial"/>
          <w:sz w:val="16"/>
          <w:szCs w:val="16"/>
        </w:rPr>
        <w:t xml:space="preserve"> nejsou sezónně očištěna</w:t>
      </w:r>
      <w:r>
        <w:rPr>
          <w:rFonts w:cs="Arial"/>
          <w:sz w:val="16"/>
          <w:szCs w:val="16"/>
        </w:rPr>
        <w:t>.</w:t>
      </w:r>
    </w:p>
  </w:footnote>
  <w:footnote w:id="9">
    <w:p w14:paraId="59BAFEDB" w14:textId="77777777" w:rsidR="00E1168B" w:rsidRPr="00167B30" w:rsidRDefault="00E1168B" w:rsidP="00640E6B">
      <w:pPr>
        <w:pStyle w:val="Textpoznpodarou"/>
        <w:rPr>
          <w:sz w:val="16"/>
          <w:szCs w:val="16"/>
        </w:rPr>
      </w:pPr>
      <w:r w:rsidRPr="00167B30">
        <w:rPr>
          <w:rStyle w:val="Znakapoznpodarou"/>
          <w:sz w:val="16"/>
          <w:szCs w:val="16"/>
        </w:rPr>
        <w:footnoteRef/>
      </w:r>
      <w:r w:rsidRPr="00167B30">
        <w:rPr>
          <w:sz w:val="16"/>
          <w:szCs w:val="16"/>
        </w:rPr>
        <w:t xml:space="preserve"> Podle metodiky čtvrtletních národních účtů (vývoz a</w:t>
      </w:r>
      <w:r>
        <w:rPr>
          <w:sz w:val="16"/>
          <w:szCs w:val="16"/>
        </w:rPr>
        <w:t> </w:t>
      </w:r>
      <w:r w:rsidRPr="00167B30">
        <w:rPr>
          <w:sz w:val="16"/>
          <w:szCs w:val="16"/>
        </w:rPr>
        <w:t>dovoz v ocenění FOB/FOB)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E1168B" w:rsidRDefault="00E1168B" w:rsidP="00937AE2">
    <w:pPr>
      <w:pStyle w:val="Zhlav"/>
    </w:pPr>
    <w:r>
      <w:t>Vývoj ekonomiky České republiky</w:t>
    </w:r>
  </w:p>
  <w:p w14:paraId="675E4C41" w14:textId="77777777" w:rsidR="00E1168B" w:rsidRPr="006F5416" w:rsidRDefault="00E116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E1168B" w:rsidRDefault="00E1168B" w:rsidP="00937AE2">
    <w:pPr>
      <w:pStyle w:val="Zhlav"/>
    </w:pPr>
    <w:r>
      <w:t>Vývoj ekonomiky České republiky</w:t>
    </w:r>
  </w:p>
  <w:p w14:paraId="0CDCFD48" w14:textId="77777777" w:rsidR="00E1168B" w:rsidRPr="006F5416" w:rsidRDefault="00E116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1A7C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1F1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34F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314"/>
    <w:rsid w:val="008C0E88"/>
    <w:rsid w:val="008C1717"/>
    <w:rsid w:val="008C4B50"/>
    <w:rsid w:val="008C5A37"/>
    <w:rsid w:val="008C7569"/>
    <w:rsid w:val="008C79C3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158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&#253;za\Q\2020Q2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2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324257007767645E-2"/>
          <c:y val="2.3046636085626952E-2"/>
          <c:w val="0.92008633063154344"/>
          <c:h val="0.74192840256671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'souhrnná výkonnost 1'!$C$4</c:f>
              <c:strCache>
                <c:ptCount val="1"/>
                <c:pt idx="0">
                  <c:v>ČR meziroční změna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multiLvlStrRef>
              <c:f>'souhrnná výkonnost 1'!$A$17:$B$38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1'!$C$17:$C$38</c:f>
              <c:numCache>
                <c:formatCode>#,##0.0</c:formatCode>
                <c:ptCount val="22"/>
                <c:pt idx="0">
                  <c:v>5.3541342799457112</c:v>
                </c:pt>
                <c:pt idx="1">
                  <c:v>5.7581302882289123</c:v>
                </c:pt>
                <c:pt idx="2">
                  <c:v>5.6783705866674694</c:v>
                </c:pt>
                <c:pt idx="3">
                  <c:v>5.0736450126825758</c:v>
                </c:pt>
                <c:pt idx="4">
                  <c:v>3.4010325671467712</c:v>
                </c:pt>
                <c:pt idx="5">
                  <c:v>2.318358207366316</c:v>
                </c:pt>
                <c:pt idx="6">
                  <c:v>1.9345991649110346</c:v>
                </c:pt>
                <c:pt idx="7">
                  <c:v>2.1527896621077645</c:v>
                </c:pt>
                <c:pt idx="8">
                  <c:v>3.6789885316907771</c:v>
                </c:pt>
                <c:pt idx="9">
                  <c:v>6.0785986760951261</c:v>
                </c:pt>
                <c:pt idx="10">
                  <c:v>5.8461947005677075</c:v>
                </c:pt>
                <c:pt idx="11">
                  <c:v>5.8135548231886673</c:v>
                </c:pt>
                <c:pt idx="12">
                  <c:v>4.7768084590779267</c:v>
                </c:pt>
                <c:pt idx="13" formatCode="General">
                  <c:v>2.6475743105130789</c:v>
                </c:pt>
                <c:pt idx="14" formatCode="General">
                  <c:v>2.6903360884822547</c:v>
                </c:pt>
                <c:pt idx="15">
                  <c:v>2.5948207201504516</c:v>
                </c:pt>
                <c:pt idx="16">
                  <c:v>2.44933042272271</c:v>
                </c:pt>
                <c:pt idx="17" formatCode="General">
                  <c:v>2.3739064902964344</c:v>
                </c:pt>
                <c:pt idx="18" formatCode="General">
                  <c:v>2.282942447919396</c:v>
                </c:pt>
                <c:pt idx="19" formatCode="General">
                  <c:v>1.9682562537211652</c:v>
                </c:pt>
                <c:pt idx="20" formatCode="General">
                  <c:v>-1.9120655029700089</c:v>
                </c:pt>
                <c:pt idx="21" formatCode="General">
                  <c:v>-10.956231556106871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6-43A0-AF64-E4142B608FC2}"/>
            </c:ext>
          </c:extLst>
        </c:ser>
        <c:ser>
          <c:idx val="1"/>
          <c:order val="1"/>
          <c:tx>
            <c:strRef>
              <c:f>'souhrnná výkonnost 1'!$D$4</c:f>
              <c:strCache>
                <c:ptCount val="1"/>
                <c:pt idx="0">
                  <c:v>EU27 meziroční změna</c:v>
                </c:pt>
              </c:strCache>
            </c:strRef>
          </c:tx>
          <c:spPr>
            <a:solidFill>
              <a:srgbClr val="808080"/>
            </a:solidFill>
            <a:ln>
              <a:noFill/>
            </a:ln>
          </c:spPr>
          <c:invertIfNegative val="0"/>
          <c:cat>
            <c:multiLvlStrRef>
              <c:f>'souhrnná výkonnost 1'!$A$17:$B$38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1'!$D$17:$D$38</c:f>
              <c:numCache>
                <c:formatCode>#,##0.0</c:formatCode>
                <c:ptCount val="22"/>
                <c:pt idx="0">
                  <c:v>2.1</c:v>
                </c:pt>
                <c:pt idx="1">
                  <c:v>2.2999999999999998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</c:v>
                </c:pt>
                <c:pt idx="5">
                  <c:v>1.9</c:v>
                </c:pt>
                <c:pt idx="6">
                  <c:v>1.8</c:v>
                </c:pt>
                <c:pt idx="7">
                  <c:v>2.2000000000000002</c:v>
                </c:pt>
                <c:pt idx="8">
                  <c:v>2.4</c:v>
                </c:pt>
                <c:pt idx="9">
                  <c:v>2.8</c:v>
                </c:pt>
                <c:pt idx="10">
                  <c:v>3.1</c:v>
                </c:pt>
                <c:pt idx="11">
                  <c:v>3.2</c:v>
                </c:pt>
                <c:pt idx="12">
                  <c:v>2.7</c:v>
                </c:pt>
                <c:pt idx="13">
                  <c:v>2.4</c:v>
                </c:pt>
                <c:pt idx="14">
                  <c:v>1.9</c:v>
                </c:pt>
                <c:pt idx="15">
                  <c:v>1.5</c:v>
                </c:pt>
                <c:pt idx="16">
                  <c:v>1.7</c:v>
                </c:pt>
                <c:pt idx="17">
                  <c:v>1.5</c:v>
                </c:pt>
                <c:pt idx="18">
                  <c:v>1.6</c:v>
                </c:pt>
                <c:pt idx="19">
                  <c:v>1.2</c:v>
                </c:pt>
                <c:pt idx="20">
                  <c:v>-2.5</c:v>
                </c:pt>
                <c:pt idx="21">
                  <c:v>-14.1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E6-43A0-AF64-E4142B608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7753344"/>
        <c:axId val="267767808"/>
      </c:barChart>
      <c:lineChart>
        <c:grouping val="standard"/>
        <c:varyColors val="0"/>
        <c:ser>
          <c:idx val="2"/>
          <c:order val="2"/>
          <c:tx>
            <c:strRef>
              <c:f>'souhrnná výkonnost 1'!$E$4</c:f>
              <c:strCache>
                <c:ptCount val="1"/>
                <c:pt idx="0">
                  <c:v>ČR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0071BC"/>
              </a:solidFill>
              <a:ln>
                <a:noFill/>
              </a:ln>
            </c:spPr>
          </c:marker>
          <c:cat>
            <c:multiLvlStrRef>
              <c:f>'souhrnná výkonnost 1'!$A$17:$B$38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1'!$E$17:$E$38</c:f>
              <c:numCache>
                <c:formatCode>#,##0.0</c:formatCode>
                <c:ptCount val="22"/>
                <c:pt idx="0">
                  <c:v>1.7876510932120624</c:v>
                </c:pt>
                <c:pt idx="1">
                  <c:v>1.4339927833768797</c:v>
                </c:pt>
                <c:pt idx="2">
                  <c:v>1.1102105904154485</c:v>
                </c:pt>
                <c:pt idx="3">
                  <c:v>0.65148104049788458</c:v>
                </c:pt>
                <c:pt idx="4">
                  <c:v>0.16734666768449813</c:v>
                </c:pt>
                <c:pt idx="5">
                  <c:v>0.37191457709397469</c:v>
                </c:pt>
                <c:pt idx="6">
                  <c:v>0.73098287137804618</c:v>
                </c:pt>
                <c:pt idx="7">
                  <c:v>0.86692502979816766</c:v>
                </c:pt>
                <c:pt idx="8">
                  <c:v>1.6638823155019793</c:v>
                </c:pt>
                <c:pt idx="9">
                  <c:v>2.6949837721494561</c:v>
                </c:pt>
                <c:pt idx="10">
                  <c:v>0.51029480450817744</c:v>
                </c:pt>
                <c:pt idx="11">
                  <c:v>0.83582061386817941</c:v>
                </c:pt>
                <c:pt idx="12">
                  <c:v>0.6677938604066469</c:v>
                </c:pt>
                <c:pt idx="13">
                  <c:v>0.60805566706811476</c:v>
                </c:pt>
                <c:pt idx="14">
                  <c:v>0.55216621685197254</c:v>
                </c:pt>
                <c:pt idx="15">
                  <c:v>0.74203018612357141</c:v>
                </c:pt>
                <c:pt idx="16">
                  <c:v>0.52503629070346847</c:v>
                </c:pt>
                <c:pt idx="17" formatCode="General">
                  <c:v>0.53398729433338588</c:v>
                </c:pt>
                <c:pt idx="18" formatCode="General">
                  <c:v>0.46282087659461979</c:v>
                </c:pt>
                <c:pt idx="19" formatCode="General">
                  <c:v>0.43208480015448458</c:v>
                </c:pt>
                <c:pt idx="20" formatCode="General">
                  <c:v>-3.3003648659114049</c:v>
                </c:pt>
                <c:pt idx="21" formatCode="General">
                  <c:v>-8.7357162603014018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E6-43A0-AF64-E4142B608FC2}"/>
            </c:ext>
          </c:extLst>
        </c:ser>
        <c:ser>
          <c:idx val="3"/>
          <c:order val="3"/>
          <c:tx>
            <c:strRef>
              <c:f>'souhrnná výkonnost 1'!$F$4</c:f>
              <c:strCache>
                <c:ptCount val="1"/>
                <c:pt idx="0">
                  <c:v>EU27 mezičtvrtletní změna</c:v>
                </c:pt>
              </c:strCache>
            </c:strRef>
          </c:tx>
          <c:spPr>
            <a:ln w="19050">
              <a:noFill/>
            </a:ln>
          </c:spPr>
          <c:marker>
            <c:symbol val="dash"/>
            <c:size val="8"/>
            <c:spPr>
              <a:solidFill>
                <a:srgbClr val="BD1B21"/>
              </a:solidFill>
              <a:ln>
                <a:noFill/>
              </a:ln>
            </c:spPr>
          </c:marker>
          <c:cat>
            <c:multiLvlStrRef>
              <c:f>'souhrnná výkonnost 1'!$A$17:$B$38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1'!$F$17:$F$38</c:f>
              <c:numCache>
                <c:formatCode>#,##0.0</c:formatCode>
                <c:ptCount val="22"/>
                <c:pt idx="0">
                  <c:v>0.8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0.6</c:v>
                </c:pt>
                <c:pt idx="5">
                  <c:v>0.4</c:v>
                </c:pt>
                <c:pt idx="6">
                  <c:v>0.4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0.8</c:v>
                </c:pt>
                <c:pt idx="11">
                  <c:v>0.8</c:v>
                </c:pt>
                <c:pt idx="12">
                  <c:v>0.4</c:v>
                </c:pt>
                <c:pt idx="13">
                  <c:v>0.4</c:v>
                </c:pt>
                <c:pt idx="14">
                  <c:v>0.3</c:v>
                </c:pt>
                <c:pt idx="15">
                  <c:v>0.5</c:v>
                </c:pt>
                <c:pt idx="16">
                  <c:v>0.5</c:v>
                </c:pt>
                <c:pt idx="17">
                  <c:v>0.3</c:v>
                </c:pt>
                <c:pt idx="18">
                  <c:v>0.3</c:v>
                </c:pt>
                <c:pt idx="19">
                  <c:v>0.1</c:v>
                </c:pt>
                <c:pt idx="20">
                  <c:v>-3.2</c:v>
                </c:pt>
                <c:pt idx="21">
                  <c:v>-11.7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E6-43A0-AF64-E4142B608F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753344"/>
        <c:axId val="267767808"/>
      </c:lineChart>
      <c:catAx>
        <c:axId val="26775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767808"/>
        <c:crosses val="autoZero"/>
        <c:auto val="1"/>
        <c:lblAlgn val="ctr"/>
        <c:lblOffset val="100"/>
        <c:noMultiLvlLbl val="0"/>
      </c:catAx>
      <c:valAx>
        <c:axId val="267767808"/>
        <c:scaling>
          <c:orientation val="minMax"/>
          <c:max val="7"/>
          <c:min val="-1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753344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8431906450523471E-2"/>
          <c:y val="0.89437255125717996"/>
          <c:w val="0.91838441404930771"/>
          <c:h val="9.030175575879101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629137115839245E-2"/>
          <c:y val="2.8458510079622041E-2"/>
          <c:w val="0.93688386524822698"/>
          <c:h val="0.6497469886299676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'souhrnná výkonnost 3'!$D$5</c:f>
              <c:strCache>
                <c:ptCount val="1"/>
                <c:pt idx="0">
                  <c:v>Výdaje na konečnou spotřebu domácností (vč. nezisk. inst.)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3'!$D$18:$D$39</c:f>
              <c:numCache>
                <c:formatCode>#\ ##0.0</c:formatCode>
                <c:ptCount val="22"/>
                <c:pt idx="0">
                  <c:v>1.0004416838991848</c:v>
                </c:pt>
                <c:pt idx="1">
                  <c:v>1.1245121794719866</c:v>
                </c:pt>
                <c:pt idx="2">
                  <c:v>1.2521979797185689</c:v>
                </c:pt>
                <c:pt idx="3">
                  <c:v>1.5140922770621217</c:v>
                </c:pt>
                <c:pt idx="4">
                  <c:v>1.011033178528604</c:v>
                </c:pt>
                <c:pt idx="5">
                  <c:v>0.84092037321111202</c:v>
                </c:pt>
                <c:pt idx="6">
                  <c:v>1.0599389176360645</c:v>
                </c:pt>
                <c:pt idx="7">
                  <c:v>0.97961312874423945</c:v>
                </c:pt>
                <c:pt idx="8">
                  <c:v>1.0820067439812537</c:v>
                </c:pt>
                <c:pt idx="9">
                  <c:v>1.4390025136660056</c:v>
                </c:pt>
                <c:pt idx="10">
                  <c:v>1.3061872269069228</c:v>
                </c:pt>
                <c:pt idx="11">
                  <c:v>1.0872722376357689</c:v>
                </c:pt>
                <c:pt idx="12">
                  <c:v>1.4841358084274829</c:v>
                </c:pt>
                <c:pt idx="13">
                  <c:v>1.2073185637569239</c:v>
                </c:pt>
                <c:pt idx="14">
                  <c:v>1.0110919461066379</c:v>
                </c:pt>
                <c:pt idx="15">
                  <c:v>0.91827339775759576</c:v>
                </c:pt>
                <c:pt idx="16">
                  <c:v>0.95709419842434051</c:v>
                </c:pt>
                <c:pt idx="17">
                  <c:v>1.3452005145206245</c:v>
                </c:pt>
                <c:pt idx="18">
                  <c:v>1.1867517998339108</c:v>
                </c:pt>
                <c:pt idx="19">
                  <c:v>1.3517576838625602</c:v>
                </c:pt>
                <c:pt idx="20">
                  <c:v>9.1271052179358977E-2</c:v>
                </c:pt>
                <c:pt idx="21">
                  <c:v>-2.0048459354575745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8-475C-8C15-9FA28BB77F04}"/>
            </c:ext>
          </c:extLst>
        </c:ser>
        <c:ser>
          <c:idx val="4"/>
          <c:order val="2"/>
          <c:tx>
            <c:strRef>
              <c:f>'souhrnná výkonnost 3'!$E$5</c:f>
              <c:strCache>
                <c:ptCount val="1"/>
                <c:pt idx="0">
                  <c:v>Výdaje na konečnou spotřebu vládních institucí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3'!$E$18:$E$39</c:f>
              <c:numCache>
                <c:formatCode>#\ ##0.0</c:formatCode>
                <c:ptCount val="22"/>
                <c:pt idx="0">
                  <c:v>0.36711313994295081</c:v>
                </c:pt>
                <c:pt idx="1">
                  <c:v>0.38184726381267609</c:v>
                </c:pt>
                <c:pt idx="2">
                  <c:v>0.5911601763482196</c:v>
                </c:pt>
                <c:pt idx="3">
                  <c:v>0.43670380992842678</c:v>
                </c:pt>
                <c:pt idx="4">
                  <c:v>0.42501610259126504</c:v>
                </c:pt>
                <c:pt idx="5">
                  <c:v>0.47017789747807115</c:v>
                </c:pt>
                <c:pt idx="6">
                  <c:v>0.42973407124759544</c:v>
                </c:pt>
                <c:pt idx="7">
                  <c:v>0.47700779378045444</c:v>
                </c:pt>
                <c:pt idx="8">
                  <c:v>0.4285629075979569</c:v>
                </c:pt>
                <c:pt idx="9">
                  <c:v>0.36487116628719296</c:v>
                </c:pt>
                <c:pt idx="10">
                  <c:v>0.22397478701370191</c:v>
                </c:pt>
                <c:pt idx="11">
                  <c:v>0.25198788808759842</c:v>
                </c:pt>
                <c:pt idx="12">
                  <c:v>0.55090223595657939</c:v>
                </c:pt>
                <c:pt idx="13">
                  <c:v>0.5614476104031324</c:v>
                </c:pt>
                <c:pt idx="14">
                  <c:v>0.87498347752231842</c:v>
                </c:pt>
                <c:pt idx="15">
                  <c:v>0.79469994126147958</c:v>
                </c:pt>
                <c:pt idx="16">
                  <c:v>0.36969712355591594</c:v>
                </c:pt>
                <c:pt idx="17">
                  <c:v>0.50543252930386484</c:v>
                </c:pt>
                <c:pt idx="18">
                  <c:v>0.40522723257515153</c:v>
                </c:pt>
                <c:pt idx="19">
                  <c:v>0.4012060779431087</c:v>
                </c:pt>
                <c:pt idx="20">
                  <c:v>0.94126963734477176</c:v>
                </c:pt>
                <c:pt idx="21">
                  <c:v>0.42787942241144838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68-475C-8C15-9FA28BB77F04}"/>
            </c:ext>
          </c:extLst>
        </c:ser>
        <c:ser>
          <c:idx val="3"/>
          <c:order val="3"/>
          <c:tx>
            <c:strRef>
              <c:f>'souhrnná výkonnost 3'!$G$5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3'!$G$18:$G$39</c:f>
              <c:numCache>
                <c:formatCode>#\ ##0.0</c:formatCode>
                <c:ptCount val="22"/>
                <c:pt idx="0">
                  <c:v>3.1310050244124823</c:v>
                </c:pt>
                <c:pt idx="1">
                  <c:v>3.7310848346723087</c:v>
                </c:pt>
                <c:pt idx="2">
                  <c:v>2.34505813454797</c:v>
                </c:pt>
                <c:pt idx="3">
                  <c:v>1.0284887473308018</c:v>
                </c:pt>
                <c:pt idx="4">
                  <c:v>0.1426787206126395</c:v>
                </c:pt>
                <c:pt idx="5">
                  <c:v>-1.4507925661177268</c:v>
                </c:pt>
                <c:pt idx="6">
                  <c:v>-0.98123446043739548</c:v>
                </c:pt>
                <c:pt idx="7">
                  <c:v>-0.61353806390597054</c:v>
                </c:pt>
                <c:pt idx="8">
                  <c:v>-0.96942712410588472</c:v>
                </c:pt>
                <c:pt idx="9">
                  <c:v>0.73262216993952523</c:v>
                </c:pt>
                <c:pt idx="10">
                  <c:v>1.5238713260674783</c:v>
                </c:pt>
                <c:pt idx="11">
                  <c:v>2.2323726403134958</c:v>
                </c:pt>
                <c:pt idx="12">
                  <c:v>3.1139088122024097</c:v>
                </c:pt>
                <c:pt idx="13">
                  <c:v>1.5785709692492593</c:v>
                </c:pt>
                <c:pt idx="14">
                  <c:v>1.7413269758016987</c:v>
                </c:pt>
                <c:pt idx="15">
                  <c:v>0.51220455181690849</c:v>
                </c:pt>
                <c:pt idx="16">
                  <c:v>0.91852512375984641</c:v>
                </c:pt>
                <c:pt idx="17">
                  <c:v>-1.1054000753810638</c:v>
                </c:pt>
                <c:pt idx="18">
                  <c:v>-1.1725505853239804</c:v>
                </c:pt>
                <c:pt idx="19">
                  <c:v>1.02328337892609</c:v>
                </c:pt>
                <c:pt idx="20">
                  <c:v>-2.3907338546449148</c:v>
                </c:pt>
                <c:pt idx="21">
                  <c:v>-1.4644242049377132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68-475C-8C15-9FA28BB77F04}"/>
            </c:ext>
          </c:extLst>
        </c:ser>
        <c:ser>
          <c:idx val="1"/>
          <c:order val="4"/>
          <c:tx>
            <c:strRef>
              <c:f>'souhrnná výkonnost 3'!$F$5</c:f>
              <c:strCache>
                <c:ptCount val="1"/>
                <c:pt idx="0">
                  <c:v>Bilance zahraničního obchodu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3'!$F$18:$F$39</c:f>
              <c:numCache>
                <c:formatCode>#\ ##0.0</c:formatCode>
                <c:ptCount val="22"/>
                <c:pt idx="0">
                  <c:v>0.85358800053760486</c:v>
                </c:pt>
                <c:pt idx="1">
                  <c:v>0.50682849323072787</c:v>
                </c:pt>
                <c:pt idx="2">
                  <c:v>1.4713169429104394</c:v>
                </c:pt>
                <c:pt idx="3">
                  <c:v>2.0731040792572153</c:v>
                </c:pt>
                <c:pt idx="4">
                  <c:v>1.7620830562499514</c:v>
                </c:pt>
                <c:pt idx="5">
                  <c:v>2.3990552594367274</c:v>
                </c:pt>
                <c:pt idx="6">
                  <c:v>1.370993307029881</c:v>
                </c:pt>
                <c:pt idx="7">
                  <c:v>1.2526206333504177</c:v>
                </c:pt>
                <c:pt idx="8">
                  <c:v>3.0648181369329626</c:v>
                </c:pt>
                <c:pt idx="9">
                  <c:v>3.4601141630489307</c:v>
                </c:pt>
                <c:pt idx="10">
                  <c:v>2.7091491429512415</c:v>
                </c:pt>
                <c:pt idx="11">
                  <c:v>2.1602088091475098</c:v>
                </c:pt>
                <c:pt idx="12">
                  <c:v>-0.49012514161118581</c:v>
                </c:pt>
                <c:pt idx="13">
                  <c:v>-0.81047776037827601</c:v>
                </c:pt>
                <c:pt idx="14">
                  <c:v>-1.04647898349734</c:v>
                </c:pt>
                <c:pt idx="15">
                  <c:v>0.26106115108900063</c:v>
                </c:pt>
                <c:pt idx="16">
                  <c:v>0.12604869637815186</c:v>
                </c:pt>
                <c:pt idx="17">
                  <c:v>1.5557019835323573</c:v>
                </c:pt>
                <c:pt idx="18">
                  <c:v>1.7857076729316352</c:v>
                </c:pt>
                <c:pt idx="19">
                  <c:v>-0.89056835169597359</c:v>
                </c:pt>
                <c:pt idx="20">
                  <c:v>-0.57748920340632015</c:v>
                </c:pt>
                <c:pt idx="21">
                  <c:v>-7.9030153426816998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68-475C-8C15-9FA28BB77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100"/>
        <c:axId val="267591040"/>
        <c:axId val="267605120"/>
      </c:barChart>
      <c:lineChart>
        <c:grouping val="standard"/>
        <c:varyColors val="0"/>
        <c:ser>
          <c:idx val="0"/>
          <c:order val="0"/>
          <c:tx>
            <c:strRef>
              <c:f>'souhrnná výkonnost 3'!$C$5</c:f>
              <c:strCache>
                <c:ptCount val="1"/>
                <c:pt idx="0">
                  <c:v>HDP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3'!$A$18:$B$39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3'!$C$18:$C$39</c:f>
              <c:numCache>
                <c:formatCode>#\ ##0.0</c:formatCode>
                <c:ptCount val="22"/>
                <c:pt idx="0">
                  <c:v>5.3541479116968844</c:v>
                </c:pt>
                <c:pt idx="1">
                  <c:v>5.7580987456543795</c:v>
                </c:pt>
                <c:pt idx="2">
                  <c:v>5.6783364148190572</c:v>
                </c:pt>
                <c:pt idx="3">
                  <c:v>5.0736477020698771</c:v>
                </c:pt>
                <c:pt idx="4">
                  <c:v>3.4010558338826229</c:v>
                </c:pt>
                <c:pt idx="5">
                  <c:v>2.3184007606832324</c:v>
                </c:pt>
                <c:pt idx="6">
                  <c:v>1.9346258296187244</c:v>
                </c:pt>
                <c:pt idx="7">
                  <c:v>2.1527861842497913</c:v>
                </c:pt>
                <c:pt idx="8">
                  <c:v>3.6789755923611835</c:v>
                </c:pt>
                <c:pt idx="9">
                  <c:v>6.0785791748313187</c:v>
                </c:pt>
                <c:pt idx="10">
                  <c:v>5.8461673142579968</c:v>
                </c:pt>
                <c:pt idx="11">
                  <c:v>5.8135294348367665</c:v>
                </c:pt>
                <c:pt idx="12">
                  <c:v>4.7768522995265954</c:v>
                </c:pt>
                <c:pt idx="13">
                  <c:v>2.647594839576044</c:v>
                </c:pt>
                <c:pt idx="14">
                  <c:v>2.6903782593896892</c:v>
                </c:pt>
                <c:pt idx="15">
                  <c:v>2.5948102218219304</c:v>
                </c:pt>
                <c:pt idx="16">
                  <c:v>2.4492683454218138</c:v>
                </c:pt>
                <c:pt idx="17">
                  <c:v>2.3738828500299576</c:v>
                </c:pt>
                <c:pt idx="18">
                  <c:v>2.2829391747994663</c:v>
                </c:pt>
                <c:pt idx="19">
                  <c:v>1.9683208351430466</c:v>
                </c:pt>
                <c:pt idx="20">
                  <c:v>-1.9120048023797693</c:v>
                </c:pt>
                <c:pt idx="21">
                  <c:v>-10.956226210723926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568-475C-8C15-9FA28BB77F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7591040"/>
        <c:axId val="267605120"/>
      </c:lineChart>
      <c:catAx>
        <c:axId val="267591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7605120"/>
        <c:crosses val="autoZero"/>
        <c:auto val="1"/>
        <c:lblAlgn val="ctr"/>
        <c:lblOffset val="100"/>
        <c:noMultiLvlLbl val="0"/>
      </c:catAx>
      <c:valAx>
        <c:axId val="267605120"/>
        <c:scaling>
          <c:orientation val="minMax"/>
          <c:max val="7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7591040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71766295170556E-2"/>
          <c:y val="0.79301446583361457"/>
          <c:w val="0.93781598277608913"/>
          <c:h val="0.19014325115388939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26857480580882E-2"/>
          <c:y val="3.7154479717354444E-2"/>
          <c:w val="0.9260266801756164"/>
          <c:h val="0.63445260610154264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'souhrnná výkonnost 4'!$C$5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invertIfNegative val="0"/>
          <c:val>
            <c:numRef>
              <c:f>'souhrnná výkonnost 4'!$C$18:$C$39</c:f>
              <c:numCache>
                <c:formatCode>#\ ##0.0</c:formatCode>
                <c:ptCount val="22"/>
                <c:pt idx="0">
                  <c:v>0.30368485614942081</c:v>
                </c:pt>
                <c:pt idx="1">
                  <c:v>0.2304988905076614</c:v>
                </c:pt>
                <c:pt idx="2">
                  <c:v>0.11798809635792069</c:v>
                </c:pt>
                <c:pt idx="3">
                  <c:v>7.2282252647939291E-2</c:v>
                </c:pt>
                <c:pt idx="4">
                  <c:v>5.3855687366031392E-2</c:v>
                </c:pt>
                <c:pt idx="5">
                  <c:v>0.14849879547587463</c:v>
                </c:pt>
                <c:pt idx="6">
                  <c:v>0.21032935295139474</c:v>
                </c:pt>
                <c:pt idx="7">
                  <c:v>0.10195129284322399</c:v>
                </c:pt>
                <c:pt idx="8">
                  <c:v>-9.6443702202456318E-3</c:v>
                </c:pt>
                <c:pt idx="9">
                  <c:v>-0.1183984267345688</c:v>
                </c:pt>
                <c:pt idx="10">
                  <c:v>-0.19416190528766372</c:v>
                </c:pt>
                <c:pt idx="11">
                  <c:v>-3.0322150838633197E-2</c:v>
                </c:pt>
                <c:pt idx="12">
                  <c:v>4.7508651359557938E-2</c:v>
                </c:pt>
                <c:pt idx="13">
                  <c:v>7.2085897061104368E-2</c:v>
                </c:pt>
                <c:pt idx="14">
                  <c:v>0.13381218456459662</c:v>
                </c:pt>
                <c:pt idx="15">
                  <c:v>0.11519772003582743</c:v>
                </c:pt>
                <c:pt idx="16">
                  <c:v>7.457032591061126E-2</c:v>
                </c:pt>
                <c:pt idx="17">
                  <c:v>6.6379351512401832E-2</c:v>
                </c:pt>
                <c:pt idx="18">
                  <c:v>0.13821919543862568</c:v>
                </c:pt>
                <c:pt idx="19">
                  <c:v>0.18322443828145188</c:v>
                </c:pt>
                <c:pt idx="20">
                  <c:v>0.15102733828836876</c:v>
                </c:pt>
                <c:pt idx="21">
                  <c:v>2.1948637813096139E-2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B-4ACD-A11A-BBA883D6D0E8}"/>
            </c:ext>
          </c:extLst>
        </c:ser>
        <c:ser>
          <c:idx val="3"/>
          <c:order val="1"/>
          <c:tx>
            <c:strRef>
              <c:f>'souhrnná výkonnost 4'!$D$5</c:f>
              <c:strCache>
                <c:ptCount val="1"/>
                <c:pt idx="0">
                  <c:v>Zpracovatelský průmysl (CZ-NACE C)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val>
            <c:numRef>
              <c:f>'souhrnná výkonnost 4'!$D$18:$D$39</c:f>
              <c:numCache>
                <c:formatCode>#\ ##0.0</c:formatCode>
                <c:ptCount val="22"/>
                <c:pt idx="0">
                  <c:v>2.2974970288931655</c:v>
                </c:pt>
                <c:pt idx="1">
                  <c:v>2.1003819539683337</c:v>
                </c:pt>
                <c:pt idx="2">
                  <c:v>2.161753605301608</c:v>
                </c:pt>
                <c:pt idx="3">
                  <c:v>1.6515907003433452</c:v>
                </c:pt>
                <c:pt idx="4">
                  <c:v>1.5749274984416446</c:v>
                </c:pt>
                <c:pt idx="5">
                  <c:v>0.83208666717303936</c:v>
                </c:pt>
                <c:pt idx="6">
                  <c:v>0.93499427724552242</c:v>
                </c:pt>
                <c:pt idx="7">
                  <c:v>1.2180600651181106</c:v>
                </c:pt>
                <c:pt idx="8">
                  <c:v>1.3791245235480027</c:v>
                </c:pt>
                <c:pt idx="9">
                  <c:v>3.156295399272143</c:v>
                </c:pt>
                <c:pt idx="10">
                  <c:v>3.0056722211992475</c:v>
                </c:pt>
                <c:pt idx="11">
                  <c:v>2.3263082145418474</c:v>
                </c:pt>
                <c:pt idx="12">
                  <c:v>1.5546773349415703</c:v>
                </c:pt>
                <c:pt idx="13">
                  <c:v>0.22194728168834105</c:v>
                </c:pt>
                <c:pt idx="14">
                  <c:v>2.6880525117532916E-2</c:v>
                </c:pt>
                <c:pt idx="15">
                  <c:v>0.25993633689265211</c:v>
                </c:pt>
                <c:pt idx="16">
                  <c:v>0.65103012374599667</c:v>
                </c:pt>
                <c:pt idx="17">
                  <c:v>0.89397063689155354</c:v>
                </c:pt>
                <c:pt idx="18">
                  <c:v>0.93507380037800703</c:v>
                </c:pt>
                <c:pt idx="19">
                  <c:v>0.4321570928817503</c:v>
                </c:pt>
                <c:pt idx="20">
                  <c:v>-0.75731848079224195</c:v>
                </c:pt>
                <c:pt idx="21">
                  <c:v>-4.5502768630054469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2B-4ACD-A11A-BBA883D6D0E8}"/>
            </c:ext>
          </c:extLst>
        </c:ser>
        <c:ser>
          <c:idx val="2"/>
          <c:order val="2"/>
          <c:tx>
            <c:strRef>
              <c:f>'souhrnná výkonnost 4'!$E$5</c:f>
              <c:strCache>
                <c:ptCount val="1"/>
                <c:pt idx="0">
                  <c:v>Ostatní průmyslová odvětví (CZ-NACE B, D, E)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invertIfNegative val="0"/>
          <c:val>
            <c:numRef>
              <c:f>'souhrnná výkonnost 4'!$E$18:$E$39</c:f>
              <c:numCache>
                <c:formatCode>#\ ##0.0</c:formatCode>
                <c:ptCount val="22"/>
                <c:pt idx="0">
                  <c:v>-0.2238083391325838</c:v>
                </c:pt>
                <c:pt idx="1">
                  <c:v>-0.23838971368947015</c:v>
                </c:pt>
                <c:pt idx="2">
                  <c:v>-0.2053609549377069</c:v>
                </c:pt>
                <c:pt idx="3">
                  <c:v>-0.35147060330963598</c:v>
                </c:pt>
                <c:pt idx="4">
                  <c:v>-0.61869060635239537</c:v>
                </c:pt>
                <c:pt idx="5">
                  <c:v>-0.25512934357205408</c:v>
                </c:pt>
                <c:pt idx="6">
                  <c:v>-0.19959002476284948</c:v>
                </c:pt>
                <c:pt idx="7">
                  <c:v>3.2746825671393198E-2</c:v>
                </c:pt>
                <c:pt idx="8">
                  <c:v>0.18450614676852783</c:v>
                </c:pt>
                <c:pt idx="9">
                  <c:v>9.0995210938591864E-2</c:v>
                </c:pt>
                <c:pt idx="10">
                  <c:v>9.3791960410576802E-2</c:v>
                </c:pt>
                <c:pt idx="11">
                  <c:v>9.7481504130754182E-3</c:v>
                </c:pt>
                <c:pt idx="12">
                  <c:v>-2.2551156456915189E-2</c:v>
                </c:pt>
                <c:pt idx="13">
                  <c:v>-2.698234320952228E-2</c:v>
                </c:pt>
                <c:pt idx="14" formatCode="General">
                  <c:v>6.5626615130826169E-2</c:v>
                </c:pt>
                <c:pt idx="15" formatCode="General">
                  <c:v>-0.13276822997746235</c:v>
                </c:pt>
                <c:pt idx="16" formatCode="General">
                  <c:v>-0.16605613821776544</c:v>
                </c:pt>
                <c:pt idx="17" formatCode="General">
                  <c:v>-0.17578686521880382</c:v>
                </c:pt>
                <c:pt idx="18" formatCode="General">
                  <c:v>-0.17747063964733789</c:v>
                </c:pt>
                <c:pt idx="19" formatCode="General">
                  <c:v>8.7594056433330181E-2</c:v>
                </c:pt>
                <c:pt idx="20" formatCode="General">
                  <c:v>-0.24297407898359524</c:v>
                </c:pt>
                <c:pt idx="21" formatCode="General">
                  <c:v>-0.72377713934564358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2B-4ACD-A11A-BBA883D6D0E8}"/>
            </c:ext>
          </c:extLst>
        </c:ser>
        <c:ser>
          <c:idx val="1"/>
          <c:order val="3"/>
          <c:tx>
            <c:strRef>
              <c:f>'souhrnná výkonnost 4'!$F$5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E8AFB2"/>
            </a:solidFill>
            <a:ln>
              <a:noFill/>
            </a:ln>
          </c:spPr>
          <c:invertIfNegative val="0"/>
          <c:val>
            <c:numRef>
              <c:f>'souhrnná výkonnost 4'!$F$18:$F$39</c:f>
              <c:numCache>
                <c:formatCode>#\ ##0.0</c:formatCode>
                <c:ptCount val="22"/>
                <c:pt idx="0">
                  <c:v>0.13087923173458302</c:v>
                </c:pt>
                <c:pt idx="1">
                  <c:v>0.16519036862091754</c:v>
                </c:pt>
                <c:pt idx="2">
                  <c:v>0.21120786680843179</c:v>
                </c:pt>
                <c:pt idx="3">
                  <c:v>-1.2415147928913664E-2</c:v>
                </c:pt>
                <c:pt idx="4">
                  <c:v>-0.10952448541686127</c:v>
                </c:pt>
                <c:pt idx="5">
                  <c:v>-0.28214741197780213</c:v>
                </c:pt>
                <c:pt idx="6">
                  <c:v>-0.27168672817032663</c:v>
                </c:pt>
                <c:pt idx="7">
                  <c:v>-0.20754684715757324</c:v>
                </c:pt>
                <c:pt idx="8">
                  <c:v>-8.524394743114426E-2</c:v>
                </c:pt>
                <c:pt idx="9">
                  <c:v>0.11383434006711636</c:v>
                </c:pt>
                <c:pt idx="10">
                  <c:v>4.3349635308544285E-2</c:v>
                </c:pt>
                <c:pt idx="11">
                  <c:v>0.17858744375528909</c:v>
                </c:pt>
                <c:pt idx="12">
                  <c:v>0.11808587682306973</c:v>
                </c:pt>
                <c:pt idx="13">
                  <c:v>6.8021503066315213E-3</c:v>
                </c:pt>
                <c:pt idx="14">
                  <c:v>-1.6571363358896852E-2</c:v>
                </c:pt>
                <c:pt idx="15">
                  <c:v>-0.14898361382784628</c:v>
                </c:pt>
                <c:pt idx="16">
                  <c:v>-0.20748910270418172</c:v>
                </c:pt>
                <c:pt idx="17">
                  <c:v>-0.16731055129880157</c:v>
                </c:pt>
                <c:pt idx="18">
                  <c:v>-0.12605835918279604</c:v>
                </c:pt>
                <c:pt idx="19">
                  <c:v>-7.4487643149214286E-2</c:v>
                </c:pt>
                <c:pt idx="20">
                  <c:v>3.8553744056270094E-2</c:v>
                </c:pt>
                <c:pt idx="21">
                  <c:v>-0.34659476754864965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2B-4ACD-A11A-BBA883D6D0E8}"/>
            </c:ext>
          </c:extLst>
        </c:ser>
        <c:ser>
          <c:idx val="0"/>
          <c:order val="4"/>
          <c:tx>
            <c:strRef>
              <c:f>'souhrnná výkonnost 4'!$G$5</c:f>
              <c:strCache>
                <c:ptCount val="1"/>
                <c:pt idx="0">
                  <c:v>Služby (CZ-NACE G až U)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val>
            <c:numRef>
              <c:f>'souhrnná výkonnost 4'!$G$18:$G$39</c:f>
              <c:numCache>
                <c:formatCode>#\ ##0.0</c:formatCode>
                <c:ptCount val="22"/>
                <c:pt idx="0">
                  <c:v>2.2069915595993166</c:v>
                </c:pt>
                <c:pt idx="1">
                  <c:v>2.8395836710030271</c:v>
                </c:pt>
                <c:pt idx="2">
                  <c:v>2.9673304933717439</c:v>
                </c:pt>
                <c:pt idx="3">
                  <c:v>3.1996488393000861</c:v>
                </c:pt>
                <c:pt idx="4">
                  <c:v>2.2669828358604827</c:v>
                </c:pt>
                <c:pt idx="5">
                  <c:v>1.7472095584606271</c:v>
                </c:pt>
                <c:pt idx="6">
                  <c:v>1.2199893940422677</c:v>
                </c:pt>
                <c:pt idx="7">
                  <c:v>1.2038927401746593</c:v>
                </c:pt>
                <c:pt idx="8">
                  <c:v>2.1828063096576567</c:v>
                </c:pt>
                <c:pt idx="9">
                  <c:v>3.1402341655549573</c:v>
                </c:pt>
                <c:pt idx="10">
                  <c:v>2.9649621789836469</c:v>
                </c:pt>
                <c:pt idx="11">
                  <c:v>3.2019367955598788</c:v>
                </c:pt>
                <c:pt idx="12">
                  <c:v>3.1991581139545291</c:v>
                </c:pt>
                <c:pt idx="13">
                  <c:v>2.4596297734516672</c:v>
                </c:pt>
                <c:pt idx="14" formatCode="General">
                  <c:v>2.8096801810569541</c:v>
                </c:pt>
                <c:pt idx="15" formatCode="General">
                  <c:v>2.633591469545653</c:v>
                </c:pt>
                <c:pt idx="16" formatCode="General">
                  <c:v>2.1778121572999853</c:v>
                </c:pt>
                <c:pt idx="17" formatCode="General">
                  <c:v>1.5872692836963305</c:v>
                </c:pt>
                <c:pt idx="18" formatCode="General">
                  <c:v>1.2887133109854405</c:v>
                </c:pt>
                <c:pt idx="19" formatCode="General">
                  <c:v>1.0856896115678327</c:v>
                </c:pt>
                <c:pt idx="20" formatCode="General">
                  <c:v>-0.48143959136323056</c:v>
                </c:pt>
                <c:pt idx="21" formatCode="General">
                  <c:v>-5.3137430791844009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2B-4ACD-A11A-BBA883D6D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69005952"/>
        <c:axId val="269007488"/>
      </c:barChart>
      <c:lineChart>
        <c:grouping val="standard"/>
        <c:varyColors val="0"/>
        <c:ser>
          <c:idx val="5"/>
          <c:order val="5"/>
          <c:tx>
            <c:strRef>
              <c:f>'souhrnná výkonnost 4'!$H$5</c:f>
              <c:strCache>
                <c:ptCount val="1"/>
                <c:pt idx="0">
                  <c:v>Hrubá přidaná hodnota celkem</c:v>
                </c:pt>
              </c:strCache>
            </c:strRef>
          </c:tx>
          <c:spPr>
            <a:ln w="19050">
              <a:solidFill>
                <a:prstClr val="black"/>
              </a:solidFill>
            </a:ln>
          </c:spPr>
          <c:marker>
            <c:symbol val="none"/>
          </c:marker>
          <c:cat>
            <c:multiLvlStrRef>
              <c:f>'souhrnná výkonnost 4'!$A$18:$B$39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</c:lvl>
              </c:multiLvlStrCache>
            </c:multiLvlStrRef>
          </c:cat>
          <c:val>
            <c:numRef>
              <c:f>'souhrnná výkonnost 4'!$H$18:$H$39</c:f>
              <c:numCache>
                <c:formatCode>#\ ##0.0</c:formatCode>
                <c:ptCount val="22"/>
                <c:pt idx="0">
                  <c:v>4.715513587220201</c:v>
                </c:pt>
                <c:pt idx="1">
                  <c:v>5.0971004057791305</c:v>
                </c:pt>
                <c:pt idx="2">
                  <c:v>5.2530196431134613</c:v>
                </c:pt>
                <c:pt idx="3">
                  <c:v>4.5592485406007199</c:v>
                </c:pt>
                <c:pt idx="4">
                  <c:v>3.1674424411731508</c:v>
                </c:pt>
                <c:pt idx="5">
                  <c:v>2.1906580742636379</c:v>
                </c:pt>
                <c:pt idx="6">
                  <c:v>1.8939325302629584</c:v>
                </c:pt>
                <c:pt idx="7">
                  <c:v>2.3492580716968376</c:v>
                </c:pt>
                <c:pt idx="8">
                  <c:v>3.6516543205207768</c:v>
                </c:pt>
                <c:pt idx="9">
                  <c:v>6.3830027976023729</c:v>
                </c:pt>
                <c:pt idx="10">
                  <c:v>5.9135095065788903</c:v>
                </c:pt>
                <c:pt idx="11">
                  <c:v>5.6861848632479877</c:v>
                </c:pt>
                <c:pt idx="12">
                  <c:v>4.9690415467186284</c:v>
                </c:pt>
                <c:pt idx="13">
                  <c:v>2.7334464292361815</c:v>
                </c:pt>
                <c:pt idx="14">
                  <c:v>3.0193557965321673</c:v>
                </c:pt>
                <c:pt idx="15">
                  <c:v>2.7273005906640861</c:v>
                </c:pt>
                <c:pt idx="16">
                  <c:v>2.5300143206718104</c:v>
                </c:pt>
                <c:pt idx="17">
                  <c:v>2.204495611197089</c:v>
                </c:pt>
                <c:pt idx="18">
                  <c:v>2.0584748568752218</c:v>
                </c:pt>
                <c:pt idx="19">
                  <c:v>1.7139510638243536</c:v>
                </c:pt>
                <c:pt idx="20">
                  <c:v>-1.2922292501307311</c:v>
                </c:pt>
                <c:pt idx="21">
                  <c:v>-10.912447515612371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D2B-4ACD-A11A-BBA883D6D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005952"/>
        <c:axId val="269007488"/>
      </c:lineChart>
      <c:catAx>
        <c:axId val="269005952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69007488"/>
        <c:crosses val="autoZero"/>
        <c:auto val="1"/>
        <c:lblAlgn val="ctr"/>
        <c:lblOffset val="100"/>
        <c:noMultiLvlLbl val="0"/>
      </c:catAx>
      <c:valAx>
        <c:axId val="269007488"/>
        <c:scaling>
          <c:orientation val="minMax"/>
          <c:max val="7"/>
          <c:min val="-12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69005952"/>
        <c:crosses val="autoZero"/>
        <c:crossBetween val="between"/>
        <c:majorUnit val="3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4144292468760548E-2"/>
          <c:y val="0.79016604750647301"/>
          <c:w val="0.92386482607227283"/>
          <c:h val="0.19462484520994944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2BF2-391F-4C6D-B8DA-3C94F87B3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633C43-6E22-4969-8C27-0D46792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1286</Words>
  <Characters>7593</Characters>
  <Application>Microsoft Office Word</Application>
  <DocSecurity>0</DocSecurity>
  <Lines>63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8862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2020-09-11T08:14:00Z</dcterms:created>
  <dcterms:modified xsi:type="dcterms:W3CDTF">2020-09-11T08:42:00Z</dcterms:modified>
</cp:coreProperties>
</file>